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75" w:rsidRDefault="00C70975" w:rsidP="00C70975">
      <w:pPr>
        <w:jc w:val="center"/>
        <w:rPr>
          <w:b/>
          <w:sz w:val="24"/>
          <w:szCs w:val="24"/>
          <w:lang w:val="lv-LV"/>
        </w:rPr>
      </w:pPr>
    </w:p>
    <w:p w:rsidR="00C70975" w:rsidRPr="00C70975" w:rsidRDefault="00EC17D9" w:rsidP="00C70975">
      <w:pPr>
        <w:jc w:val="center"/>
        <w:rPr>
          <w:b/>
          <w:sz w:val="24"/>
          <w:szCs w:val="24"/>
          <w:lang w:val="lv-LV"/>
        </w:rPr>
      </w:pPr>
      <w:r w:rsidRPr="00462F6E">
        <w:rPr>
          <w:b/>
          <w:sz w:val="24"/>
          <w:szCs w:val="24"/>
          <w:lang w:val="lv-LV"/>
        </w:rPr>
        <w:t xml:space="preserve">Uzziņa par projektu </w:t>
      </w:r>
      <w:r w:rsidR="00753708">
        <w:rPr>
          <w:b/>
          <w:sz w:val="24"/>
          <w:szCs w:val="24"/>
          <w:lang w:val="lv-LV"/>
        </w:rPr>
        <w:t>Vadības komitejas sēdei</w:t>
      </w:r>
    </w:p>
    <w:p w:rsidR="00654852" w:rsidRPr="00462F6E" w:rsidRDefault="00C70975" w:rsidP="00EC17D9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</w:t>
      </w:r>
      <w:r w:rsidR="006B428D">
        <w:rPr>
          <w:sz w:val="24"/>
          <w:szCs w:val="24"/>
          <w:lang w:val="lv-LV"/>
        </w:rPr>
        <w:t>15.10</w:t>
      </w:r>
      <w:r w:rsidR="00F24D9B">
        <w:rPr>
          <w:sz w:val="24"/>
          <w:szCs w:val="24"/>
          <w:lang w:val="lv-LV"/>
        </w:rPr>
        <w:t>.2018.</w:t>
      </w:r>
      <w:r>
        <w:rPr>
          <w:sz w:val="24"/>
          <w:szCs w:val="24"/>
          <w:lang w:val="lv-LV"/>
        </w:rPr>
        <w:t>)</w:t>
      </w:r>
    </w:p>
    <w:p w:rsidR="00B73BA1" w:rsidRPr="004B3951" w:rsidRDefault="00B73BA1" w:rsidP="00EC17D9">
      <w:pPr>
        <w:jc w:val="center"/>
        <w:rPr>
          <w:sz w:val="24"/>
          <w:szCs w:val="24"/>
          <w:lang w:val="lv-LV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A04170" w:rsidTr="00F00C20">
        <w:tc>
          <w:tcPr>
            <w:tcW w:w="426" w:type="dxa"/>
            <w:vAlign w:val="center"/>
          </w:tcPr>
          <w:p w:rsidR="00FE6AB5" w:rsidRPr="00A04170" w:rsidRDefault="00BE6AD8" w:rsidP="00BE6AD8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3402" w:type="dxa"/>
            <w:vAlign w:val="center"/>
          </w:tcPr>
          <w:p w:rsidR="00FE6AB5" w:rsidRPr="00A04170" w:rsidRDefault="00FE6AB5" w:rsidP="00C21CBC">
            <w:pPr>
              <w:jc w:val="center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:rsidR="00FE6AB5" w:rsidRPr="00A04170" w:rsidRDefault="00FE6AB5" w:rsidP="00C21CBC">
            <w:pPr>
              <w:jc w:val="center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Informācija par projektu</w:t>
            </w:r>
          </w:p>
        </w:tc>
      </w:tr>
      <w:tr w:rsidR="00BE6AD8" w:rsidRPr="00A04170" w:rsidTr="00083E13">
        <w:trPr>
          <w:trHeight w:val="860"/>
        </w:trPr>
        <w:tc>
          <w:tcPr>
            <w:tcW w:w="426" w:type="dxa"/>
            <w:vAlign w:val="center"/>
          </w:tcPr>
          <w:p w:rsidR="00BE6AD8" w:rsidRPr="00A04170" w:rsidRDefault="00BE6AD8" w:rsidP="00BE6AD8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BE6AD8" w:rsidRPr="00A04170" w:rsidRDefault="00F24D9B" w:rsidP="00B84BE8">
            <w:pPr>
              <w:jc w:val="center"/>
              <w:rPr>
                <w:sz w:val="24"/>
                <w:szCs w:val="24"/>
                <w:lang w:val="lv-LV"/>
              </w:rPr>
            </w:pPr>
            <w:bookmarkStart w:id="0" w:name="_GoBack"/>
            <w:r w:rsidRPr="00A04170">
              <w:rPr>
                <w:sz w:val="24"/>
                <w:szCs w:val="24"/>
                <w:lang w:val="lv-LV"/>
              </w:rPr>
              <w:t>Ministru kabineta noteikumu projekts “</w:t>
            </w:r>
            <w:r w:rsidR="00B84BE8">
              <w:rPr>
                <w:sz w:val="24"/>
                <w:szCs w:val="24"/>
                <w:lang w:val="lv-LV"/>
              </w:rPr>
              <w:t>Ceturkšņa pārskatu</w:t>
            </w:r>
            <w:r w:rsidRPr="00A04170">
              <w:rPr>
                <w:sz w:val="24"/>
                <w:szCs w:val="24"/>
                <w:lang w:val="lv-LV"/>
              </w:rPr>
              <w:t xml:space="preserve"> sagatavošanas kārtība”</w:t>
            </w:r>
            <w:bookmarkEnd w:id="0"/>
          </w:p>
        </w:tc>
      </w:tr>
      <w:tr w:rsidR="00FE6AB5" w:rsidRPr="00A04170" w:rsidTr="00F00C20">
        <w:tc>
          <w:tcPr>
            <w:tcW w:w="426" w:type="dxa"/>
          </w:tcPr>
          <w:p w:rsidR="00FE6AB5" w:rsidRPr="00A04170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FE6AB5" w:rsidRPr="006B428D" w:rsidRDefault="00FE6AB5" w:rsidP="00C21CBC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</w:tcPr>
          <w:p w:rsidR="0092733A" w:rsidRPr="00642607" w:rsidRDefault="00642607" w:rsidP="00642607">
            <w:pPr>
              <w:ind w:firstLine="198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6B428D">
              <w:rPr>
                <w:rFonts w:eastAsia="Times New Roman"/>
                <w:sz w:val="24"/>
                <w:szCs w:val="24"/>
                <w:lang w:val="lv-LV" w:eastAsia="lv-LV"/>
              </w:rPr>
              <w:t>Ministru kabineta</w:t>
            </w:r>
            <w:r w:rsidRPr="001B7D7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6B428D">
              <w:rPr>
                <w:rFonts w:eastAsia="Times New Roman"/>
                <w:sz w:val="24"/>
                <w:szCs w:val="24"/>
                <w:lang w:val="lv-LV" w:eastAsia="lv-LV"/>
              </w:rPr>
              <w:t>noteikumu projekts “Ceturkšņa pārskatu sagatavošanas un iesniegšanas kārtība” (turpmāk – Noteikumu projekts) ir izstr</w:t>
            </w:r>
            <w:r w:rsidR="00EC6BD1">
              <w:rPr>
                <w:rFonts w:eastAsia="Times New Roman"/>
                <w:sz w:val="24"/>
                <w:szCs w:val="24"/>
                <w:lang w:val="lv-LV" w:eastAsia="lv-LV"/>
              </w:rPr>
              <w:t>ādāts ar mērķi precizēt pārskatos</w:t>
            </w:r>
            <w:r w:rsidRPr="006B428D">
              <w:rPr>
                <w:rFonts w:eastAsia="Times New Roman"/>
                <w:sz w:val="24"/>
                <w:szCs w:val="24"/>
                <w:lang w:val="lv-LV" w:eastAsia="lv-LV"/>
              </w:rPr>
              <w:t xml:space="preserve"> uzrādāmo informāciju atbilstoši Ministru kabineta 2018.gada 13.februāra noteikumu Nr.87 “Grāmatvedības uzskaites kārtība budžeta iestādēs” 1.pielikumam “Grāmatvedības kontu plāna un zembilances shēma un apraksts”.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036DB" w:rsidRPr="00A04170" w:rsidTr="00F00C20">
        <w:tc>
          <w:tcPr>
            <w:tcW w:w="426" w:type="dxa"/>
          </w:tcPr>
          <w:p w:rsidR="001036DB" w:rsidRPr="00A04170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1036DB" w:rsidRPr="00A04170" w:rsidRDefault="001036DB" w:rsidP="00C70975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:rsidR="00847535" w:rsidRPr="00A04170" w:rsidRDefault="006B428D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 attiecināms</w:t>
            </w:r>
          </w:p>
        </w:tc>
      </w:tr>
      <w:tr w:rsidR="00FE6AB5" w:rsidRPr="00A04170" w:rsidTr="00F00C20">
        <w:trPr>
          <w:trHeight w:val="898"/>
        </w:trPr>
        <w:tc>
          <w:tcPr>
            <w:tcW w:w="426" w:type="dxa"/>
          </w:tcPr>
          <w:p w:rsidR="00FE6AB5" w:rsidRPr="00A04170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FE6AB5" w:rsidRPr="00A04170" w:rsidRDefault="00FE6AB5" w:rsidP="00C21CBC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Projekta īss saturs</w:t>
            </w:r>
          </w:p>
        </w:tc>
        <w:tc>
          <w:tcPr>
            <w:tcW w:w="6946" w:type="dxa"/>
          </w:tcPr>
          <w:p w:rsidR="00642607" w:rsidRDefault="00F937AC" w:rsidP="00EC6BD1">
            <w:pPr>
              <w:ind w:firstLine="176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</w:rPr>
              <w:t>Noteikumu projekts nosaka kārtību, kādā valsts budžeta iestādes,</w:t>
            </w:r>
            <w:r>
              <w:t xml:space="preserve"> </w:t>
            </w:r>
            <w:r w:rsidRPr="00FB1CDF">
              <w:rPr>
                <w:sz w:val="24"/>
              </w:rPr>
              <w:t>t.sk. publiskie nodibinājumi</w:t>
            </w:r>
            <w:r>
              <w:t>,</w:t>
            </w:r>
            <w:r>
              <w:rPr>
                <w:sz w:val="24"/>
              </w:rPr>
              <w:t xml:space="preserve"> pašvaldības un no valsts budžeta daļēji finansētas atvasinātas publiskas personas sagatavo un iesniedz ceturkšņa finanšu pārskatus. Salīdzinot ar Ministru kabineta 2014.gada 16.decembra noteikumiem Nr.733 “Ceturkšņa pārskatu sagatavošanas un iesniegšanas kārtība”,</w:t>
            </w:r>
            <w:r>
              <w:rPr>
                <w:sz w:val="24"/>
                <w:szCs w:val="24"/>
                <w:lang w:val="lv-LV"/>
              </w:rPr>
              <w:t xml:space="preserve"> šajā Noteikumu projektā</w:t>
            </w:r>
            <w:r w:rsidR="00642607">
              <w:rPr>
                <w:sz w:val="24"/>
                <w:szCs w:val="24"/>
                <w:lang w:val="lv-LV"/>
              </w:rPr>
              <w:t>:</w:t>
            </w:r>
          </w:p>
          <w:p w:rsidR="00642607" w:rsidRDefault="00B84BE8" w:rsidP="0064260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642607">
              <w:rPr>
                <w:sz w:val="24"/>
                <w:szCs w:val="24"/>
                <w:lang w:val="lv-LV"/>
              </w:rPr>
              <w:t>iz</w:t>
            </w:r>
            <w:r w:rsidR="00452A49">
              <w:rPr>
                <w:sz w:val="24"/>
                <w:szCs w:val="24"/>
                <w:lang w:val="lv-LV"/>
              </w:rPr>
              <w:t>slēgta sadaļa par</w:t>
            </w:r>
            <w:r w:rsidRPr="00642607">
              <w:rPr>
                <w:sz w:val="24"/>
                <w:szCs w:val="24"/>
                <w:lang w:val="lv-LV"/>
              </w:rPr>
              <w:t xml:space="preserve"> konkrēto veidlapu aizpildīšanu, paredzot, ka Valsts kase izstrādās detalizētas </w:t>
            </w:r>
            <w:r w:rsidR="00642607" w:rsidRPr="00642607">
              <w:rPr>
                <w:sz w:val="24"/>
                <w:szCs w:val="24"/>
                <w:lang w:val="lv-LV"/>
              </w:rPr>
              <w:t>pārskatu sagatavošanas Vadlīnijas un publicēs tās savā tīmekļvietnē</w:t>
            </w:r>
            <w:r w:rsidR="00452A49">
              <w:rPr>
                <w:sz w:val="24"/>
                <w:szCs w:val="24"/>
                <w:lang w:val="lv-LV"/>
              </w:rPr>
              <w:t>;</w:t>
            </w:r>
          </w:p>
          <w:p w:rsidR="00BC004D" w:rsidRPr="00642607" w:rsidRDefault="00642607" w:rsidP="006B428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642607">
              <w:rPr>
                <w:sz w:val="24"/>
                <w:szCs w:val="24"/>
                <w:lang w:val="lv-LV"/>
              </w:rPr>
              <w:t xml:space="preserve">precizētas pārskatu formas, lai </w:t>
            </w:r>
            <w:r w:rsidR="00452A49">
              <w:rPr>
                <w:sz w:val="24"/>
                <w:szCs w:val="24"/>
                <w:lang w:val="lv-LV"/>
              </w:rPr>
              <w:t>pilnveidotu iesniedzam</w:t>
            </w:r>
            <w:r w:rsidR="006B428D">
              <w:rPr>
                <w:sz w:val="24"/>
                <w:szCs w:val="24"/>
                <w:lang w:val="lv-LV"/>
              </w:rPr>
              <w:t xml:space="preserve">ās informācijas apjomu </w:t>
            </w:r>
            <w:r w:rsidR="006B428D" w:rsidRPr="001B7D7B">
              <w:rPr>
                <w:rFonts w:eastAsia="Times New Roman"/>
                <w:sz w:val="24"/>
                <w:szCs w:val="24"/>
                <w:lang w:eastAsia="lv-LV"/>
              </w:rPr>
              <w:t xml:space="preserve">atbilstoši </w:t>
            </w:r>
            <w:r w:rsidR="006B428D">
              <w:rPr>
                <w:rFonts w:eastAsia="Times New Roman"/>
                <w:sz w:val="24"/>
                <w:szCs w:val="24"/>
                <w:lang w:eastAsia="lv-LV"/>
              </w:rPr>
              <w:t xml:space="preserve">aktualizētajiem </w:t>
            </w:r>
            <w:r w:rsidR="006B428D" w:rsidRPr="001B7D7B">
              <w:rPr>
                <w:rFonts w:eastAsia="Times New Roman"/>
                <w:sz w:val="24"/>
                <w:szCs w:val="24"/>
                <w:lang w:eastAsia="lv-LV"/>
              </w:rPr>
              <w:t>grām</w:t>
            </w:r>
            <w:r w:rsidR="006B428D">
              <w:rPr>
                <w:rFonts w:eastAsia="Times New Roman"/>
                <w:sz w:val="24"/>
                <w:szCs w:val="24"/>
                <w:lang w:eastAsia="lv-LV"/>
              </w:rPr>
              <w:t>atvedības uzskaites principiem.</w:t>
            </w:r>
          </w:p>
        </w:tc>
      </w:tr>
      <w:tr w:rsidR="00FE6AB5" w:rsidRPr="00A04170" w:rsidTr="00F00C20">
        <w:tc>
          <w:tcPr>
            <w:tcW w:w="426" w:type="dxa"/>
          </w:tcPr>
          <w:p w:rsidR="00FE6AB5" w:rsidRPr="00A04170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FE6AB5" w:rsidRPr="00A04170" w:rsidRDefault="00FE6AB5" w:rsidP="00C21CBC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Iespējamie risinājuma varianti</w:t>
            </w:r>
            <w:r w:rsidR="00BE6AD8" w:rsidRPr="00A04170">
              <w:rPr>
                <w:sz w:val="24"/>
                <w:szCs w:val="24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:rsidR="00FE6AB5" w:rsidRPr="00A04170" w:rsidRDefault="00F24D9B" w:rsidP="00D712D4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>Nav attiecināms</w:t>
            </w:r>
          </w:p>
        </w:tc>
      </w:tr>
      <w:tr w:rsidR="001036DB" w:rsidRPr="00A04170" w:rsidTr="00F00C20">
        <w:tc>
          <w:tcPr>
            <w:tcW w:w="426" w:type="dxa"/>
          </w:tcPr>
          <w:p w:rsidR="001036DB" w:rsidRPr="00A04170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1036DB" w:rsidRPr="00A04170" w:rsidRDefault="001036DB" w:rsidP="00F12047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</w:tcPr>
          <w:p w:rsidR="001036DB" w:rsidRPr="00A04170" w:rsidRDefault="00F24D9B" w:rsidP="006B428D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 xml:space="preserve">Valsts kases </w:t>
            </w:r>
            <w:r w:rsidR="006B428D">
              <w:rPr>
                <w:rFonts w:eastAsia="Times New Roman"/>
                <w:sz w:val="24"/>
                <w:szCs w:val="24"/>
                <w:lang w:val="lv-LV"/>
              </w:rPr>
              <w:t>pārvaldnieka vietniece Gunta Medne</w:t>
            </w:r>
          </w:p>
        </w:tc>
      </w:tr>
      <w:tr w:rsidR="00F24D9B" w:rsidRPr="00A04170" w:rsidTr="00F00C20">
        <w:tc>
          <w:tcPr>
            <w:tcW w:w="426" w:type="dxa"/>
          </w:tcPr>
          <w:p w:rsidR="00F24D9B" w:rsidRPr="00A04170" w:rsidRDefault="00F24D9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F24D9B" w:rsidRPr="00A04170" w:rsidRDefault="00F24D9B" w:rsidP="00F12047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Nosakāmais projekta sagatavotājs (ja nepieciešams)</w:t>
            </w:r>
          </w:p>
        </w:tc>
        <w:tc>
          <w:tcPr>
            <w:tcW w:w="6946" w:type="dxa"/>
          </w:tcPr>
          <w:p w:rsidR="00F24D9B" w:rsidRPr="00A04170" w:rsidRDefault="006B428D" w:rsidP="00496107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>Valsts kases Pārskatu departamenta direktore Ligita Agleniece</w:t>
            </w:r>
          </w:p>
        </w:tc>
      </w:tr>
      <w:tr w:rsidR="00F24D9B" w:rsidRPr="00A04170" w:rsidTr="00F00C20">
        <w:tc>
          <w:tcPr>
            <w:tcW w:w="426" w:type="dxa"/>
          </w:tcPr>
          <w:p w:rsidR="00F24D9B" w:rsidRPr="00A04170" w:rsidRDefault="00F24D9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F24D9B" w:rsidRPr="00A04170" w:rsidRDefault="00F24D9B" w:rsidP="00F12047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 xml:space="preserve">Darba grupas vadītājs un iespējamais sastāvs (ja nepieciešams) </w:t>
            </w:r>
          </w:p>
        </w:tc>
        <w:tc>
          <w:tcPr>
            <w:tcW w:w="6946" w:type="dxa"/>
          </w:tcPr>
          <w:p w:rsidR="00F24D9B" w:rsidRPr="00A04170" w:rsidRDefault="00F24D9B" w:rsidP="00496107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>Nav attiecināms</w:t>
            </w:r>
          </w:p>
        </w:tc>
      </w:tr>
      <w:tr w:rsidR="00BE6AD8" w:rsidRPr="00A04170" w:rsidTr="00F00C20">
        <w:tc>
          <w:tcPr>
            <w:tcW w:w="426" w:type="dxa"/>
          </w:tcPr>
          <w:p w:rsidR="00BE6AD8" w:rsidRPr="00A04170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BE6AD8" w:rsidRPr="00A04170" w:rsidRDefault="00BE6AD8" w:rsidP="00F12047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</w:tcPr>
          <w:p w:rsidR="00BE6AD8" w:rsidRPr="00A04170" w:rsidRDefault="00F24D9B" w:rsidP="00F24D9B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I</w:t>
            </w:r>
            <w:r w:rsidR="00C70975" w:rsidRPr="00A04170">
              <w:rPr>
                <w:sz w:val="24"/>
                <w:szCs w:val="24"/>
                <w:lang w:val="lv-LV"/>
              </w:rPr>
              <w:t xml:space="preserve">nformācija par projekta izstrādi tiks publicēta </w:t>
            </w:r>
            <w:r w:rsidR="006B428D">
              <w:rPr>
                <w:sz w:val="24"/>
                <w:szCs w:val="24"/>
                <w:lang w:val="lv-LV"/>
              </w:rPr>
              <w:t xml:space="preserve">Finanšu ministrijas un </w:t>
            </w:r>
            <w:r w:rsidRPr="00A04170">
              <w:rPr>
                <w:sz w:val="24"/>
                <w:szCs w:val="24"/>
                <w:lang w:val="lv-LV"/>
              </w:rPr>
              <w:t>Valsts kases</w:t>
            </w:r>
            <w:r w:rsidR="00C70975" w:rsidRPr="00A04170">
              <w:rPr>
                <w:sz w:val="24"/>
                <w:szCs w:val="24"/>
                <w:lang w:val="lv-LV"/>
              </w:rPr>
              <w:t xml:space="preserve"> </w:t>
            </w:r>
            <w:r w:rsidR="00F937AC" w:rsidRPr="00642607">
              <w:rPr>
                <w:sz w:val="24"/>
                <w:szCs w:val="24"/>
                <w:lang w:val="lv-LV"/>
              </w:rPr>
              <w:t>tīmekļvietnē</w:t>
            </w:r>
            <w:r w:rsidR="00C70975" w:rsidRPr="00A04170">
              <w:rPr>
                <w:sz w:val="24"/>
                <w:szCs w:val="24"/>
                <w:lang w:val="lv-LV"/>
              </w:rPr>
              <w:t>.</w:t>
            </w:r>
            <w:r w:rsidR="006B428D">
              <w:rPr>
                <w:sz w:val="24"/>
                <w:szCs w:val="24"/>
                <w:lang w:val="lv-LV"/>
              </w:rPr>
              <w:t xml:space="preserve"> Viedokli par sagatavoto Noteikumu projektu var iesniegt līdz 2018.gada 25.oktobrim.</w:t>
            </w:r>
          </w:p>
        </w:tc>
      </w:tr>
      <w:tr w:rsidR="00E92C41" w:rsidRPr="00A04170" w:rsidTr="00F00C20">
        <w:tc>
          <w:tcPr>
            <w:tcW w:w="426" w:type="dxa"/>
          </w:tcPr>
          <w:p w:rsidR="00E92C41" w:rsidRPr="00A04170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E92C41" w:rsidRPr="00A04170" w:rsidRDefault="00E92C41" w:rsidP="00F12047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:rsidR="00F24D9B" w:rsidRPr="00A04170" w:rsidRDefault="00F24D9B" w:rsidP="00F24D9B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 xml:space="preserve">Juridiskais departaments, </w:t>
            </w:r>
          </w:p>
          <w:p w:rsidR="00F24D9B" w:rsidRPr="00A04170" w:rsidRDefault="00F24D9B" w:rsidP="00F24D9B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Pašvaldību finansiālās darbības uzraudzības un finansēšanas departaments,</w:t>
            </w:r>
          </w:p>
          <w:p w:rsidR="00E92C41" w:rsidRPr="00A04170" w:rsidRDefault="00F24D9B" w:rsidP="00F24D9B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Finanšu un darb</w:t>
            </w:r>
            <w:r w:rsidR="00452A49">
              <w:rPr>
                <w:sz w:val="24"/>
                <w:szCs w:val="24"/>
                <w:lang w:val="lv-LV"/>
              </w:rPr>
              <w:t>ības nodrošinājuma departamenta Grāmatvedības nodaļa</w:t>
            </w:r>
          </w:p>
        </w:tc>
      </w:tr>
      <w:tr w:rsidR="00E92C41" w:rsidRPr="00A04170" w:rsidTr="00F00C20">
        <w:tc>
          <w:tcPr>
            <w:tcW w:w="426" w:type="dxa"/>
          </w:tcPr>
          <w:p w:rsidR="00E92C41" w:rsidRPr="00A04170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D132B8" w:rsidRPr="00A04170" w:rsidRDefault="00D132B8" w:rsidP="00F12047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Nosūtīšanas saskaņošanai termiņš,</w:t>
            </w:r>
          </w:p>
          <w:p w:rsidR="00E92C41" w:rsidRPr="00A04170" w:rsidRDefault="00D132B8" w:rsidP="00F12047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s</w:t>
            </w:r>
            <w:r w:rsidR="00795DB0" w:rsidRPr="00A04170">
              <w:rPr>
                <w:sz w:val="24"/>
                <w:szCs w:val="24"/>
                <w:lang w:val="lv-LV"/>
              </w:rPr>
              <w:t>askaņošanas termiņš</w:t>
            </w:r>
          </w:p>
          <w:p w:rsidR="00D132B8" w:rsidRPr="00A04170" w:rsidRDefault="00D132B8" w:rsidP="00F1204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</w:tcPr>
          <w:p w:rsidR="00A2689C" w:rsidRPr="00A04170" w:rsidRDefault="00496107" w:rsidP="006B428D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 xml:space="preserve">Nosūtīts struktūrvienībām saskaņošanai </w:t>
            </w:r>
            <w:r w:rsidR="006B428D">
              <w:rPr>
                <w:rFonts w:eastAsia="Times New Roman"/>
                <w:sz w:val="24"/>
                <w:szCs w:val="24"/>
                <w:lang w:val="lv-LV"/>
              </w:rPr>
              <w:t>16.10.2018</w:t>
            </w:r>
            <w:r w:rsidRPr="00A04170">
              <w:rPr>
                <w:rFonts w:eastAsia="Times New Roman"/>
                <w:sz w:val="24"/>
                <w:szCs w:val="24"/>
                <w:lang w:val="lv-LV"/>
              </w:rPr>
              <w:t xml:space="preserve">. Saskaņošanas termiņš </w:t>
            </w:r>
            <w:r w:rsidR="006B428D">
              <w:rPr>
                <w:rFonts w:eastAsia="Times New Roman"/>
                <w:sz w:val="24"/>
                <w:szCs w:val="24"/>
                <w:lang w:val="lv-LV"/>
              </w:rPr>
              <w:t>30.10.2018</w:t>
            </w:r>
            <w:r w:rsidRPr="00A04170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</w:tc>
      </w:tr>
      <w:tr w:rsidR="003626EC" w:rsidRPr="00A04170" w:rsidTr="007075E2">
        <w:trPr>
          <w:trHeight w:val="1209"/>
        </w:trPr>
        <w:tc>
          <w:tcPr>
            <w:tcW w:w="426" w:type="dxa"/>
          </w:tcPr>
          <w:p w:rsidR="003626EC" w:rsidRPr="00A04170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7075E2" w:rsidRPr="00A04170" w:rsidRDefault="003626EC" w:rsidP="00C21CBC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:rsidR="003626EC" w:rsidRPr="00A04170" w:rsidRDefault="00496107" w:rsidP="00B84BE8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 xml:space="preserve">Projektam nav finansiālās ietekmes uz valsts un pašvaldību budžetiem, tas nosaka izmaiņas administratīvajās procedūrās un pienākumos </w:t>
            </w:r>
            <w:r w:rsidR="00B84BE8">
              <w:rPr>
                <w:sz w:val="24"/>
                <w:szCs w:val="24"/>
                <w:lang w:val="lv-LV"/>
              </w:rPr>
              <w:t>ceturkšņa pārskatu sagatavošanas pilnveidošanai.</w:t>
            </w:r>
          </w:p>
        </w:tc>
      </w:tr>
      <w:tr w:rsidR="003626EC" w:rsidRPr="00A04170" w:rsidTr="00A6363B">
        <w:trPr>
          <w:trHeight w:val="679"/>
        </w:trPr>
        <w:tc>
          <w:tcPr>
            <w:tcW w:w="426" w:type="dxa"/>
          </w:tcPr>
          <w:p w:rsidR="003626EC" w:rsidRPr="00A04170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:rsidR="003626EC" w:rsidRPr="00A04170" w:rsidRDefault="00EC17D9" w:rsidP="00C21CBC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T</w:t>
            </w:r>
            <w:r w:rsidR="003626EC" w:rsidRPr="00A04170">
              <w:rPr>
                <w:sz w:val="24"/>
                <w:szCs w:val="24"/>
                <w:lang w:val="lv-LV"/>
              </w:rPr>
              <w:t>iesību akta ieviešanas kalendārais plāns</w:t>
            </w:r>
          </w:p>
        </w:tc>
        <w:tc>
          <w:tcPr>
            <w:tcW w:w="6946" w:type="dxa"/>
          </w:tcPr>
          <w:p w:rsidR="00496107" w:rsidRPr="00A04170" w:rsidRDefault="006B428D" w:rsidP="00496107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>
              <w:rPr>
                <w:rFonts w:eastAsia="Times New Roman"/>
                <w:i/>
                <w:sz w:val="24"/>
                <w:szCs w:val="24"/>
                <w:lang w:val="lv-LV"/>
              </w:rPr>
              <w:t>08.11.</w:t>
            </w:r>
            <w:r w:rsidR="00496107" w:rsidRPr="00A04170">
              <w:rPr>
                <w:rFonts w:eastAsia="Times New Roman"/>
                <w:i/>
                <w:sz w:val="24"/>
                <w:szCs w:val="24"/>
                <w:lang w:val="lv-LV"/>
              </w:rPr>
              <w:t>2018.</w:t>
            </w:r>
            <w:r w:rsidR="00496107" w:rsidRPr="00A04170">
              <w:rPr>
                <w:rFonts w:eastAsia="Times New Roman"/>
                <w:sz w:val="24"/>
                <w:szCs w:val="24"/>
                <w:lang w:val="lv-LV"/>
              </w:rPr>
              <w:t xml:space="preserve"> – projekts izsludināts VSS.</w:t>
            </w:r>
          </w:p>
          <w:p w:rsidR="00EC17D9" w:rsidRPr="00A04170" w:rsidRDefault="006B428D" w:rsidP="00496107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i/>
                <w:sz w:val="24"/>
                <w:szCs w:val="24"/>
                <w:lang w:val="lv-LV"/>
              </w:rPr>
              <w:t>20.12</w:t>
            </w:r>
            <w:r w:rsidR="00496107" w:rsidRPr="00A04170">
              <w:rPr>
                <w:rFonts w:eastAsia="Times New Roman"/>
                <w:i/>
                <w:sz w:val="24"/>
                <w:szCs w:val="24"/>
                <w:lang w:val="lv-LV"/>
              </w:rPr>
              <w:t>.2018.</w:t>
            </w:r>
            <w:r w:rsidR="00496107" w:rsidRPr="00A04170">
              <w:rPr>
                <w:rFonts w:eastAsia="Times New Roman"/>
                <w:sz w:val="24"/>
                <w:szCs w:val="24"/>
                <w:lang w:val="lv-LV"/>
              </w:rPr>
              <w:t>– projekts iesniegts izskatīšanai MK.</w:t>
            </w:r>
          </w:p>
        </w:tc>
      </w:tr>
      <w:tr w:rsidR="00F00C20" w:rsidRPr="00A04170" w:rsidTr="00F00C20">
        <w:tc>
          <w:tcPr>
            <w:tcW w:w="426" w:type="dxa"/>
            <w:tcBorders>
              <w:bottom w:val="single" w:sz="4" w:space="0" w:color="000000"/>
            </w:tcBorders>
          </w:tcPr>
          <w:p w:rsidR="00F00C20" w:rsidRPr="00A04170" w:rsidRDefault="00F00C20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00C20" w:rsidRPr="00A04170" w:rsidRDefault="00F00C20" w:rsidP="00C21CBC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F00C20" w:rsidRPr="00A04170" w:rsidRDefault="003C2F66" w:rsidP="003E5B81">
            <w:pPr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Budžeta un finanšu politika</w:t>
            </w:r>
          </w:p>
        </w:tc>
      </w:tr>
      <w:tr w:rsidR="00E92C41" w:rsidRPr="00A04170" w:rsidTr="00F00C20">
        <w:tc>
          <w:tcPr>
            <w:tcW w:w="426" w:type="dxa"/>
            <w:tcBorders>
              <w:bottom w:val="single" w:sz="4" w:space="0" w:color="000000"/>
            </w:tcBorders>
          </w:tcPr>
          <w:p w:rsidR="00E92C41" w:rsidRPr="00A04170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92C41" w:rsidRPr="00A04170" w:rsidRDefault="00E92C41" w:rsidP="00C21CBC">
            <w:pPr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496107" w:rsidRPr="00A04170" w:rsidRDefault="00B84BE8" w:rsidP="00B84BE8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Silvija Lansmane</w:t>
            </w:r>
            <w:r w:rsidR="00496107" w:rsidRPr="00A04170">
              <w:rPr>
                <w:sz w:val="24"/>
                <w:szCs w:val="24"/>
                <w:lang w:val="lv-LV"/>
              </w:rPr>
              <w:t xml:space="preserve">, Valsts kases Pārskatu departamenta </w:t>
            </w:r>
            <w:r>
              <w:rPr>
                <w:sz w:val="24"/>
                <w:szCs w:val="24"/>
                <w:lang w:val="lv-LV"/>
              </w:rPr>
              <w:t>vecākā eksperte</w:t>
            </w:r>
            <w:r w:rsidR="00A6363B" w:rsidRPr="00A04170">
              <w:rPr>
                <w:sz w:val="24"/>
                <w:szCs w:val="24"/>
                <w:lang w:val="lv-LV"/>
              </w:rPr>
              <w:t>; 670942</w:t>
            </w:r>
            <w:r>
              <w:rPr>
                <w:sz w:val="24"/>
                <w:szCs w:val="24"/>
                <w:lang w:val="lv-LV"/>
              </w:rPr>
              <w:t>39</w:t>
            </w:r>
            <w:r w:rsidR="00A6363B" w:rsidRPr="00A04170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silvija.lansmane</w:t>
            </w:r>
            <w:r w:rsidR="00A6363B" w:rsidRPr="00A04170">
              <w:rPr>
                <w:sz w:val="24"/>
                <w:szCs w:val="24"/>
                <w:lang w:val="lv-LV"/>
              </w:rPr>
              <w:t>@kase.gov.lv</w:t>
            </w:r>
          </w:p>
        </w:tc>
      </w:tr>
    </w:tbl>
    <w:p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D2" w:rsidRDefault="00DF22D2">
      <w:r>
        <w:separator/>
      </w:r>
    </w:p>
  </w:endnote>
  <w:endnote w:type="continuationSeparator" w:id="0">
    <w:p w:rsidR="00DF22D2" w:rsidRDefault="00D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D2" w:rsidRDefault="00DF22D2">
      <w:r>
        <w:separator/>
      </w:r>
    </w:p>
  </w:footnote>
  <w:footnote w:type="continuationSeparator" w:id="0">
    <w:p w:rsidR="00DF22D2" w:rsidRDefault="00DF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07" w:rsidRDefault="0049610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6E6">
      <w:rPr>
        <w:noProof/>
      </w:rPr>
      <w:t>2</w:t>
    </w:r>
    <w:r>
      <w:fldChar w:fldCharType="end"/>
    </w:r>
  </w:p>
  <w:p w:rsidR="00496107" w:rsidRDefault="00496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48D2"/>
    <w:multiLevelType w:val="hybridMultilevel"/>
    <w:tmpl w:val="DCB6EF9A"/>
    <w:lvl w:ilvl="0" w:tplc="93E643A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B5"/>
    <w:rsid w:val="00020075"/>
    <w:rsid w:val="000229AD"/>
    <w:rsid w:val="00032954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66AD"/>
    <w:rsid w:val="001B2ACB"/>
    <w:rsid w:val="001B4287"/>
    <w:rsid w:val="001D095C"/>
    <w:rsid w:val="001D244C"/>
    <w:rsid w:val="001F7DA3"/>
    <w:rsid w:val="00236C6A"/>
    <w:rsid w:val="00253D27"/>
    <w:rsid w:val="00256565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C2F66"/>
    <w:rsid w:val="003D09B2"/>
    <w:rsid w:val="003D21CE"/>
    <w:rsid w:val="003D2DDA"/>
    <w:rsid w:val="003E46E6"/>
    <w:rsid w:val="003E5B81"/>
    <w:rsid w:val="003F7FCC"/>
    <w:rsid w:val="00430A07"/>
    <w:rsid w:val="00443E19"/>
    <w:rsid w:val="00452A49"/>
    <w:rsid w:val="00460813"/>
    <w:rsid w:val="00462F6E"/>
    <w:rsid w:val="0046536A"/>
    <w:rsid w:val="00472B9E"/>
    <w:rsid w:val="00487447"/>
    <w:rsid w:val="00496107"/>
    <w:rsid w:val="004B3951"/>
    <w:rsid w:val="004E4969"/>
    <w:rsid w:val="00500BC5"/>
    <w:rsid w:val="00500D85"/>
    <w:rsid w:val="00503BD7"/>
    <w:rsid w:val="005050F7"/>
    <w:rsid w:val="00512644"/>
    <w:rsid w:val="0053726E"/>
    <w:rsid w:val="00540F5F"/>
    <w:rsid w:val="00555FE8"/>
    <w:rsid w:val="00562CEA"/>
    <w:rsid w:val="005728DF"/>
    <w:rsid w:val="00582B4E"/>
    <w:rsid w:val="0058619E"/>
    <w:rsid w:val="005A3874"/>
    <w:rsid w:val="005D03F5"/>
    <w:rsid w:val="005D54C5"/>
    <w:rsid w:val="005E6DFB"/>
    <w:rsid w:val="005E78C5"/>
    <w:rsid w:val="005F37FB"/>
    <w:rsid w:val="0063659E"/>
    <w:rsid w:val="0064131A"/>
    <w:rsid w:val="00642607"/>
    <w:rsid w:val="00654276"/>
    <w:rsid w:val="00654852"/>
    <w:rsid w:val="006560A5"/>
    <w:rsid w:val="0065635D"/>
    <w:rsid w:val="00672E57"/>
    <w:rsid w:val="00682214"/>
    <w:rsid w:val="006A40C5"/>
    <w:rsid w:val="006A428F"/>
    <w:rsid w:val="006B428D"/>
    <w:rsid w:val="006C2F69"/>
    <w:rsid w:val="006D3D5D"/>
    <w:rsid w:val="006F07CB"/>
    <w:rsid w:val="006F5E84"/>
    <w:rsid w:val="00705323"/>
    <w:rsid w:val="007075E2"/>
    <w:rsid w:val="00722365"/>
    <w:rsid w:val="007410AA"/>
    <w:rsid w:val="00742DF0"/>
    <w:rsid w:val="00753708"/>
    <w:rsid w:val="00785943"/>
    <w:rsid w:val="00795DB0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316F"/>
    <w:rsid w:val="0088791C"/>
    <w:rsid w:val="0089328C"/>
    <w:rsid w:val="008B53B4"/>
    <w:rsid w:val="008C03E2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54110"/>
    <w:rsid w:val="009767E9"/>
    <w:rsid w:val="00977A9F"/>
    <w:rsid w:val="00996BDE"/>
    <w:rsid w:val="009C5364"/>
    <w:rsid w:val="009E0546"/>
    <w:rsid w:val="009E4A8D"/>
    <w:rsid w:val="009E69CD"/>
    <w:rsid w:val="00A04170"/>
    <w:rsid w:val="00A06EBC"/>
    <w:rsid w:val="00A14316"/>
    <w:rsid w:val="00A23A9D"/>
    <w:rsid w:val="00A2689C"/>
    <w:rsid w:val="00A43A4A"/>
    <w:rsid w:val="00A60235"/>
    <w:rsid w:val="00A63591"/>
    <w:rsid w:val="00A6363B"/>
    <w:rsid w:val="00A77A31"/>
    <w:rsid w:val="00A8211B"/>
    <w:rsid w:val="00A8546E"/>
    <w:rsid w:val="00AA398C"/>
    <w:rsid w:val="00AA3DD4"/>
    <w:rsid w:val="00AD6F0F"/>
    <w:rsid w:val="00AD7B1D"/>
    <w:rsid w:val="00AF2B65"/>
    <w:rsid w:val="00B10A07"/>
    <w:rsid w:val="00B23971"/>
    <w:rsid w:val="00B40A86"/>
    <w:rsid w:val="00B42DF9"/>
    <w:rsid w:val="00B73BA1"/>
    <w:rsid w:val="00B8463C"/>
    <w:rsid w:val="00B84BE8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42D33"/>
    <w:rsid w:val="00C54082"/>
    <w:rsid w:val="00C65719"/>
    <w:rsid w:val="00C70975"/>
    <w:rsid w:val="00C77524"/>
    <w:rsid w:val="00C8197A"/>
    <w:rsid w:val="00CB3A6F"/>
    <w:rsid w:val="00CB4432"/>
    <w:rsid w:val="00CC2DEA"/>
    <w:rsid w:val="00CD04D4"/>
    <w:rsid w:val="00CE5846"/>
    <w:rsid w:val="00CF2558"/>
    <w:rsid w:val="00D132B8"/>
    <w:rsid w:val="00D14AB9"/>
    <w:rsid w:val="00D2669B"/>
    <w:rsid w:val="00D3037E"/>
    <w:rsid w:val="00D30615"/>
    <w:rsid w:val="00D411FD"/>
    <w:rsid w:val="00D47EC9"/>
    <w:rsid w:val="00D712D4"/>
    <w:rsid w:val="00D82767"/>
    <w:rsid w:val="00D82E4B"/>
    <w:rsid w:val="00D83E96"/>
    <w:rsid w:val="00DB0CFA"/>
    <w:rsid w:val="00DB6D6A"/>
    <w:rsid w:val="00DC01D4"/>
    <w:rsid w:val="00DC3C69"/>
    <w:rsid w:val="00DE02A5"/>
    <w:rsid w:val="00DE5E25"/>
    <w:rsid w:val="00DF16A3"/>
    <w:rsid w:val="00DF22D2"/>
    <w:rsid w:val="00E02172"/>
    <w:rsid w:val="00E053A8"/>
    <w:rsid w:val="00E41347"/>
    <w:rsid w:val="00E766A3"/>
    <w:rsid w:val="00E86CAD"/>
    <w:rsid w:val="00E92C41"/>
    <w:rsid w:val="00EA62C8"/>
    <w:rsid w:val="00EB771A"/>
    <w:rsid w:val="00EC17D9"/>
    <w:rsid w:val="00EC6911"/>
    <w:rsid w:val="00EC6BD1"/>
    <w:rsid w:val="00ED030E"/>
    <w:rsid w:val="00ED0428"/>
    <w:rsid w:val="00EF0BC0"/>
    <w:rsid w:val="00EF5A2E"/>
    <w:rsid w:val="00F00C20"/>
    <w:rsid w:val="00F11D96"/>
    <w:rsid w:val="00F12047"/>
    <w:rsid w:val="00F17319"/>
    <w:rsid w:val="00F206C6"/>
    <w:rsid w:val="00F24D9B"/>
    <w:rsid w:val="00F46A17"/>
    <w:rsid w:val="00F5117D"/>
    <w:rsid w:val="00F556F7"/>
    <w:rsid w:val="00F60C07"/>
    <w:rsid w:val="00F631D5"/>
    <w:rsid w:val="00F91737"/>
    <w:rsid w:val="00F937AC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AAE4-B10C-412A-8D6E-F9BDCC1A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60089376CFF9409F2D209B9E6560B6" ma:contentTypeVersion="4" ma:contentTypeDescription="Izveidot jaunu dokumentu." ma:contentTypeScope="" ma:versionID="f4ca6d325f2a28c1980a799c59cc308f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D.Gulbe</Zinotajs>
    <NPK xmlns="bf0a44d4-cc3b-414c-aa68-884178465e3a">1.</NPK>
    <VK_x0020_l_x0113_mums xmlns="bf0a44d4-cc3b-414c-aa68-884178465e3a">Nav</VK_x0020_l_x0113_mum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C8D2-47F6-416B-A898-0BC1C8681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29FD7-782C-4E25-8E7B-D08804A8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2897E3-AD36-40E0-9480-FA1DAC6A2C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3701A9-3FE7-4B98-8004-F76407005F1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bf0a44d4-cc3b-414c-aa68-884178465e3a"/>
    <ds:schemaRef ds:uri="076bee50-7a25-411a-a5a6-8097026bde27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019EF6-C08B-4D87-BCF3-ED082AB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creator>ieva.klinsone@fm.gov.lv</dc:creator>
  <dc:description>67095531, ieva.klinsone@fm.gov.lv</dc:description>
  <cp:lastModifiedBy>Sandra Gīle</cp:lastModifiedBy>
  <cp:revision>6</cp:revision>
  <cp:lastPrinted>2018-10-11T13:46:00Z</cp:lastPrinted>
  <dcterms:created xsi:type="dcterms:W3CDTF">2018-10-11T12:20:00Z</dcterms:created>
  <dcterms:modified xsi:type="dcterms:W3CDTF">2018-10-17T07:18:00Z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