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B0648" w14:textId="77777777" w:rsidR="004E4CDB" w:rsidRDefault="004E4CDB" w:rsidP="004E4CDB">
      <w:pPr>
        <w:jc w:val="center"/>
        <w:rPr>
          <w:b/>
          <w:sz w:val="24"/>
          <w:szCs w:val="24"/>
        </w:rPr>
      </w:pPr>
    </w:p>
    <w:p w14:paraId="79AEACB3" w14:textId="2601E857" w:rsidR="004E4CDB" w:rsidRPr="00C70975" w:rsidRDefault="00EC17D9" w:rsidP="004E4CDB">
      <w:pPr>
        <w:jc w:val="center"/>
        <w:rPr>
          <w:b/>
          <w:sz w:val="24"/>
          <w:szCs w:val="24"/>
        </w:rPr>
      </w:pPr>
      <w:r w:rsidRPr="00462F6E">
        <w:rPr>
          <w:b/>
          <w:sz w:val="24"/>
          <w:szCs w:val="24"/>
        </w:rPr>
        <w:t xml:space="preserve">Uzziņa par projektu </w:t>
      </w:r>
      <w:r w:rsidR="00753708">
        <w:rPr>
          <w:b/>
          <w:sz w:val="24"/>
          <w:szCs w:val="24"/>
        </w:rPr>
        <w:t>Vadības komitejas sēdei</w:t>
      </w:r>
    </w:p>
    <w:p w14:paraId="5127C026" w14:textId="1B2E46AD" w:rsidR="00654852" w:rsidRPr="00462F6E" w:rsidRDefault="005D09B5" w:rsidP="00EC17D9">
      <w:pPr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="00807A41">
        <w:rPr>
          <w:sz w:val="24"/>
          <w:szCs w:val="24"/>
        </w:rPr>
        <w:t>.</w:t>
      </w:r>
      <w:r w:rsidR="00A22768">
        <w:rPr>
          <w:sz w:val="24"/>
          <w:szCs w:val="24"/>
        </w:rPr>
        <w:t>10</w:t>
      </w:r>
      <w:r w:rsidR="00807A41">
        <w:rPr>
          <w:sz w:val="24"/>
          <w:szCs w:val="24"/>
        </w:rPr>
        <w:t>.2021.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9"/>
        <w:gridCol w:w="2943"/>
        <w:gridCol w:w="6272"/>
        <w:gridCol w:w="674"/>
      </w:tblGrid>
      <w:tr w:rsidR="00FE6AB5" w:rsidRPr="004B3951" w14:paraId="3A863B77" w14:textId="77777777" w:rsidTr="00CE2561">
        <w:tc>
          <w:tcPr>
            <w:tcW w:w="426" w:type="dxa"/>
            <w:vAlign w:val="center"/>
          </w:tcPr>
          <w:p w14:paraId="03D2BB19" w14:textId="77777777" w:rsidR="00FE6AB5" w:rsidRPr="004B3951" w:rsidRDefault="00BE6AD8" w:rsidP="007E0E58">
            <w:pPr>
              <w:spacing w:after="60"/>
              <w:jc w:val="both"/>
              <w:rPr>
                <w:sz w:val="22"/>
                <w:szCs w:val="22"/>
              </w:rPr>
            </w:pPr>
            <w:r w:rsidRPr="00BE6AD8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2"/>
            <w:vAlign w:val="center"/>
          </w:tcPr>
          <w:p w14:paraId="46606574" w14:textId="77777777" w:rsidR="00FE6AB5" w:rsidRPr="004B3951" w:rsidRDefault="00FE6AB5" w:rsidP="007E0E58">
            <w:pPr>
              <w:spacing w:after="60"/>
              <w:jc w:val="center"/>
              <w:rPr>
                <w:sz w:val="24"/>
              </w:rPr>
            </w:pPr>
            <w:r w:rsidRPr="004B3951">
              <w:rPr>
                <w:sz w:val="24"/>
              </w:rPr>
              <w:t>Sniedzamā informācija</w:t>
            </w:r>
          </w:p>
        </w:tc>
        <w:tc>
          <w:tcPr>
            <w:tcW w:w="6946" w:type="dxa"/>
            <w:gridSpan w:val="2"/>
            <w:vAlign w:val="center"/>
          </w:tcPr>
          <w:p w14:paraId="7B20F5E5" w14:textId="77777777" w:rsidR="00FE6AB5" w:rsidRPr="004B3951" w:rsidRDefault="00FE6AB5" w:rsidP="007E0E58">
            <w:pPr>
              <w:spacing w:after="60"/>
              <w:jc w:val="center"/>
              <w:rPr>
                <w:sz w:val="24"/>
              </w:rPr>
            </w:pPr>
            <w:r w:rsidRPr="004B3951">
              <w:rPr>
                <w:sz w:val="24"/>
              </w:rPr>
              <w:t>Informācija par projektu</w:t>
            </w:r>
          </w:p>
        </w:tc>
      </w:tr>
      <w:tr w:rsidR="00BE6AD8" w:rsidRPr="004B3951" w14:paraId="0D794B6C" w14:textId="77777777" w:rsidTr="00CE2561">
        <w:trPr>
          <w:trHeight w:val="860"/>
        </w:trPr>
        <w:tc>
          <w:tcPr>
            <w:tcW w:w="426" w:type="dxa"/>
            <w:vAlign w:val="center"/>
          </w:tcPr>
          <w:p w14:paraId="4AA42603" w14:textId="77777777" w:rsidR="00BE6AD8" w:rsidRPr="004B3951" w:rsidRDefault="00BE6AD8" w:rsidP="007E0E58">
            <w:pPr>
              <w:spacing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4"/>
            <w:vAlign w:val="center"/>
          </w:tcPr>
          <w:p w14:paraId="16531C81" w14:textId="5304DF2D" w:rsidR="00BE6AD8" w:rsidRPr="00C70975" w:rsidRDefault="00C2420E" w:rsidP="00720C72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Ministru kabineta noteikumu projekts “Grozījumi </w:t>
            </w:r>
            <w:r w:rsidRPr="00C2420E">
              <w:rPr>
                <w:sz w:val="24"/>
                <w:szCs w:val="24"/>
              </w:rPr>
              <w:t xml:space="preserve">Ministru kabineta 2018. gada </w:t>
            </w:r>
            <w:r w:rsidR="00720C72">
              <w:rPr>
                <w:sz w:val="24"/>
                <w:szCs w:val="24"/>
              </w:rPr>
              <w:t>13.februāra</w:t>
            </w:r>
            <w:r w:rsidRPr="00C2420E">
              <w:rPr>
                <w:sz w:val="24"/>
                <w:szCs w:val="24"/>
              </w:rPr>
              <w:t xml:space="preserve"> noteikum</w:t>
            </w:r>
            <w:r>
              <w:rPr>
                <w:sz w:val="24"/>
                <w:szCs w:val="24"/>
              </w:rPr>
              <w:t xml:space="preserve">os Nr. </w:t>
            </w:r>
            <w:r w:rsidR="00720C72">
              <w:rPr>
                <w:sz w:val="24"/>
                <w:szCs w:val="24"/>
              </w:rPr>
              <w:t xml:space="preserve">87 </w:t>
            </w:r>
            <w:r>
              <w:rPr>
                <w:sz w:val="24"/>
                <w:szCs w:val="24"/>
              </w:rPr>
              <w:t>“</w:t>
            </w:r>
            <w:r w:rsidR="00720C72" w:rsidRPr="009654F3">
              <w:rPr>
                <w:sz w:val="24"/>
                <w:szCs w:val="24"/>
              </w:rPr>
              <w:t>Grāmatvedības uzsk</w:t>
            </w:r>
            <w:r w:rsidR="00720C72">
              <w:rPr>
                <w:sz w:val="24"/>
                <w:szCs w:val="24"/>
              </w:rPr>
              <w:t>aites kārtība budžeta iestādēs</w:t>
            </w:r>
            <w:r>
              <w:rPr>
                <w:sz w:val="24"/>
                <w:szCs w:val="24"/>
              </w:rPr>
              <w:t>””.</w:t>
            </w:r>
          </w:p>
        </w:tc>
      </w:tr>
      <w:tr w:rsidR="00FE6AB5" w:rsidRPr="004B3951" w14:paraId="3C3A33D7" w14:textId="77777777" w:rsidTr="00CE2561">
        <w:tc>
          <w:tcPr>
            <w:tcW w:w="426" w:type="dxa"/>
          </w:tcPr>
          <w:p w14:paraId="014F1773" w14:textId="77777777" w:rsidR="00FE6AB5" w:rsidRPr="004B3951" w:rsidRDefault="00FE6AB5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52434682" w14:textId="77777777" w:rsidR="00FE6AB5" w:rsidRPr="004B3951" w:rsidRDefault="00FE6AB5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Projekta izstrādes nepieciešamības pamatojums</w:t>
            </w:r>
          </w:p>
        </w:tc>
        <w:tc>
          <w:tcPr>
            <w:tcW w:w="6946" w:type="dxa"/>
            <w:gridSpan w:val="2"/>
          </w:tcPr>
          <w:p w14:paraId="79F4B7C0" w14:textId="6EBCCAB4" w:rsidR="002B4C4D" w:rsidRPr="004B3951" w:rsidRDefault="00A22768" w:rsidP="00720C72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Projekts izstrādāts saskaņā ar Valsts </w:t>
            </w:r>
            <w:r w:rsidR="00720C72">
              <w:rPr>
                <w:sz w:val="24"/>
              </w:rPr>
              <w:t>kontroles ieteikumu</w:t>
            </w:r>
            <w:r>
              <w:rPr>
                <w:sz w:val="24"/>
              </w:rPr>
              <w:t xml:space="preserve"> </w:t>
            </w:r>
            <w:r w:rsidR="00720C72">
              <w:rPr>
                <w:sz w:val="24"/>
              </w:rPr>
              <w:t xml:space="preserve">finanšu instrumentu risku ierobežošanas uzskaiti veikt atbilstoši Starptautisko publiskā sektora grāmatvedības standartu prasībām. </w:t>
            </w:r>
          </w:p>
        </w:tc>
      </w:tr>
      <w:tr w:rsidR="001036DB" w:rsidRPr="004B3951" w14:paraId="2C924867" w14:textId="77777777" w:rsidTr="00CE2561">
        <w:tc>
          <w:tcPr>
            <w:tcW w:w="426" w:type="dxa"/>
          </w:tcPr>
          <w:p w14:paraId="1FE398F2" w14:textId="77777777" w:rsidR="001036DB" w:rsidRPr="004B3951" w:rsidRDefault="001036DB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796F4D95" w14:textId="77777777" w:rsidR="001036DB" w:rsidRPr="004B3951" w:rsidRDefault="001036DB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 xml:space="preserve">Vadības darba plāna uzdevuma numurs un tā izpildes termiņš </w:t>
            </w:r>
          </w:p>
        </w:tc>
        <w:tc>
          <w:tcPr>
            <w:tcW w:w="6946" w:type="dxa"/>
            <w:gridSpan w:val="2"/>
          </w:tcPr>
          <w:p w14:paraId="3E004CE2" w14:textId="77777777" w:rsidR="00847535" w:rsidRPr="00C70975" w:rsidRDefault="00C2420E" w:rsidP="007E0E58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 attiecināms</w:t>
            </w:r>
          </w:p>
        </w:tc>
      </w:tr>
      <w:tr w:rsidR="00FE6AB5" w:rsidRPr="004B3951" w14:paraId="08717724" w14:textId="77777777" w:rsidTr="00CE2561">
        <w:trPr>
          <w:trHeight w:val="898"/>
        </w:trPr>
        <w:tc>
          <w:tcPr>
            <w:tcW w:w="426" w:type="dxa"/>
          </w:tcPr>
          <w:p w14:paraId="02F06A25" w14:textId="77777777" w:rsidR="00FE6AB5" w:rsidRPr="004B3951" w:rsidRDefault="00FE6AB5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5C24AEEF" w14:textId="77777777" w:rsidR="00FE6AB5" w:rsidRPr="004B3951" w:rsidRDefault="00FE6AB5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Projekta īss saturs</w:t>
            </w:r>
          </w:p>
        </w:tc>
        <w:tc>
          <w:tcPr>
            <w:tcW w:w="6946" w:type="dxa"/>
            <w:gridSpan w:val="2"/>
          </w:tcPr>
          <w:p w14:paraId="467B6F81" w14:textId="09C7A6AE" w:rsidR="004D2D32" w:rsidRPr="00720C72" w:rsidRDefault="00C659B5" w:rsidP="00720C72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 noteik</w:t>
            </w:r>
            <w:r w:rsidR="00AD001D">
              <w:rPr>
                <w:sz w:val="24"/>
                <w:szCs w:val="24"/>
              </w:rPr>
              <w:t>umu projektā paredzēts</w:t>
            </w:r>
            <w:r w:rsidR="00720C72">
              <w:rPr>
                <w:sz w:val="24"/>
                <w:szCs w:val="24"/>
              </w:rPr>
              <w:t xml:space="preserve"> n</w:t>
            </w:r>
            <w:r w:rsidR="00720C72" w:rsidRPr="00720C72">
              <w:rPr>
                <w:sz w:val="24"/>
                <w:szCs w:val="24"/>
              </w:rPr>
              <w:t xml:space="preserve">oteikt kārtību, kādā </w:t>
            </w:r>
            <w:r w:rsidR="00720C72">
              <w:rPr>
                <w:sz w:val="24"/>
                <w:szCs w:val="24"/>
              </w:rPr>
              <w:t xml:space="preserve">veic </w:t>
            </w:r>
            <w:r w:rsidR="00720C72">
              <w:rPr>
                <w:sz w:val="24"/>
              </w:rPr>
              <w:t>finanšu instrumentu risku ierobežošanas uzskaiti – finanšu instrumentu klasificēšanu, novērtēšanu, ar tiem saistīto ieņēmumu un izdevumu atzīšanu.</w:t>
            </w:r>
          </w:p>
        </w:tc>
      </w:tr>
      <w:tr w:rsidR="00FE6AB5" w:rsidRPr="004B3951" w14:paraId="7A17FF9F" w14:textId="77777777" w:rsidTr="00CE2561">
        <w:tc>
          <w:tcPr>
            <w:tcW w:w="426" w:type="dxa"/>
          </w:tcPr>
          <w:p w14:paraId="03F45A4D" w14:textId="77777777" w:rsidR="00FE6AB5" w:rsidRPr="004B3951" w:rsidRDefault="00FE6AB5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5038F49E" w14:textId="77777777" w:rsidR="00FE6AB5" w:rsidRPr="004B3951" w:rsidRDefault="00FE6AB5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Iespējamie risinājuma varianti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</w:p>
        </w:tc>
        <w:tc>
          <w:tcPr>
            <w:tcW w:w="6946" w:type="dxa"/>
            <w:gridSpan w:val="2"/>
          </w:tcPr>
          <w:p w14:paraId="340D3787" w14:textId="77777777" w:rsidR="00FE6AB5" w:rsidRPr="004B3951" w:rsidRDefault="00C2420E" w:rsidP="007E0E58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1036DB" w:rsidRPr="004B3951" w14:paraId="698D0F06" w14:textId="77777777" w:rsidTr="00CE2561">
        <w:tc>
          <w:tcPr>
            <w:tcW w:w="426" w:type="dxa"/>
          </w:tcPr>
          <w:p w14:paraId="05B65ED7" w14:textId="77777777" w:rsidR="001036DB" w:rsidRPr="004B3951" w:rsidRDefault="001036DB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40611D1F" w14:textId="77777777" w:rsidR="001036DB" w:rsidRPr="004B3951" w:rsidRDefault="001036DB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Par projektu nosakāmā atbildīgā amatpersona</w:t>
            </w:r>
          </w:p>
        </w:tc>
        <w:tc>
          <w:tcPr>
            <w:tcW w:w="6946" w:type="dxa"/>
            <w:gridSpan w:val="2"/>
          </w:tcPr>
          <w:p w14:paraId="68A6FEE2" w14:textId="77777777" w:rsidR="001036DB" w:rsidRPr="004B3951" w:rsidRDefault="00C2420E" w:rsidP="007E0E58">
            <w:pPr>
              <w:spacing w:after="60"/>
              <w:jc w:val="both"/>
              <w:rPr>
                <w:sz w:val="24"/>
              </w:rPr>
            </w:pPr>
            <w:r w:rsidRPr="00961F25">
              <w:rPr>
                <w:sz w:val="24"/>
                <w:szCs w:val="24"/>
              </w:rPr>
              <w:t>Valsts kases Pārskatu departamenta direktore Ligita Agleniece</w:t>
            </w:r>
          </w:p>
        </w:tc>
      </w:tr>
      <w:tr w:rsidR="00E92C41" w:rsidRPr="004B3951" w14:paraId="3C7B6795" w14:textId="77777777" w:rsidTr="00CE2561">
        <w:tc>
          <w:tcPr>
            <w:tcW w:w="426" w:type="dxa"/>
          </w:tcPr>
          <w:p w14:paraId="63863ABC" w14:textId="77777777" w:rsidR="00E92C41" w:rsidRPr="004B3951" w:rsidRDefault="00E92C41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F882B2B" w14:textId="77777777" w:rsidR="00E92C41" w:rsidRPr="004B3951" w:rsidRDefault="00E92C41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Nosakāmais projekta sagatavotājs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</w:p>
        </w:tc>
        <w:tc>
          <w:tcPr>
            <w:tcW w:w="6946" w:type="dxa"/>
            <w:gridSpan w:val="2"/>
          </w:tcPr>
          <w:p w14:paraId="15ECE78A" w14:textId="77777777" w:rsidR="00E92C41" w:rsidRPr="004B3951" w:rsidRDefault="00C2420E" w:rsidP="007E0E58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E92C41" w:rsidRPr="004B3951" w14:paraId="707F7AE5" w14:textId="77777777" w:rsidTr="00CE2561">
        <w:tc>
          <w:tcPr>
            <w:tcW w:w="426" w:type="dxa"/>
          </w:tcPr>
          <w:p w14:paraId="65419FC9" w14:textId="77777777" w:rsidR="00E92C41" w:rsidRPr="004B3951" w:rsidRDefault="00E92C41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19BC800" w14:textId="77777777" w:rsidR="00E92C41" w:rsidRPr="004B3951" w:rsidRDefault="00E92C41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Darba grupas vadītājs un iespējamais sastāvs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  <w:r w:rsidR="00BE6AD8">
              <w:rPr>
                <w:sz w:val="24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705463A4" w14:textId="77777777" w:rsidR="00E92C41" w:rsidRPr="004B3951" w:rsidRDefault="00C2420E" w:rsidP="007E0E58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BE6AD8" w:rsidRPr="004B3951" w14:paraId="3AAB73FF" w14:textId="77777777" w:rsidTr="00CE2561">
        <w:tc>
          <w:tcPr>
            <w:tcW w:w="426" w:type="dxa"/>
          </w:tcPr>
          <w:p w14:paraId="659A87D1" w14:textId="77777777" w:rsidR="00BE6AD8" w:rsidRPr="004B3951" w:rsidRDefault="00BE6AD8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74595B07" w14:textId="77777777" w:rsidR="00BE6AD8" w:rsidRPr="00BE6AD8" w:rsidRDefault="00BE6AD8" w:rsidP="007E0E58">
            <w:pPr>
              <w:spacing w:after="60"/>
              <w:rPr>
                <w:sz w:val="24"/>
                <w:szCs w:val="24"/>
              </w:rPr>
            </w:pPr>
            <w:r w:rsidRPr="00BE6AD8">
              <w:rPr>
                <w:rFonts w:eastAsia="Times New Roman"/>
                <w:sz w:val="24"/>
                <w:szCs w:val="24"/>
              </w:rPr>
              <w:t>Sabiedrības līdzdalība</w:t>
            </w:r>
          </w:p>
        </w:tc>
        <w:tc>
          <w:tcPr>
            <w:tcW w:w="6946" w:type="dxa"/>
            <w:gridSpan w:val="2"/>
          </w:tcPr>
          <w:p w14:paraId="5CFA6901" w14:textId="47C77CAA" w:rsidR="001E311D" w:rsidRDefault="00475AB7" w:rsidP="007E0E58">
            <w:pPr>
              <w:spacing w:after="6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Sabiedrības līdzdalība </w:t>
            </w:r>
            <w:r w:rsidR="00807A41" w:rsidRPr="00295E7F">
              <w:rPr>
                <w:rFonts w:eastAsia="Times New Roman"/>
                <w:sz w:val="24"/>
                <w:szCs w:val="24"/>
                <w:lang w:eastAsia="lv-LV"/>
              </w:rPr>
              <w:t xml:space="preserve">tiks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nodrošināta</w:t>
            </w:r>
            <w:r w:rsidR="00807A41" w:rsidRPr="00295E7F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1E311D">
              <w:rPr>
                <w:rFonts w:eastAsia="Times New Roman"/>
                <w:sz w:val="24"/>
                <w:szCs w:val="24"/>
                <w:lang w:eastAsia="lv-LV"/>
              </w:rPr>
              <w:t xml:space="preserve">TAP portālā. </w:t>
            </w:r>
          </w:p>
          <w:p w14:paraId="79ACC2EA" w14:textId="6D1DAB58" w:rsidR="001E311D" w:rsidRDefault="00475AB7" w:rsidP="007E0E58">
            <w:pPr>
              <w:spacing w:after="6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Viedokli var izteikt līdz 29</w:t>
            </w:r>
            <w:r w:rsidR="001E311D">
              <w:rPr>
                <w:rFonts w:eastAsia="Times New Roman"/>
                <w:sz w:val="24"/>
                <w:szCs w:val="24"/>
                <w:lang w:eastAsia="lv-LV"/>
              </w:rPr>
              <w:t>.11.2021.</w:t>
            </w:r>
          </w:p>
          <w:p w14:paraId="23061049" w14:textId="5F005BD1" w:rsidR="001E7C29" w:rsidRPr="001E7C29" w:rsidRDefault="00807A41" w:rsidP="007E0E58">
            <w:pPr>
              <w:spacing w:after="60"/>
              <w:jc w:val="both"/>
              <w:rPr>
                <w:i/>
                <w:color w:val="0070C0"/>
                <w:sz w:val="24"/>
                <w:szCs w:val="24"/>
              </w:rPr>
            </w:pPr>
            <w:r w:rsidRPr="009F5953">
              <w:rPr>
                <w:rFonts w:eastAsia="Times New Roman"/>
                <w:sz w:val="24"/>
                <w:szCs w:val="24"/>
              </w:rPr>
              <w:t xml:space="preserve">Diskusija par projektu ar nevalstiskajām organizācijām, </w:t>
            </w:r>
            <w:r>
              <w:rPr>
                <w:rFonts w:eastAsia="Times New Roman"/>
                <w:sz w:val="24"/>
                <w:szCs w:val="24"/>
              </w:rPr>
              <w:t>profesionālajām organizācijām u</w:t>
            </w:r>
            <w:r w:rsidR="001E311D">
              <w:rPr>
                <w:rFonts w:eastAsia="Times New Roman"/>
                <w:sz w:val="24"/>
                <w:szCs w:val="24"/>
              </w:rPr>
              <w:t>.</w:t>
            </w:r>
            <w:r w:rsidRPr="009F5953">
              <w:rPr>
                <w:rFonts w:eastAsia="Times New Roman"/>
                <w:sz w:val="24"/>
                <w:szCs w:val="24"/>
              </w:rPr>
              <w:t>tml. pirms izsludināšanas VSS nav nepieciešama.</w:t>
            </w:r>
          </w:p>
        </w:tc>
      </w:tr>
      <w:tr w:rsidR="00E92C41" w:rsidRPr="004B3951" w14:paraId="31996F3A" w14:textId="77777777" w:rsidTr="00CE2561">
        <w:tc>
          <w:tcPr>
            <w:tcW w:w="426" w:type="dxa"/>
          </w:tcPr>
          <w:p w14:paraId="5E8DCF4F" w14:textId="77777777" w:rsidR="00E92C41" w:rsidRPr="004B3951" w:rsidRDefault="00E92C41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0156E318" w14:textId="77777777" w:rsidR="00E92C41" w:rsidRPr="004B3951" w:rsidRDefault="00E92C41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Ministrijas struktūrvienības un padotības iestādēm ar kurām projekts jāsaskaņo</w:t>
            </w:r>
          </w:p>
        </w:tc>
        <w:tc>
          <w:tcPr>
            <w:tcW w:w="6946" w:type="dxa"/>
            <w:gridSpan w:val="2"/>
          </w:tcPr>
          <w:p w14:paraId="7D52B794" w14:textId="77777777" w:rsidR="00C2420E" w:rsidRPr="00A04170" w:rsidRDefault="00C2420E" w:rsidP="007E0E58">
            <w:pPr>
              <w:spacing w:after="60"/>
              <w:jc w:val="both"/>
              <w:rPr>
                <w:sz w:val="24"/>
                <w:szCs w:val="24"/>
              </w:rPr>
            </w:pPr>
            <w:r w:rsidRPr="00A04170">
              <w:rPr>
                <w:sz w:val="24"/>
                <w:szCs w:val="24"/>
              </w:rPr>
              <w:t xml:space="preserve">Juridiskais departaments, </w:t>
            </w:r>
          </w:p>
          <w:p w14:paraId="2D97A7B2" w14:textId="77777777" w:rsidR="00C2420E" w:rsidRPr="00A04170" w:rsidRDefault="00C2420E" w:rsidP="007E0E58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Budžeta attīstības departamenta </w:t>
            </w:r>
            <w:r w:rsidRPr="00C42F94">
              <w:rPr>
                <w:sz w:val="24"/>
                <w:szCs w:val="24"/>
              </w:rPr>
              <w:t>Budžeta metodoloģijas nodaļa</w:t>
            </w:r>
            <w:r>
              <w:rPr>
                <w:sz w:val="24"/>
                <w:szCs w:val="24"/>
              </w:rPr>
              <w:t>,</w:t>
            </w:r>
          </w:p>
          <w:p w14:paraId="2DEE7F61" w14:textId="77777777" w:rsidR="00E92C41" w:rsidRPr="00C2420E" w:rsidRDefault="00C2420E" w:rsidP="007E0E58">
            <w:pPr>
              <w:spacing w:after="60"/>
              <w:jc w:val="both"/>
              <w:rPr>
                <w:sz w:val="24"/>
                <w:szCs w:val="24"/>
              </w:rPr>
            </w:pPr>
            <w:r w:rsidRPr="00A04170">
              <w:rPr>
                <w:sz w:val="24"/>
                <w:szCs w:val="24"/>
              </w:rPr>
              <w:t>Grāmatvedības un revīzijas politikas departamenta Grāmatvedības un m</w:t>
            </w:r>
            <w:r>
              <w:rPr>
                <w:sz w:val="24"/>
                <w:szCs w:val="24"/>
              </w:rPr>
              <w:t>etodoloģijas nodaļa</w:t>
            </w:r>
          </w:p>
        </w:tc>
      </w:tr>
      <w:tr w:rsidR="00CE2561" w:rsidRPr="004B3951" w14:paraId="356C7117" w14:textId="77777777" w:rsidTr="00CE2561">
        <w:tc>
          <w:tcPr>
            <w:tcW w:w="426" w:type="dxa"/>
          </w:tcPr>
          <w:p w14:paraId="664CC661" w14:textId="77777777" w:rsidR="00CE2561" w:rsidRPr="004B3951" w:rsidRDefault="00CE2561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437CEC26" w14:textId="2A2690A0" w:rsidR="00CE2561" w:rsidRPr="004B3951" w:rsidRDefault="00CE2561" w:rsidP="00720C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Nosūtīšanas saskaņošanai termiņš,</w:t>
            </w:r>
            <w:r w:rsidR="00720C72">
              <w:rPr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 w:rsidRPr="004B3951">
              <w:rPr>
                <w:sz w:val="24"/>
              </w:rPr>
              <w:t>askaņošanas termiņš</w:t>
            </w:r>
          </w:p>
        </w:tc>
        <w:tc>
          <w:tcPr>
            <w:tcW w:w="6946" w:type="dxa"/>
            <w:gridSpan w:val="2"/>
          </w:tcPr>
          <w:p w14:paraId="2A7C397C" w14:textId="7A5A9DEA" w:rsidR="00CE2561" w:rsidRPr="00E8574B" w:rsidRDefault="00CE2561" w:rsidP="007E0E58">
            <w:pPr>
              <w:spacing w:after="60"/>
              <w:jc w:val="both"/>
              <w:rPr>
                <w:sz w:val="24"/>
                <w:szCs w:val="24"/>
              </w:rPr>
            </w:pPr>
            <w:r w:rsidRPr="00E8574B">
              <w:rPr>
                <w:sz w:val="24"/>
                <w:szCs w:val="24"/>
              </w:rPr>
              <w:t xml:space="preserve">Nosūtīšanas termiņš saskaņošanai – </w:t>
            </w:r>
            <w:r w:rsidR="00720C72">
              <w:rPr>
                <w:sz w:val="24"/>
                <w:szCs w:val="24"/>
              </w:rPr>
              <w:t>22</w:t>
            </w:r>
            <w:r w:rsidRPr="00E8574B">
              <w:rPr>
                <w:sz w:val="24"/>
                <w:szCs w:val="24"/>
              </w:rPr>
              <w:t>.</w:t>
            </w:r>
            <w:r w:rsidR="00822B95">
              <w:rPr>
                <w:sz w:val="24"/>
                <w:szCs w:val="24"/>
              </w:rPr>
              <w:t>10</w:t>
            </w:r>
            <w:r w:rsidRPr="00E8574B">
              <w:rPr>
                <w:sz w:val="24"/>
                <w:szCs w:val="24"/>
              </w:rPr>
              <w:t>.2021.</w:t>
            </w:r>
          </w:p>
          <w:p w14:paraId="7AB60F0D" w14:textId="45EAAA54" w:rsidR="00CE2561" w:rsidRPr="0036304F" w:rsidRDefault="00CE2561" w:rsidP="00720C72">
            <w:pPr>
              <w:spacing w:after="60"/>
              <w:jc w:val="both"/>
              <w:rPr>
                <w:sz w:val="24"/>
                <w:szCs w:val="24"/>
                <w:highlight w:val="yellow"/>
              </w:rPr>
            </w:pPr>
            <w:r w:rsidRPr="00E8574B">
              <w:rPr>
                <w:sz w:val="24"/>
                <w:szCs w:val="24"/>
              </w:rPr>
              <w:t xml:space="preserve">Saskaņošanas termiņš – </w:t>
            </w:r>
            <w:r w:rsidR="00720C72">
              <w:rPr>
                <w:sz w:val="24"/>
                <w:szCs w:val="24"/>
              </w:rPr>
              <w:t>29.10</w:t>
            </w:r>
            <w:r w:rsidRPr="00E8574B">
              <w:rPr>
                <w:sz w:val="24"/>
                <w:szCs w:val="24"/>
              </w:rPr>
              <w:t>.2021.</w:t>
            </w:r>
          </w:p>
        </w:tc>
      </w:tr>
      <w:tr w:rsidR="00CE2561" w:rsidRPr="004B3951" w14:paraId="22933A2B" w14:textId="77777777" w:rsidTr="006E4097">
        <w:trPr>
          <w:trHeight w:val="619"/>
        </w:trPr>
        <w:tc>
          <w:tcPr>
            <w:tcW w:w="426" w:type="dxa"/>
          </w:tcPr>
          <w:p w14:paraId="1C3B5381" w14:textId="77777777" w:rsidR="00CE2561" w:rsidRPr="004B3951" w:rsidRDefault="00CE2561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AFF2EAB" w14:textId="77777777" w:rsidR="00CE2561" w:rsidRPr="004B3951" w:rsidRDefault="00CE2561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Prognozējamā projekta finansiālā ietekme uz valsts budžetu</w:t>
            </w:r>
          </w:p>
        </w:tc>
        <w:tc>
          <w:tcPr>
            <w:tcW w:w="6946" w:type="dxa"/>
            <w:gridSpan w:val="2"/>
          </w:tcPr>
          <w:p w14:paraId="1AAE0F72" w14:textId="77777777" w:rsidR="00CE2561" w:rsidRPr="004B3951" w:rsidRDefault="00CE2561" w:rsidP="007E0E58">
            <w:pPr>
              <w:spacing w:after="60"/>
              <w:jc w:val="both"/>
              <w:rPr>
                <w:sz w:val="24"/>
              </w:rPr>
            </w:pPr>
            <w:r w:rsidRPr="00CE2561">
              <w:rPr>
                <w:sz w:val="24"/>
                <w:szCs w:val="24"/>
              </w:rPr>
              <w:t>MK noteikumu projekt</w:t>
            </w:r>
            <w:r>
              <w:rPr>
                <w:sz w:val="24"/>
                <w:szCs w:val="24"/>
              </w:rPr>
              <w:t>s</w:t>
            </w:r>
            <w:r w:rsidRPr="00CE2561">
              <w:rPr>
                <w:sz w:val="24"/>
                <w:szCs w:val="24"/>
              </w:rPr>
              <w:t xml:space="preserve"> neparedz finan</w:t>
            </w:r>
            <w:r w:rsidR="00C659B5">
              <w:rPr>
                <w:sz w:val="24"/>
                <w:szCs w:val="24"/>
              </w:rPr>
              <w:t>siālu ietekmi uz valsts budžetu</w:t>
            </w:r>
          </w:p>
        </w:tc>
      </w:tr>
      <w:tr w:rsidR="00CE2561" w:rsidRPr="004B3951" w14:paraId="6B73DDF5" w14:textId="77777777" w:rsidTr="00CE2561">
        <w:trPr>
          <w:trHeight w:val="842"/>
        </w:trPr>
        <w:tc>
          <w:tcPr>
            <w:tcW w:w="426" w:type="dxa"/>
          </w:tcPr>
          <w:p w14:paraId="052B4E7A" w14:textId="77777777" w:rsidR="00CE2561" w:rsidRPr="004B3951" w:rsidRDefault="00CE2561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696E6367" w14:textId="77777777" w:rsidR="00CE2561" w:rsidRPr="004B3951" w:rsidRDefault="00CE2561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Tiesību akta ieviešanas kalendārais plāns</w:t>
            </w:r>
          </w:p>
        </w:tc>
        <w:tc>
          <w:tcPr>
            <w:tcW w:w="6946" w:type="dxa"/>
            <w:gridSpan w:val="2"/>
          </w:tcPr>
          <w:p w14:paraId="4AE85264" w14:textId="619651D0" w:rsidR="00CE2561" w:rsidRPr="00E8574B" w:rsidRDefault="005524E6" w:rsidP="007E0E58">
            <w:pPr>
              <w:numPr>
                <w:ilvl w:val="0"/>
                <w:numId w:val="4"/>
              </w:numPr>
              <w:spacing w:after="6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Vienotajā tiesību aktu projektu izstrādes un saskaņošanas portālā novirzīts ministrijām/institūcijām saskaņošanai </w:t>
            </w:r>
            <w:r w:rsidR="00CE2561" w:rsidRPr="00E8574B">
              <w:rPr>
                <w:sz w:val="24"/>
              </w:rPr>
              <w:t xml:space="preserve">– </w:t>
            </w:r>
            <w:r w:rsidR="00720C72">
              <w:rPr>
                <w:sz w:val="24"/>
              </w:rPr>
              <w:t>11</w:t>
            </w:r>
            <w:r w:rsidR="00B54738" w:rsidRPr="00E8574B">
              <w:rPr>
                <w:sz w:val="24"/>
              </w:rPr>
              <w:t>.</w:t>
            </w:r>
            <w:r w:rsidR="00492DE9">
              <w:rPr>
                <w:sz w:val="24"/>
              </w:rPr>
              <w:t>11</w:t>
            </w:r>
            <w:r w:rsidR="00B54738" w:rsidRPr="00E8574B">
              <w:rPr>
                <w:sz w:val="24"/>
              </w:rPr>
              <w:t>.2021</w:t>
            </w:r>
            <w:r w:rsidR="00CE2561" w:rsidRPr="00E8574B">
              <w:rPr>
                <w:sz w:val="24"/>
              </w:rPr>
              <w:t>.</w:t>
            </w:r>
          </w:p>
          <w:p w14:paraId="4DAD965A" w14:textId="3F473875" w:rsidR="00CE2561" w:rsidRPr="00E8574B" w:rsidRDefault="00CE2561" w:rsidP="007E0E58">
            <w:pPr>
              <w:numPr>
                <w:ilvl w:val="0"/>
                <w:numId w:val="4"/>
              </w:numPr>
              <w:spacing w:after="60"/>
              <w:jc w:val="both"/>
              <w:rPr>
                <w:sz w:val="24"/>
              </w:rPr>
            </w:pPr>
            <w:r w:rsidRPr="00E8574B">
              <w:rPr>
                <w:sz w:val="24"/>
              </w:rPr>
              <w:t xml:space="preserve">iesniegts Valsts kancelejā – </w:t>
            </w:r>
            <w:r w:rsidR="00720C72">
              <w:rPr>
                <w:sz w:val="24"/>
              </w:rPr>
              <w:t>29.12.2021.</w:t>
            </w:r>
          </w:p>
          <w:p w14:paraId="176DD43D" w14:textId="21E1B6BA" w:rsidR="00CE2561" w:rsidRPr="00E8574B" w:rsidRDefault="00CE2561" w:rsidP="00720C72">
            <w:pPr>
              <w:numPr>
                <w:ilvl w:val="0"/>
                <w:numId w:val="4"/>
              </w:numPr>
              <w:spacing w:after="60"/>
              <w:jc w:val="both"/>
              <w:rPr>
                <w:sz w:val="24"/>
              </w:rPr>
            </w:pPr>
            <w:r w:rsidRPr="00E8574B">
              <w:rPr>
                <w:sz w:val="24"/>
              </w:rPr>
              <w:t xml:space="preserve">stājas spēkā – </w:t>
            </w:r>
            <w:r w:rsidR="00B54738" w:rsidRPr="00E8574B">
              <w:rPr>
                <w:sz w:val="24"/>
              </w:rPr>
              <w:t xml:space="preserve">pieņemšanas datumā, </w:t>
            </w:r>
            <w:r w:rsidR="00492DE9">
              <w:rPr>
                <w:sz w:val="24"/>
              </w:rPr>
              <w:t xml:space="preserve">piemērojams </w:t>
            </w:r>
            <w:r w:rsidR="00720C72">
              <w:rPr>
                <w:sz w:val="24"/>
              </w:rPr>
              <w:t>darījumiem sākot ar 2022. gadu</w:t>
            </w:r>
            <w:r w:rsidR="00492DE9">
              <w:rPr>
                <w:sz w:val="24"/>
              </w:rPr>
              <w:t xml:space="preserve">. </w:t>
            </w:r>
          </w:p>
        </w:tc>
      </w:tr>
      <w:tr w:rsidR="00CE2561" w:rsidRPr="004B3951" w14:paraId="40E9B21A" w14:textId="77777777" w:rsidTr="00CE2561">
        <w:tc>
          <w:tcPr>
            <w:tcW w:w="426" w:type="dxa"/>
            <w:tcBorders>
              <w:bottom w:val="single" w:sz="4" w:space="0" w:color="000000"/>
            </w:tcBorders>
          </w:tcPr>
          <w:p w14:paraId="5716E9E0" w14:textId="77777777" w:rsidR="00CE2561" w:rsidRPr="004B3951" w:rsidRDefault="00CE2561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14:paraId="2517298B" w14:textId="77777777" w:rsidR="00CE2561" w:rsidRPr="004B3951" w:rsidRDefault="00CE2561" w:rsidP="007E0E58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Politikas joma</w:t>
            </w:r>
          </w:p>
        </w:tc>
        <w:tc>
          <w:tcPr>
            <w:tcW w:w="6946" w:type="dxa"/>
            <w:gridSpan w:val="2"/>
            <w:tcBorders>
              <w:bottom w:val="single" w:sz="4" w:space="0" w:color="000000"/>
            </w:tcBorders>
          </w:tcPr>
          <w:p w14:paraId="04A173F2" w14:textId="77777777" w:rsidR="00CE2561" w:rsidRDefault="00CE2561" w:rsidP="007E0E58">
            <w:pPr>
              <w:spacing w:after="60"/>
              <w:jc w:val="both"/>
              <w:rPr>
                <w:sz w:val="24"/>
              </w:rPr>
            </w:pPr>
            <w:r w:rsidRPr="00E63597">
              <w:rPr>
                <w:sz w:val="24"/>
                <w:szCs w:val="24"/>
              </w:rPr>
              <w:t>Budžeta un finanšu politika</w:t>
            </w:r>
          </w:p>
        </w:tc>
      </w:tr>
      <w:tr w:rsidR="00CE2561" w:rsidRPr="004B3951" w14:paraId="4A3901D3" w14:textId="77777777" w:rsidTr="00CE2561">
        <w:tc>
          <w:tcPr>
            <w:tcW w:w="426" w:type="dxa"/>
            <w:tcBorders>
              <w:bottom w:val="single" w:sz="4" w:space="0" w:color="000000"/>
            </w:tcBorders>
          </w:tcPr>
          <w:p w14:paraId="60626935" w14:textId="77777777" w:rsidR="00CE2561" w:rsidRPr="004B3951" w:rsidRDefault="00CE2561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14:paraId="3A6B0752" w14:textId="77777777" w:rsidR="00CE2561" w:rsidRPr="004B3951" w:rsidRDefault="00CE2561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Uzziņas sagatavotājs</w:t>
            </w:r>
          </w:p>
        </w:tc>
        <w:tc>
          <w:tcPr>
            <w:tcW w:w="6946" w:type="dxa"/>
            <w:gridSpan w:val="2"/>
            <w:tcBorders>
              <w:bottom w:val="single" w:sz="4" w:space="0" w:color="000000"/>
            </w:tcBorders>
          </w:tcPr>
          <w:p w14:paraId="3704B24D" w14:textId="77777777" w:rsidR="00CE2561" w:rsidRPr="004B3951" w:rsidRDefault="00CE2561" w:rsidP="007E0E58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Inese Sirbu Valsts kase Pārskatu departamenta vecākā eksperte, tālr.67094257, inese.sirbu@kase.gov.lv</w:t>
            </w:r>
          </w:p>
        </w:tc>
      </w:tr>
      <w:tr w:rsidR="00CE2561" w:rsidRPr="00E63597" w14:paraId="2AF0AA79" w14:textId="77777777" w:rsidTr="00CE2561">
        <w:trPr>
          <w:gridBefore w:val="2"/>
          <w:gridAfter w:val="1"/>
          <w:wBefore w:w="885" w:type="dxa"/>
          <w:wAfter w:w="674" w:type="dxa"/>
        </w:trPr>
        <w:tc>
          <w:tcPr>
            <w:tcW w:w="9215" w:type="dxa"/>
            <w:gridSpan w:val="2"/>
            <w:tcBorders>
              <w:left w:val="nil"/>
              <w:bottom w:val="nil"/>
              <w:right w:val="nil"/>
            </w:tcBorders>
          </w:tcPr>
          <w:p w14:paraId="6ED2E038" w14:textId="3CE1AA20" w:rsidR="00CE2561" w:rsidRPr="00E63597" w:rsidRDefault="00CE2561" w:rsidP="007E0E58">
            <w:pPr>
              <w:spacing w:after="6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E2561" w:rsidRPr="00E63597" w14:paraId="46B928B7" w14:textId="77777777" w:rsidTr="00CE2561">
        <w:trPr>
          <w:gridBefore w:val="2"/>
          <w:gridAfter w:val="1"/>
          <w:wBefore w:w="885" w:type="dxa"/>
          <w:wAfter w:w="674" w:type="dxa"/>
          <w:trHeight w:val="80"/>
        </w:trPr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8AD9C" w14:textId="38485DE0" w:rsidR="00CE2561" w:rsidRPr="00E63597" w:rsidRDefault="00CE2561" w:rsidP="0017784B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</w:tbl>
    <w:p w14:paraId="485BD5D0" w14:textId="77777777" w:rsidR="005E78C5" w:rsidRDefault="005E78C5" w:rsidP="00693463"/>
    <w:sectPr w:rsidR="005E78C5" w:rsidSect="00693463">
      <w:headerReference w:type="default" r:id="rId12"/>
      <w:pgSz w:w="11906" w:h="16838" w:code="9"/>
      <w:pgMar w:top="993" w:right="1134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022AF" w14:textId="77777777" w:rsidR="001F2EA0" w:rsidRDefault="001F2EA0">
      <w:r>
        <w:separator/>
      </w:r>
    </w:p>
  </w:endnote>
  <w:endnote w:type="continuationSeparator" w:id="0">
    <w:p w14:paraId="493B2C47" w14:textId="77777777" w:rsidR="001F2EA0" w:rsidRDefault="001F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6C455" w14:textId="77777777" w:rsidR="001F2EA0" w:rsidRDefault="001F2EA0">
      <w:r>
        <w:separator/>
      </w:r>
    </w:p>
  </w:footnote>
  <w:footnote w:type="continuationSeparator" w:id="0">
    <w:p w14:paraId="0FDC3CBF" w14:textId="77777777" w:rsidR="001F2EA0" w:rsidRDefault="001F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3D602" w14:textId="1DCF3804" w:rsidR="00C21CBC" w:rsidRDefault="00C21CB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4129">
      <w:rPr>
        <w:noProof/>
      </w:rPr>
      <w:t>2</w:t>
    </w:r>
    <w:r>
      <w:fldChar w:fldCharType="end"/>
    </w:r>
  </w:p>
  <w:p w14:paraId="1C55B5D0" w14:textId="77777777" w:rsidR="00C21CBC" w:rsidRDefault="00C21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5569"/>
    <w:multiLevelType w:val="hybridMultilevel"/>
    <w:tmpl w:val="8166A0E0"/>
    <w:lvl w:ilvl="0" w:tplc="73E45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17261"/>
    <w:multiLevelType w:val="hybridMultilevel"/>
    <w:tmpl w:val="AFEEC4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E5F52"/>
    <w:multiLevelType w:val="hybridMultilevel"/>
    <w:tmpl w:val="5AACE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C4D03"/>
    <w:multiLevelType w:val="hybridMultilevel"/>
    <w:tmpl w:val="9300DF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04C4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B5"/>
    <w:rsid w:val="00020075"/>
    <w:rsid w:val="000229AD"/>
    <w:rsid w:val="00032954"/>
    <w:rsid w:val="000368AE"/>
    <w:rsid w:val="00040158"/>
    <w:rsid w:val="00045A57"/>
    <w:rsid w:val="0005092F"/>
    <w:rsid w:val="00055850"/>
    <w:rsid w:val="00083E13"/>
    <w:rsid w:val="00084DB8"/>
    <w:rsid w:val="000A1DC8"/>
    <w:rsid w:val="000A2ACB"/>
    <w:rsid w:val="000B5107"/>
    <w:rsid w:val="000E6402"/>
    <w:rsid w:val="001036DB"/>
    <w:rsid w:val="00106F43"/>
    <w:rsid w:val="00110AD4"/>
    <w:rsid w:val="001204C3"/>
    <w:rsid w:val="00124D76"/>
    <w:rsid w:val="0013427F"/>
    <w:rsid w:val="00137007"/>
    <w:rsid w:val="0016785D"/>
    <w:rsid w:val="0017784B"/>
    <w:rsid w:val="001A280F"/>
    <w:rsid w:val="001B2ACB"/>
    <w:rsid w:val="001B4287"/>
    <w:rsid w:val="001D095C"/>
    <w:rsid w:val="001D244C"/>
    <w:rsid w:val="001E311D"/>
    <w:rsid w:val="001E7C29"/>
    <w:rsid w:val="001F2EA0"/>
    <w:rsid w:val="001F7DA3"/>
    <w:rsid w:val="00226BD2"/>
    <w:rsid w:val="00236C6A"/>
    <w:rsid w:val="00253D27"/>
    <w:rsid w:val="00267E0B"/>
    <w:rsid w:val="002731ED"/>
    <w:rsid w:val="00285530"/>
    <w:rsid w:val="0029706A"/>
    <w:rsid w:val="002A7E73"/>
    <w:rsid w:val="002B4C4D"/>
    <w:rsid w:val="002C1693"/>
    <w:rsid w:val="002C1C80"/>
    <w:rsid w:val="002E4CD6"/>
    <w:rsid w:val="002E51DD"/>
    <w:rsid w:val="00302311"/>
    <w:rsid w:val="0035017B"/>
    <w:rsid w:val="00355119"/>
    <w:rsid w:val="003559F7"/>
    <w:rsid w:val="00360FCE"/>
    <w:rsid w:val="003626EC"/>
    <w:rsid w:val="003630F5"/>
    <w:rsid w:val="003A32C9"/>
    <w:rsid w:val="003A3769"/>
    <w:rsid w:val="003A44CD"/>
    <w:rsid w:val="003A687C"/>
    <w:rsid w:val="003B0FCB"/>
    <w:rsid w:val="003B5434"/>
    <w:rsid w:val="003D21CE"/>
    <w:rsid w:val="003D2DDA"/>
    <w:rsid w:val="003E5B81"/>
    <w:rsid w:val="003F7FCC"/>
    <w:rsid w:val="00430A07"/>
    <w:rsid w:val="00443E19"/>
    <w:rsid w:val="00460813"/>
    <w:rsid w:val="00462F6E"/>
    <w:rsid w:val="0046536A"/>
    <w:rsid w:val="00472B9E"/>
    <w:rsid w:val="00475AB7"/>
    <w:rsid w:val="00487447"/>
    <w:rsid w:val="00492DE9"/>
    <w:rsid w:val="004B3951"/>
    <w:rsid w:val="004D1459"/>
    <w:rsid w:val="004D2D32"/>
    <w:rsid w:val="004E4969"/>
    <w:rsid w:val="004E4CDB"/>
    <w:rsid w:val="00500BC5"/>
    <w:rsid w:val="00500D85"/>
    <w:rsid w:val="00503BD7"/>
    <w:rsid w:val="005050F7"/>
    <w:rsid w:val="00512644"/>
    <w:rsid w:val="0053726E"/>
    <w:rsid w:val="00540F5F"/>
    <w:rsid w:val="005524E6"/>
    <w:rsid w:val="00555FE8"/>
    <w:rsid w:val="00562CEA"/>
    <w:rsid w:val="005728DF"/>
    <w:rsid w:val="00582B4E"/>
    <w:rsid w:val="0058619E"/>
    <w:rsid w:val="005A3874"/>
    <w:rsid w:val="005D03F5"/>
    <w:rsid w:val="005D09B5"/>
    <w:rsid w:val="005D54C5"/>
    <w:rsid w:val="005E58BE"/>
    <w:rsid w:val="005E6DFB"/>
    <w:rsid w:val="005E78C5"/>
    <w:rsid w:val="005F37FB"/>
    <w:rsid w:val="0063659E"/>
    <w:rsid w:val="0064131A"/>
    <w:rsid w:val="00654276"/>
    <w:rsid w:val="00654852"/>
    <w:rsid w:val="006560A5"/>
    <w:rsid w:val="0065635D"/>
    <w:rsid w:val="00672E57"/>
    <w:rsid w:val="00682214"/>
    <w:rsid w:val="00693463"/>
    <w:rsid w:val="006A40C5"/>
    <w:rsid w:val="006A428F"/>
    <w:rsid w:val="006C2F69"/>
    <w:rsid w:val="006D3D5D"/>
    <w:rsid w:val="006E4097"/>
    <w:rsid w:val="006F07CB"/>
    <w:rsid w:val="006F5E84"/>
    <w:rsid w:val="00705323"/>
    <w:rsid w:val="007075E2"/>
    <w:rsid w:val="00720C72"/>
    <w:rsid w:val="00722365"/>
    <w:rsid w:val="00741746"/>
    <w:rsid w:val="00742DF0"/>
    <w:rsid w:val="00753708"/>
    <w:rsid w:val="00785943"/>
    <w:rsid w:val="00795DB0"/>
    <w:rsid w:val="007C3D83"/>
    <w:rsid w:val="007C7BB4"/>
    <w:rsid w:val="007E0E58"/>
    <w:rsid w:val="00807A41"/>
    <w:rsid w:val="00811B3D"/>
    <w:rsid w:val="008173A9"/>
    <w:rsid w:val="008203D3"/>
    <w:rsid w:val="00822B95"/>
    <w:rsid w:val="00823697"/>
    <w:rsid w:val="00830061"/>
    <w:rsid w:val="00833FAB"/>
    <w:rsid w:val="00836CE7"/>
    <w:rsid w:val="008415F7"/>
    <w:rsid w:val="0084729C"/>
    <w:rsid w:val="00847535"/>
    <w:rsid w:val="00851257"/>
    <w:rsid w:val="008659F6"/>
    <w:rsid w:val="008811D8"/>
    <w:rsid w:val="0088791C"/>
    <w:rsid w:val="0089328C"/>
    <w:rsid w:val="008B53B4"/>
    <w:rsid w:val="008C27C9"/>
    <w:rsid w:val="008E491A"/>
    <w:rsid w:val="008E5D86"/>
    <w:rsid w:val="008F1E74"/>
    <w:rsid w:val="008F7363"/>
    <w:rsid w:val="0091278C"/>
    <w:rsid w:val="00926521"/>
    <w:rsid w:val="0092733A"/>
    <w:rsid w:val="00943133"/>
    <w:rsid w:val="009451D0"/>
    <w:rsid w:val="00951819"/>
    <w:rsid w:val="009751FD"/>
    <w:rsid w:val="009767E9"/>
    <w:rsid w:val="00977A9F"/>
    <w:rsid w:val="00996BDE"/>
    <w:rsid w:val="009C5364"/>
    <w:rsid w:val="009E4A8D"/>
    <w:rsid w:val="00A06EBC"/>
    <w:rsid w:val="00A14316"/>
    <w:rsid w:val="00A22768"/>
    <w:rsid w:val="00A23A9D"/>
    <w:rsid w:val="00A2689C"/>
    <w:rsid w:val="00A43A4A"/>
    <w:rsid w:val="00A5198F"/>
    <w:rsid w:val="00A60235"/>
    <w:rsid w:val="00A63591"/>
    <w:rsid w:val="00A8211B"/>
    <w:rsid w:val="00A8546E"/>
    <w:rsid w:val="00AA398C"/>
    <w:rsid w:val="00AA3DD4"/>
    <w:rsid w:val="00AD001D"/>
    <w:rsid w:val="00AD6F0F"/>
    <w:rsid w:val="00AD7B1D"/>
    <w:rsid w:val="00AF2B65"/>
    <w:rsid w:val="00B10A07"/>
    <w:rsid w:val="00B23971"/>
    <w:rsid w:val="00B40A86"/>
    <w:rsid w:val="00B42DF9"/>
    <w:rsid w:val="00B54738"/>
    <w:rsid w:val="00B73BA1"/>
    <w:rsid w:val="00B779B0"/>
    <w:rsid w:val="00B8463C"/>
    <w:rsid w:val="00BB3F79"/>
    <w:rsid w:val="00BC004D"/>
    <w:rsid w:val="00BC20F7"/>
    <w:rsid w:val="00BD1A21"/>
    <w:rsid w:val="00BE545C"/>
    <w:rsid w:val="00BE6AD8"/>
    <w:rsid w:val="00BE706C"/>
    <w:rsid w:val="00C05DFC"/>
    <w:rsid w:val="00C21CBC"/>
    <w:rsid w:val="00C2420E"/>
    <w:rsid w:val="00C42D33"/>
    <w:rsid w:val="00C54082"/>
    <w:rsid w:val="00C65719"/>
    <w:rsid w:val="00C659B5"/>
    <w:rsid w:val="00C70975"/>
    <w:rsid w:val="00C77524"/>
    <w:rsid w:val="00C8197A"/>
    <w:rsid w:val="00CB3A6F"/>
    <w:rsid w:val="00CB4432"/>
    <w:rsid w:val="00CC2DEA"/>
    <w:rsid w:val="00CD04D4"/>
    <w:rsid w:val="00CE2561"/>
    <w:rsid w:val="00CE5846"/>
    <w:rsid w:val="00CF2558"/>
    <w:rsid w:val="00D132B8"/>
    <w:rsid w:val="00D14AB9"/>
    <w:rsid w:val="00D2669B"/>
    <w:rsid w:val="00D30615"/>
    <w:rsid w:val="00D411FD"/>
    <w:rsid w:val="00D47EC9"/>
    <w:rsid w:val="00D5127C"/>
    <w:rsid w:val="00D712D4"/>
    <w:rsid w:val="00D82767"/>
    <w:rsid w:val="00D82E4B"/>
    <w:rsid w:val="00D83E96"/>
    <w:rsid w:val="00DA12A4"/>
    <w:rsid w:val="00DB0CFA"/>
    <w:rsid w:val="00DB5E59"/>
    <w:rsid w:val="00DB6D6A"/>
    <w:rsid w:val="00DC01D4"/>
    <w:rsid w:val="00DC3C69"/>
    <w:rsid w:val="00DE02A5"/>
    <w:rsid w:val="00DE5E25"/>
    <w:rsid w:val="00DF16A3"/>
    <w:rsid w:val="00E02172"/>
    <w:rsid w:val="00E053A8"/>
    <w:rsid w:val="00E41347"/>
    <w:rsid w:val="00E54F02"/>
    <w:rsid w:val="00E766A3"/>
    <w:rsid w:val="00E8574B"/>
    <w:rsid w:val="00E86CAD"/>
    <w:rsid w:val="00E92C41"/>
    <w:rsid w:val="00EA62C8"/>
    <w:rsid w:val="00EB771A"/>
    <w:rsid w:val="00EC17D9"/>
    <w:rsid w:val="00EC6911"/>
    <w:rsid w:val="00ED030E"/>
    <w:rsid w:val="00ED0428"/>
    <w:rsid w:val="00EF0BC0"/>
    <w:rsid w:val="00EF5A2E"/>
    <w:rsid w:val="00F00C20"/>
    <w:rsid w:val="00F04129"/>
    <w:rsid w:val="00F11D96"/>
    <w:rsid w:val="00F12047"/>
    <w:rsid w:val="00F17319"/>
    <w:rsid w:val="00F20354"/>
    <w:rsid w:val="00F206C6"/>
    <w:rsid w:val="00F46A17"/>
    <w:rsid w:val="00F5117D"/>
    <w:rsid w:val="00F556F7"/>
    <w:rsid w:val="00F60C07"/>
    <w:rsid w:val="00F631D5"/>
    <w:rsid w:val="00F91737"/>
    <w:rsid w:val="00F95F3C"/>
    <w:rsid w:val="00F96552"/>
    <w:rsid w:val="00FC2ADA"/>
    <w:rsid w:val="00FC2C4C"/>
    <w:rsid w:val="00FE6AB5"/>
    <w:rsid w:val="00FF4606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D49D3"/>
  <w15:chartTrackingRefBased/>
  <w15:docId w15:val="{B8968872-B8B3-4C31-A200-317B73B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B5"/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FE6A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E6A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E6AB5"/>
    <w:rPr>
      <w:rFonts w:ascii="Times New Roman" w:hAnsi="Times New Roman"/>
      <w:sz w:val="28"/>
      <w:szCs w:val="28"/>
      <w:lang w:val="en-GB" w:eastAsia="en-US"/>
    </w:rPr>
  </w:style>
  <w:style w:type="character" w:styleId="Hyperlink">
    <w:name w:val="Hyperlink"/>
    <w:rsid w:val="00FE6AB5"/>
    <w:rPr>
      <w:color w:val="0000FF"/>
      <w:u w:val="single"/>
    </w:rPr>
  </w:style>
  <w:style w:type="paragraph" w:customStyle="1" w:styleId="naislab">
    <w:name w:val="naislab"/>
    <w:basedOn w:val="Normal"/>
    <w:rsid w:val="00110AD4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styleId="Strong">
    <w:name w:val="Strong"/>
    <w:qFormat/>
    <w:rsid w:val="006F5E84"/>
    <w:rPr>
      <w:b/>
      <w:bCs/>
    </w:rPr>
  </w:style>
  <w:style w:type="character" w:styleId="CommentReference">
    <w:name w:val="annotation reference"/>
    <w:uiPriority w:val="99"/>
    <w:semiHidden/>
    <w:unhideWhenUsed/>
    <w:rsid w:val="0079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D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5DB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D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DB0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DB0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0A2ACB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3E44DD60896BB4E9898A51E9F9DBD30" ma:contentTypeVersion="0" ma:contentTypeDescription="Izveidot jaunu dokumentu." ma:contentTypeScope="" ma:versionID="3e3caad0b1dd606298b8226cf8b2d4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385C-FB1A-4C16-A1D6-E27A84DF613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44588D-D315-435B-8834-12DF581F2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9A06E-4860-4D4A-B8BD-7C96B4F0FCA3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74986A-E65B-4E88-96A6-F289E42C2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3F6DAF3-9FD6-4EDD-B441-78E75BB0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1519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„Grozījumi Ministru kabineta 2012.gada 31.jūlija noteikumos Nr.523 „ Noteikumi par budžeta pieprasījumu izstrādāšanas un iesniegšanas pamatprincipiem””</vt:lpstr>
      <vt:lpstr>uzzina</vt:lpstr>
    </vt:vector>
  </TitlesOfParts>
  <Company>Finanšu ministrija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„Grozījumi Ministru kabineta 2012.gada 31.jūlija noteikumos Nr.523 „ Noteikumi par budžeta pieprasījumu izstrādāšanas un iesniegšanas pamatprincipiem””</dc:title>
  <dc:subject/>
  <dc:creator>ieva.klinsone@fm.gov.lv</dc:creator>
  <cp:keywords/>
  <dc:description>67095531, ieva.klinsone@fm.gov.lv</dc:description>
  <cp:lastModifiedBy>Sandra Gīle</cp:lastModifiedBy>
  <cp:revision>5</cp:revision>
  <cp:lastPrinted>2017-04-27T06:11:00Z</cp:lastPrinted>
  <dcterms:created xsi:type="dcterms:W3CDTF">2021-10-05T10:34:00Z</dcterms:created>
  <dcterms:modified xsi:type="dcterms:W3CDTF">2021-10-12T18:25:00Z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PK">
    <vt:lpwstr>1.</vt:lpwstr>
  </property>
  <property fmtid="{D5CDD505-2E9C-101B-9397-08002B2CF9AE}" pid="3" name="VK lēmums">
    <vt:lpwstr>Nav</vt:lpwstr>
  </property>
  <property fmtid="{D5CDD505-2E9C-101B-9397-08002B2CF9AE}" pid="4" name="ContentType">
    <vt:lpwstr>Dokuments</vt:lpwstr>
  </property>
  <property fmtid="{D5CDD505-2E9C-101B-9397-08002B2CF9AE}" pid="5" name="Zinotajs">
    <vt:lpwstr>D.Gulbe</vt:lpwstr>
  </property>
</Properties>
</file>