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67D58" w14:textId="77777777" w:rsidR="000A2ACB" w:rsidRPr="00C70975" w:rsidRDefault="000A2ACB" w:rsidP="00C70975">
      <w:pPr>
        <w:jc w:val="right"/>
        <w:rPr>
          <w:sz w:val="24"/>
          <w:szCs w:val="24"/>
          <w:lang w:val="lv-LV"/>
        </w:rPr>
      </w:pPr>
    </w:p>
    <w:p w14:paraId="3DE39D38" w14:textId="77777777" w:rsidR="00C70975" w:rsidRDefault="00C70975" w:rsidP="00C70975">
      <w:pPr>
        <w:jc w:val="center"/>
        <w:rPr>
          <w:b/>
          <w:sz w:val="24"/>
          <w:szCs w:val="24"/>
          <w:lang w:val="lv-LV"/>
        </w:rPr>
      </w:pPr>
    </w:p>
    <w:p w14:paraId="601337BF" w14:textId="37841647" w:rsidR="00C70975" w:rsidRPr="00993611" w:rsidRDefault="00EC17D9" w:rsidP="00C70975">
      <w:pPr>
        <w:jc w:val="center"/>
        <w:rPr>
          <w:b/>
          <w:sz w:val="24"/>
          <w:szCs w:val="24"/>
          <w:lang w:val="lv-LV"/>
        </w:rPr>
      </w:pPr>
      <w:r w:rsidRPr="00993611">
        <w:rPr>
          <w:b/>
          <w:sz w:val="24"/>
          <w:szCs w:val="24"/>
          <w:lang w:val="lv-LV"/>
        </w:rPr>
        <w:t xml:space="preserve">Uzziņa par projektu </w:t>
      </w:r>
    </w:p>
    <w:p w14:paraId="5C4E8263" w14:textId="5D7097A5" w:rsidR="00B73BA1" w:rsidRPr="00993611" w:rsidRDefault="00CE206B" w:rsidP="00EC17D9">
      <w:pPr>
        <w:jc w:val="center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16</w:t>
      </w:r>
      <w:r w:rsidR="0022570D" w:rsidRPr="0022570D">
        <w:rPr>
          <w:sz w:val="24"/>
          <w:szCs w:val="24"/>
          <w:lang w:val="lv-LV"/>
        </w:rPr>
        <w:t>.11.</w:t>
      </w:r>
      <w:r w:rsidR="002E5BCF" w:rsidRPr="0022570D">
        <w:rPr>
          <w:sz w:val="24"/>
          <w:szCs w:val="24"/>
          <w:lang w:val="lv-LV"/>
        </w:rPr>
        <w:t>20</w:t>
      </w:r>
      <w:r w:rsidR="00B91F7F" w:rsidRPr="0022570D">
        <w:rPr>
          <w:sz w:val="24"/>
          <w:szCs w:val="24"/>
          <w:lang w:val="lv-LV"/>
        </w:rPr>
        <w:t>20</w:t>
      </w:r>
    </w:p>
    <w:p w14:paraId="4AECEE4D" w14:textId="77777777" w:rsidR="002E5BCF" w:rsidRPr="00993611" w:rsidRDefault="002E5BCF" w:rsidP="00EC17D9">
      <w:pPr>
        <w:jc w:val="center"/>
        <w:rPr>
          <w:sz w:val="24"/>
          <w:szCs w:val="24"/>
          <w:lang w:val="lv-LV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096"/>
      </w:tblGrid>
      <w:tr w:rsidR="00993611" w:rsidRPr="00993611" w14:paraId="1C466BE4" w14:textId="77777777" w:rsidTr="00A35ECD">
        <w:tc>
          <w:tcPr>
            <w:tcW w:w="426" w:type="dxa"/>
            <w:vAlign w:val="center"/>
          </w:tcPr>
          <w:p w14:paraId="7E7ECDBF" w14:textId="77777777" w:rsidR="00FE6AB5" w:rsidRPr="00993611" w:rsidRDefault="00BE6AD8" w:rsidP="00BE6AD8">
            <w:pPr>
              <w:jc w:val="both"/>
              <w:rPr>
                <w:sz w:val="22"/>
                <w:szCs w:val="22"/>
                <w:lang w:val="lv-LV"/>
              </w:rPr>
            </w:pPr>
            <w:r w:rsidRPr="00993611">
              <w:rPr>
                <w:rFonts w:eastAsia="Times New Roman"/>
                <w:sz w:val="24"/>
                <w:szCs w:val="24"/>
                <w:lang w:val="lv-LV"/>
              </w:rPr>
              <w:t>№</w:t>
            </w:r>
          </w:p>
        </w:tc>
        <w:tc>
          <w:tcPr>
            <w:tcW w:w="2693" w:type="dxa"/>
            <w:vAlign w:val="center"/>
          </w:tcPr>
          <w:p w14:paraId="61A8070E" w14:textId="77777777" w:rsidR="00FE6AB5" w:rsidRPr="00993611" w:rsidRDefault="00FE6AB5" w:rsidP="00C21CBC">
            <w:pPr>
              <w:jc w:val="center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Sniedzamā informācija</w:t>
            </w:r>
          </w:p>
        </w:tc>
        <w:tc>
          <w:tcPr>
            <w:tcW w:w="6096" w:type="dxa"/>
            <w:vAlign w:val="center"/>
          </w:tcPr>
          <w:p w14:paraId="062388DE" w14:textId="77777777" w:rsidR="00FE6AB5" w:rsidRPr="00993611" w:rsidRDefault="00FE6AB5" w:rsidP="00C21CBC">
            <w:pPr>
              <w:jc w:val="center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Informācija par projektu</w:t>
            </w:r>
          </w:p>
        </w:tc>
      </w:tr>
      <w:tr w:rsidR="00993611" w:rsidRPr="00993611" w14:paraId="2B19BDD5" w14:textId="77777777" w:rsidTr="00A35ECD">
        <w:trPr>
          <w:trHeight w:val="860"/>
        </w:trPr>
        <w:tc>
          <w:tcPr>
            <w:tcW w:w="426" w:type="dxa"/>
            <w:vAlign w:val="center"/>
          </w:tcPr>
          <w:p w14:paraId="54A5C8FE" w14:textId="77777777" w:rsidR="00BE6AD8" w:rsidRPr="00993611" w:rsidRDefault="00BE6AD8" w:rsidP="00BE6AD8">
            <w:pPr>
              <w:jc w:val="both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8789" w:type="dxa"/>
            <w:gridSpan w:val="2"/>
            <w:vAlign w:val="center"/>
          </w:tcPr>
          <w:p w14:paraId="771C96D4" w14:textId="7ADFF019" w:rsidR="002A4361" w:rsidRPr="00993611" w:rsidRDefault="002A4361" w:rsidP="002A4361">
            <w:pPr>
              <w:pStyle w:val="BodyText"/>
              <w:rPr>
                <w:sz w:val="24"/>
              </w:rPr>
            </w:pPr>
            <w:r w:rsidRPr="00993611">
              <w:rPr>
                <w:sz w:val="24"/>
              </w:rPr>
              <w:t>Ministru kabineta noteikumu projekts „</w:t>
            </w:r>
            <w:r w:rsidR="009334D0" w:rsidRPr="009334D0">
              <w:rPr>
                <w:sz w:val="24"/>
              </w:rPr>
              <w:t>Kārtība, kādā gadskārtējā valsts budžeta likumprojektā iekļauj pieprasījumus valsts vārdā sniedzamajiem galvojumiem, un galvojumu sniegšanas un uzraudzības kārtība</w:t>
            </w:r>
            <w:r w:rsidRPr="00993611">
              <w:rPr>
                <w:sz w:val="24"/>
              </w:rPr>
              <w:t>” sākotnējās ietekmes novērtējuma ziņojums</w:t>
            </w:r>
          </w:p>
          <w:p w14:paraId="1ED34C10" w14:textId="77777777" w:rsidR="00BE6AD8" w:rsidRPr="00993611" w:rsidRDefault="00BE6AD8" w:rsidP="00DC3C69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993611" w:rsidRPr="00993611" w14:paraId="6526AD96" w14:textId="77777777" w:rsidTr="00A35ECD">
        <w:tc>
          <w:tcPr>
            <w:tcW w:w="426" w:type="dxa"/>
          </w:tcPr>
          <w:p w14:paraId="15945AD0" w14:textId="77777777" w:rsidR="00FE6AB5" w:rsidRPr="0099361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776CAD82" w14:textId="77777777" w:rsidR="00FE6AB5" w:rsidRPr="00993611" w:rsidRDefault="00FE6AB5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Projekta izstrādes nepieciešamības pamatojums</w:t>
            </w:r>
          </w:p>
        </w:tc>
        <w:tc>
          <w:tcPr>
            <w:tcW w:w="6096" w:type="dxa"/>
          </w:tcPr>
          <w:p w14:paraId="5A21FE53" w14:textId="739AE214" w:rsidR="001769AC" w:rsidRPr="00B91F7F" w:rsidRDefault="00B91F7F" w:rsidP="00B91F7F">
            <w:pPr>
              <w:jc w:val="both"/>
              <w:rPr>
                <w:sz w:val="24"/>
                <w:szCs w:val="24"/>
                <w:lang w:val="lv-LV"/>
              </w:rPr>
            </w:pPr>
            <w:r w:rsidRPr="00B91F7F">
              <w:rPr>
                <w:sz w:val="24"/>
                <w:szCs w:val="24"/>
                <w:lang w:val="lv-LV"/>
              </w:rPr>
              <w:t>Stājoties spēkā 2020. gada 21. aprīļa Ministru kabineta noteikumiem Nr. 231 “</w:t>
            </w:r>
            <w:hyperlink r:id="rId12" w:history="1">
              <w:r w:rsidRPr="00B91F7F">
                <w:rPr>
                  <w:sz w:val="24"/>
                  <w:szCs w:val="24"/>
                  <w:lang w:val="lv-LV"/>
                </w:rPr>
                <w:t>Noteikumi par studiju un studējošo kreditēšanu studijām Latvijā no kredītiestāžu līdzekļiem, kas ir garantēti no valsts budžeta līdzekļiem</w:t>
              </w:r>
            </w:hyperlink>
            <w:r w:rsidRPr="00B91F7F">
              <w:rPr>
                <w:sz w:val="24"/>
                <w:szCs w:val="24"/>
                <w:lang w:val="lv-LV"/>
              </w:rPr>
              <w:t xml:space="preserve">”, tika ieviesta jauna valsts galvoto studiju un studējošo kredītu sistēma, kur galvojumu sniedz akciju sabiedrība “Attīstības finanšu institūcija </w:t>
            </w:r>
            <w:proofErr w:type="spellStart"/>
            <w:r w:rsidRPr="00B91F7F">
              <w:rPr>
                <w:sz w:val="24"/>
                <w:szCs w:val="24"/>
                <w:lang w:val="lv-LV"/>
              </w:rPr>
              <w:t>Altum</w:t>
            </w:r>
            <w:proofErr w:type="spellEnd"/>
            <w:r w:rsidRPr="00B91F7F">
              <w:rPr>
                <w:sz w:val="24"/>
                <w:szCs w:val="24"/>
                <w:lang w:val="lv-LV"/>
              </w:rPr>
              <w:t>” portfeļa garantijas instrumenta veidā</w:t>
            </w:r>
            <w:r>
              <w:rPr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41AB5DD2" w14:textId="77777777" w:rsidTr="00A35ECD">
        <w:tc>
          <w:tcPr>
            <w:tcW w:w="426" w:type="dxa"/>
          </w:tcPr>
          <w:p w14:paraId="17DE41DD" w14:textId="77777777" w:rsidR="001036DB" w:rsidRPr="0099361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4491841E" w14:textId="77777777" w:rsidR="001036DB" w:rsidRPr="00993611" w:rsidRDefault="001036DB" w:rsidP="00C70975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 xml:space="preserve">Vadības darba plāna uzdevuma numurs un tā izpildes termiņš </w:t>
            </w:r>
          </w:p>
        </w:tc>
        <w:tc>
          <w:tcPr>
            <w:tcW w:w="6096" w:type="dxa"/>
          </w:tcPr>
          <w:p w14:paraId="1D863BA8" w14:textId="61C1267B" w:rsidR="00847535" w:rsidRPr="00993611" w:rsidRDefault="00D2165F" w:rsidP="003E5B81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Nav.</w:t>
            </w:r>
          </w:p>
        </w:tc>
      </w:tr>
      <w:tr w:rsidR="00993611" w:rsidRPr="00993611" w14:paraId="7D6E354E" w14:textId="77777777" w:rsidTr="00A35ECD">
        <w:trPr>
          <w:trHeight w:val="898"/>
        </w:trPr>
        <w:tc>
          <w:tcPr>
            <w:tcW w:w="426" w:type="dxa"/>
          </w:tcPr>
          <w:p w14:paraId="663B0732" w14:textId="77777777" w:rsidR="00FE6AB5" w:rsidRPr="0099361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18FF511" w14:textId="77777777" w:rsidR="00FE6AB5" w:rsidRPr="00993611" w:rsidRDefault="00FE6AB5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Projekta īss saturs</w:t>
            </w:r>
          </w:p>
        </w:tc>
        <w:tc>
          <w:tcPr>
            <w:tcW w:w="6096" w:type="dxa"/>
          </w:tcPr>
          <w:p w14:paraId="0AB92FDF" w14:textId="5B69A3BB" w:rsidR="001769AC" w:rsidRPr="00993611" w:rsidRDefault="00B91F7F" w:rsidP="00BD22B4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Ņemot vērā, ka </w:t>
            </w:r>
            <w:r w:rsidRPr="00B91F7F">
              <w:rPr>
                <w:bCs/>
                <w:sz w:val="24"/>
                <w:szCs w:val="24"/>
                <w:lang w:val="lv-LV"/>
              </w:rPr>
              <w:t>ir mainīts modelis kā tiek izsniegti galvojumi studiju un studējošo kreditēšanai no kredītiestāžu līdzekļiem ar valsts vārdā sniegto galvojumu</w:t>
            </w:r>
            <w:r>
              <w:rPr>
                <w:bCs/>
                <w:sz w:val="24"/>
                <w:szCs w:val="24"/>
                <w:lang w:val="lv-LV"/>
              </w:rPr>
              <w:t>, n</w:t>
            </w:r>
            <w:r w:rsidRPr="00B91F7F">
              <w:rPr>
                <w:bCs/>
                <w:sz w:val="24"/>
                <w:szCs w:val="24"/>
                <w:lang w:val="lv-LV"/>
              </w:rPr>
              <w:t>epieciešams veikt tehniskus grozījumus Ministru kabineta 2014. gada 8. jūlija noteikumos Nr.</w:t>
            </w:r>
            <w:r w:rsidR="00BD22B4">
              <w:rPr>
                <w:bCs/>
                <w:sz w:val="24"/>
                <w:szCs w:val="24"/>
                <w:lang w:val="lv-LV"/>
              </w:rPr>
              <w:t> </w:t>
            </w:r>
            <w:r w:rsidRPr="00B91F7F">
              <w:rPr>
                <w:bCs/>
                <w:sz w:val="24"/>
                <w:szCs w:val="24"/>
                <w:lang w:val="lv-LV"/>
              </w:rPr>
              <w:t xml:space="preserve">391 “Kārtība, kādā gadskārtējā valsts budžeta likumprojektā iekļauj pieprasījumus valsts vārdā sniedzamajiem galvojumiem, un galvojumu sniegšanas un uzraudzības kārtība””, kuros ir noteikta kārtība </w:t>
            </w:r>
            <w:r w:rsidR="00BD22B4">
              <w:rPr>
                <w:bCs/>
                <w:sz w:val="24"/>
                <w:szCs w:val="24"/>
                <w:lang w:val="lv-LV"/>
              </w:rPr>
              <w:t>par galvojumu</w:t>
            </w:r>
            <w:r w:rsidRPr="00B91F7F">
              <w:rPr>
                <w:bCs/>
                <w:sz w:val="24"/>
                <w:szCs w:val="24"/>
                <w:lang w:val="lv-LV"/>
              </w:rPr>
              <w:t xml:space="preserve"> studiju un studējošo kreditēšana</w:t>
            </w:r>
            <w:r w:rsidR="00BD22B4">
              <w:rPr>
                <w:bCs/>
                <w:sz w:val="24"/>
                <w:szCs w:val="24"/>
                <w:lang w:val="lv-LV"/>
              </w:rPr>
              <w:t xml:space="preserve">i </w:t>
            </w:r>
            <w:r w:rsidR="00BD22B4" w:rsidRPr="00BD22B4">
              <w:rPr>
                <w:bCs/>
                <w:sz w:val="24"/>
                <w:szCs w:val="24"/>
                <w:lang w:val="lv-LV"/>
              </w:rPr>
              <w:t>iekļaušanu gadskārtējā valsts budžeta likumprojektā</w:t>
            </w:r>
            <w:r w:rsidRPr="00B91F7F">
              <w:rPr>
                <w:bCs/>
                <w:sz w:val="24"/>
                <w:szCs w:val="24"/>
                <w:lang w:val="lv-LV"/>
              </w:rPr>
              <w:t xml:space="preserve"> </w:t>
            </w:r>
            <w:r>
              <w:rPr>
                <w:bCs/>
                <w:sz w:val="24"/>
                <w:szCs w:val="24"/>
                <w:lang w:val="lv-LV"/>
              </w:rPr>
              <w:t xml:space="preserve">un </w:t>
            </w:r>
            <w:r w:rsidR="00BD22B4">
              <w:rPr>
                <w:bCs/>
                <w:sz w:val="24"/>
                <w:szCs w:val="24"/>
                <w:lang w:val="lv-LV"/>
              </w:rPr>
              <w:t xml:space="preserve">to </w:t>
            </w:r>
            <w:r>
              <w:rPr>
                <w:bCs/>
                <w:sz w:val="24"/>
                <w:szCs w:val="24"/>
                <w:lang w:val="lv-LV"/>
              </w:rPr>
              <w:t>izsniegšanu</w:t>
            </w:r>
            <w:r w:rsidRPr="00B91F7F">
              <w:rPr>
                <w:bCs/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73709867" w14:textId="77777777" w:rsidTr="00A35ECD">
        <w:tc>
          <w:tcPr>
            <w:tcW w:w="426" w:type="dxa"/>
          </w:tcPr>
          <w:p w14:paraId="07FFFEFE" w14:textId="77777777" w:rsidR="00FE6AB5" w:rsidRPr="00993611" w:rsidRDefault="00FE6AB5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2E605B5" w14:textId="77777777" w:rsidR="00FE6AB5" w:rsidRPr="00993611" w:rsidRDefault="00FE6AB5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Iespējamie risinājuma varianti</w:t>
            </w:r>
            <w:r w:rsidR="00BE6AD8" w:rsidRPr="00993611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096" w:type="dxa"/>
          </w:tcPr>
          <w:p w14:paraId="350A9E88" w14:textId="77777777" w:rsidR="001769AC" w:rsidRPr="00993611" w:rsidRDefault="001769AC" w:rsidP="00D712D4">
            <w:p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lang w:val="lv-LV"/>
              </w:rPr>
              <w:t>Nav</w:t>
            </w:r>
            <w:r w:rsidR="007C4530" w:rsidRPr="00993611">
              <w:rPr>
                <w:sz w:val="24"/>
                <w:lang w:val="lv-LV"/>
              </w:rPr>
              <w:t>.</w:t>
            </w:r>
          </w:p>
        </w:tc>
      </w:tr>
      <w:tr w:rsidR="00993611" w:rsidRPr="00993611" w14:paraId="2BBAA972" w14:textId="77777777" w:rsidTr="00A35ECD">
        <w:tc>
          <w:tcPr>
            <w:tcW w:w="426" w:type="dxa"/>
          </w:tcPr>
          <w:p w14:paraId="41938ED2" w14:textId="77777777" w:rsidR="001036DB" w:rsidRPr="00993611" w:rsidRDefault="001036DB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54DADB3D" w14:textId="77777777" w:rsidR="001036DB" w:rsidRPr="00993611" w:rsidRDefault="001036DB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Par projektu nosakāmā atbildīgā amatpersona</w:t>
            </w:r>
          </w:p>
        </w:tc>
        <w:tc>
          <w:tcPr>
            <w:tcW w:w="6096" w:type="dxa"/>
          </w:tcPr>
          <w:p w14:paraId="6B19A1E7" w14:textId="6422414B" w:rsidR="001036DB" w:rsidRPr="00993611" w:rsidRDefault="004A6C81" w:rsidP="00D712D4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Valsts</w:t>
            </w:r>
            <w:r w:rsidR="00BD22B4">
              <w:rPr>
                <w:sz w:val="24"/>
                <w:lang w:val="lv-LV"/>
              </w:rPr>
              <w:t xml:space="preserve"> kases pārvaldnieka vietnieks Jānis </w:t>
            </w:r>
            <w:r w:rsidRPr="00993611">
              <w:rPr>
                <w:sz w:val="24"/>
                <w:lang w:val="lv-LV"/>
              </w:rPr>
              <w:t>Pone</w:t>
            </w:r>
            <w:r w:rsidR="00BD22B4">
              <w:rPr>
                <w:sz w:val="24"/>
                <w:lang w:val="lv-LV"/>
              </w:rPr>
              <w:t>.</w:t>
            </w:r>
          </w:p>
          <w:p w14:paraId="51650697" w14:textId="77777777" w:rsidR="001769AC" w:rsidRPr="00993611" w:rsidRDefault="001769AC" w:rsidP="00D712D4">
            <w:pPr>
              <w:jc w:val="both"/>
              <w:rPr>
                <w:sz w:val="24"/>
                <w:lang w:val="lv-LV"/>
              </w:rPr>
            </w:pPr>
          </w:p>
        </w:tc>
      </w:tr>
      <w:tr w:rsidR="00993611" w:rsidRPr="00993611" w14:paraId="4F200FB5" w14:textId="77777777" w:rsidTr="00A35ECD">
        <w:tc>
          <w:tcPr>
            <w:tcW w:w="426" w:type="dxa"/>
          </w:tcPr>
          <w:p w14:paraId="3303450B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1F7C8D8A" w14:textId="77777777" w:rsidR="00E92C41" w:rsidRPr="00993611" w:rsidRDefault="00E92C41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Nosakāmais projekta sagatavotājs</w:t>
            </w:r>
            <w:r w:rsidR="00BE6AD8" w:rsidRPr="00993611">
              <w:rPr>
                <w:sz w:val="24"/>
                <w:lang w:val="lv-LV"/>
              </w:rPr>
              <w:t xml:space="preserve"> (ja nepieciešams)</w:t>
            </w:r>
          </w:p>
        </w:tc>
        <w:tc>
          <w:tcPr>
            <w:tcW w:w="6096" w:type="dxa"/>
          </w:tcPr>
          <w:p w14:paraId="084EB91C" w14:textId="4895FC97" w:rsidR="001769AC" w:rsidRPr="00993611" w:rsidRDefault="004A6C81" w:rsidP="00B91F7F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Valsts kases Finansēšanas departamenta direktor</w:t>
            </w:r>
            <w:r w:rsidR="00B91F7F">
              <w:rPr>
                <w:sz w:val="24"/>
                <w:szCs w:val="24"/>
                <w:lang w:val="lv-LV"/>
              </w:rPr>
              <w:t xml:space="preserve">a vietniece </w:t>
            </w:r>
            <w:r w:rsidR="00B91F7F" w:rsidRPr="00B91F7F">
              <w:rPr>
                <w:sz w:val="24"/>
                <w:szCs w:val="24"/>
                <w:lang w:val="lv-LV"/>
              </w:rPr>
              <w:t>Sandra Stepiņa</w:t>
            </w:r>
            <w:r w:rsidR="00B91F7F">
              <w:rPr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1448065A" w14:textId="77777777" w:rsidTr="00A35ECD">
        <w:tc>
          <w:tcPr>
            <w:tcW w:w="426" w:type="dxa"/>
          </w:tcPr>
          <w:p w14:paraId="1C0776DC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6567A32C" w14:textId="77777777" w:rsidR="00E92C41" w:rsidRPr="00993611" w:rsidRDefault="00E92C41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Darba grupas vadītājs un iespējamais sastāvs</w:t>
            </w:r>
            <w:r w:rsidR="00BE6AD8" w:rsidRPr="00993611">
              <w:rPr>
                <w:sz w:val="24"/>
                <w:lang w:val="lv-LV"/>
              </w:rPr>
              <w:t xml:space="preserve"> (ja nepieciešams) </w:t>
            </w:r>
          </w:p>
        </w:tc>
        <w:tc>
          <w:tcPr>
            <w:tcW w:w="6096" w:type="dxa"/>
          </w:tcPr>
          <w:p w14:paraId="53EBB33D" w14:textId="1C16D549" w:rsidR="001769AC" w:rsidRPr="00993611" w:rsidRDefault="001769AC" w:rsidP="00F12047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Nav</w:t>
            </w:r>
            <w:r w:rsidR="0067160C">
              <w:rPr>
                <w:sz w:val="24"/>
                <w:lang w:val="lv-LV"/>
              </w:rPr>
              <w:t>.</w:t>
            </w:r>
          </w:p>
        </w:tc>
      </w:tr>
      <w:tr w:rsidR="00993611" w:rsidRPr="00993611" w14:paraId="40728857" w14:textId="77777777" w:rsidTr="00A35ECD">
        <w:tc>
          <w:tcPr>
            <w:tcW w:w="426" w:type="dxa"/>
          </w:tcPr>
          <w:p w14:paraId="2A286058" w14:textId="77777777" w:rsidR="00BE6AD8" w:rsidRPr="00993611" w:rsidRDefault="00BE6AD8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6A04EBE7" w14:textId="77777777" w:rsidR="00BE6AD8" w:rsidRPr="00DB4A99" w:rsidRDefault="00BE6AD8" w:rsidP="00F12047">
            <w:pPr>
              <w:rPr>
                <w:sz w:val="24"/>
                <w:szCs w:val="24"/>
                <w:lang w:val="lv-LV"/>
              </w:rPr>
            </w:pPr>
            <w:r w:rsidRPr="00DB4A99">
              <w:rPr>
                <w:rFonts w:eastAsia="Times New Roman"/>
                <w:sz w:val="24"/>
                <w:szCs w:val="24"/>
                <w:lang w:val="lv-LV"/>
              </w:rPr>
              <w:t>Sabiedrības līdzdalība</w:t>
            </w:r>
          </w:p>
        </w:tc>
        <w:tc>
          <w:tcPr>
            <w:tcW w:w="6096" w:type="dxa"/>
          </w:tcPr>
          <w:p w14:paraId="0BBA25F2" w14:textId="0DFDF41A" w:rsidR="00D2165F" w:rsidRDefault="00D2165F" w:rsidP="00D2165F">
            <w:pPr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Uzziņa un 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 xml:space="preserve">informācija par 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>Valsts sekretāru sanāksmē (turpmāk –VSS) izsludināt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o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projekt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u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tiks publicēt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>a</w:t>
            </w:r>
            <w:r w:rsidRPr="00295E7F">
              <w:rPr>
                <w:rFonts w:eastAsia="Times New Roman"/>
                <w:sz w:val="24"/>
                <w:szCs w:val="24"/>
                <w:lang w:val="lv-LV" w:eastAsia="lv-LV"/>
              </w:rPr>
              <w:t xml:space="preserve"> Finanšu ministrijas un V</w:t>
            </w:r>
            <w:r>
              <w:rPr>
                <w:rFonts w:eastAsia="Times New Roman"/>
                <w:sz w:val="24"/>
                <w:szCs w:val="24"/>
                <w:lang w:val="lv-LV" w:eastAsia="lv-LV"/>
              </w:rPr>
              <w:t xml:space="preserve">alsts kases interneta tīmekļa vietnē – viedokli var izteikt </w:t>
            </w:r>
            <w:r w:rsidRPr="00661A65">
              <w:rPr>
                <w:rFonts w:eastAsia="Times New Roman"/>
                <w:sz w:val="24"/>
                <w:szCs w:val="24"/>
                <w:lang w:val="lv-LV" w:eastAsia="lv-LV"/>
              </w:rPr>
              <w:t>līdz 27.</w:t>
            </w:r>
            <w:r w:rsidR="00CE206B">
              <w:rPr>
                <w:rFonts w:eastAsia="Times New Roman"/>
                <w:sz w:val="24"/>
                <w:szCs w:val="24"/>
                <w:lang w:val="lv-LV" w:eastAsia="lv-LV"/>
              </w:rPr>
              <w:t>11</w:t>
            </w:r>
            <w:r w:rsidRPr="00661A65">
              <w:rPr>
                <w:rFonts w:eastAsia="Times New Roman"/>
                <w:sz w:val="24"/>
                <w:szCs w:val="24"/>
                <w:lang w:val="lv-LV" w:eastAsia="lv-LV"/>
              </w:rPr>
              <w:t xml:space="preserve">.2020. </w:t>
            </w:r>
          </w:p>
          <w:p w14:paraId="59DAF840" w14:textId="61576959" w:rsidR="001769AC" w:rsidRPr="00DB4A99" w:rsidRDefault="00D2165F" w:rsidP="004F5F06">
            <w:pPr>
              <w:jc w:val="both"/>
              <w:rPr>
                <w:sz w:val="24"/>
                <w:szCs w:val="24"/>
                <w:lang w:val="lv-LV"/>
              </w:rPr>
            </w:pPr>
            <w:r w:rsidRPr="009F5953">
              <w:rPr>
                <w:rFonts w:eastAsia="Times New Roman"/>
                <w:sz w:val="24"/>
                <w:szCs w:val="24"/>
                <w:lang w:val="lv-LV"/>
              </w:rPr>
              <w:t xml:space="preserve">Diskusija par projektu ar nevalstiskajām organizācijām, </w:t>
            </w:r>
            <w:r w:rsidR="00F076F5">
              <w:rPr>
                <w:rFonts w:eastAsia="Times New Roman"/>
                <w:sz w:val="24"/>
                <w:szCs w:val="24"/>
                <w:lang w:val="lv-LV"/>
              </w:rPr>
              <w:t>profesionālajām organizācijām u</w:t>
            </w:r>
            <w:r w:rsidR="00E54872">
              <w:rPr>
                <w:rFonts w:eastAsia="Times New Roman"/>
                <w:sz w:val="24"/>
                <w:szCs w:val="24"/>
                <w:lang w:val="lv-LV"/>
              </w:rPr>
              <w:t>.</w:t>
            </w:r>
            <w:r w:rsidRPr="009F5953">
              <w:rPr>
                <w:rFonts w:eastAsia="Times New Roman"/>
                <w:sz w:val="24"/>
                <w:szCs w:val="24"/>
                <w:lang w:val="lv-LV"/>
              </w:rPr>
              <w:t>tml. pirms izsludināšanas VSS nav nepieciešama.</w:t>
            </w:r>
          </w:p>
        </w:tc>
      </w:tr>
      <w:tr w:rsidR="00993611" w:rsidRPr="00993611" w14:paraId="671611EF" w14:textId="77777777" w:rsidTr="00A35ECD">
        <w:tc>
          <w:tcPr>
            <w:tcW w:w="426" w:type="dxa"/>
          </w:tcPr>
          <w:p w14:paraId="04E54A53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6B610806" w14:textId="77777777" w:rsidR="00E92C41" w:rsidRPr="00993611" w:rsidRDefault="00E92C41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Ministrijas struktūrvienības un padotības iestādēm ar kurām projekts jāsaskaņo</w:t>
            </w:r>
          </w:p>
        </w:tc>
        <w:tc>
          <w:tcPr>
            <w:tcW w:w="6096" w:type="dxa"/>
          </w:tcPr>
          <w:p w14:paraId="047DBF07" w14:textId="6BDB4ADE" w:rsidR="001769AC" w:rsidRPr="00993611" w:rsidRDefault="00372803" w:rsidP="00D05485">
            <w:p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Juridiskais departaments, Budžeta departaments</w:t>
            </w:r>
            <w:r w:rsidR="00CB1CFB" w:rsidRPr="00993611">
              <w:rPr>
                <w:sz w:val="24"/>
                <w:szCs w:val="24"/>
                <w:lang w:val="lv-LV"/>
              </w:rPr>
              <w:t>,</w:t>
            </w:r>
            <w:r w:rsidR="00CB1CFB" w:rsidRPr="00993611">
              <w:t xml:space="preserve"> </w:t>
            </w:r>
            <w:r w:rsidR="00CB1CFB" w:rsidRPr="00993611">
              <w:rPr>
                <w:sz w:val="24"/>
                <w:szCs w:val="24"/>
                <w:lang w:val="lv-LV"/>
              </w:rPr>
              <w:t>Fiskālās politikas departaments</w:t>
            </w:r>
            <w:r w:rsidR="0067160C">
              <w:rPr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488E6084" w14:textId="77777777" w:rsidTr="00A35ECD">
        <w:tc>
          <w:tcPr>
            <w:tcW w:w="426" w:type="dxa"/>
          </w:tcPr>
          <w:p w14:paraId="54BAE5F9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21156DBB" w14:textId="77777777" w:rsidR="00D132B8" w:rsidRPr="00993611" w:rsidRDefault="00D132B8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Nosūtīšanas saskaņošanai termiņš,</w:t>
            </w:r>
          </w:p>
          <w:p w14:paraId="4E1F6477" w14:textId="77777777" w:rsidR="00E92C41" w:rsidRPr="00993611" w:rsidRDefault="00D132B8" w:rsidP="00F12047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s</w:t>
            </w:r>
            <w:r w:rsidR="00795DB0" w:rsidRPr="00993611">
              <w:rPr>
                <w:sz w:val="24"/>
                <w:lang w:val="lv-LV"/>
              </w:rPr>
              <w:t>askaņošanas termiņš</w:t>
            </w:r>
          </w:p>
          <w:p w14:paraId="255E18A7" w14:textId="77777777" w:rsidR="00D132B8" w:rsidRPr="00993611" w:rsidRDefault="00D132B8" w:rsidP="00F12047">
            <w:pPr>
              <w:rPr>
                <w:sz w:val="24"/>
                <w:lang w:val="lv-LV"/>
              </w:rPr>
            </w:pPr>
          </w:p>
        </w:tc>
        <w:tc>
          <w:tcPr>
            <w:tcW w:w="6096" w:type="dxa"/>
          </w:tcPr>
          <w:p w14:paraId="583BA99C" w14:textId="0056224C" w:rsidR="00A934CE" w:rsidRPr="001F165C" w:rsidRDefault="00A934CE" w:rsidP="00A934CE">
            <w:pPr>
              <w:jc w:val="both"/>
              <w:rPr>
                <w:sz w:val="24"/>
                <w:lang w:val="lv-LV"/>
              </w:rPr>
            </w:pPr>
            <w:r>
              <w:rPr>
                <w:rFonts w:eastAsia="Times New Roman"/>
                <w:sz w:val="24"/>
                <w:szCs w:val="24"/>
                <w:lang w:val="lv-LV"/>
              </w:rPr>
              <w:t>P</w:t>
            </w:r>
            <w:r w:rsidRPr="001F165C">
              <w:rPr>
                <w:rFonts w:eastAsia="Times New Roman"/>
                <w:sz w:val="24"/>
                <w:szCs w:val="24"/>
                <w:lang w:val="lv-LV"/>
              </w:rPr>
              <w:t>rojekt</w:t>
            </w:r>
            <w:r>
              <w:rPr>
                <w:rFonts w:eastAsia="Times New Roman"/>
                <w:sz w:val="24"/>
                <w:szCs w:val="24"/>
                <w:lang w:val="lv-LV"/>
              </w:rPr>
              <w:t>s</w:t>
            </w:r>
            <w:r w:rsidRPr="001F165C">
              <w:rPr>
                <w:rFonts w:eastAsia="Times New Roman"/>
                <w:sz w:val="24"/>
                <w:szCs w:val="24"/>
                <w:lang w:val="lv-LV"/>
              </w:rPr>
              <w:t xml:space="preserve"> tiks nosūtīts saskaņošanai </w:t>
            </w:r>
            <w:r>
              <w:rPr>
                <w:rFonts w:eastAsia="Times New Roman"/>
                <w:sz w:val="24"/>
                <w:szCs w:val="24"/>
                <w:lang w:val="lv-LV"/>
              </w:rPr>
              <w:t>Finanšu ministrijai 16.11</w:t>
            </w:r>
            <w:r w:rsidRPr="00661A65">
              <w:rPr>
                <w:rFonts w:eastAsia="Times New Roman"/>
                <w:sz w:val="24"/>
                <w:szCs w:val="24"/>
                <w:lang w:val="lv-LV"/>
              </w:rPr>
              <w:t xml:space="preserve">.2020., saskaņošanas termiņš līdz </w:t>
            </w:r>
            <w:r>
              <w:rPr>
                <w:rFonts w:eastAsia="Times New Roman"/>
                <w:sz w:val="24"/>
                <w:szCs w:val="24"/>
                <w:lang w:val="lv-LV"/>
              </w:rPr>
              <w:t>30.11</w:t>
            </w:r>
            <w:r w:rsidRPr="00661A65">
              <w:rPr>
                <w:rFonts w:eastAsia="Times New Roman"/>
                <w:sz w:val="24"/>
                <w:szCs w:val="24"/>
                <w:lang w:val="lv-LV"/>
              </w:rPr>
              <w:t>.2020.</w:t>
            </w:r>
          </w:p>
          <w:p w14:paraId="25E475F8" w14:textId="096C7A49" w:rsidR="00372803" w:rsidRPr="00BB1E5D" w:rsidRDefault="00372803" w:rsidP="00BB1E5D">
            <w:pPr>
              <w:jc w:val="both"/>
              <w:rPr>
                <w:sz w:val="24"/>
                <w:lang w:val="lv-LV"/>
              </w:rPr>
            </w:pPr>
          </w:p>
        </w:tc>
      </w:tr>
      <w:tr w:rsidR="00993611" w:rsidRPr="00993611" w14:paraId="4A3B85BC" w14:textId="77777777" w:rsidTr="00A35ECD">
        <w:trPr>
          <w:trHeight w:val="1209"/>
        </w:trPr>
        <w:tc>
          <w:tcPr>
            <w:tcW w:w="426" w:type="dxa"/>
          </w:tcPr>
          <w:p w14:paraId="1919955A" w14:textId="77777777" w:rsidR="003626EC" w:rsidRPr="00993611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58358AB" w14:textId="77777777" w:rsidR="007075E2" w:rsidRPr="00993611" w:rsidRDefault="003626EC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Prognozējamā projekta finansiālā ietekme uz valsts budžetu</w:t>
            </w:r>
          </w:p>
        </w:tc>
        <w:tc>
          <w:tcPr>
            <w:tcW w:w="6096" w:type="dxa"/>
          </w:tcPr>
          <w:p w14:paraId="1C32217D" w14:textId="219C01B0" w:rsidR="00372803" w:rsidRPr="00993611" w:rsidRDefault="00A934CE" w:rsidP="00D712D4">
            <w:pPr>
              <w:jc w:val="both"/>
              <w:rPr>
                <w:sz w:val="24"/>
                <w:lang w:val="lv-LV"/>
              </w:rPr>
            </w:pPr>
            <w:r w:rsidRPr="001F165C">
              <w:rPr>
                <w:rFonts w:eastAsia="Times New Roman"/>
                <w:sz w:val="24"/>
                <w:szCs w:val="24"/>
                <w:lang w:val="lv-LV"/>
              </w:rPr>
              <w:t>Projektā noteiktais regulējums neradīs finansiālu ietekmi uz valsts budžetu.</w:t>
            </w:r>
            <w:r w:rsidR="0067160C">
              <w:rPr>
                <w:sz w:val="24"/>
                <w:szCs w:val="24"/>
                <w:lang w:val="lv-LV"/>
              </w:rPr>
              <w:t>.</w:t>
            </w:r>
          </w:p>
        </w:tc>
      </w:tr>
      <w:tr w:rsidR="00993611" w:rsidRPr="00993611" w14:paraId="032EF6B5" w14:textId="77777777" w:rsidTr="00A35ECD">
        <w:trPr>
          <w:trHeight w:val="1342"/>
        </w:trPr>
        <w:tc>
          <w:tcPr>
            <w:tcW w:w="426" w:type="dxa"/>
          </w:tcPr>
          <w:p w14:paraId="68866884" w14:textId="77777777" w:rsidR="003626EC" w:rsidRPr="00993611" w:rsidRDefault="003626EC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</w:tcPr>
          <w:p w14:paraId="07648D63" w14:textId="77777777" w:rsidR="003626EC" w:rsidRPr="00993611" w:rsidRDefault="00EC17D9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T</w:t>
            </w:r>
            <w:r w:rsidR="003626EC" w:rsidRPr="00993611">
              <w:rPr>
                <w:sz w:val="24"/>
                <w:lang w:val="lv-LV"/>
              </w:rPr>
              <w:t>iesību akta ieviešanas kalendārais plāns</w:t>
            </w:r>
          </w:p>
        </w:tc>
        <w:tc>
          <w:tcPr>
            <w:tcW w:w="6096" w:type="dxa"/>
          </w:tcPr>
          <w:p w14:paraId="3790C4FD" w14:textId="78F97521" w:rsidR="00503BD7" w:rsidRPr="00993611" w:rsidRDefault="004A6C81" w:rsidP="00503BD7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I</w:t>
            </w:r>
            <w:r w:rsidR="007075E2" w:rsidRPr="00993611">
              <w:rPr>
                <w:sz w:val="24"/>
                <w:szCs w:val="24"/>
                <w:lang w:val="lv-LV"/>
              </w:rPr>
              <w:t xml:space="preserve">zsludināts </w:t>
            </w:r>
            <w:r w:rsidR="00372803" w:rsidRPr="00993611">
              <w:rPr>
                <w:sz w:val="24"/>
                <w:szCs w:val="24"/>
                <w:lang w:val="lv-LV"/>
              </w:rPr>
              <w:t>VSS:</w:t>
            </w:r>
            <w:r w:rsidR="0003283A" w:rsidRPr="00993611">
              <w:rPr>
                <w:sz w:val="24"/>
                <w:szCs w:val="24"/>
                <w:lang w:val="lv-LV"/>
              </w:rPr>
              <w:t xml:space="preserve"> </w:t>
            </w:r>
            <w:r w:rsidR="002E5BCF" w:rsidRPr="00993611">
              <w:rPr>
                <w:sz w:val="24"/>
                <w:szCs w:val="24"/>
                <w:lang w:val="lv-LV"/>
              </w:rPr>
              <w:t xml:space="preserve">ne vēlāk kā </w:t>
            </w:r>
            <w:r w:rsidR="00A934CE">
              <w:rPr>
                <w:sz w:val="24"/>
                <w:szCs w:val="24"/>
                <w:lang w:val="lv-LV"/>
              </w:rPr>
              <w:t>11</w:t>
            </w:r>
            <w:r w:rsidR="00BB1E5D">
              <w:rPr>
                <w:sz w:val="24"/>
                <w:szCs w:val="24"/>
                <w:lang w:val="lv-LV"/>
              </w:rPr>
              <w:t>.12.2020.</w:t>
            </w:r>
          </w:p>
          <w:p w14:paraId="47E1F653" w14:textId="150F7C09" w:rsidR="00D712D4" w:rsidRPr="00993611" w:rsidRDefault="004A6C81" w:rsidP="00D712D4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lv-LV"/>
              </w:rPr>
            </w:pPr>
            <w:r w:rsidRPr="00993611">
              <w:rPr>
                <w:sz w:val="24"/>
                <w:szCs w:val="24"/>
                <w:lang w:val="lv-LV"/>
              </w:rPr>
              <w:t>I</w:t>
            </w:r>
            <w:r w:rsidR="00372803" w:rsidRPr="00993611">
              <w:rPr>
                <w:sz w:val="24"/>
                <w:szCs w:val="24"/>
                <w:lang w:val="lv-LV"/>
              </w:rPr>
              <w:t>esniegts Valsts kancelejā:</w:t>
            </w:r>
            <w:r w:rsidR="0003283A" w:rsidRPr="00993611">
              <w:rPr>
                <w:sz w:val="24"/>
                <w:szCs w:val="24"/>
                <w:lang w:val="lv-LV"/>
              </w:rPr>
              <w:t xml:space="preserve"> ne </w:t>
            </w:r>
            <w:r w:rsidR="00A16685">
              <w:rPr>
                <w:sz w:val="24"/>
                <w:szCs w:val="24"/>
                <w:lang w:val="lv-LV"/>
              </w:rPr>
              <w:t xml:space="preserve">vēlāk kā </w:t>
            </w:r>
            <w:r w:rsidR="00A934CE">
              <w:rPr>
                <w:sz w:val="24"/>
                <w:szCs w:val="24"/>
                <w:lang w:val="lv-LV"/>
              </w:rPr>
              <w:t>15</w:t>
            </w:r>
            <w:r w:rsidR="00BB1E5D">
              <w:rPr>
                <w:sz w:val="24"/>
                <w:szCs w:val="24"/>
                <w:lang w:val="lv-LV"/>
              </w:rPr>
              <w:t>.01.2021.</w:t>
            </w:r>
          </w:p>
          <w:p w14:paraId="42B3B4E1" w14:textId="77777777" w:rsidR="00EC17D9" w:rsidRPr="00993611" w:rsidRDefault="00EC17D9" w:rsidP="00372803">
            <w:pPr>
              <w:jc w:val="both"/>
              <w:rPr>
                <w:sz w:val="24"/>
                <w:lang w:val="lv-LV"/>
              </w:rPr>
            </w:pPr>
          </w:p>
        </w:tc>
      </w:tr>
      <w:tr w:rsidR="00993611" w:rsidRPr="00993611" w14:paraId="61D86F5B" w14:textId="77777777" w:rsidTr="00A35ECD">
        <w:tc>
          <w:tcPr>
            <w:tcW w:w="426" w:type="dxa"/>
            <w:tcBorders>
              <w:bottom w:val="single" w:sz="4" w:space="0" w:color="000000"/>
            </w:tcBorders>
          </w:tcPr>
          <w:p w14:paraId="3BBB1E80" w14:textId="77777777" w:rsidR="00F00C20" w:rsidRPr="00993611" w:rsidRDefault="00F00C20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48DD671" w14:textId="77777777" w:rsidR="00F00C20" w:rsidRPr="00993611" w:rsidRDefault="00F00C20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Politikas joma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2068718A" w14:textId="77777777" w:rsidR="00C467BB" w:rsidRPr="00993611" w:rsidRDefault="00C467BB" w:rsidP="003E5B81">
            <w:pPr>
              <w:jc w:val="both"/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Budžeta un finanšu joma</w:t>
            </w:r>
            <w:r w:rsidR="007C4530" w:rsidRPr="00993611">
              <w:rPr>
                <w:sz w:val="24"/>
                <w:lang w:val="lv-LV"/>
              </w:rPr>
              <w:t>.</w:t>
            </w:r>
          </w:p>
        </w:tc>
      </w:tr>
      <w:tr w:rsidR="00993611" w:rsidRPr="00993611" w14:paraId="1A4FC9C0" w14:textId="77777777" w:rsidTr="00A35ECD">
        <w:tc>
          <w:tcPr>
            <w:tcW w:w="426" w:type="dxa"/>
            <w:tcBorders>
              <w:bottom w:val="single" w:sz="4" w:space="0" w:color="000000"/>
            </w:tcBorders>
          </w:tcPr>
          <w:p w14:paraId="4734E70D" w14:textId="77777777" w:rsidR="00E92C41" w:rsidRPr="00993611" w:rsidRDefault="00E92C41" w:rsidP="00BE6AD8">
            <w:pPr>
              <w:pStyle w:val="ListParagraph"/>
              <w:numPr>
                <w:ilvl w:val="0"/>
                <w:numId w:val="1"/>
              </w:numPr>
              <w:ind w:left="34" w:right="176" w:firstLine="0"/>
              <w:jc w:val="both"/>
              <w:rPr>
                <w:sz w:val="24"/>
                <w:lang w:val="lv-LV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390B444" w14:textId="77777777" w:rsidR="00E92C41" w:rsidRPr="00993611" w:rsidRDefault="00E92C41" w:rsidP="00C21CBC">
            <w:pPr>
              <w:rPr>
                <w:sz w:val="24"/>
                <w:lang w:val="lv-LV"/>
              </w:rPr>
            </w:pPr>
            <w:r w:rsidRPr="00993611">
              <w:rPr>
                <w:sz w:val="24"/>
                <w:lang w:val="lv-LV"/>
              </w:rPr>
              <w:t>Uzziņas sagatavotājs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14:paraId="716066AC" w14:textId="05440B1A" w:rsidR="004253AD" w:rsidRPr="00993611" w:rsidRDefault="009334D0" w:rsidP="009334D0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Sandra Stepiņa</w:t>
            </w:r>
            <w:r w:rsidR="004253AD" w:rsidRPr="00993611">
              <w:rPr>
                <w:sz w:val="24"/>
                <w:lang w:val="lv-LV"/>
              </w:rPr>
              <w:t xml:space="preserve">, </w:t>
            </w:r>
            <w:r w:rsidR="004253AD" w:rsidRPr="00993611">
              <w:rPr>
                <w:sz w:val="24"/>
                <w:szCs w:val="24"/>
                <w:lang w:val="lv-LV"/>
              </w:rPr>
              <w:t>Finansēšanas departamenta direktora vietniece, 67094</w:t>
            </w:r>
            <w:r>
              <w:rPr>
                <w:sz w:val="24"/>
                <w:szCs w:val="24"/>
                <w:lang w:val="lv-LV"/>
              </w:rPr>
              <w:t>363</w:t>
            </w:r>
            <w:r w:rsidR="004253AD" w:rsidRPr="00993611">
              <w:rPr>
                <w:sz w:val="24"/>
                <w:szCs w:val="24"/>
                <w:lang w:val="lv-LV"/>
              </w:rPr>
              <w:t xml:space="preserve">, </w:t>
            </w:r>
            <w:r>
              <w:rPr>
                <w:sz w:val="24"/>
                <w:szCs w:val="24"/>
                <w:lang w:val="lv-LV"/>
              </w:rPr>
              <w:t>Sandra.Stepina@</w:t>
            </w:r>
            <w:r w:rsidR="004253AD" w:rsidRPr="00993611">
              <w:rPr>
                <w:sz w:val="24"/>
                <w:szCs w:val="24"/>
                <w:lang w:val="lv-LV"/>
              </w:rPr>
              <w:t>kase.gov.lv</w:t>
            </w:r>
            <w:r w:rsidR="0067160C">
              <w:rPr>
                <w:sz w:val="24"/>
                <w:szCs w:val="24"/>
                <w:lang w:val="lv-LV"/>
              </w:rPr>
              <w:t>.</w:t>
            </w:r>
          </w:p>
        </w:tc>
      </w:tr>
    </w:tbl>
    <w:p w14:paraId="693A1005" w14:textId="77777777" w:rsidR="005E78C5" w:rsidRPr="00993611" w:rsidRDefault="005E78C5" w:rsidP="00F00C20">
      <w:pPr>
        <w:ind w:left="-1134"/>
        <w:rPr>
          <w:b/>
        </w:rPr>
      </w:pPr>
      <w:bookmarkStart w:id="0" w:name="_GoBack"/>
      <w:bookmarkEnd w:id="0"/>
    </w:p>
    <w:sectPr w:rsidR="005E78C5" w:rsidRPr="00993611" w:rsidSect="00DC01D4">
      <w:headerReference w:type="default" r:id="rId13"/>
      <w:pgSz w:w="11906" w:h="16838" w:code="9"/>
      <w:pgMar w:top="993" w:right="1134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F81AE" w14:textId="77777777" w:rsidR="004B350C" w:rsidRDefault="004B350C">
      <w:r>
        <w:separator/>
      </w:r>
    </w:p>
  </w:endnote>
  <w:endnote w:type="continuationSeparator" w:id="0">
    <w:p w14:paraId="740EE5D9" w14:textId="77777777" w:rsidR="004B350C" w:rsidRDefault="004B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4464E" w14:textId="77777777" w:rsidR="004B350C" w:rsidRDefault="004B350C">
      <w:r>
        <w:separator/>
      </w:r>
    </w:p>
  </w:footnote>
  <w:footnote w:type="continuationSeparator" w:id="0">
    <w:p w14:paraId="0329FBDA" w14:textId="77777777" w:rsidR="004B350C" w:rsidRDefault="004B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0C736" w14:textId="6F7405CA" w:rsidR="00C21CBC" w:rsidRDefault="00C21C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872">
      <w:rPr>
        <w:noProof/>
      </w:rPr>
      <w:t>2</w:t>
    </w:r>
    <w:r>
      <w:fldChar w:fldCharType="end"/>
    </w:r>
  </w:p>
  <w:p w14:paraId="0A073C63" w14:textId="77777777" w:rsidR="00C21CBC" w:rsidRDefault="00C21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5569"/>
    <w:multiLevelType w:val="hybridMultilevel"/>
    <w:tmpl w:val="8166A0E0"/>
    <w:lvl w:ilvl="0" w:tplc="73E45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92665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E5F52"/>
    <w:multiLevelType w:val="hybridMultilevel"/>
    <w:tmpl w:val="5AACE9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D00C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C4D03"/>
    <w:multiLevelType w:val="hybridMultilevel"/>
    <w:tmpl w:val="9300DF7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04C49"/>
    <w:multiLevelType w:val="hybridMultilevel"/>
    <w:tmpl w:val="5D4A7114"/>
    <w:lvl w:ilvl="0" w:tplc="0A0490C4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B5"/>
    <w:rsid w:val="00020075"/>
    <w:rsid w:val="000229AD"/>
    <w:rsid w:val="0003283A"/>
    <w:rsid w:val="00032954"/>
    <w:rsid w:val="00040158"/>
    <w:rsid w:val="00045A57"/>
    <w:rsid w:val="0005092F"/>
    <w:rsid w:val="00055850"/>
    <w:rsid w:val="00083E13"/>
    <w:rsid w:val="00084DB8"/>
    <w:rsid w:val="000A1DC8"/>
    <w:rsid w:val="000A2ACB"/>
    <w:rsid w:val="000B5107"/>
    <w:rsid w:val="000C6B8D"/>
    <w:rsid w:val="000E6402"/>
    <w:rsid w:val="001036DB"/>
    <w:rsid w:val="00106F43"/>
    <w:rsid w:val="00110AD4"/>
    <w:rsid w:val="001204C3"/>
    <w:rsid w:val="00124D76"/>
    <w:rsid w:val="0013427F"/>
    <w:rsid w:val="00137007"/>
    <w:rsid w:val="0016785D"/>
    <w:rsid w:val="001769AC"/>
    <w:rsid w:val="001A280F"/>
    <w:rsid w:val="001B2ACB"/>
    <w:rsid w:val="001B4287"/>
    <w:rsid w:val="001D095C"/>
    <w:rsid w:val="001D244C"/>
    <w:rsid w:val="001F7DA3"/>
    <w:rsid w:val="0021780E"/>
    <w:rsid w:val="0022570D"/>
    <w:rsid w:val="00236C6A"/>
    <w:rsid w:val="00253D27"/>
    <w:rsid w:val="00267E0B"/>
    <w:rsid w:val="002731ED"/>
    <w:rsid w:val="00285530"/>
    <w:rsid w:val="0029706A"/>
    <w:rsid w:val="002A4361"/>
    <w:rsid w:val="002A7E73"/>
    <w:rsid w:val="002C1693"/>
    <w:rsid w:val="002C1C80"/>
    <w:rsid w:val="002E4CD6"/>
    <w:rsid w:val="002E51DD"/>
    <w:rsid w:val="002E5BCF"/>
    <w:rsid w:val="00302311"/>
    <w:rsid w:val="0035017B"/>
    <w:rsid w:val="00355119"/>
    <w:rsid w:val="003559F7"/>
    <w:rsid w:val="00360FCE"/>
    <w:rsid w:val="00362557"/>
    <w:rsid w:val="003626EC"/>
    <w:rsid w:val="003630F5"/>
    <w:rsid w:val="00372803"/>
    <w:rsid w:val="003A32C9"/>
    <w:rsid w:val="003A3769"/>
    <w:rsid w:val="003A44CD"/>
    <w:rsid w:val="003A687C"/>
    <w:rsid w:val="003B0FCB"/>
    <w:rsid w:val="003B5434"/>
    <w:rsid w:val="003D21CE"/>
    <w:rsid w:val="003D2DDA"/>
    <w:rsid w:val="003E5B81"/>
    <w:rsid w:val="003F7FCC"/>
    <w:rsid w:val="004253AD"/>
    <w:rsid w:val="00430A07"/>
    <w:rsid w:val="00443E19"/>
    <w:rsid w:val="00460813"/>
    <w:rsid w:val="00462F6E"/>
    <w:rsid w:val="0046536A"/>
    <w:rsid w:val="00472B9E"/>
    <w:rsid w:val="00487447"/>
    <w:rsid w:val="004A6C81"/>
    <w:rsid w:val="004B350C"/>
    <w:rsid w:val="004B3951"/>
    <w:rsid w:val="004E4969"/>
    <w:rsid w:val="004F5F06"/>
    <w:rsid w:val="00500BC5"/>
    <w:rsid w:val="00500D85"/>
    <w:rsid w:val="00503BD7"/>
    <w:rsid w:val="005050F7"/>
    <w:rsid w:val="00512644"/>
    <w:rsid w:val="0053726E"/>
    <w:rsid w:val="00540F5F"/>
    <w:rsid w:val="00555FE8"/>
    <w:rsid w:val="00562CEA"/>
    <w:rsid w:val="005728DF"/>
    <w:rsid w:val="00582B4E"/>
    <w:rsid w:val="0058619E"/>
    <w:rsid w:val="005A3874"/>
    <w:rsid w:val="005B4768"/>
    <w:rsid w:val="005D03F5"/>
    <w:rsid w:val="005D54C5"/>
    <w:rsid w:val="005D7046"/>
    <w:rsid w:val="005E58BE"/>
    <w:rsid w:val="005E6DFB"/>
    <w:rsid w:val="005E78C5"/>
    <w:rsid w:val="005F37FB"/>
    <w:rsid w:val="0061494D"/>
    <w:rsid w:val="0063659E"/>
    <w:rsid w:val="0064131A"/>
    <w:rsid w:val="00654276"/>
    <w:rsid w:val="00654852"/>
    <w:rsid w:val="006560A5"/>
    <w:rsid w:val="0065635D"/>
    <w:rsid w:val="0067160C"/>
    <w:rsid w:val="00672E57"/>
    <w:rsid w:val="00682214"/>
    <w:rsid w:val="006A40C5"/>
    <w:rsid w:val="006A428F"/>
    <w:rsid w:val="006C2F69"/>
    <w:rsid w:val="006D20D9"/>
    <w:rsid w:val="006D3D5D"/>
    <w:rsid w:val="006F07CB"/>
    <w:rsid w:val="006F5E84"/>
    <w:rsid w:val="00705323"/>
    <w:rsid w:val="007075E2"/>
    <w:rsid w:val="00722365"/>
    <w:rsid w:val="00724291"/>
    <w:rsid w:val="00742DF0"/>
    <w:rsid w:val="00753708"/>
    <w:rsid w:val="00780D12"/>
    <w:rsid w:val="00785943"/>
    <w:rsid w:val="00792B9A"/>
    <w:rsid w:val="00795DB0"/>
    <w:rsid w:val="007963B5"/>
    <w:rsid w:val="007A3BEC"/>
    <w:rsid w:val="007C3D83"/>
    <w:rsid w:val="007C4530"/>
    <w:rsid w:val="007C7BB4"/>
    <w:rsid w:val="00802931"/>
    <w:rsid w:val="00813866"/>
    <w:rsid w:val="008173A9"/>
    <w:rsid w:val="008203D3"/>
    <w:rsid w:val="00823697"/>
    <w:rsid w:val="00830061"/>
    <w:rsid w:val="00833FAB"/>
    <w:rsid w:val="008415F7"/>
    <w:rsid w:val="0084729C"/>
    <w:rsid w:val="00847535"/>
    <w:rsid w:val="00851257"/>
    <w:rsid w:val="008659F6"/>
    <w:rsid w:val="00876A4C"/>
    <w:rsid w:val="008811D8"/>
    <w:rsid w:val="0088791C"/>
    <w:rsid w:val="0089328C"/>
    <w:rsid w:val="008B53B4"/>
    <w:rsid w:val="008C27C9"/>
    <w:rsid w:val="008E491A"/>
    <w:rsid w:val="008E5D86"/>
    <w:rsid w:val="008F1E74"/>
    <w:rsid w:val="008F7363"/>
    <w:rsid w:val="0091278C"/>
    <w:rsid w:val="00926521"/>
    <w:rsid w:val="0092733A"/>
    <w:rsid w:val="009334D0"/>
    <w:rsid w:val="00943133"/>
    <w:rsid w:val="009451D0"/>
    <w:rsid w:val="00951819"/>
    <w:rsid w:val="009767E9"/>
    <w:rsid w:val="00977A9F"/>
    <w:rsid w:val="00993611"/>
    <w:rsid w:val="00996BDE"/>
    <w:rsid w:val="009C5364"/>
    <w:rsid w:val="009E4A8D"/>
    <w:rsid w:val="009F3CB6"/>
    <w:rsid w:val="00A06EBC"/>
    <w:rsid w:val="00A14316"/>
    <w:rsid w:val="00A16685"/>
    <w:rsid w:val="00A23A9D"/>
    <w:rsid w:val="00A2689C"/>
    <w:rsid w:val="00A35ECD"/>
    <w:rsid w:val="00A43A4A"/>
    <w:rsid w:val="00A60235"/>
    <w:rsid w:val="00A63591"/>
    <w:rsid w:val="00A8211B"/>
    <w:rsid w:val="00A8546E"/>
    <w:rsid w:val="00A934CE"/>
    <w:rsid w:val="00AA398C"/>
    <w:rsid w:val="00AA3DD4"/>
    <w:rsid w:val="00AB33D6"/>
    <w:rsid w:val="00AD6F0F"/>
    <w:rsid w:val="00AD7B1D"/>
    <w:rsid w:val="00AF2B65"/>
    <w:rsid w:val="00B10A07"/>
    <w:rsid w:val="00B23971"/>
    <w:rsid w:val="00B40A86"/>
    <w:rsid w:val="00B42DF9"/>
    <w:rsid w:val="00B73BA1"/>
    <w:rsid w:val="00B8463C"/>
    <w:rsid w:val="00B84961"/>
    <w:rsid w:val="00B91F7F"/>
    <w:rsid w:val="00B97229"/>
    <w:rsid w:val="00BB1E5D"/>
    <w:rsid w:val="00BB3F79"/>
    <w:rsid w:val="00BC004D"/>
    <w:rsid w:val="00BC20F7"/>
    <w:rsid w:val="00BD1A21"/>
    <w:rsid w:val="00BD22B4"/>
    <w:rsid w:val="00BE545C"/>
    <w:rsid w:val="00BE56FE"/>
    <w:rsid w:val="00BE6AD8"/>
    <w:rsid w:val="00BE706C"/>
    <w:rsid w:val="00C05DFC"/>
    <w:rsid w:val="00C21CBC"/>
    <w:rsid w:val="00C42D33"/>
    <w:rsid w:val="00C467BB"/>
    <w:rsid w:val="00C54082"/>
    <w:rsid w:val="00C63182"/>
    <w:rsid w:val="00C65719"/>
    <w:rsid w:val="00C70975"/>
    <w:rsid w:val="00C77524"/>
    <w:rsid w:val="00C8197A"/>
    <w:rsid w:val="00CA0B19"/>
    <w:rsid w:val="00CA4C9B"/>
    <w:rsid w:val="00CB1CFB"/>
    <w:rsid w:val="00CB3A6F"/>
    <w:rsid w:val="00CB4432"/>
    <w:rsid w:val="00CC2DEA"/>
    <w:rsid w:val="00CD04D4"/>
    <w:rsid w:val="00CE1F19"/>
    <w:rsid w:val="00CE206B"/>
    <w:rsid w:val="00CE5846"/>
    <w:rsid w:val="00CF2558"/>
    <w:rsid w:val="00D05485"/>
    <w:rsid w:val="00D132B8"/>
    <w:rsid w:val="00D14AB9"/>
    <w:rsid w:val="00D2165F"/>
    <w:rsid w:val="00D2669B"/>
    <w:rsid w:val="00D30615"/>
    <w:rsid w:val="00D411FD"/>
    <w:rsid w:val="00D47EC9"/>
    <w:rsid w:val="00D712D4"/>
    <w:rsid w:val="00D82767"/>
    <w:rsid w:val="00D82E4B"/>
    <w:rsid w:val="00D83E96"/>
    <w:rsid w:val="00DB0CFA"/>
    <w:rsid w:val="00DB4A99"/>
    <w:rsid w:val="00DB5E59"/>
    <w:rsid w:val="00DB6D6A"/>
    <w:rsid w:val="00DC01D4"/>
    <w:rsid w:val="00DC3C69"/>
    <w:rsid w:val="00DE02A5"/>
    <w:rsid w:val="00DE5E25"/>
    <w:rsid w:val="00DF16A3"/>
    <w:rsid w:val="00E02172"/>
    <w:rsid w:val="00E053A8"/>
    <w:rsid w:val="00E22143"/>
    <w:rsid w:val="00E35B38"/>
    <w:rsid w:val="00E41347"/>
    <w:rsid w:val="00E54872"/>
    <w:rsid w:val="00E54BB3"/>
    <w:rsid w:val="00E766A3"/>
    <w:rsid w:val="00E86CAD"/>
    <w:rsid w:val="00E87423"/>
    <w:rsid w:val="00E92C41"/>
    <w:rsid w:val="00EA62C8"/>
    <w:rsid w:val="00EB771A"/>
    <w:rsid w:val="00EC17D9"/>
    <w:rsid w:val="00EC3921"/>
    <w:rsid w:val="00EC6911"/>
    <w:rsid w:val="00ED030E"/>
    <w:rsid w:val="00ED0428"/>
    <w:rsid w:val="00EF0BC0"/>
    <w:rsid w:val="00EF5A2E"/>
    <w:rsid w:val="00F00C20"/>
    <w:rsid w:val="00F076F5"/>
    <w:rsid w:val="00F11D96"/>
    <w:rsid w:val="00F12047"/>
    <w:rsid w:val="00F17319"/>
    <w:rsid w:val="00F206C6"/>
    <w:rsid w:val="00F46A17"/>
    <w:rsid w:val="00F5117D"/>
    <w:rsid w:val="00F556F7"/>
    <w:rsid w:val="00F60C07"/>
    <w:rsid w:val="00F631D5"/>
    <w:rsid w:val="00F91326"/>
    <w:rsid w:val="00F91737"/>
    <w:rsid w:val="00F95F3C"/>
    <w:rsid w:val="00F96552"/>
    <w:rsid w:val="00FB2417"/>
    <w:rsid w:val="00FC2ADA"/>
    <w:rsid w:val="00FC2C4C"/>
    <w:rsid w:val="00FE6AB5"/>
    <w:rsid w:val="00FF4606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0CA8"/>
  <w15:chartTrackingRefBased/>
  <w15:docId w15:val="{B5ECCBC4-7935-4D43-A883-D1698EC4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B5"/>
    <w:rPr>
      <w:rFonts w:ascii="Times New Roman" w:hAnsi="Times New Roman"/>
      <w:sz w:val="28"/>
      <w:szCs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07CB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6F07CB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qFormat/>
    <w:rsid w:val="006F07C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07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F07CB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6F07CB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E6AB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E6AB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E6AB5"/>
    <w:rPr>
      <w:rFonts w:ascii="Times New Roman" w:hAnsi="Times New Roman"/>
      <w:sz w:val="28"/>
      <w:szCs w:val="28"/>
      <w:lang w:val="en-GB" w:eastAsia="en-US"/>
    </w:rPr>
  </w:style>
  <w:style w:type="character" w:styleId="Hyperlink">
    <w:name w:val="Hyperlink"/>
    <w:uiPriority w:val="99"/>
    <w:rsid w:val="00FE6AB5"/>
    <w:rPr>
      <w:color w:val="0000FF"/>
      <w:u w:val="single"/>
    </w:rPr>
  </w:style>
  <w:style w:type="paragraph" w:customStyle="1" w:styleId="naislab">
    <w:name w:val="naislab"/>
    <w:basedOn w:val="Normal"/>
    <w:rsid w:val="00110AD4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styleId="Strong">
    <w:name w:val="Strong"/>
    <w:qFormat/>
    <w:rsid w:val="006F5E84"/>
    <w:rPr>
      <w:b/>
      <w:bCs/>
    </w:rPr>
  </w:style>
  <w:style w:type="character" w:styleId="CommentReference">
    <w:name w:val="annotation reference"/>
    <w:uiPriority w:val="99"/>
    <w:semiHidden/>
    <w:unhideWhenUsed/>
    <w:rsid w:val="00795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D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95DB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D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5DB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DB0"/>
    <w:rPr>
      <w:rFonts w:ascii="Tahoma" w:hAnsi="Tahoma" w:cs="Tahoma"/>
      <w:sz w:val="16"/>
      <w:szCs w:val="16"/>
      <w:lang w:val="en-GB" w:eastAsia="en-US"/>
    </w:rPr>
  </w:style>
  <w:style w:type="paragraph" w:styleId="NoSpacing">
    <w:name w:val="No Spacing"/>
    <w:uiPriority w:val="1"/>
    <w:qFormat/>
    <w:rsid w:val="000A2ACB"/>
    <w:pPr>
      <w:widowControl w:val="0"/>
    </w:pPr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2A4361"/>
    <w:pPr>
      <w:jc w:val="center"/>
    </w:pPr>
    <w:rPr>
      <w:rFonts w:eastAsia="Times New Roman"/>
      <w:b/>
      <w:bCs/>
      <w:szCs w:val="24"/>
      <w:lang w:val="lv-LV"/>
    </w:rPr>
  </w:style>
  <w:style w:type="character" w:customStyle="1" w:styleId="BodyTextChar">
    <w:name w:val="Body Text Char"/>
    <w:link w:val="BodyText"/>
    <w:rsid w:val="002A4361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FontStyle16">
    <w:name w:val="Font Style16"/>
    <w:rsid w:val="001769A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styleId="Emphasis">
    <w:name w:val="Emphasis"/>
    <w:uiPriority w:val="20"/>
    <w:qFormat/>
    <w:rsid w:val="00B91F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ikumi.lv/ta/id/31418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0EE3E6F850B84E92D609FB7C396DB1" ma:contentTypeVersion="0" ma:contentTypeDescription="Izveidot jaunu dokumentu." ma:contentTypeScope="" ma:versionID="937d705f99936ee713bbc4290bd6ff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3567-7D9B-4AE8-8F34-C143AD211C78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BDDA70-C4A3-4EEC-901F-97A97632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7385C-FB1A-4C16-A1D6-E27A84DF61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B44588D-D315-435B-8834-12DF581F2E1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897072-AE53-4138-B603-8E29CFFE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 „Grozījumi Ministru kabineta 2012.gada 31.jūlija noteikumos Nr.523 „ Noteikumi par budžeta pieprasījumu izstrādāšanas un iesniegšanas pamatprincipiem””</vt:lpstr>
      <vt:lpstr>uzzina</vt:lpstr>
    </vt:vector>
  </TitlesOfParts>
  <Company>Finanšu ministrija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„Grozījumi Ministru kabineta 2012.gada 31.jūlija noteikumos Nr.523 „ Noteikumi par budžeta pieprasījumu izstrādāšanas un iesniegšanas pamatprincipiem””</dc:title>
  <dc:subject/>
  <dc:creator>ieva.klinsone@fm.gov.lv</dc:creator>
  <cp:keywords/>
  <dc:description>67095531, ieva.klinsone@fm.gov.lv</dc:description>
  <cp:lastModifiedBy>Sandra Gīle</cp:lastModifiedBy>
  <cp:revision>2</cp:revision>
  <cp:lastPrinted>2019-09-03T13:30:00Z</cp:lastPrinted>
  <dcterms:created xsi:type="dcterms:W3CDTF">2020-11-17T08:11:00Z</dcterms:created>
  <dcterms:modified xsi:type="dcterms:W3CDTF">2020-11-17T08:11:00Z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PK">
    <vt:lpwstr>1.</vt:lpwstr>
  </property>
  <property fmtid="{D5CDD505-2E9C-101B-9397-08002B2CF9AE}" pid="3" name="VK lēmums">
    <vt:lpwstr>Nav</vt:lpwstr>
  </property>
  <property fmtid="{D5CDD505-2E9C-101B-9397-08002B2CF9AE}" pid="4" name="ContentType">
    <vt:lpwstr>Dokuments</vt:lpwstr>
  </property>
  <property fmtid="{D5CDD505-2E9C-101B-9397-08002B2CF9AE}" pid="5" name="Zinotajs">
    <vt:lpwstr>D.Gulbe</vt:lpwstr>
  </property>
  <property fmtid="{D5CDD505-2E9C-101B-9397-08002B2CF9AE}" pid="6" name="ContentTypeId">
    <vt:lpwstr>0x010100190EE3E6F850B84E92D609FB7C396DB1</vt:lpwstr>
  </property>
</Properties>
</file>