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E1" w:rsidRDefault="0092159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8"/>
        </w:rPr>
      </w:pPr>
    </w:p>
    <w:p w:rsidR="00C35BE1" w:rsidRDefault="00921591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1F0D8E" w:rsidRPr="001F0D8E">
        <w:rPr>
          <w:rFonts w:ascii="Times New Roman" w:hAnsi="Times New Roman" w:cs="Times New Roman"/>
          <w:sz w:val="24"/>
        </w:rPr>
        <w:t>“</w:t>
      </w:r>
      <w:r w:rsidR="00A81311">
        <w:rPr>
          <w:rFonts w:ascii="Times New Roman" w:hAnsi="Times New Roman" w:cs="Times New Roman"/>
          <w:sz w:val="24"/>
        </w:rPr>
        <w:t>Juridiskās konsultācijas</w:t>
      </w:r>
      <w:r w:rsidR="001F0D8E" w:rsidRPr="001F0D8E">
        <w:rPr>
          <w:rFonts w:ascii="Times New Roman" w:hAnsi="Times New Roman" w:cs="Times New Roman"/>
          <w:sz w:val="24"/>
        </w:rPr>
        <w:t>”</w:t>
      </w:r>
      <w:r w:rsidR="00183B23" w:rsidRPr="00183B23">
        <w:rPr>
          <w:rFonts w:ascii="Times New Roman" w:hAnsi="Times New Roman" w:cs="Times New Roman"/>
          <w:sz w:val="24"/>
        </w:rPr>
        <w:t xml:space="preserve"> </w:t>
      </w:r>
      <w:r w:rsidR="000B309E">
        <w:rPr>
          <w:rFonts w:ascii="Times New Roman" w:hAnsi="Times New Roman" w:cs="Times New Roman"/>
          <w:sz w:val="24"/>
        </w:rPr>
        <w:t>VK/2014/06</w:t>
      </w:r>
      <w:r>
        <w:rPr>
          <w:rFonts w:ascii="Times New Roman" w:hAnsi="Times New Roman" w:cs="Times New Roman"/>
          <w:sz w:val="24"/>
        </w:rPr>
        <w:t xml:space="preserve"> komisijas sēdes</w:t>
      </w:r>
    </w:p>
    <w:p w:rsidR="00C35BE1" w:rsidRDefault="00C35BE1">
      <w:pPr>
        <w:ind w:right="41"/>
        <w:jc w:val="center"/>
        <w:outlineLvl w:val="0"/>
        <w:rPr>
          <w:b/>
          <w:spacing w:val="60"/>
          <w:sz w:val="22"/>
        </w:rPr>
      </w:pPr>
    </w:p>
    <w:p w:rsidR="00C35BE1" w:rsidRDefault="00921591">
      <w:pPr>
        <w:jc w:val="center"/>
      </w:pPr>
      <w:r>
        <w:t xml:space="preserve">protokols </w:t>
      </w:r>
    </w:p>
    <w:p w:rsidR="00C35BE1" w:rsidRDefault="00921591">
      <w:pPr>
        <w:jc w:val="center"/>
        <w:rPr>
          <w:sz w:val="20"/>
        </w:rPr>
      </w:pPr>
      <w:r>
        <w:rPr>
          <w:sz w:val="20"/>
        </w:rPr>
        <w:t>Rīga</w:t>
      </w:r>
    </w:p>
    <w:p w:rsidR="00C35BE1" w:rsidRDefault="00C35BE1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C35BE1">
        <w:tc>
          <w:tcPr>
            <w:tcW w:w="4575" w:type="dxa"/>
          </w:tcPr>
          <w:p w:rsidR="00C35BE1" w:rsidRDefault="00DD2587" w:rsidP="003F2A81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83B23">
              <w:rPr>
                <w:sz w:val="20"/>
              </w:rPr>
              <w:t>4</w:t>
            </w:r>
            <w:r w:rsidR="006C5857">
              <w:rPr>
                <w:sz w:val="20"/>
              </w:rPr>
              <w:t>. </w:t>
            </w:r>
            <w:r w:rsidR="006C5857" w:rsidRPr="00C05371">
              <w:rPr>
                <w:sz w:val="20"/>
              </w:rPr>
              <w:t xml:space="preserve">gada </w:t>
            </w:r>
            <w:r w:rsidR="003D64AC">
              <w:rPr>
                <w:sz w:val="20"/>
              </w:rPr>
              <w:t>3</w:t>
            </w:r>
            <w:r w:rsidR="00662DB6" w:rsidRPr="00407C80">
              <w:rPr>
                <w:sz w:val="20"/>
              </w:rPr>
              <w:t>. </w:t>
            </w:r>
            <w:r w:rsidR="00D91789">
              <w:rPr>
                <w:sz w:val="20"/>
              </w:rPr>
              <w:t>jū</w:t>
            </w:r>
            <w:r w:rsidR="003F2A81">
              <w:rPr>
                <w:sz w:val="20"/>
              </w:rPr>
              <w:t>l</w:t>
            </w:r>
            <w:r w:rsidR="00D91789">
              <w:rPr>
                <w:sz w:val="20"/>
              </w:rPr>
              <w:t>ijā</w:t>
            </w:r>
            <w:r w:rsidR="00D91789" w:rsidRPr="00407C80">
              <w:rPr>
                <w:sz w:val="20"/>
              </w:rPr>
              <w:t xml:space="preserve"> </w:t>
            </w:r>
            <w:r w:rsidRPr="00407C80">
              <w:rPr>
                <w:sz w:val="20"/>
              </w:rPr>
              <w:t>plkst. 1</w:t>
            </w:r>
            <w:r w:rsidR="00DC6A69">
              <w:rPr>
                <w:sz w:val="20"/>
              </w:rPr>
              <w:t>4</w:t>
            </w:r>
            <w:r w:rsidR="009F7B28" w:rsidRPr="00407C80">
              <w:rPr>
                <w:sz w:val="20"/>
              </w:rPr>
              <w:t>.</w:t>
            </w:r>
            <w:r w:rsidR="00DC7281" w:rsidRPr="00407C80">
              <w:rPr>
                <w:sz w:val="20"/>
              </w:rPr>
              <w:t>0</w:t>
            </w:r>
            <w:r w:rsidR="00921591" w:rsidRPr="00407C80">
              <w:rPr>
                <w:sz w:val="20"/>
              </w:rPr>
              <w:t>0</w:t>
            </w:r>
          </w:p>
        </w:tc>
        <w:tc>
          <w:tcPr>
            <w:tcW w:w="4705" w:type="dxa"/>
          </w:tcPr>
          <w:p w:rsidR="00C35BE1" w:rsidRDefault="001E1B6B" w:rsidP="009E6396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 xml:space="preserve">Nr. </w:t>
            </w:r>
            <w:r w:rsidR="009E6396">
              <w:t>5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 w:rsidRPr="004413A3">
        <w:tc>
          <w:tcPr>
            <w:tcW w:w="4575" w:type="dxa"/>
          </w:tcPr>
          <w:p w:rsidR="00C35BE1" w:rsidRPr="004413A3" w:rsidRDefault="00A76F0D">
            <w:pPr>
              <w:rPr>
                <w:sz w:val="20"/>
                <w:szCs w:val="20"/>
              </w:rPr>
            </w:pPr>
            <w:r w:rsidRPr="00A76F0D">
              <w:rPr>
                <w:sz w:val="20"/>
                <w:szCs w:val="20"/>
              </w:rPr>
              <w:t>Starptautiskās sadarbības departamenta direktore</w:t>
            </w:r>
          </w:p>
        </w:tc>
        <w:tc>
          <w:tcPr>
            <w:tcW w:w="4705" w:type="dxa"/>
          </w:tcPr>
          <w:p w:rsidR="00C35BE1" w:rsidRPr="00A76F0D" w:rsidRDefault="00A76F0D">
            <w:pPr>
              <w:jc w:val="right"/>
              <w:rPr>
                <w:sz w:val="20"/>
                <w:szCs w:val="20"/>
              </w:rPr>
            </w:pPr>
            <w:r w:rsidRPr="00A76F0D">
              <w:rPr>
                <w:sz w:val="20"/>
                <w:szCs w:val="20"/>
              </w:rPr>
              <w:t>I. Zīlīte</w:t>
            </w:r>
          </w:p>
        </w:tc>
      </w:tr>
      <w:tr w:rsidR="00C35BE1">
        <w:tc>
          <w:tcPr>
            <w:tcW w:w="4575" w:type="dxa"/>
          </w:tcPr>
          <w:p w:rsidR="00C35BE1" w:rsidRDefault="00C35BE1">
            <w:pPr>
              <w:jc w:val="both"/>
              <w:rPr>
                <w:sz w:val="20"/>
              </w:rPr>
            </w:pP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C35BE1">
        <w:tc>
          <w:tcPr>
            <w:tcW w:w="4575" w:type="dxa"/>
          </w:tcPr>
          <w:p w:rsidR="00C35BE1" w:rsidRDefault="00921591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C35BE1" w:rsidRDefault="00C35BE1">
            <w:pPr>
              <w:jc w:val="right"/>
              <w:rPr>
                <w:sz w:val="20"/>
              </w:rPr>
            </w:pPr>
          </w:p>
        </w:tc>
      </w:tr>
      <w:tr w:rsidR="00207D4E">
        <w:tc>
          <w:tcPr>
            <w:tcW w:w="4575" w:type="dxa"/>
          </w:tcPr>
          <w:p w:rsidR="00207D4E" w:rsidRDefault="00207D4E" w:rsidP="002B4D5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B63FB0">
              <w:t>Finanšu resursu departamenta direktors</w:t>
            </w:r>
          </w:p>
        </w:tc>
        <w:tc>
          <w:tcPr>
            <w:tcW w:w="4705" w:type="dxa"/>
          </w:tcPr>
          <w:p w:rsidR="00207D4E" w:rsidRDefault="00207D4E" w:rsidP="002B4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Ģ. Helmanis</w:t>
            </w:r>
          </w:p>
        </w:tc>
      </w:tr>
      <w:tr w:rsidR="00207D4E">
        <w:tc>
          <w:tcPr>
            <w:tcW w:w="4575" w:type="dxa"/>
          </w:tcPr>
          <w:p w:rsidR="00207D4E" w:rsidRPr="00B63FB0" w:rsidRDefault="00207D4E" w:rsidP="008E4E09">
            <w:pPr>
              <w:pStyle w:val="Footer"/>
              <w:tabs>
                <w:tab w:val="clear" w:pos="4153"/>
                <w:tab w:val="clear" w:pos="8306"/>
              </w:tabs>
            </w:pPr>
            <w:r w:rsidRPr="00DA6E06">
              <w:t>Finanšu resursu departamenta direktora vietniece</w:t>
            </w:r>
          </w:p>
        </w:tc>
        <w:tc>
          <w:tcPr>
            <w:tcW w:w="4705" w:type="dxa"/>
          </w:tcPr>
          <w:p w:rsidR="00207D4E" w:rsidRDefault="00207D4E" w:rsidP="00DA6E06">
            <w:pPr>
              <w:jc w:val="right"/>
              <w:rPr>
                <w:sz w:val="20"/>
              </w:rPr>
            </w:pPr>
            <w:r>
              <w:rPr>
                <w:sz w:val="20"/>
              </w:rPr>
              <w:t>I. Sudare</w:t>
            </w:r>
          </w:p>
        </w:tc>
      </w:tr>
      <w:tr w:rsidR="00207D4E">
        <w:tc>
          <w:tcPr>
            <w:tcW w:w="4575" w:type="dxa"/>
          </w:tcPr>
          <w:p w:rsidR="00207D4E" w:rsidRDefault="00207D4E" w:rsidP="009E6396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>
              <w:rPr>
                <w:szCs w:val="24"/>
                <w:lang w:eastAsia="lv-LV"/>
              </w:rPr>
              <w:t>Infrastruktūras apsaimniekošanas departamenta direktora vietniece</w:t>
            </w: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  <w:p w:rsidR="00207D4E" w:rsidRDefault="00207D4E" w:rsidP="009E6396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  <w:tr w:rsidR="00207D4E">
        <w:tc>
          <w:tcPr>
            <w:tcW w:w="4575" w:type="dxa"/>
          </w:tcPr>
          <w:p w:rsidR="00207D4E" w:rsidRDefault="00207D4E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</w:tc>
      </w:tr>
      <w:tr w:rsidR="00207D4E">
        <w:tc>
          <w:tcPr>
            <w:tcW w:w="4575" w:type="dxa"/>
          </w:tcPr>
          <w:p w:rsidR="00207D4E" w:rsidRPr="00207D4E" w:rsidRDefault="00207D4E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u w:val="single"/>
                <w:lang w:eastAsia="lv-LV"/>
              </w:rPr>
            </w:pPr>
            <w:r w:rsidRPr="00207D4E">
              <w:rPr>
                <w:szCs w:val="24"/>
                <w:u w:val="single"/>
                <w:lang w:eastAsia="lv-LV"/>
              </w:rPr>
              <w:t>Nepiedalās:</w:t>
            </w: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</w:tc>
      </w:tr>
      <w:tr w:rsidR="00207D4E">
        <w:tc>
          <w:tcPr>
            <w:tcW w:w="4575" w:type="dxa"/>
          </w:tcPr>
          <w:p w:rsidR="00207D4E" w:rsidRDefault="00207D4E" w:rsidP="002B4D5D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493AE8">
              <w:t>Juridiskā departamenta</w:t>
            </w:r>
            <w:r>
              <w:t xml:space="preserve"> </w:t>
            </w:r>
            <w:r w:rsidRPr="00DA6E06">
              <w:t>juriskonsulte</w:t>
            </w:r>
          </w:p>
        </w:tc>
        <w:tc>
          <w:tcPr>
            <w:tcW w:w="4705" w:type="dxa"/>
          </w:tcPr>
          <w:p w:rsidR="00207D4E" w:rsidRDefault="00207D4E" w:rsidP="002B4D5D">
            <w:pPr>
              <w:jc w:val="right"/>
              <w:rPr>
                <w:sz w:val="20"/>
              </w:rPr>
            </w:pPr>
            <w:r>
              <w:rPr>
                <w:sz w:val="20"/>
              </w:rPr>
              <w:t>S. Pauniņa</w:t>
            </w:r>
          </w:p>
        </w:tc>
      </w:tr>
      <w:tr w:rsidR="00207D4E">
        <w:tc>
          <w:tcPr>
            <w:tcW w:w="4575" w:type="dxa"/>
          </w:tcPr>
          <w:p w:rsidR="00207D4E" w:rsidRPr="00B63FB0" w:rsidRDefault="00207D4E" w:rsidP="008E4E09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</w:tc>
      </w:tr>
      <w:tr w:rsidR="00207D4E">
        <w:tc>
          <w:tcPr>
            <w:tcW w:w="4575" w:type="dxa"/>
          </w:tcPr>
          <w:p w:rsidR="00207D4E" w:rsidRDefault="00207D4E" w:rsidP="008E4E09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 w:rsidRPr="00157AED">
              <w:rPr>
                <w:u w:val="single"/>
              </w:rPr>
              <w:t>Protokolē</w:t>
            </w: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</w:tc>
      </w:tr>
      <w:tr w:rsidR="00207D4E">
        <w:tc>
          <w:tcPr>
            <w:tcW w:w="4575" w:type="dxa"/>
          </w:tcPr>
          <w:p w:rsidR="00207D4E" w:rsidRPr="00157AED" w:rsidRDefault="00207D4E" w:rsidP="009E6396">
            <w:pPr>
              <w:pStyle w:val="Footer"/>
              <w:tabs>
                <w:tab w:val="clear" w:pos="4153"/>
                <w:tab w:val="clear" w:pos="8306"/>
              </w:tabs>
              <w:rPr>
                <w:u w:val="single"/>
              </w:rPr>
            </w:pPr>
            <w:r>
              <w:rPr>
                <w:szCs w:val="24"/>
                <w:lang w:eastAsia="lv-LV"/>
              </w:rPr>
              <w:t>Infrastruktūras apsaimniekošanas departamenta direktora  vietniece</w:t>
            </w:r>
          </w:p>
        </w:tc>
        <w:tc>
          <w:tcPr>
            <w:tcW w:w="4705" w:type="dxa"/>
          </w:tcPr>
          <w:p w:rsidR="00207D4E" w:rsidRDefault="00207D4E">
            <w:pPr>
              <w:jc w:val="right"/>
              <w:rPr>
                <w:sz w:val="20"/>
              </w:rPr>
            </w:pPr>
          </w:p>
          <w:p w:rsidR="00207D4E" w:rsidRDefault="00207D4E" w:rsidP="00207D4E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Ozola</w:t>
            </w:r>
          </w:p>
        </w:tc>
      </w:tr>
    </w:tbl>
    <w:p w:rsidR="00C35BE1" w:rsidRDefault="00C35BE1"/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Darba kārtībā:</w:t>
      </w:r>
    </w:p>
    <w:p w:rsidR="000B309E" w:rsidRDefault="00822AE0" w:rsidP="000B309E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 w:rsidRPr="00126B84">
        <w:t xml:space="preserve">Pretendenta </w:t>
      </w:r>
      <w:proofErr w:type="spellStart"/>
      <w:r w:rsidR="007A5AFA" w:rsidRPr="00407C80">
        <w:t>Allen</w:t>
      </w:r>
      <w:proofErr w:type="spellEnd"/>
      <w:r w:rsidR="007A5AFA" w:rsidRPr="00407C80">
        <w:t xml:space="preserve"> &amp; </w:t>
      </w:r>
      <w:proofErr w:type="spellStart"/>
      <w:r w:rsidR="007A5AFA" w:rsidRPr="00407C80">
        <w:t>Overy</w:t>
      </w:r>
      <w:proofErr w:type="spellEnd"/>
      <w:r w:rsidR="007A5AFA" w:rsidRPr="00407C80">
        <w:t xml:space="preserve"> LLP</w:t>
      </w:r>
      <w:r w:rsidR="007A5AFA" w:rsidRPr="00126B84">
        <w:t xml:space="preserve"> </w:t>
      </w:r>
      <w:r w:rsidR="00E43A48">
        <w:t>2014. gada 23.jūnija e</w:t>
      </w:r>
      <w:r w:rsidR="00EB1C4C">
        <w:t>-pasta izskatīšana (</w:t>
      </w:r>
      <w:r w:rsidR="00E43A48">
        <w:t xml:space="preserve">VK </w:t>
      </w:r>
      <w:proofErr w:type="spellStart"/>
      <w:r w:rsidR="00E43A48">
        <w:t>reg</w:t>
      </w:r>
      <w:proofErr w:type="spellEnd"/>
      <w:r w:rsidR="00E43A48">
        <w:t>. Nr.4943</w:t>
      </w:r>
      <w:r w:rsidR="00EB1C4C">
        <w:t xml:space="preserve"> no 27.06.2014.</w:t>
      </w:r>
      <w:r w:rsidR="00E43A48">
        <w:t>).</w:t>
      </w:r>
    </w:p>
    <w:p w:rsidR="00E43A48" w:rsidRDefault="00E43A48" w:rsidP="000B309E">
      <w:pPr>
        <w:pStyle w:val="ListParagraph"/>
        <w:numPr>
          <w:ilvl w:val="0"/>
          <w:numId w:val="5"/>
        </w:numPr>
        <w:tabs>
          <w:tab w:val="left" w:pos="560"/>
        </w:tabs>
        <w:ind w:left="567" w:right="-879" w:hanging="567"/>
        <w:jc w:val="both"/>
      </w:pPr>
      <w:r w:rsidRPr="00D8027F">
        <w:t xml:space="preserve">Lēmuma par </w:t>
      </w:r>
      <w:r>
        <w:t>iepirkuma procedūras</w:t>
      </w:r>
      <w:r w:rsidRPr="00D8027F">
        <w:t xml:space="preserve"> rezultātiem pieņemšana</w:t>
      </w:r>
      <w:r w:rsidR="00207D4E">
        <w:t>.</w:t>
      </w:r>
    </w:p>
    <w:p w:rsidR="009E6396" w:rsidRDefault="009E6396" w:rsidP="00E43A48">
      <w:pPr>
        <w:pStyle w:val="BlockText"/>
        <w:numPr>
          <w:ilvl w:val="0"/>
          <w:numId w:val="5"/>
        </w:numPr>
        <w:tabs>
          <w:tab w:val="clear" w:pos="560"/>
          <w:tab w:val="left" w:pos="0"/>
        </w:tabs>
        <w:ind w:left="567" w:hanging="567"/>
        <w:jc w:val="both"/>
      </w:pPr>
      <w:r>
        <w:t>Atbildīgā darbinieka par līguma slēgšanu noteikšana.</w:t>
      </w:r>
    </w:p>
    <w:p w:rsidR="009E6396" w:rsidRDefault="009E6396" w:rsidP="00E43A48">
      <w:pPr>
        <w:pStyle w:val="BlockText"/>
        <w:numPr>
          <w:ilvl w:val="0"/>
          <w:numId w:val="5"/>
        </w:numPr>
        <w:tabs>
          <w:tab w:val="clear" w:pos="560"/>
          <w:tab w:val="left" w:pos="0"/>
        </w:tabs>
        <w:ind w:left="567" w:hanging="567"/>
        <w:jc w:val="both"/>
      </w:pPr>
      <w:r>
        <w:t>Atbildīgā darbinieka par līguma izpildes uzraudzību noteikšana.</w:t>
      </w:r>
    </w:p>
    <w:p w:rsidR="009E6396" w:rsidRDefault="009E6396" w:rsidP="00E43A48">
      <w:pPr>
        <w:pStyle w:val="BlockText"/>
        <w:numPr>
          <w:ilvl w:val="0"/>
          <w:numId w:val="5"/>
        </w:numPr>
        <w:tabs>
          <w:tab w:val="clear" w:pos="560"/>
          <w:tab w:val="left" w:pos="0"/>
        </w:tabs>
        <w:ind w:left="567" w:hanging="567"/>
        <w:jc w:val="both"/>
      </w:pPr>
      <w:r>
        <w:t>Informācijas par iepirkuma procedūras rezu</w:t>
      </w:r>
      <w:r w:rsidR="00913C82">
        <w:t>ltātiem nosūtīšana pretendentam</w:t>
      </w:r>
      <w:r>
        <w:t>.</w:t>
      </w:r>
    </w:p>
    <w:p w:rsidR="009E6396" w:rsidRDefault="009E6396" w:rsidP="00E43A48">
      <w:pPr>
        <w:pStyle w:val="BlockText"/>
        <w:numPr>
          <w:ilvl w:val="0"/>
          <w:numId w:val="5"/>
        </w:numPr>
        <w:tabs>
          <w:tab w:val="clear" w:pos="560"/>
          <w:tab w:val="left" w:pos="0"/>
        </w:tabs>
        <w:ind w:left="567" w:right="-26" w:hanging="567"/>
        <w:jc w:val="both"/>
      </w:pPr>
      <w:r>
        <w:t>Informatīva paziņojuma par noslēgto līgumu publicēšana Iepirkumu uzraudzības biroja mājaslapā.</w:t>
      </w:r>
    </w:p>
    <w:p w:rsidR="00207916" w:rsidRPr="003D1D3B" w:rsidRDefault="00207916">
      <w:pPr>
        <w:ind w:right="-879"/>
        <w:rPr>
          <w:bCs/>
          <w:iCs/>
        </w:rPr>
      </w:pPr>
    </w:p>
    <w:p w:rsidR="00C35BE1" w:rsidRDefault="00921591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E43A48" w:rsidRDefault="00E43A48">
      <w:pPr>
        <w:ind w:right="-879"/>
        <w:rPr>
          <w:b/>
          <w:bCs/>
          <w:i/>
          <w:iCs/>
        </w:rPr>
      </w:pPr>
    </w:p>
    <w:p w:rsidR="00272B7A" w:rsidRDefault="00E43A48" w:rsidP="00C319DE">
      <w:pPr>
        <w:numPr>
          <w:ilvl w:val="0"/>
          <w:numId w:val="7"/>
        </w:numPr>
        <w:tabs>
          <w:tab w:val="clear" w:pos="718"/>
          <w:tab w:val="num" w:pos="567"/>
        </w:tabs>
        <w:ind w:left="567" w:right="-82" w:hanging="567"/>
        <w:jc w:val="both"/>
      </w:pPr>
      <w:r>
        <w:t>Finanšu resursu departamenta direktora vietniece</w:t>
      </w:r>
      <w:r w:rsidR="00272B7A">
        <w:t xml:space="preserve"> I. Sudare iepazīstina ar precizēto informāciju par </w:t>
      </w:r>
      <w:r w:rsidR="00EB1C4C">
        <w:t>p</w:t>
      </w:r>
      <w:r w:rsidR="00272B7A" w:rsidRPr="00126B84">
        <w:t xml:space="preserve">retendenta </w:t>
      </w:r>
      <w:proofErr w:type="spellStart"/>
      <w:r w:rsidR="00272B7A" w:rsidRPr="00407C80">
        <w:t>Allen</w:t>
      </w:r>
      <w:proofErr w:type="spellEnd"/>
      <w:r w:rsidR="00272B7A" w:rsidRPr="00407C80">
        <w:t xml:space="preserve"> &amp; </w:t>
      </w:r>
      <w:proofErr w:type="spellStart"/>
      <w:r w:rsidR="00272B7A" w:rsidRPr="00407C80">
        <w:t>Overy</w:t>
      </w:r>
      <w:proofErr w:type="spellEnd"/>
      <w:r w:rsidR="00272B7A" w:rsidRPr="00407C80">
        <w:t xml:space="preserve"> LLP</w:t>
      </w:r>
      <w:r w:rsidR="00272B7A" w:rsidRPr="00126B84">
        <w:t xml:space="preserve"> </w:t>
      </w:r>
      <w:r w:rsidR="00EB1C4C">
        <w:t>f</w:t>
      </w:r>
      <w:r w:rsidR="00272B7A">
        <w:t>inanšu piedāvājumu, ka pirms darba uzdevuma izpildes</w:t>
      </w:r>
      <w:r w:rsidR="00913C82">
        <w:t>, kas</w:t>
      </w:r>
      <w:r w:rsidR="00375C2D">
        <w:t>,</w:t>
      </w:r>
      <w:r w:rsidR="00913C82">
        <w:t xml:space="preserve"> indikatīvi novērtējot, pārsniegs 5 tūkst. GBP,</w:t>
      </w:r>
      <w:r w:rsidR="00272B7A">
        <w:t xml:space="preserve"> </w:t>
      </w:r>
      <w:proofErr w:type="spellStart"/>
      <w:r w:rsidR="00272B7A" w:rsidRPr="00407C80">
        <w:t>Allen</w:t>
      </w:r>
      <w:proofErr w:type="spellEnd"/>
      <w:r w:rsidR="00272B7A" w:rsidRPr="00407C80">
        <w:t xml:space="preserve"> &amp; </w:t>
      </w:r>
      <w:proofErr w:type="spellStart"/>
      <w:r w:rsidR="00272B7A" w:rsidRPr="00407C80">
        <w:t>Overy</w:t>
      </w:r>
      <w:proofErr w:type="spellEnd"/>
      <w:r w:rsidR="00272B7A" w:rsidRPr="00407C80">
        <w:t xml:space="preserve"> LLP</w:t>
      </w:r>
      <w:r w:rsidR="00272B7A" w:rsidRPr="00126B84">
        <w:t xml:space="preserve"> </w:t>
      </w:r>
      <w:r w:rsidR="00272B7A">
        <w:t>informēs</w:t>
      </w:r>
      <w:r w:rsidR="00C319DE">
        <w:t xml:space="preserve"> Valsts kasi</w:t>
      </w:r>
      <w:r w:rsidR="00272B7A">
        <w:t xml:space="preserve"> par </w:t>
      </w:r>
      <w:r w:rsidR="00913C82">
        <w:t xml:space="preserve">sagaidāmajām </w:t>
      </w:r>
      <w:r w:rsidR="00272B7A">
        <w:t>izmaksām un uzdevumu izpildi neuzsāks bez Valsts kases saskaņojuma.</w:t>
      </w:r>
      <w:r w:rsidR="00C319DE" w:rsidRPr="00C319DE">
        <w:t xml:space="preserve"> </w:t>
      </w:r>
    </w:p>
    <w:p w:rsidR="00EB1C4C" w:rsidRDefault="00EB1C4C" w:rsidP="00E43A48">
      <w:pPr>
        <w:numPr>
          <w:ilvl w:val="0"/>
          <w:numId w:val="7"/>
        </w:numPr>
        <w:tabs>
          <w:tab w:val="clear" w:pos="718"/>
          <w:tab w:val="num" w:pos="588"/>
        </w:tabs>
        <w:ind w:left="588" w:right="-82" w:hanging="560"/>
        <w:jc w:val="both"/>
      </w:pPr>
      <w:r>
        <w:t>Saskaņā ar Publisko iepirkumu likuma 8.</w:t>
      </w:r>
      <w:r>
        <w:rPr>
          <w:vertAlign w:val="superscript"/>
        </w:rPr>
        <w:t>2</w:t>
      </w:r>
      <w:r>
        <w:t xml:space="preserve"> panta devīto daļu un iepirkuma procedūras uzaicinājuma 13. punktu izvēlēties </w:t>
      </w:r>
      <w:proofErr w:type="spellStart"/>
      <w:r w:rsidRPr="00407C80">
        <w:t>Allen</w:t>
      </w:r>
      <w:proofErr w:type="spellEnd"/>
      <w:r w:rsidRPr="00407C80">
        <w:t xml:space="preserve"> &amp; </w:t>
      </w:r>
      <w:proofErr w:type="spellStart"/>
      <w:r w:rsidRPr="00407C80">
        <w:t>Overy</w:t>
      </w:r>
      <w:proofErr w:type="spellEnd"/>
      <w:r w:rsidRPr="00407C80">
        <w:t xml:space="preserve"> LLP</w:t>
      </w:r>
      <w:r>
        <w:t xml:space="preserve"> piedāvājumu, kas atbilst iepirkuma procedūras prasībām</w:t>
      </w:r>
      <w:r w:rsidR="00921848">
        <w:t>.</w:t>
      </w:r>
    </w:p>
    <w:p w:rsidR="006A0B40" w:rsidRPr="006A0B40" w:rsidRDefault="00921848" w:rsidP="00F15601">
      <w:pPr>
        <w:numPr>
          <w:ilvl w:val="0"/>
          <w:numId w:val="7"/>
        </w:numPr>
        <w:tabs>
          <w:tab w:val="clear" w:pos="718"/>
          <w:tab w:val="num" w:pos="567"/>
        </w:tabs>
        <w:ind w:left="567" w:right="-82" w:hanging="539"/>
        <w:jc w:val="both"/>
      </w:pPr>
      <w:r>
        <w:t>Tā kā p</w:t>
      </w:r>
      <w:r w:rsidR="00272B7A" w:rsidRPr="00EA7A27">
        <w:t>retendenta</w:t>
      </w:r>
      <w:r w:rsidR="006A0B40">
        <w:t xml:space="preserve"> </w:t>
      </w:r>
      <w:proofErr w:type="spellStart"/>
      <w:r w:rsidR="006A0B40" w:rsidRPr="00407C80">
        <w:t>Allen</w:t>
      </w:r>
      <w:proofErr w:type="spellEnd"/>
      <w:r w:rsidR="006A0B40" w:rsidRPr="00407C80">
        <w:t xml:space="preserve"> &amp; </w:t>
      </w:r>
      <w:proofErr w:type="spellStart"/>
      <w:r w:rsidR="006A0B40" w:rsidRPr="00407C80">
        <w:t>Overy</w:t>
      </w:r>
      <w:proofErr w:type="spellEnd"/>
      <w:r w:rsidR="006A0B40" w:rsidRPr="00407C80">
        <w:t xml:space="preserve"> LLP</w:t>
      </w:r>
      <w:r w:rsidR="00272B7A" w:rsidRPr="00EA7A27">
        <w:t xml:space="preserve"> piedāvājums atbilst </w:t>
      </w:r>
      <w:r w:rsidR="006A0B40">
        <w:t>iepirkuma procedūras</w:t>
      </w:r>
      <w:r w:rsidR="00272B7A" w:rsidRPr="00EA7A27">
        <w:t xml:space="preserve"> </w:t>
      </w:r>
      <w:r w:rsidR="006A0B40">
        <w:t xml:space="preserve">uzaicinājumā </w:t>
      </w:r>
      <w:r w:rsidR="00272B7A" w:rsidRPr="00EA7A27">
        <w:t xml:space="preserve">norādītajām </w:t>
      </w:r>
      <w:r w:rsidR="00272B7A" w:rsidRPr="00270E6C">
        <w:t>pretendentu atlases prasībām</w:t>
      </w:r>
      <w:r w:rsidR="006A0B40">
        <w:t xml:space="preserve"> </w:t>
      </w:r>
      <w:r w:rsidR="006A0B40" w:rsidRPr="00270E6C">
        <w:t>(</w:t>
      </w:r>
      <w:r w:rsidR="006A0B40">
        <w:t>uzaicinājuma 9</w:t>
      </w:r>
      <w:r w:rsidR="006A0B40" w:rsidRPr="00681832">
        <w:t xml:space="preserve">. </w:t>
      </w:r>
      <w:r w:rsidR="006A0B40">
        <w:t>p</w:t>
      </w:r>
      <w:r w:rsidR="006A0B40" w:rsidRPr="00681832">
        <w:t>unkts</w:t>
      </w:r>
      <w:r w:rsidRPr="00921848">
        <w:t xml:space="preserve"> </w:t>
      </w:r>
      <w:r>
        <w:t>„Prasības pretendentiem, iesniedzamie pretendentu atlases dokumenti un pārbaudāmās ziņas”</w:t>
      </w:r>
      <w:r w:rsidR="006A0B40">
        <w:t>) un tehniskās specifikācijas</w:t>
      </w:r>
      <w:r w:rsidR="00272B7A" w:rsidRPr="00270E6C">
        <w:t xml:space="preserve"> </w:t>
      </w:r>
      <w:r w:rsidR="006A0B40">
        <w:t xml:space="preserve">prasībām </w:t>
      </w:r>
      <w:r w:rsidR="00272B7A" w:rsidRPr="00270E6C">
        <w:t>(</w:t>
      </w:r>
      <w:r w:rsidR="006A0B40">
        <w:t>uzaicinājuma</w:t>
      </w:r>
      <w:r w:rsidR="00272B7A">
        <w:t xml:space="preserve"> </w:t>
      </w:r>
      <w:r w:rsidR="006A0B40">
        <w:t>10</w:t>
      </w:r>
      <w:r w:rsidR="00272B7A" w:rsidRPr="00681832">
        <w:t>. </w:t>
      </w:r>
      <w:r w:rsidR="006A0B40">
        <w:t>p</w:t>
      </w:r>
      <w:r w:rsidR="00272B7A" w:rsidRPr="00681832">
        <w:t>unkts</w:t>
      </w:r>
      <w:r>
        <w:t xml:space="preserve"> ”Tehniskā specifikācija”</w:t>
      </w:r>
      <w:r w:rsidR="006A0B40">
        <w:t>)</w:t>
      </w:r>
      <w:r w:rsidR="00272B7A" w:rsidRPr="00681832">
        <w:t xml:space="preserve"> </w:t>
      </w:r>
      <w:r>
        <w:t>tad</w:t>
      </w:r>
      <w:r w:rsidR="00272B7A">
        <w:t xml:space="preserve"> iepirkuma komisija nolemj noslēgt līgumu </w:t>
      </w:r>
      <w:r w:rsidR="00272B7A" w:rsidRPr="00D70EC2">
        <w:t xml:space="preserve">ar </w:t>
      </w:r>
      <w:r w:rsidR="00272B7A" w:rsidRPr="001B3A6A">
        <w:rPr>
          <w:bCs/>
        </w:rPr>
        <w:t>pretendentu</w:t>
      </w:r>
      <w:r w:rsidR="00E43A48">
        <w:t xml:space="preserve"> </w:t>
      </w:r>
      <w:proofErr w:type="spellStart"/>
      <w:r w:rsidR="00E43A48">
        <w:t>Allen</w:t>
      </w:r>
      <w:proofErr w:type="spellEnd"/>
      <w:r w:rsidR="00E43A48">
        <w:t xml:space="preserve"> &amp; </w:t>
      </w:r>
      <w:proofErr w:type="spellStart"/>
      <w:r w:rsidR="00E43A48">
        <w:t>Overy</w:t>
      </w:r>
      <w:proofErr w:type="spellEnd"/>
      <w:r w:rsidR="00E43A48">
        <w:t xml:space="preserve"> LLP</w:t>
      </w:r>
      <w:r w:rsidR="00C319DE">
        <w:t>,</w:t>
      </w:r>
      <w:r w:rsidR="00E43A48">
        <w:t xml:space="preserve"> </w:t>
      </w:r>
      <w:r w:rsidR="006A0B40" w:rsidRPr="001B3A6A">
        <w:rPr>
          <w:bCs/>
        </w:rPr>
        <w:t>nepārsniedzot kopēj</w:t>
      </w:r>
      <w:r w:rsidR="00E843BD">
        <w:rPr>
          <w:bCs/>
        </w:rPr>
        <w:t>ās</w:t>
      </w:r>
      <w:r w:rsidR="006A0B40" w:rsidRPr="001B3A6A">
        <w:rPr>
          <w:bCs/>
        </w:rPr>
        <w:t xml:space="preserve"> līgum</w:t>
      </w:r>
      <w:r w:rsidR="00E843BD">
        <w:rPr>
          <w:bCs/>
        </w:rPr>
        <w:t>a</w:t>
      </w:r>
      <w:r w:rsidR="006A0B40" w:rsidRPr="001B3A6A">
        <w:rPr>
          <w:bCs/>
        </w:rPr>
        <w:t xml:space="preserve"> </w:t>
      </w:r>
      <w:r w:rsidR="006A0B40" w:rsidRPr="001B3A6A">
        <w:rPr>
          <w:bCs/>
        </w:rPr>
        <w:lastRenderedPageBreak/>
        <w:t>summ</w:t>
      </w:r>
      <w:r w:rsidR="00E843BD">
        <w:rPr>
          <w:bCs/>
        </w:rPr>
        <w:t>as</w:t>
      </w:r>
      <w:r w:rsidR="006A0B40" w:rsidRPr="001B3A6A">
        <w:rPr>
          <w:bCs/>
        </w:rPr>
        <w:t xml:space="preserve"> </w:t>
      </w:r>
      <w:r w:rsidR="006A0B40">
        <w:t>41</w:t>
      </w:r>
      <w:r w:rsidR="006A0B40" w:rsidRPr="00272B7A">
        <w:rPr>
          <w:bCs/>
        </w:rPr>
        <w:t> </w:t>
      </w:r>
      <w:r w:rsidR="006A0B40">
        <w:rPr>
          <w:bCs/>
        </w:rPr>
        <w:t>500</w:t>
      </w:r>
      <w:r w:rsidR="006A0B40" w:rsidRPr="00272B7A">
        <w:rPr>
          <w:bCs/>
        </w:rPr>
        <w:t xml:space="preserve">,00 </w:t>
      </w:r>
      <w:r w:rsidR="006A0B40">
        <w:rPr>
          <w:bCs/>
        </w:rPr>
        <w:t xml:space="preserve"> EUR </w:t>
      </w:r>
      <w:r w:rsidR="006A0B40" w:rsidRPr="00272B7A">
        <w:rPr>
          <w:bCs/>
        </w:rPr>
        <w:t>(bez PVN)</w:t>
      </w:r>
      <w:r w:rsidR="00E843BD">
        <w:rPr>
          <w:bCs/>
        </w:rPr>
        <w:t xml:space="preserve"> ekvivalentu GBP (bez PVN), kas </w:t>
      </w:r>
      <w:r w:rsidR="00DC2B99">
        <w:rPr>
          <w:bCs/>
        </w:rPr>
        <w:t xml:space="preserve">tiks </w:t>
      </w:r>
      <w:r w:rsidR="00E843BD">
        <w:rPr>
          <w:bCs/>
        </w:rPr>
        <w:t xml:space="preserve">fiksēts līgumā saskaņā ar </w:t>
      </w:r>
      <w:r w:rsidR="00E87FB4">
        <w:rPr>
          <w:bCs/>
        </w:rPr>
        <w:t xml:space="preserve">Eiropas </w:t>
      </w:r>
      <w:r w:rsidR="00567247">
        <w:rPr>
          <w:bCs/>
        </w:rPr>
        <w:t xml:space="preserve">Centrālās bankas </w:t>
      </w:r>
      <w:r w:rsidR="00E87FB4">
        <w:rPr>
          <w:bCs/>
        </w:rPr>
        <w:t xml:space="preserve">publicēto </w:t>
      </w:r>
      <w:r w:rsidR="00E843BD">
        <w:rPr>
          <w:bCs/>
        </w:rPr>
        <w:t>EUR/GBP</w:t>
      </w:r>
      <w:r w:rsidR="00E87FB4">
        <w:rPr>
          <w:bCs/>
        </w:rPr>
        <w:t xml:space="preserve"> atsauces </w:t>
      </w:r>
      <w:r w:rsidR="00567247">
        <w:rPr>
          <w:bCs/>
        </w:rPr>
        <w:t>valūtas kursu</w:t>
      </w:r>
      <w:r w:rsidR="006C1EF4">
        <w:rPr>
          <w:bCs/>
        </w:rPr>
        <w:t>, kas pārpublicēts</w:t>
      </w:r>
      <w:r w:rsidR="00DC2B99">
        <w:rPr>
          <w:bCs/>
        </w:rPr>
        <w:t xml:space="preserve"> </w:t>
      </w:r>
      <w:r w:rsidR="00DC2B99" w:rsidRPr="00DC2B99">
        <w:rPr>
          <w:bCs/>
        </w:rPr>
        <w:t>Latvijas Bankas interneta vietnē</w:t>
      </w:r>
      <w:r w:rsidR="00E843BD">
        <w:rPr>
          <w:bCs/>
        </w:rPr>
        <w:t>.</w:t>
      </w:r>
    </w:p>
    <w:p w:rsidR="00E43A48" w:rsidRDefault="00E43A48" w:rsidP="00E43A48">
      <w:pPr>
        <w:numPr>
          <w:ilvl w:val="0"/>
          <w:numId w:val="7"/>
        </w:numPr>
        <w:tabs>
          <w:tab w:val="clear" w:pos="718"/>
          <w:tab w:val="num" w:pos="588"/>
        </w:tabs>
        <w:ind w:left="588" w:right="-82" w:hanging="560"/>
        <w:jc w:val="both"/>
      </w:pPr>
      <w:r>
        <w:t xml:space="preserve">Atbildīgo par līguma slēgšanu noteikt </w:t>
      </w:r>
      <w:r w:rsidR="00921848">
        <w:t xml:space="preserve">Finanšu resursu departamenta </w:t>
      </w:r>
      <w:r>
        <w:t>direktor</w:t>
      </w:r>
      <w:r w:rsidR="00B64B23">
        <w:t>a</w:t>
      </w:r>
      <w:r>
        <w:t xml:space="preserve"> vietnieci </w:t>
      </w:r>
      <w:r w:rsidR="00921848">
        <w:t>I</w:t>
      </w:r>
      <w:r>
        <w:t>. </w:t>
      </w:r>
      <w:proofErr w:type="spellStart"/>
      <w:r w:rsidR="00921848">
        <w:t>Sudari</w:t>
      </w:r>
      <w:proofErr w:type="spellEnd"/>
      <w:r>
        <w:t>.</w:t>
      </w:r>
    </w:p>
    <w:p w:rsidR="00E43A48" w:rsidRDefault="00E43A48" w:rsidP="00E43A48">
      <w:pPr>
        <w:numPr>
          <w:ilvl w:val="0"/>
          <w:numId w:val="7"/>
        </w:numPr>
        <w:tabs>
          <w:tab w:val="clear" w:pos="718"/>
          <w:tab w:val="num" w:pos="588"/>
        </w:tabs>
        <w:ind w:left="588" w:right="-26" w:hanging="560"/>
        <w:jc w:val="both"/>
      </w:pPr>
      <w:r>
        <w:t xml:space="preserve">Atbildīgo par līguma izpildes uzraudzību noteikt </w:t>
      </w:r>
      <w:r w:rsidR="00921848">
        <w:t>Finanšu resursu departamenta</w:t>
      </w:r>
      <w:r>
        <w:t xml:space="preserve"> direktor</w:t>
      </w:r>
      <w:r w:rsidR="00B64B23">
        <w:t>a</w:t>
      </w:r>
      <w:r>
        <w:t xml:space="preserve"> vietnieci </w:t>
      </w:r>
      <w:r w:rsidR="00921848">
        <w:t xml:space="preserve">I. </w:t>
      </w:r>
      <w:proofErr w:type="spellStart"/>
      <w:r w:rsidR="00921848">
        <w:t>Sudari</w:t>
      </w:r>
      <w:proofErr w:type="spellEnd"/>
      <w:r>
        <w:t>.</w:t>
      </w:r>
    </w:p>
    <w:p w:rsidR="00E43A48" w:rsidRPr="00C319DE" w:rsidRDefault="00921848" w:rsidP="00921848">
      <w:pPr>
        <w:numPr>
          <w:ilvl w:val="0"/>
          <w:numId w:val="7"/>
        </w:numPr>
        <w:tabs>
          <w:tab w:val="clear" w:pos="718"/>
          <w:tab w:val="num" w:pos="588"/>
        </w:tabs>
        <w:ind w:left="588" w:right="-26" w:hanging="560"/>
        <w:jc w:val="both"/>
      </w:pPr>
      <w:r>
        <w:t>Finanšu resursu departamenta direktor</w:t>
      </w:r>
      <w:r w:rsidR="003F2A81">
        <w:t>a</w:t>
      </w:r>
      <w:r>
        <w:t xml:space="preserve"> vietniec</w:t>
      </w:r>
      <w:r w:rsidR="003F2A81">
        <w:t>ei</w:t>
      </w:r>
      <w:r>
        <w:t xml:space="preserve"> I. </w:t>
      </w:r>
      <w:proofErr w:type="spellStart"/>
      <w:r>
        <w:t>Sudarei</w:t>
      </w:r>
      <w:proofErr w:type="spellEnd"/>
      <w:r>
        <w:t xml:space="preserve"> </w:t>
      </w:r>
      <w:r w:rsidR="00E43A48">
        <w:t xml:space="preserve">sagatavot un nosūtīt vēstuli </w:t>
      </w:r>
      <w:proofErr w:type="spellStart"/>
      <w:r w:rsidR="00E43A48">
        <w:t>Allen</w:t>
      </w:r>
      <w:proofErr w:type="spellEnd"/>
      <w:r w:rsidR="00E43A48">
        <w:t xml:space="preserve"> &amp; </w:t>
      </w:r>
      <w:proofErr w:type="spellStart"/>
      <w:r w:rsidR="00E43A48">
        <w:t>Overy</w:t>
      </w:r>
      <w:proofErr w:type="spellEnd"/>
      <w:r w:rsidR="00E43A48">
        <w:t xml:space="preserve"> LLP par iepirkuma procedūras rezultātiem</w:t>
      </w:r>
      <w:r w:rsidR="00115377">
        <w:t xml:space="preserve"> </w:t>
      </w:r>
      <w:r w:rsidR="00115377" w:rsidRPr="00C319DE">
        <w:t xml:space="preserve">līdz </w:t>
      </w:r>
      <w:r w:rsidR="00C319DE">
        <w:t>7</w:t>
      </w:r>
      <w:r w:rsidR="00115377" w:rsidRPr="00C319DE">
        <w:t>. jūlijam.</w:t>
      </w:r>
    </w:p>
    <w:p w:rsidR="00207D4E" w:rsidRDefault="00207D4E" w:rsidP="00207D4E">
      <w:pPr>
        <w:numPr>
          <w:ilvl w:val="0"/>
          <w:numId w:val="7"/>
        </w:numPr>
        <w:tabs>
          <w:tab w:val="clear" w:pos="718"/>
        </w:tabs>
        <w:ind w:left="588" w:right="-87" w:hanging="560"/>
        <w:jc w:val="both"/>
      </w:pPr>
      <w:r w:rsidRPr="00504D4C">
        <w:t xml:space="preserve">Infrastruktūras apsaimniekošanas departamenta </w:t>
      </w:r>
      <w:r>
        <w:t>direktora vietniecei</w:t>
      </w:r>
      <w:r w:rsidRPr="00504D4C">
        <w:t xml:space="preserve"> </w:t>
      </w:r>
      <w:r>
        <w:t>A</w:t>
      </w:r>
      <w:r w:rsidRPr="00504D4C">
        <w:t>. </w:t>
      </w:r>
      <w:proofErr w:type="spellStart"/>
      <w:r>
        <w:t>Ozolai</w:t>
      </w:r>
      <w:proofErr w:type="spellEnd"/>
      <w:r>
        <w:t xml:space="preserve"> </w:t>
      </w:r>
      <w:r w:rsidRPr="00504D4C">
        <w:t>līdz 2014. </w:t>
      </w:r>
      <w:r w:rsidRPr="00C319DE">
        <w:t xml:space="preserve">gada </w:t>
      </w:r>
      <w:r w:rsidR="00156B93">
        <w:t>7</w:t>
      </w:r>
      <w:r w:rsidRPr="00C319DE">
        <w:t>. jūlijam</w:t>
      </w:r>
      <w:r w:rsidRPr="00504D4C">
        <w:t xml:space="preserve"> publicēt</w:t>
      </w:r>
      <w:r w:rsidRPr="00306AC3">
        <w:t xml:space="preserve"> lēmumu par iepirkuma procedūras rezultātiem Valsts kases mājaslapas </w:t>
      </w:r>
      <w:hyperlink r:id="rId10" w:history="1">
        <w:r w:rsidRPr="00306AC3">
          <w:rPr>
            <w:rStyle w:val="Hyperlink"/>
          </w:rPr>
          <w:t>www.kase.gov.lv</w:t>
        </w:r>
      </w:hyperlink>
      <w:r w:rsidRPr="00306AC3">
        <w:t xml:space="preserve"> / sadaļā “Publiskie iepirkumi”.</w:t>
      </w:r>
    </w:p>
    <w:p w:rsidR="00207D4E" w:rsidRPr="009545C6" w:rsidRDefault="00207D4E" w:rsidP="00207D4E">
      <w:pPr>
        <w:numPr>
          <w:ilvl w:val="0"/>
          <w:numId w:val="7"/>
        </w:numPr>
        <w:tabs>
          <w:tab w:val="clear" w:pos="718"/>
        </w:tabs>
        <w:ind w:left="588" w:right="-87" w:hanging="560"/>
        <w:jc w:val="both"/>
      </w:pPr>
      <w:r w:rsidRPr="00504D4C">
        <w:t xml:space="preserve">Infrastruktūras apsaimniekošanas departamenta </w:t>
      </w:r>
      <w:r>
        <w:t>direktora vietniecei</w:t>
      </w:r>
      <w:r w:rsidRPr="00504D4C">
        <w:t xml:space="preserve"> </w:t>
      </w:r>
      <w:r>
        <w:t>A</w:t>
      </w:r>
      <w:r w:rsidRPr="00504D4C">
        <w:t>. </w:t>
      </w:r>
      <w:proofErr w:type="spellStart"/>
      <w:r>
        <w:t>Ozolai</w:t>
      </w:r>
      <w:proofErr w:type="spellEnd"/>
      <w:r>
        <w:t xml:space="preserve"> </w:t>
      </w:r>
      <w:r w:rsidRPr="00D70EC2">
        <w:t xml:space="preserve">ne vēlāk kā dienā, kad stājas spēkā iepirkuma līgums, publicēt iepirkuma līguma tekstu Valsts kases mājaslapas </w:t>
      </w:r>
      <w:hyperlink r:id="rId11" w:history="1">
        <w:r w:rsidRPr="00D70EC2">
          <w:rPr>
            <w:rStyle w:val="Hyperlink"/>
          </w:rPr>
          <w:t>www.kase.gov.lv</w:t>
        </w:r>
      </w:hyperlink>
      <w:r w:rsidRPr="00D70EC2">
        <w:t xml:space="preserve"> / sadaļā “Publiskie iepirkumi”.</w:t>
      </w:r>
    </w:p>
    <w:p w:rsidR="00E43A48" w:rsidRDefault="00E43A48" w:rsidP="00E43A48">
      <w:pPr>
        <w:numPr>
          <w:ilvl w:val="0"/>
          <w:numId w:val="7"/>
        </w:numPr>
        <w:tabs>
          <w:tab w:val="clear" w:pos="718"/>
          <w:tab w:val="num" w:pos="588"/>
        </w:tabs>
        <w:ind w:left="588" w:right="-82" w:hanging="560"/>
        <w:jc w:val="both"/>
      </w:pPr>
      <w:r>
        <w:t xml:space="preserve">Infrastruktūras apsaimniekošanas departamenta </w:t>
      </w:r>
      <w:r w:rsidR="00207D4E">
        <w:t>direktora vietniecei</w:t>
      </w:r>
      <w:r>
        <w:t xml:space="preserve"> </w:t>
      </w:r>
      <w:r w:rsidR="00207D4E">
        <w:t>A</w:t>
      </w:r>
      <w:r>
        <w:t>. </w:t>
      </w:r>
      <w:proofErr w:type="spellStart"/>
      <w:r w:rsidR="00207D4E">
        <w:t>Ozolai</w:t>
      </w:r>
      <w:proofErr w:type="spellEnd"/>
      <w:r>
        <w:t xml:space="preserve"> publicēt </w:t>
      </w:r>
      <w:r>
        <w:rPr>
          <w:i/>
          <w:iCs/>
        </w:rPr>
        <w:t>Informatīvu paziņojumu par noslēgto līgumu</w:t>
      </w:r>
      <w:r>
        <w:t xml:space="preserve"> Iepirkumu uzraudzības </w:t>
      </w:r>
      <w:r w:rsidR="00AC466D">
        <w:t xml:space="preserve"> </w:t>
      </w:r>
      <w:r>
        <w:t xml:space="preserve">biroja mājaslapas </w:t>
      </w:r>
      <w:hyperlink r:id="rId12" w:history="1">
        <w:r>
          <w:rPr>
            <w:rStyle w:val="Hyperlink"/>
            <w:szCs w:val="20"/>
            <w:lang w:eastAsia="en-US"/>
          </w:rPr>
          <w:t>www.iub.gov.lv/</w:t>
        </w:r>
      </w:hyperlink>
      <w:r>
        <w:rPr>
          <w:szCs w:val="20"/>
          <w:lang w:eastAsia="en-US"/>
        </w:rPr>
        <w:t xml:space="preserve"> sadaļā “Publikāciju vadības sistēma” ne vēlāk kā piecas </w:t>
      </w:r>
      <w:r w:rsidR="00207D4E">
        <w:rPr>
          <w:szCs w:val="20"/>
          <w:lang w:eastAsia="en-US"/>
        </w:rPr>
        <w:t>darb</w:t>
      </w:r>
      <w:r>
        <w:rPr>
          <w:szCs w:val="20"/>
          <w:lang w:eastAsia="en-US"/>
        </w:rPr>
        <w:t>dienas pēc līguma noslēgšanas.</w:t>
      </w:r>
    </w:p>
    <w:p w:rsidR="00E43A48" w:rsidRDefault="00E43A48" w:rsidP="00E43A48">
      <w:pPr>
        <w:ind w:left="360" w:right="-827"/>
        <w:jc w:val="both"/>
      </w:pPr>
    </w:p>
    <w:p w:rsidR="00C35BE1" w:rsidRPr="00407C80" w:rsidRDefault="00C35BE1">
      <w:pPr>
        <w:tabs>
          <w:tab w:val="left" w:pos="560"/>
        </w:tabs>
        <w:ind w:left="588" w:right="-879" w:hanging="588"/>
        <w:jc w:val="both"/>
      </w:pPr>
    </w:p>
    <w:p w:rsidR="004F2D65" w:rsidRPr="00407C80" w:rsidRDefault="004F2D65">
      <w:pPr>
        <w:tabs>
          <w:tab w:val="left" w:pos="560"/>
        </w:tabs>
        <w:ind w:left="588" w:right="-879" w:hanging="588"/>
        <w:jc w:val="both"/>
      </w:pPr>
      <w:r w:rsidRPr="00407C80">
        <w:rPr>
          <w:sz w:val="20"/>
          <w:szCs w:val="20"/>
        </w:rPr>
        <w:t>Sēdi beidz plkst. 1</w:t>
      </w:r>
      <w:r w:rsidR="00115377">
        <w:rPr>
          <w:sz w:val="20"/>
          <w:szCs w:val="20"/>
        </w:rPr>
        <w:t>4</w:t>
      </w:r>
      <w:r w:rsidR="009F7B28" w:rsidRPr="00407C80">
        <w:rPr>
          <w:sz w:val="20"/>
          <w:szCs w:val="20"/>
        </w:rPr>
        <w:t>.</w:t>
      </w:r>
      <w:r w:rsidR="00115377">
        <w:rPr>
          <w:sz w:val="20"/>
          <w:szCs w:val="20"/>
        </w:rPr>
        <w:t>3</w:t>
      </w:r>
      <w:r w:rsidRPr="00407C80">
        <w:rPr>
          <w:sz w:val="20"/>
          <w:szCs w:val="20"/>
        </w:rPr>
        <w:t>0.</w:t>
      </w:r>
    </w:p>
    <w:p w:rsidR="004F2D65" w:rsidRPr="00407C80" w:rsidRDefault="004F2D65">
      <w:pPr>
        <w:tabs>
          <w:tab w:val="left" w:pos="560"/>
        </w:tabs>
        <w:ind w:left="588" w:right="-879" w:hanging="588"/>
        <w:jc w:val="both"/>
      </w:pPr>
    </w:p>
    <w:p w:rsidR="004F2D65" w:rsidRDefault="00822AE0" w:rsidP="003D64AC">
      <w:pPr>
        <w:ind w:left="1276" w:right="-87" w:hanging="1276"/>
        <w:jc w:val="both"/>
      </w:pPr>
      <w:r>
        <w:t xml:space="preserve">Pielikumā: </w:t>
      </w:r>
      <w:r w:rsidR="00207D4E">
        <w:t xml:space="preserve">1.Pretendenta </w:t>
      </w:r>
      <w:proofErr w:type="spellStart"/>
      <w:r w:rsidR="00207D4E">
        <w:t>Allen</w:t>
      </w:r>
      <w:proofErr w:type="spellEnd"/>
      <w:r w:rsidR="00207D4E">
        <w:t xml:space="preserve"> &amp; </w:t>
      </w:r>
      <w:proofErr w:type="spellStart"/>
      <w:r w:rsidR="00207D4E">
        <w:t>Overy</w:t>
      </w:r>
      <w:proofErr w:type="spellEnd"/>
      <w:r w:rsidR="00207D4E">
        <w:t xml:space="preserve"> LLP 2014. gada 23.jūnija e-pasta izdruka uz 4 lp.</w:t>
      </w:r>
      <w:r w:rsidR="00C319DE">
        <w:t>;</w:t>
      </w:r>
    </w:p>
    <w:p w:rsidR="00207D4E" w:rsidRPr="00407C80" w:rsidRDefault="00207D4E" w:rsidP="00207D4E">
      <w:pPr>
        <w:ind w:left="1276" w:right="-799" w:hanging="556"/>
        <w:jc w:val="both"/>
        <w:rPr>
          <w:rFonts w:cs="Arial"/>
          <w:szCs w:val="20"/>
        </w:rPr>
      </w:pPr>
      <w:r>
        <w:t xml:space="preserve">      </w:t>
      </w:r>
      <w:r w:rsidR="00C319DE">
        <w:t xml:space="preserve"> </w:t>
      </w:r>
      <w:r>
        <w:t>2. Komisijas locekļa apliecinājums piedāvājuma vērtēšanai uz 1 lp.</w:t>
      </w:r>
    </w:p>
    <w:p w:rsidR="004F2D65" w:rsidRDefault="004F2D65">
      <w:pPr>
        <w:tabs>
          <w:tab w:val="left" w:pos="560"/>
        </w:tabs>
        <w:ind w:left="588" w:right="-879" w:hanging="588"/>
        <w:jc w:val="both"/>
      </w:pPr>
    </w:p>
    <w:p w:rsidR="00E33895" w:rsidRDefault="00E33895">
      <w:pPr>
        <w:tabs>
          <w:tab w:val="left" w:pos="560"/>
        </w:tabs>
        <w:ind w:left="588" w:right="-879" w:hanging="588"/>
        <w:jc w:val="both"/>
      </w:pPr>
    </w:p>
    <w:p w:rsidR="00E33895" w:rsidRDefault="00E33895">
      <w:pPr>
        <w:tabs>
          <w:tab w:val="left" w:pos="560"/>
        </w:tabs>
        <w:ind w:left="588" w:right="-879" w:hanging="588"/>
        <w:jc w:val="both"/>
      </w:pPr>
    </w:p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4640"/>
      </w:tblGrid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Sēdi vadīja</w:t>
            </w:r>
          </w:p>
        </w:tc>
        <w:tc>
          <w:tcPr>
            <w:tcW w:w="4640" w:type="dxa"/>
          </w:tcPr>
          <w:p w:rsidR="00346861" w:rsidRDefault="00346861" w:rsidP="00346861">
            <w:pPr>
              <w:jc w:val="right"/>
            </w:pPr>
            <w:r>
              <w:t>I. Zīlīte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Piedalījās</w:t>
            </w:r>
          </w:p>
        </w:tc>
        <w:tc>
          <w:tcPr>
            <w:tcW w:w="4640" w:type="dxa"/>
          </w:tcPr>
          <w:p w:rsidR="00346861" w:rsidRDefault="00346861" w:rsidP="00346861">
            <w:pPr>
              <w:tabs>
                <w:tab w:val="left" w:pos="560"/>
              </w:tabs>
              <w:ind w:right="-108"/>
              <w:jc w:val="right"/>
            </w:pPr>
            <w:r>
              <w:t>Ģ. Helmanis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</w:p>
        </w:tc>
        <w:tc>
          <w:tcPr>
            <w:tcW w:w="4640" w:type="dxa"/>
          </w:tcPr>
          <w:p w:rsidR="00346861" w:rsidRDefault="00346861" w:rsidP="00346861">
            <w:pPr>
              <w:tabs>
                <w:tab w:val="left" w:pos="560"/>
              </w:tabs>
              <w:ind w:right="-108"/>
              <w:jc w:val="right"/>
            </w:pPr>
            <w:r>
              <w:t>I. Sudare</w:t>
            </w:r>
          </w:p>
        </w:tc>
      </w:tr>
      <w:tr w:rsidR="00346861" w:rsidTr="00474BB2">
        <w:trPr>
          <w:trHeight w:val="510"/>
        </w:trPr>
        <w:tc>
          <w:tcPr>
            <w:tcW w:w="4432" w:type="dxa"/>
          </w:tcPr>
          <w:p w:rsidR="00346861" w:rsidRDefault="00346861">
            <w:pPr>
              <w:tabs>
                <w:tab w:val="left" w:pos="560"/>
              </w:tabs>
              <w:ind w:right="-879"/>
              <w:jc w:val="both"/>
            </w:pPr>
            <w:r>
              <w:t>Protokolē</w:t>
            </w:r>
          </w:p>
        </w:tc>
        <w:tc>
          <w:tcPr>
            <w:tcW w:w="4640" w:type="dxa"/>
          </w:tcPr>
          <w:p w:rsidR="00346861" w:rsidRDefault="00921848" w:rsidP="00921848">
            <w:pPr>
              <w:tabs>
                <w:tab w:val="left" w:pos="560"/>
              </w:tabs>
              <w:ind w:right="-108"/>
              <w:jc w:val="right"/>
            </w:pPr>
            <w:r>
              <w:t>A</w:t>
            </w:r>
            <w:r w:rsidR="00346861">
              <w:t>. </w:t>
            </w:r>
            <w:r>
              <w:t>Ozola</w:t>
            </w:r>
          </w:p>
        </w:tc>
      </w:tr>
    </w:tbl>
    <w:p w:rsidR="00C35BE1" w:rsidRDefault="00C35BE1" w:rsidP="00346861"/>
    <w:sectPr w:rsidR="00C35BE1" w:rsidSect="00D10A9E">
      <w:headerReference w:type="default" r:id="rId13"/>
      <w:footerReference w:type="even" r:id="rId14"/>
      <w:footerReference w:type="default" r:id="rId15"/>
      <w:pgSz w:w="11906" w:h="16838" w:code="9"/>
      <w:pgMar w:top="1134" w:right="1701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F5" w:rsidRDefault="00042CF5">
      <w:r>
        <w:separator/>
      </w:r>
    </w:p>
  </w:endnote>
  <w:endnote w:type="continuationSeparator" w:id="0">
    <w:p w:rsidR="00042CF5" w:rsidRDefault="0004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5E17" w:rsidRDefault="00EC5E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F5" w:rsidRDefault="00042CF5">
      <w:r>
        <w:separator/>
      </w:r>
    </w:p>
  </w:footnote>
  <w:footnote w:type="continuationSeparator" w:id="0">
    <w:p w:rsidR="00042CF5" w:rsidRDefault="00042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E17" w:rsidRDefault="00EC5E17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646"/>
    <w:multiLevelType w:val="hybridMultilevel"/>
    <w:tmpl w:val="3D5A3850"/>
    <w:lvl w:ilvl="0" w:tplc="E53CAE32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F0EA0"/>
    <w:multiLevelType w:val="multilevel"/>
    <w:tmpl w:val="78249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0CD52A0"/>
    <w:multiLevelType w:val="hybridMultilevel"/>
    <w:tmpl w:val="1D8861F0"/>
    <w:lvl w:ilvl="0" w:tplc="C75A4958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CDA6EC3"/>
    <w:multiLevelType w:val="hybridMultilevel"/>
    <w:tmpl w:val="9E5E28A4"/>
    <w:lvl w:ilvl="0" w:tplc="51547D2C">
      <w:start w:val="4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26"/>
    <w:rsid w:val="00003E03"/>
    <w:rsid w:val="00003FBF"/>
    <w:rsid w:val="0000633E"/>
    <w:rsid w:val="00007842"/>
    <w:rsid w:val="00010B26"/>
    <w:rsid w:val="0001269D"/>
    <w:rsid w:val="00022849"/>
    <w:rsid w:val="0002467B"/>
    <w:rsid w:val="000270EA"/>
    <w:rsid w:val="00036E6D"/>
    <w:rsid w:val="00042CF5"/>
    <w:rsid w:val="000442A6"/>
    <w:rsid w:val="00044F35"/>
    <w:rsid w:val="000562A7"/>
    <w:rsid w:val="00056F5B"/>
    <w:rsid w:val="00062411"/>
    <w:rsid w:val="000805DC"/>
    <w:rsid w:val="0008334E"/>
    <w:rsid w:val="00092232"/>
    <w:rsid w:val="000B1391"/>
    <w:rsid w:val="000B204D"/>
    <w:rsid w:val="000B309E"/>
    <w:rsid w:val="000C3D84"/>
    <w:rsid w:val="000C4469"/>
    <w:rsid w:val="000D08A6"/>
    <w:rsid w:val="000D0C23"/>
    <w:rsid w:val="000F75B1"/>
    <w:rsid w:val="00100790"/>
    <w:rsid w:val="0010505A"/>
    <w:rsid w:val="00110315"/>
    <w:rsid w:val="00115377"/>
    <w:rsid w:val="00125502"/>
    <w:rsid w:val="00136F2A"/>
    <w:rsid w:val="00156B93"/>
    <w:rsid w:val="00166C89"/>
    <w:rsid w:val="0017033D"/>
    <w:rsid w:val="00171343"/>
    <w:rsid w:val="0017162C"/>
    <w:rsid w:val="00183B23"/>
    <w:rsid w:val="00184D8D"/>
    <w:rsid w:val="00186096"/>
    <w:rsid w:val="00192AB7"/>
    <w:rsid w:val="001A03CF"/>
    <w:rsid w:val="001A77C9"/>
    <w:rsid w:val="001B5EE1"/>
    <w:rsid w:val="001D230F"/>
    <w:rsid w:val="001D4CFA"/>
    <w:rsid w:val="001D630D"/>
    <w:rsid w:val="001E111C"/>
    <w:rsid w:val="001E1B6B"/>
    <w:rsid w:val="001F054D"/>
    <w:rsid w:val="001F0D8E"/>
    <w:rsid w:val="001F77E7"/>
    <w:rsid w:val="002001D4"/>
    <w:rsid w:val="00200BC1"/>
    <w:rsid w:val="00207916"/>
    <w:rsid w:val="00207D4E"/>
    <w:rsid w:val="0021718A"/>
    <w:rsid w:val="00222A18"/>
    <w:rsid w:val="002407E4"/>
    <w:rsid w:val="002550AB"/>
    <w:rsid w:val="00256ACB"/>
    <w:rsid w:val="00260E47"/>
    <w:rsid w:val="002617D3"/>
    <w:rsid w:val="002621E1"/>
    <w:rsid w:val="00263480"/>
    <w:rsid w:val="00266777"/>
    <w:rsid w:val="00272B7A"/>
    <w:rsid w:val="0027357E"/>
    <w:rsid w:val="002807ED"/>
    <w:rsid w:val="002866BC"/>
    <w:rsid w:val="002867B7"/>
    <w:rsid w:val="00287977"/>
    <w:rsid w:val="00292226"/>
    <w:rsid w:val="002962CF"/>
    <w:rsid w:val="002A6CBA"/>
    <w:rsid w:val="002B1443"/>
    <w:rsid w:val="002B32EF"/>
    <w:rsid w:val="002D3B31"/>
    <w:rsid w:val="002E3114"/>
    <w:rsid w:val="00300A7D"/>
    <w:rsid w:val="003015ED"/>
    <w:rsid w:val="003240D1"/>
    <w:rsid w:val="00324289"/>
    <w:rsid w:val="003414A9"/>
    <w:rsid w:val="003427F7"/>
    <w:rsid w:val="00346861"/>
    <w:rsid w:val="0035089E"/>
    <w:rsid w:val="0036354B"/>
    <w:rsid w:val="0036498F"/>
    <w:rsid w:val="00365BD1"/>
    <w:rsid w:val="00370C4E"/>
    <w:rsid w:val="0037492B"/>
    <w:rsid w:val="00375448"/>
    <w:rsid w:val="00375C2D"/>
    <w:rsid w:val="003761B4"/>
    <w:rsid w:val="00384E3D"/>
    <w:rsid w:val="00386962"/>
    <w:rsid w:val="003A1952"/>
    <w:rsid w:val="003A36DE"/>
    <w:rsid w:val="003B09C4"/>
    <w:rsid w:val="003B56EF"/>
    <w:rsid w:val="003C2E89"/>
    <w:rsid w:val="003C41C1"/>
    <w:rsid w:val="003D1D3B"/>
    <w:rsid w:val="003D64AC"/>
    <w:rsid w:val="003F2A81"/>
    <w:rsid w:val="003F2D46"/>
    <w:rsid w:val="003F59FE"/>
    <w:rsid w:val="003F6D01"/>
    <w:rsid w:val="00400EC6"/>
    <w:rsid w:val="00403A12"/>
    <w:rsid w:val="00407C80"/>
    <w:rsid w:val="004413A3"/>
    <w:rsid w:val="004419F8"/>
    <w:rsid w:val="0044528B"/>
    <w:rsid w:val="00450675"/>
    <w:rsid w:val="00457B70"/>
    <w:rsid w:val="004675BF"/>
    <w:rsid w:val="00467E13"/>
    <w:rsid w:val="00474BB2"/>
    <w:rsid w:val="00474D79"/>
    <w:rsid w:val="0047532B"/>
    <w:rsid w:val="00483C00"/>
    <w:rsid w:val="0048510B"/>
    <w:rsid w:val="00495297"/>
    <w:rsid w:val="00495828"/>
    <w:rsid w:val="0049708A"/>
    <w:rsid w:val="004971F2"/>
    <w:rsid w:val="00497EC1"/>
    <w:rsid w:val="004B02C1"/>
    <w:rsid w:val="004B4218"/>
    <w:rsid w:val="004C3CD8"/>
    <w:rsid w:val="004C4C70"/>
    <w:rsid w:val="004C5769"/>
    <w:rsid w:val="004C7750"/>
    <w:rsid w:val="004E1977"/>
    <w:rsid w:val="004E2200"/>
    <w:rsid w:val="004F2D65"/>
    <w:rsid w:val="004F3332"/>
    <w:rsid w:val="004F5B15"/>
    <w:rsid w:val="00500D4A"/>
    <w:rsid w:val="00516CA2"/>
    <w:rsid w:val="00522F3A"/>
    <w:rsid w:val="00533252"/>
    <w:rsid w:val="00564541"/>
    <w:rsid w:val="00567247"/>
    <w:rsid w:val="00580A5B"/>
    <w:rsid w:val="00591751"/>
    <w:rsid w:val="005A7C57"/>
    <w:rsid w:val="005C190D"/>
    <w:rsid w:val="005C41D1"/>
    <w:rsid w:val="005C444A"/>
    <w:rsid w:val="005D351F"/>
    <w:rsid w:val="005E172F"/>
    <w:rsid w:val="005E3859"/>
    <w:rsid w:val="005E5DF0"/>
    <w:rsid w:val="005E6015"/>
    <w:rsid w:val="006028B5"/>
    <w:rsid w:val="0063263A"/>
    <w:rsid w:val="0063414D"/>
    <w:rsid w:val="00636B32"/>
    <w:rsid w:val="00637D0C"/>
    <w:rsid w:val="00641F6C"/>
    <w:rsid w:val="006526E9"/>
    <w:rsid w:val="0066292C"/>
    <w:rsid w:val="00662DB6"/>
    <w:rsid w:val="006631A5"/>
    <w:rsid w:val="00663904"/>
    <w:rsid w:val="00676381"/>
    <w:rsid w:val="0068112D"/>
    <w:rsid w:val="00692965"/>
    <w:rsid w:val="0069778C"/>
    <w:rsid w:val="006A0B40"/>
    <w:rsid w:val="006A2C57"/>
    <w:rsid w:val="006B1DDA"/>
    <w:rsid w:val="006B3F3E"/>
    <w:rsid w:val="006C1EF4"/>
    <w:rsid w:val="006C5857"/>
    <w:rsid w:val="006C63D7"/>
    <w:rsid w:val="006C7689"/>
    <w:rsid w:val="006D09F7"/>
    <w:rsid w:val="006D778A"/>
    <w:rsid w:val="006E1539"/>
    <w:rsid w:val="006E1E0B"/>
    <w:rsid w:val="006F0DA8"/>
    <w:rsid w:val="007118BB"/>
    <w:rsid w:val="0071523E"/>
    <w:rsid w:val="0072581A"/>
    <w:rsid w:val="00726C3A"/>
    <w:rsid w:val="007326D8"/>
    <w:rsid w:val="007410D9"/>
    <w:rsid w:val="007443E8"/>
    <w:rsid w:val="00745EDF"/>
    <w:rsid w:val="00755290"/>
    <w:rsid w:val="00755F01"/>
    <w:rsid w:val="0075687C"/>
    <w:rsid w:val="00756F8A"/>
    <w:rsid w:val="00772402"/>
    <w:rsid w:val="00774449"/>
    <w:rsid w:val="00775262"/>
    <w:rsid w:val="007828E0"/>
    <w:rsid w:val="007867DA"/>
    <w:rsid w:val="0079039E"/>
    <w:rsid w:val="00795A23"/>
    <w:rsid w:val="007A0885"/>
    <w:rsid w:val="007A153E"/>
    <w:rsid w:val="007A5AFA"/>
    <w:rsid w:val="007B3197"/>
    <w:rsid w:val="007B5840"/>
    <w:rsid w:val="007C387F"/>
    <w:rsid w:val="007C676E"/>
    <w:rsid w:val="007E1BD2"/>
    <w:rsid w:val="007E2C3D"/>
    <w:rsid w:val="007F36A1"/>
    <w:rsid w:val="008014A2"/>
    <w:rsid w:val="00812206"/>
    <w:rsid w:val="00814EAD"/>
    <w:rsid w:val="00822AE0"/>
    <w:rsid w:val="008335C8"/>
    <w:rsid w:val="00836A3D"/>
    <w:rsid w:val="00842E73"/>
    <w:rsid w:val="00852B59"/>
    <w:rsid w:val="0086274C"/>
    <w:rsid w:val="0089588F"/>
    <w:rsid w:val="008B5914"/>
    <w:rsid w:val="008D2B5E"/>
    <w:rsid w:val="008D2D3E"/>
    <w:rsid w:val="008D653E"/>
    <w:rsid w:val="008E4E09"/>
    <w:rsid w:val="008E6A36"/>
    <w:rsid w:val="008F0567"/>
    <w:rsid w:val="008F0E9B"/>
    <w:rsid w:val="008F2D20"/>
    <w:rsid w:val="008F41C7"/>
    <w:rsid w:val="008F49CF"/>
    <w:rsid w:val="00901A27"/>
    <w:rsid w:val="00913C82"/>
    <w:rsid w:val="009168AF"/>
    <w:rsid w:val="00921591"/>
    <w:rsid w:val="00921848"/>
    <w:rsid w:val="00922045"/>
    <w:rsid w:val="0092284D"/>
    <w:rsid w:val="00940F35"/>
    <w:rsid w:val="00953CE7"/>
    <w:rsid w:val="00970D90"/>
    <w:rsid w:val="009816EA"/>
    <w:rsid w:val="00991401"/>
    <w:rsid w:val="00993097"/>
    <w:rsid w:val="009A3398"/>
    <w:rsid w:val="009B716B"/>
    <w:rsid w:val="009D5B29"/>
    <w:rsid w:val="009D767A"/>
    <w:rsid w:val="009E02A6"/>
    <w:rsid w:val="009E490C"/>
    <w:rsid w:val="009E5E7F"/>
    <w:rsid w:val="009E6396"/>
    <w:rsid w:val="009F057A"/>
    <w:rsid w:val="009F1333"/>
    <w:rsid w:val="009F7B28"/>
    <w:rsid w:val="00A11A5B"/>
    <w:rsid w:val="00A129B6"/>
    <w:rsid w:val="00A1361E"/>
    <w:rsid w:val="00A143A4"/>
    <w:rsid w:val="00A20EA8"/>
    <w:rsid w:val="00A32C78"/>
    <w:rsid w:val="00A36E9A"/>
    <w:rsid w:val="00A372F4"/>
    <w:rsid w:val="00A408FB"/>
    <w:rsid w:val="00A41D0B"/>
    <w:rsid w:val="00A764BE"/>
    <w:rsid w:val="00A76F0D"/>
    <w:rsid w:val="00A81311"/>
    <w:rsid w:val="00A874C3"/>
    <w:rsid w:val="00AB1F88"/>
    <w:rsid w:val="00AB58A4"/>
    <w:rsid w:val="00AC140A"/>
    <w:rsid w:val="00AC19DC"/>
    <w:rsid w:val="00AC466D"/>
    <w:rsid w:val="00AC4843"/>
    <w:rsid w:val="00AC78F9"/>
    <w:rsid w:val="00AD1C4E"/>
    <w:rsid w:val="00AD54E1"/>
    <w:rsid w:val="00AD55B2"/>
    <w:rsid w:val="00AE4A6F"/>
    <w:rsid w:val="00AF44EC"/>
    <w:rsid w:val="00B00ADF"/>
    <w:rsid w:val="00B11DB5"/>
    <w:rsid w:val="00B16645"/>
    <w:rsid w:val="00B24643"/>
    <w:rsid w:val="00B3073C"/>
    <w:rsid w:val="00B34C31"/>
    <w:rsid w:val="00B34FE7"/>
    <w:rsid w:val="00B4310A"/>
    <w:rsid w:val="00B54241"/>
    <w:rsid w:val="00B5452A"/>
    <w:rsid w:val="00B63FB0"/>
    <w:rsid w:val="00B64B23"/>
    <w:rsid w:val="00B65C6D"/>
    <w:rsid w:val="00B71150"/>
    <w:rsid w:val="00B71D8E"/>
    <w:rsid w:val="00B73827"/>
    <w:rsid w:val="00B82991"/>
    <w:rsid w:val="00B85BBA"/>
    <w:rsid w:val="00B9320D"/>
    <w:rsid w:val="00B96927"/>
    <w:rsid w:val="00BA3D4A"/>
    <w:rsid w:val="00BA65F8"/>
    <w:rsid w:val="00BB319E"/>
    <w:rsid w:val="00BB77FF"/>
    <w:rsid w:val="00BC0EA2"/>
    <w:rsid w:val="00BE4FF7"/>
    <w:rsid w:val="00C03416"/>
    <w:rsid w:val="00C046BD"/>
    <w:rsid w:val="00C05190"/>
    <w:rsid w:val="00C05371"/>
    <w:rsid w:val="00C07BFB"/>
    <w:rsid w:val="00C16995"/>
    <w:rsid w:val="00C303FF"/>
    <w:rsid w:val="00C319DE"/>
    <w:rsid w:val="00C35BE1"/>
    <w:rsid w:val="00C54A25"/>
    <w:rsid w:val="00C55329"/>
    <w:rsid w:val="00C70973"/>
    <w:rsid w:val="00C72BDE"/>
    <w:rsid w:val="00C931CC"/>
    <w:rsid w:val="00CA2232"/>
    <w:rsid w:val="00CA320F"/>
    <w:rsid w:val="00CB6D8F"/>
    <w:rsid w:val="00CB6EBE"/>
    <w:rsid w:val="00CC16DC"/>
    <w:rsid w:val="00D02BD2"/>
    <w:rsid w:val="00D106B3"/>
    <w:rsid w:val="00D10A9E"/>
    <w:rsid w:val="00D14FA3"/>
    <w:rsid w:val="00D23A28"/>
    <w:rsid w:val="00D31510"/>
    <w:rsid w:val="00D41369"/>
    <w:rsid w:val="00D56FA1"/>
    <w:rsid w:val="00D636D8"/>
    <w:rsid w:val="00D64EDA"/>
    <w:rsid w:val="00D722BD"/>
    <w:rsid w:val="00D91789"/>
    <w:rsid w:val="00DA032C"/>
    <w:rsid w:val="00DA2CDB"/>
    <w:rsid w:val="00DA39DB"/>
    <w:rsid w:val="00DA6E06"/>
    <w:rsid w:val="00DA7FDA"/>
    <w:rsid w:val="00DB2C22"/>
    <w:rsid w:val="00DB725F"/>
    <w:rsid w:val="00DB7E0D"/>
    <w:rsid w:val="00DC2B99"/>
    <w:rsid w:val="00DC6A69"/>
    <w:rsid w:val="00DC7281"/>
    <w:rsid w:val="00DD2587"/>
    <w:rsid w:val="00DE44B2"/>
    <w:rsid w:val="00E053E1"/>
    <w:rsid w:val="00E06786"/>
    <w:rsid w:val="00E32DCA"/>
    <w:rsid w:val="00E33895"/>
    <w:rsid w:val="00E43A48"/>
    <w:rsid w:val="00E44D06"/>
    <w:rsid w:val="00E72262"/>
    <w:rsid w:val="00E843BD"/>
    <w:rsid w:val="00E87FB4"/>
    <w:rsid w:val="00E91DD8"/>
    <w:rsid w:val="00EB1C4C"/>
    <w:rsid w:val="00EC5E17"/>
    <w:rsid w:val="00EE3BC3"/>
    <w:rsid w:val="00EF27D7"/>
    <w:rsid w:val="00F0407D"/>
    <w:rsid w:val="00F11A02"/>
    <w:rsid w:val="00F14F01"/>
    <w:rsid w:val="00F1545C"/>
    <w:rsid w:val="00F15601"/>
    <w:rsid w:val="00F16FB1"/>
    <w:rsid w:val="00F27CA1"/>
    <w:rsid w:val="00F54A8D"/>
    <w:rsid w:val="00F64AAE"/>
    <w:rsid w:val="00F71932"/>
    <w:rsid w:val="00F97C58"/>
    <w:rsid w:val="00FA1582"/>
    <w:rsid w:val="00FA6617"/>
    <w:rsid w:val="00FD2E08"/>
    <w:rsid w:val="00FD49F6"/>
    <w:rsid w:val="00FE068F"/>
    <w:rsid w:val="00FF2B11"/>
    <w:rsid w:val="00FF4C63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F057A"/>
    <w:rPr>
      <w:lang w:eastAsia="en-US"/>
    </w:rPr>
  </w:style>
  <w:style w:type="table" w:styleId="TableGrid">
    <w:name w:val="Table Grid"/>
    <w:basedOn w:val="TableNormal"/>
    <w:uiPriority w:val="59"/>
    <w:rsid w:val="0034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32DC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A7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7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7C9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F057A"/>
    <w:rPr>
      <w:lang w:eastAsia="en-US"/>
    </w:rPr>
  </w:style>
  <w:style w:type="table" w:styleId="TableGrid">
    <w:name w:val="Table Grid"/>
    <w:basedOn w:val="TableNormal"/>
    <w:uiPriority w:val="59"/>
    <w:rsid w:val="0034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ub.gov.l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e.gov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BA72-15BD-42EC-A0C9-0A071D41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2404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3768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2014-07-03T13:33:00Z</cp:lastPrinted>
  <dcterms:created xsi:type="dcterms:W3CDTF">2017-10-04T13:49:00Z</dcterms:created>
  <dcterms:modified xsi:type="dcterms:W3CDTF">2017-10-04T13:49:00Z</dcterms:modified>
</cp:coreProperties>
</file>