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1" w:rsidRDefault="009215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8"/>
        </w:rPr>
      </w:pPr>
    </w:p>
    <w:p w:rsidR="00C35BE1" w:rsidRDefault="00921591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EB6268" w:rsidRPr="00EB6268">
        <w:rPr>
          <w:rFonts w:ascii="Times New Roman" w:hAnsi="Times New Roman" w:cs="Times New Roman"/>
          <w:sz w:val="24"/>
        </w:rPr>
        <w:t>“Sertifikācijas iestādes pārbaužu veikšanas metodikas izstrāde Eiropas Savienības fondu 2014. –</w:t>
      </w:r>
      <w:r w:rsidR="00EB6268">
        <w:rPr>
          <w:rFonts w:ascii="Times New Roman" w:hAnsi="Times New Roman" w:cs="Times New Roman"/>
          <w:sz w:val="24"/>
        </w:rPr>
        <w:t xml:space="preserve"> 2020.gada plānošanas periodam”</w:t>
      </w:r>
      <w:r w:rsidR="008319BB">
        <w:rPr>
          <w:rFonts w:ascii="Times New Roman" w:hAnsi="Times New Roman" w:cs="Times New Roman"/>
          <w:sz w:val="24"/>
        </w:rPr>
        <w:t xml:space="preserve"> VK/2014/14</w:t>
      </w:r>
      <w:r w:rsidR="003564DC">
        <w:rPr>
          <w:rFonts w:ascii="Times New Roman" w:hAnsi="Times New Roman" w:cs="Times New Roman"/>
          <w:sz w:val="24"/>
        </w:rPr>
        <w:t>/ES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2"/>
        </w:rPr>
      </w:pPr>
    </w:p>
    <w:p w:rsidR="00C35BE1" w:rsidRDefault="00921591">
      <w:pPr>
        <w:jc w:val="center"/>
      </w:pPr>
      <w:r>
        <w:t xml:space="preserve">protokols </w:t>
      </w:r>
    </w:p>
    <w:p w:rsidR="00C35BE1" w:rsidRDefault="00921591">
      <w:pPr>
        <w:jc w:val="center"/>
        <w:rPr>
          <w:sz w:val="20"/>
        </w:rPr>
      </w:pPr>
      <w:r>
        <w:rPr>
          <w:sz w:val="20"/>
        </w:rPr>
        <w:t>Rīga</w:t>
      </w:r>
    </w:p>
    <w:p w:rsidR="00C35BE1" w:rsidRDefault="00C35BE1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35BE1">
        <w:tc>
          <w:tcPr>
            <w:tcW w:w="4575" w:type="dxa"/>
          </w:tcPr>
          <w:p w:rsidR="00C35BE1" w:rsidRDefault="00DD2587" w:rsidP="008D4C22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83B23">
              <w:rPr>
                <w:sz w:val="20"/>
              </w:rPr>
              <w:t>4</w:t>
            </w:r>
            <w:r w:rsidR="006C5857">
              <w:rPr>
                <w:sz w:val="20"/>
              </w:rPr>
              <w:t>. </w:t>
            </w:r>
            <w:r w:rsidR="006C5857" w:rsidRPr="00C05371">
              <w:rPr>
                <w:sz w:val="20"/>
              </w:rPr>
              <w:t xml:space="preserve">gada </w:t>
            </w:r>
            <w:r w:rsidR="008D4C22">
              <w:rPr>
                <w:sz w:val="20"/>
              </w:rPr>
              <w:t>5</w:t>
            </w:r>
            <w:r w:rsidR="00662DB6" w:rsidRPr="00F0256F">
              <w:rPr>
                <w:sz w:val="20"/>
              </w:rPr>
              <w:t>. </w:t>
            </w:r>
            <w:r w:rsidR="008D4C22">
              <w:rPr>
                <w:sz w:val="20"/>
              </w:rPr>
              <w:t>novembrī</w:t>
            </w:r>
            <w:r w:rsidR="006C5857" w:rsidRPr="00F0256F">
              <w:rPr>
                <w:sz w:val="20"/>
              </w:rPr>
              <w:t xml:space="preserve"> </w:t>
            </w:r>
            <w:r w:rsidR="00E800C4">
              <w:rPr>
                <w:sz w:val="20"/>
              </w:rPr>
              <w:t>plkst. 10.0</w:t>
            </w:r>
            <w:r w:rsidR="00921591" w:rsidRPr="00F0256F"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C35BE1" w:rsidRDefault="001F0D8E" w:rsidP="00E800C4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 xml:space="preserve">Nr. </w:t>
            </w:r>
            <w:r w:rsidR="008D4C22">
              <w:t>5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 w:rsidRPr="00613538">
        <w:tc>
          <w:tcPr>
            <w:tcW w:w="4575" w:type="dxa"/>
          </w:tcPr>
          <w:p w:rsidR="00C35BE1" w:rsidRPr="004413A3" w:rsidRDefault="00613538">
            <w:pPr>
              <w:rPr>
                <w:sz w:val="20"/>
                <w:szCs w:val="20"/>
              </w:rPr>
            </w:pPr>
            <w:r w:rsidRPr="00613538">
              <w:rPr>
                <w:sz w:val="20"/>
                <w:szCs w:val="20"/>
              </w:rPr>
              <w:t>Eiropas lietu departamenta direktore</w:t>
            </w:r>
          </w:p>
        </w:tc>
        <w:tc>
          <w:tcPr>
            <w:tcW w:w="4705" w:type="dxa"/>
          </w:tcPr>
          <w:p w:rsidR="00C35BE1" w:rsidRPr="00613538" w:rsidRDefault="001B30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 </w:t>
            </w:r>
            <w:r w:rsidR="00613538" w:rsidRPr="00613538">
              <w:rPr>
                <w:sz w:val="20"/>
                <w:szCs w:val="20"/>
              </w:rPr>
              <w:t>Zencova</w:t>
            </w:r>
          </w:p>
          <w:p w:rsidR="002C295E" w:rsidRPr="00613538" w:rsidRDefault="002C295E">
            <w:pPr>
              <w:jc w:val="right"/>
              <w:rPr>
                <w:sz w:val="20"/>
                <w:szCs w:val="20"/>
              </w:rPr>
            </w:pPr>
          </w:p>
        </w:tc>
      </w:tr>
      <w:tr w:rsidR="00C35BE1" w:rsidRPr="00EB6268">
        <w:tc>
          <w:tcPr>
            <w:tcW w:w="4575" w:type="dxa"/>
          </w:tcPr>
          <w:p w:rsidR="00C35BE1" w:rsidRPr="00EB6268" w:rsidRDefault="00C35BE1">
            <w:pPr>
              <w:jc w:val="both"/>
              <w:rPr>
                <w:i/>
                <w:sz w:val="20"/>
              </w:rPr>
            </w:pPr>
          </w:p>
        </w:tc>
        <w:tc>
          <w:tcPr>
            <w:tcW w:w="4705" w:type="dxa"/>
          </w:tcPr>
          <w:p w:rsidR="00C35BE1" w:rsidRPr="00EB6268" w:rsidRDefault="00C35BE1">
            <w:pPr>
              <w:jc w:val="right"/>
              <w:rPr>
                <w:i/>
                <w:sz w:val="20"/>
              </w:rPr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5E5DF0">
        <w:tc>
          <w:tcPr>
            <w:tcW w:w="4575" w:type="dxa"/>
          </w:tcPr>
          <w:p w:rsidR="005E5DF0" w:rsidRPr="00450675" w:rsidRDefault="00613538" w:rsidP="008E4E09">
            <w:pPr>
              <w:pStyle w:val="Footer"/>
              <w:tabs>
                <w:tab w:val="clear" w:pos="4153"/>
                <w:tab w:val="clear" w:pos="8306"/>
              </w:tabs>
            </w:pPr>
            <w:r>
              <w:t>Eiropas lietu departamenta direktora vietniece</w:t>
            </w:r>
          </w:p>
        </w:tc>
        <w:tc>
          <w:tcPr>
            <w:tcW w:w="4705" w:type="dxa"/>
          </w:tcPr>
          <w:p w:rsidR="0002467B" w:rsidRPr="00450675" w:rsidRDefault="00613538" w:rsidP="00613538">
            <w:pPr>
              <w:jc w:val="right"/>
              <w:rPr>
                <w:sz w:val="20"/>
              </w:rPr>
            </w:pPr>
            <w:r w:rsidRPr="00613538">
              <w:rPr>
                <w:sz w:val="20"/>
              </w:rPr>
              <w:t>S. Lakševica</w:t>
            </w:r>
          </w:p>
        </w:tc>
      </w:tr>
      <w:tr w:rsidR="005D286E">
        <w:tc>
          <w:tcPr>
            <w:tcW w:w="4575" w:type="dxa"/>
          </w:tcPr>
          <w:p w:rsidR="005D286E" w:rsidRPr="00493AE8" w:rsidRDefault="00613538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613538">
              <w:t>Kvalitātes un risku vadības departamenta direktora vietniece</w:t>
            </w:r>
          </w:p>
        </w:tc>
        <w:tc>
          <w:tcPr>
            <w:tcW w:w="4705" w:type="dxa"/>
          </w:tcPr>
          <w:p w:rsidR="00613538" w:rsidRDefault="00613538">
            <w:pPr>
              <w:jc w:val="right"/>
              <w:rPr>
                <w:sz w:val="20"/>
                <w:szCs w:val="20"/>
              </w:rPr>
            </w:pPr>
          </w:p>
          <w:p w:rsidR="005D286E" w:rsidRDefault="00613538" w:rsidP="00613538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I. </w:t>
            </w:r>
            <w:r w:rsidRPr="00613538">
              <w:rPr>
                <w:sz w:val="20"/>
                <w:szCs w:val="20"/>
              </w:rPr>
              <w:t>Lazdiņa</w:t>
            </w:r>
          </w:p>
        </w:tc>
      </w:tr>
      <w:tr w:rsidR="002E33C8">
        <w:tc>
          <w:tcPr>
            <w:tcW w:w="4575" w:type="dxa"/>
          </w:tcPr>
          <w:p w:rsidR="002E33C8" w:rsidRDefault="002E33C8" w:rsidP="00613538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</w:t>
            </w:r>
            <w:r w:rsidR="00613538" w:rsidRPr="00613538">
              <w:t>juriskonsulte</w:t>
            </w:r>
          </w:p>
        </w:tc>
        <w:tc>
          <w:tcPr>
            <w:tcW w:w="4705" w:type="dxa"/>
          </w:tcPr>
          <w:p w:rsidR="002E33C8" w:rsidRDefault="008D4C22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</w:t>
            </w:r>
            <w:r w:rsidR="00613538" w:rsidRPr="00613538">
              <w:rPr>
                <w:sz w:val="20"/>
              </w:rPr>
              <w:t>Pauniņa</w:t>
            </w:r>
          </w:p>
        </w:tc>
      </w:tr>
      <w:tr w:rsidR="008E4E09">
        <w:tc>
          <w:tcPr>
            <w:tcW w:w="4575" w:type="dxa"/>
          </w:tcPr>
          <w:p w:rsidR="008E4E09" w:rsidRDefault="008E4E09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774449" w:rsidRDefault="00774449">
            <w:pPr>
              <w:jc w:val="right"/>
              <w:rPr>
                <w:sz w:val="20"/>
              </w:rPr>
            </w:pPr>
          </w:p>
          <w:p w:rsidR="008E4E09" w:rsidRDefault="00DD2587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</w:t>
            </w:r>
            <w:r w:rsidR="008E4E09">
              <w:rPr>
                <w:sz w:val="20"/>
              </w:rPr>
              <w:t>Klints</w:t>
            </w: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</w:tc>
      </w:tr>
      <w:tr w:rsidR="00DA2CDB">
        <w:tc>
          <w:tcPr>
            <w:tcW w:w="4575" w:type="dxa"/>
          </w:tcPr>
          <w:p w:rsidR="00DA2CDB" w:rsidRPr="00157AED" w:rsidRDefault="00DA2CDB" w:rsidP="008E4E09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A2CDB" w:rsidRDefault="00DA2CDB">
            <w:pPr>
              <w:jc w:val="right"/>
              <w:rPr>
                <w:sz w:val="20"/>
              </w:rPr>
            </w:pPr>
          </w:p>
          <w:p w:rsidR="00DA2CDB" w:rsidRDefault="00DA2CDB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613538" w:rsidRDefault="00613538">
      <w:pPr>
        <w:ind w:right="-879"/>
      </w:pPr>
    </w:p>
    <w:p w:rsidR="00F130DB" w:rsidRDefault="00F130DB">
      <w:pPr>
        <w:ind w:right="-879"/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1E5C62" w:rsidRDefault="001E5C62" w:rsidP="00F51661">
      <w:pPr>
        <w:pStyle w:val="ListParagraph"/>
        <w:numPr>
          <w:ilvl w:val="0"/>
          <w:numId w:val="5"/>
        </w:numPr>
        <w:ind w:left="567" w:right="-879" w:hanging="567"/>
        <w:jc w:val="both"/>
      </w:pPr>
      <w:r>
        <w:t xml:space="preserve">Pretendenta </w:t>
      </w:r>
      <w:r w:rsidRPr="000B5F18">
        <w:t xml:space="preserve">SIA „KPMG </w:t>
      </w:r>
      <w:proofErr w:type="spellStart"/>
      <w:r w:rsidRPr="000B5F18">
        <w:t>Baltics</w:t>
      </w:r>
      <w:proofErr w:type="spellEnd"/>
      <w:r w:rsidRPr="000B5F18">
        <w:t>”</w:t>
      </w:r>
      <w:r>
        <w:t xml:space="preserve"> 2014. gada 30. oktobra vēstules izskatīšana:</w:t>
      </w:r>
    </w:p>
    <w:p w:rsidR="001E5C62" w:rsidRDefault="001E5C62" w:rsidP="001E5C62">
      <w:pPr>
        <w:pStyle w:val="ListParagraph"/>
        <w:ind w:left="567" w:right="-879"/>
        <w:jc w:val="both"/>
      </w:pPr>
      <w:r w:rsidRPr="000B5F18">
        <w:t xml:space="preserve">SIA „KPMG </w:t>
      </w:r>
      <w:proofErr w:type="spellStart"/>
      <w:r w:rsidRPr="000B5F18">
        <w:t>Baltics</w:t>
      </w:r>
      <w:proofErr w:type="spellEnd"/>
      <w:r w:rsidRPr="000B5F18">
        <w:t>”</w:t>
      </w:r>
      <w:r>
        <w:t xml:space="preserve"> vēstulē norāda, ka </w:t>
      </w:r>
      <w:r w:rsidRPr="000B5F18">
        <w:t xml:space="preserve">SIA „KPMG </w:t>
      </w:r>
      <w:proofErr w:type="spellStart"/>
      <w:r w:rsidRPr="000B5F18">
        <w:t>Baltics</w:t>
      </w:r>
      <w:proofErr w:type="spellEnd"/>
      <w:r w:rsidRPr="000B5F18">
        <w:t>”</w:t>
      </w:r>
      <w:r>
        <w:t xml:space="preserve"> piedāvājumā </w:t>
      </w:r>
      <w:r w:rsidR="000B6BA2">
        <w:t xml:space="preserve">piesaistītais personāls – Anda </w:t>
      </w:r>
      <w:proofErr w:type="spellStart"/>
      <w:r w:rsidR="000B6BA2">
        <w:t>Drožina</w:t>
      </w:r>
      <w:proofErr w:type="spellEnd"/>
      <w:r w:rsidR="000B6BA2">
        <w:t xml:space="preserve">, Inga Helmane, Ilze </w:t>
      </w:r>
      <w:proofErr w:type="spellStart"/>
      <w:r w:rsidR="000B6BA2">
        <w:t>V</w:t>
      </w:r>
      <w:r w:rsidR="00A11235">
        <w:t>īksne</w:t>
      </w:r>
      <w:proofErr w:type="spellEnd"/>
      <w:r w:rsidR="000B6BA2">
        <w:t xml:space="preserve"> </w:t>
      </w:r>
      <w:r w:rsidR="00770E35">
        <w:t xml:space="preserve">- </w:t>
      </w:r>
      <w:r w:rsidR="000B6BA2">
        <w:t xml:space="preserve">atbilst uzaicinājuma 9.1.6., 9.2.1.3. un 9.2.2.3. apakšpunkta prasībām, un apliecina, ka </w:t>
      </w:r>
      <w:r w:rsidR="000B6BA2" w:rsidRPr="000B5F18">
        <w:t xml:space="preserve">SIA „KPMG </w:t>
      </w:r>
      <w:proofErr w:type="spellStart"/>
      <w:r w:rsidR="000B6BA2" w:rsidRPr="000B5F18">
        <w:t>Baltics</w:t>
      </w:r>
      <w:proofErr w:type="spellEnd"/>
      <w:r w:rsidR="000B6BA2" w:rsidRPr="000B5F18">
        <w:t>”</w:t>
      </w:r>
      <w:r w:rsidR="000B6BA2">
        <w:t xml:space="preserve"> piesaistītais iepriekš norādītais personāls un citi </w:t>
      </w:r>
      <w:r w:rsidR="000B6BA2" w:rsidRPr="000B5F18">
        <w:t xml:space="preserve">SIA „KPMG </w:t>
      </w:r>
      <w:proofErr w:type="spellStart"/>
      <w:r w:rsidR="000B6BA2" w:rsidRPr="000B5F18">
        <w:t>Baltics</w:t>
      </w:r>
      <w:proofErr w:type="spellEnd"/>
      <w:r w:rsidR="000B6BA2" w:rsidRPr="000B5F18">
        <w:t>”</w:t>
      </w:r>
      <w:r w:rsidR="000B6BA2">
        <w:t xml:space="preserve"> piesaistītie speciālisti (ja tādi būs nepieciešami) būs neatkarīgi</w:t>
      </w:r>
      <w:r w:rsidR="000B6BA2" w:rsidRPr="00096F9A">
        <w:t xml:space="preserve"> un pakalpojuma sniegšanas laikā nepastāvēs interešu konflikts.</w:t>
      </w:r>
    </w:p>
    <w:p w:rsidR="006D7818" w:rsidRDefault="00770E35" w:rsidP="00770E35">
      <w:pPr>
        <w:pStyle w:val="ListParagraph"/>
        <w:numPr>
          <w:ilvl w:val="0"/>
          <w:numId w:val="5"/>
        </w:numPr>
        <w:ind w:left="567" w:right="-879" w:hanging="567"/>
        <w:jc w:val="both"/>
      </w:pPr>
      <w:r>
        <w:t xml:space="preserve">Pretendenta </w:t>
      </w:r>
      <w:r w:rsidRPr="00770E35">
        <w:t>SIA „</w:t>
      </w:r>
      <w:proofErr w:type="spellStart"/>
      <w:r w:rsidRPr="00770E35">
        <w:t>PricewaterhouseCoopers</w:t>
      </w:r>
      <w:proofErr w:type="spellEnd"/>
      <w:r w:rsidRPr="00770E35">
        <w:t>”</w:t>
      </w:r>
      <w:r>
        <w:t xml:space="preserve"> 2014. gada 3. novembra vēstules izskatīšana:</w:t>
      </w:r>
      <w:r w:rsidR="003F53E9" w:rsidRPr="003F53E9">
        <w:t xml:space="preserve"> </w:t>
      </w:r>
      <w:r w:rsidR="003F53E9" w:rsidRPr="00770E35">
        <w:t>SIA „</w:t>
      </w:r>
      <w:proofErr w:type="spellStart"/>
      <w:r w:rsidR="003F53E9" w:rsidRPr="00770E35">
        <w:t>PricewaterhouseCoopers</w:t>
      </w:r>
      <w:proofErr w:type="spellEnd"/>
      <w:r w:rsidR="003F53E9" w:rsidRPr="00770E35">
        <w:t>”</w:t>
      </w:r>
      <w:r w:rsidR="003F53E9">
        <w:t xml:space="preserve"> vēstulē norāda, ka</w:t>
      </w:r>
    </w:p>
    <w:p w:rsidR="00770E35" w:rsidRDefault="00770E35" w:rsidP="0093207F">
      <w:pPr>
        <w:pStyle w:val="ListParagraph"/>
        <w:numPr>
          <w:ilvl w:val="0"/>
          <w:numId w:val="8"/>
        </w:numPr>
        <w:ind w:right="-879"/>
        <w:jc w:val="both"/>
      </w:pPr>
      <w:r>
        <w:t xml:space="preserve">vēstules pielikumā pievienoti apliecinājumi par </w:t>
      </w:r>
      <w:r w:rsidRPr="00770E35">
        <w:t>SIA „</w:t>
      </w:r>
      <w:proofErr w:type="spellStart"/>
      <w:r w:rsidRPr="00770E35">
        <w:t>PricewaterhouseCoopers</w:t>
      </w:r>
      <w:proofErr w:type="spellEnd"/>
      <w:r w:rsidRPr="00770E35">
        <w:t>”</w:t>
      </w:r>
      <w:r>
        <w:t xml:space="preserve"> iesaistītā personāla – Ilzes </w:t>
      </w:r>
      <w:proofErr w:type="spellStart"/>
      <w:r>
        <w:t>Ozolas</w:t>
      </w:r>
      <w:proofErr w:type="spellEnd"/>
      <w:r>
        <w:t xml:space="preserve">, Sandija Miķelsona, Lolitas </w:t>
      </w:r>
      <w:proofErr w:type="spellStart"/>
      <w:r>
        <w:t>Čapkevičas</w:t>
      </w:r>
      <w:proofErr w:type="spellEnd"/>
      <w:r>
        <w:t xml:space="preserve"> neatkarību un to, ka pakalpojuma sniegšanas laikā nepastāvēs interešu konflikts.</w:t>
      </w:r>
    </w:p>
    <w:p w:rsidR="0093207F" w:rsidRPr="0093207F" w:rsidRDefault="0093207F" w:rsidP="0093207F">
      <w:pPr>
        <w:pStyle w:val="ListParagraph"/>
        <w:numPr>
          <w:ilvl w:val="0"/>
          <w:numId w:val="8"/>
        </w:numPr>
        <w:ind w:right="-879"/>
        <w:jc w:val="both"/>
      </w:pPr>
      <w:r w:rsidRPr="00770E35">
        <w:t>SIA „</w:t>
      </w:r>
      <w:proofErr w:type="spellStart"/>
      <w:r w:rsidRPr="00770E35">
        <w:t>PricewaterhouseCoopers</w:t>
      </w:r>
      <w:proofErr w:type="spellEnd"/>
      <w:r w:rsidRPr="00770E35">
        <w:t>”</w:t>
      </w:r>
      <w:r>
        <w:t xml:space="preserve"> vēstules pielikumā pievienota informācija par </w:t>
      </w:r>
      <w:r w:rsidRPr="00096F9A">
        <w:rPr>
          <w:bCs/>
        </w:rPr>
        <w:t xml:space="preserve">piedāvātā personāla Lolitas </w:t>
      </w:r>
      <w:proofErr w:type="spellStart"/>
      <w:r w:rsidRPr="00096F9A">
        <w:rPr>
          <w:bCs/>
        </w:rPr>
        <w:t>Čapkevičas</w:t>
      </w:r>
      <w:proofErr w:type="spellEnd"/>
      <w:r>
        <w:rPr>
          <w:bCs/>
        </w:rPr>
        <w:t xml:space="preserve"> pienākumiem un atbildību piedāvājumā minētajos projektos.</w:t>
      </w:r>
    </w:p>
    <w:p w:rsidR="0093207F" w:rsidRDefault="0093207F" w:rsidP="0093207F">
      <w:pPr>
        <w:pStyle w:val="ListParagraph"/>
        <w:numPr>
          <w:ilvl w:val="0"/>
          <w:numId w:val="8"/>
        </w:numPr>
        <w:ind w:right="-879"/>
        <w:jc w:val="both"/>
      </w:pPr>
      <w:r>
        <w:t xml:space="preserve">Ilzei </w:t>
      </w:r>
      <w:proofErr w:type="spellStart"/>
      <w:r>
        <w:t>Ozolai</w:t>
      </w:r>
      <w:proofErr w:type="spellEnd"/>
      <w:r>
        <w:t xml:space="preserve"> ir nepieciešamā pieredze, kas nepieciešama metodisko materiālu izstrādē (skat. vēstuli).</w:t>
      </w:r>
    </w:p>
    <w:p w:rsidR="00CB3736" w:rsidRDefault="00F51661" w:rsidP="00F51661">
      <w:pPr>
        <w:pStyle w:val="ListParagraph"/>
        <w:numPr>
          <w:ilvl w:val="0"/>
          <w:numId w:val="5"/>
        </w:numPr>
        <w:ind w:left="567" w:right="-879" w:hanging="567"/>
        <w:jc w:val="both"/>
      </w:pPr>
      <w:r>
        <w:t>Pretendentu -</w:t>
      </w:r>
      <w:r w:rsidRPr="00126B84">
        <w:t xml:space="preserve"> </w:t>
      </w:r>
      <w:r w:rsidRPr="000B5F18">
        <w:t xml:space="preserve">SIA „KPMG </w:t>
      </w:r>
      <w:proofErr w:type="spellStart"/>
      <w:r w:rsidRPr="000B5F18">
        <w:t>Baltics</w:t>
      </w:r>
      <w:proofErr w:type="spellEnd"/>
      <w:r w:rsidRPr="000B5F18">
        <w:t>”</w:t>
      </w:r>
      <w:r>
        <w:t xml:space="preserve"> un </w:t>
      </w:r>
      <w:r w:rsidRPr="000B5F18">
        <w:t>SIA „</w:t>
      </w:r>
      <w:proofErr w:type="spellStart"/>
      <w:r w:rsidRPr="000B5F18">
        <w:t>PricewaterhouseCoopers</w:t>
      </w:r>
      <w:proofErr w:type="spellEnd"/>
      <w:r w:rsidRPr="000B5F18">
        <w:t>”</w:t>
      </w:r>
      <w:r>
        <w:t xml:space="preserve"> - piedāvājumu</w:t>
      </w:r>
      <w:r w:rsidRPr="00126B84">
        <w:t xml:space="preserve"> atbilstības pārbaude iepirkuma procedūras uzaicinājumā norādītajām pretendentu </w:t>
      </w:r>
      <w:r>
        <w:t xml:space="preserve">atlases </w:t>
      </w:r>
      <w:r>
        <w:lastRenderedPageBreak/>
        <w:t>prasībām (uzaicinājuma 9</w:t>
      </w:r>
      <w:r w:rsidRPr="00126B84">
        <w:t>. punkts “Prasības pretendentiem</w:t>
      </w:r>
      <w:r w:rsidR="00B47F03">
        <w:t xml:space="preserve"> un</w:t>
      </w:r>
      <w:r>
        <w:t xml:space="preserve"> iesniedzamie pretendentu atlases dokumenti</w:t>
      </w:r>
      <w:r w:rsidRPr="00126B84">
        <w:t>”).</w:t>
      </w:r>
    </w:p>
    <w:p w:rsidR="00F51661" w:rsidRDefault="00F51661" w:rsidP="00F51661">
      <w:pPr>
        <w:pStyle w:val="ListParagraph"/>
        <w:ind w:left="567" w:right="-879"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670"/>
      </w:tblGrid>
      <w:tr w:rsidR="00353A03" w:rsidTr="00353A03">
        <w:tc>
          <w:tcPr>
            <w:tcW w:w="3544" w:type="dxa"/>
          </w:tcPr>
          <w:p w:rsidR="00353A03" w:rsidRDefault="00353A03" w:rsidP="00032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670" w:type="dxa"/>
          </w:tcPr>
          <w:p w:rsidR="00353A03" w:rsidRDefault="00353A03" w:rsidP="00353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Atbilstība uzaicinājumā norādītajām pretendentu atlases prasībām</w:t>
            </w:r>
          </w:p>
        </w:tc>
      </w:tr>
      <w:tr w:rsidR="00353A03" w:rsidTr="00353A03">
        <w:tc>
          <w:tcPr>
            <w:tcW w:w="3544" w:type="dxa"/>
          </w:tcPr>
          <w:p w:rsidR="00353A03" w:rsidRDefault="00353A03" w:rsidP="000328D3">
            <w:pPr>
              <w:ind w:right="-136"/>
              <w:rPr>
                <w:b/>
                <w:bCs/>
              </w:rPr>
            </w:pPr>
            <w:r w:rsidRPr="00353A03">
              <w:rPr>
                <w:b/>
                <w:bCs/>
              </w:rPr>
              <w:t xml:space="preserve">SIA „KPMG </w:t>
            </w:r>
            <w:proofErr w:type="spellStart"/>
            <w:r w:rsidRPr="00353A03">
              <w:rPr>
                <w:b/>
                <w:bCs/>
              </w:rPr>
              <w:t>Baltics</w:t>
            </w:r>
            <w:proofErr w:type="spellEnd"/>
            <w:r w:rsidRPr="00353A03">
              <w:rPr>
                <w:b/>
                <w:bCs/>
              </w:rPr>
              <w:t>”</w:t>
            </w:r>
          </w:p>
        </w:tc>
        <w:tc>
          <w:tcPr>
            <w:tcW w:w="5670" w:type="dxa"/>
          </w:tcPr>
          <w:p w:rsidR="00096F9A" w:rsidRPr="006D7818" w:rsidRDefault="006D7818" w:rsidP="006D7818">
            <w:pPr>
              <w:jc w:val="both"/>
            </w:pPr>
            <w:r w:rsidRPr="006D7818">
              <w:rPr>
                <w:bCs/>
              </w:rPr>
              <w:t xml:space="preserve">SIA „KPMG </w:t>
            </w:r>
            <w:proofErr w:type="spellStart"/>
            <w:r w:rsidRPr="006D7818">
              <w:rPr>
                <w:bCs/>
              </w:rPr>
              <w:t>Baltics</w:t>
            </w:r>
            <w:proofErr w:type="spellEnd"/>
            <w:r w:rsidRPr="006D7818">
              <w:rPr>
                <w:bCs/>
              </w:rPr>
              <w:t>” piedāvājums a</w:t>
            </w:r>
            <w:r w:rsidRPr="006D7818">
              <w:t xml:space="preserve">tbilst </w:t>
            </w:r>
            <w:r w:rsidRPr="006D7818">
              <w:rPr>
                <w:bCs/>
              </w:rPr>
              <w:t>uzaicinājumā norādītajām pretendentu atlases prasībām.</w:t>
            </w:r>
          </w:p>
        </w:tc>
      </w:tr>
      <w:tr w:rsidR="00353A03" w:rsidTr="00353A03">
        <w:tc>
          <w:tcPr>
            <w:tcW w:w="3544" w:type="dxa"/>
          </w:tcPr>
          <w:p w:rsidR="00353A03" w:rsidRPr="00045817" w:rsidRDefault="00353A03" w:rsidP="000328D3">
            <w:pPr>
              <w:ind w:right="-136"/>
              <w:rPr>
                <w:b/>
                <w:bCs/>
              </w:rPr>
            </w:pPr>
            <w:r w:rsidRPr="00353A03">
              <w:rPr>
                <w:b/>
                <w:bCs/>
              </w:rPr>
              <w:t>SIA „</w:t>
            </w:r>
            <w:proofErr w:type="spellStart"/>
            <w:r w:rsidRPr="00353A03">
              <w:rPr>
                <w:b/>
                <w:bCs/>
              </w:rPr>
              <w:t>PricewaterhouseCoopers</w:t>
            </w:r>
            <w:proofErr w:type="spellEnd"/>
            <w:r w:rsidRPr="00353A03">
              <w:rPr>
                <w:b/>
                <w:bCs/>
              </w:rPr>
              <w:t>”</w:t>
            </w:r>
          </w:p>
        </w:tc>
        <w:tc>
          <w:tcPr>
            <w:tcW w:w="5670" w:type="dxa"/>
          </w:tcPr>
          <w:p w:rsidR="008178BE" w:rsidRDefault="008178BE" w:rsidP="008178BE">
            <w:pPr>
              <w:ind w:firstLine="284"/>
              <w:jc w:val="both"/>
            </w:pPr>
            <w:r>
              <w:t>Iepirkuma komisija</w:t>
            </w:r>
            <w:r w:rsidR="00096F9A">
              <w:t xml:space="preserve"> </w:t>
            </w:r>
            <w:r>
              <w:t>izskatīja</w:t>
            </w:r>
            <w:r w:rsidR="00096F9A">
              <w:t xml:space="preserve"> SIA „</w:t>
            </w:r>
            <w:proofErr w:type="spellStart"/>
            <w:r w:rsidR="00096F9A">
              <w:t>PricewaterhouseCoopers</w:t>
            </w:r>
            <w:proofErr w:type="spellEnd"/>
            <w:r w:rsidR="00096F9A">
              <w:t xml:space="preserve">” </w:t>
            </w:r>
            <w:r>
              <w:t xml:space="preserve">vēstuli un </w:t>
            </w:r>
            <w:r w:rsidR="001C7D4D">
              <w:t>neguva</w:t>
            </w:r>
            <w:r>
              <w:t xml:space="preserve"> pārliecību par SIA „</w:t>
            </w:r>
            <w:proofErr w:type="spellStart"/>
            <w:r>
              <w:t>PricewaterhouseCoopers</w:t>
            </w:r>
            <w:proofErr w:type="spellEnd"/>
            <w:r>
              <w:t xml:space="preserve">” </w:t>
            </w:r>
            <w:r w:rsidRPr="002D3331">
              <w:t xml:space="preserve">piedāvātā personāla Ilzes </w:t>
            </w:r>
            <w:proofErr w:type="spellStart"/>
            <w:r w:rsidRPr="002D3331">
              <w:t>Ozolas</w:t>
            </w:r>
            <w:proofErr w:type="spellEnd"/>
            <w:r>
              <w:t xml:space="preserve"> atbilstību iepirkuma procedūras uzaicinājumā norādītajām </w:t>
            </w:r>
            <w:r w:rsidRPr="002D3331">
              <w:t>9.2.2.4. apakšpunkta prasībām</w:t>
            </w:r>
            <w:r>
              <w:t xml:space="preserve">, t.i., par pieredzi </w:t>
            </w:r>
            <w:r w:rsidRPr="003846F6">
              <w:rPr>
                <w:u w:val="single"/>
              </w:rPr>
              <w:t>metodiskā materiāla izstrādē</w:t>
            </w:r>
            <w:r>
              <w:t xml:space="preserve"> kontroļu un audita jomā. </w:t>
            </w:r>
          </w:p>
          <w:p w:rsidR="008178BE" w:rsidRDefault="008178BE" w:rsidP="008178BE">
            <w:pPr>
              <w:pStyle w:val="ListParagraph"/>
              <w:ind w:left="34" w:firstLine="425"/>
              <w:jc w:val="both"/>
            </w:pPr>
            <w:r>
              <w:t xml:space="preserve">Iepirkuma komisija neguva pārliecību arī par </w:t>
            </w:r>
            <w:r w:rsidRPr="008178BE">
              <w:t>SIA „</w:t>
            </w:r>
            <w:proofErr w:type="spellStart"/>
            <w:r w:rsidRPr="008178BE">
              <w:t>PricewaterhouseCoopers</w:t>
            </w:r>
            <w:proofErr w:type="spellEnd"/>
            <w:r w:rsidRPr="008178BE">
              <w:t xml:space="preserve">” </w:t>
            </w:r>
            <w:r w:rsidRPr="002D3331">
              <w:t xml:space="preserve">piedāvātā personāla Lolitas </w:t>
            </w:r>
            <w:proofErr w:type="spellStart"/>
            <w:r w:rsidRPr="002D3331">
              <w:t>Čapkevičas</w:t>
            </w:r>
            <w:proofErr w:type="spellEnd"/>
            <w:r>
              <w:t xml:space="preserve"> atbilstību iepirkuma procedūras uzaicinājumā norādītajām 9.2.2.2</w:t>
            </w:r>
            <w:r w:rsidRPr="002D3331">
              <w:t>. apakšpunkta prasībām</w:t>
            </w:r>
            <w:r>
              <w:t>, t.i., SIA „</w:t>
            </w:r>
            <w:proofErr w:type="spellStart"/>
            <w:r>
              <w:t>PricewaterhouseCoopers</w:t>
            </w:r>
            <w:proofErr w:type="spellEnd"/>
            <w:r>
              <w:t>” vēstulē Lolitas</w:t>
            </w:r>
            <w:r w:rsidRPr="002D3331">
              <w:t xml:space="preserve"> </w:t>
            </w:r>
            <w:proofErr w:type="spellStart"/>
            <w:r w:rsidRPr="002D3331">
              <w:t>Čapkevičas</w:t>
            </w:r>
            <w:proofErr w:type="spellEnd"/>
            <w:r>
              <w:t xml:space="preserve"> pieredze ir norādīta kā projekta vadītājas (pārraudzītājas) pieredze, nevis pieredze </w:t>
            </w:r>
            <w:r w:rsidRPr="00BA0419">
              <w:rPr>
                <w:color w:val="000000"/>
              </w:rPr>
              <w:t xml:space="preserve">vismaz </w:t>
            </w:r>
            <w:r w:rsidRPr="00CD4BF8">
              <w:rPr>
                <w:color w:val="000000"/>
                <w:u w:val="single"/>
              </w:rPr>
              <w:t>divu pabeigtu auditu</w:t>
            </w:r>
            <w:r w:rsidRPr="00CD4BF8">
              <w:rPr>
                <w:b/>
                <w:color w:val="000000"/>
                <w:u w:val="single"/>
              </w:rPr>
              <w:t>/</w:t>
            </w:r>
            <w:r w:rsidRPr="00CD4BF8">
              <w:rPr>
                <w:u w:val="single"/>
              </w:rPr>
              <w:t xml:space="preserve">izvērtējumu </w:t>
            </w:r>
            <w:r w:rsidRPr="00CD4BF8">
              <w:rPr>
                <w:color w:val="000000"/>
                <w:u w:val="single"/>
              </w:rPr>
              <w:t>veikšanā</w:t>
            </w:r>
            <w:r w:rsidRPr="00CD4BF8">
              <w:rPr>
                <w:b/>
                <w:color w:val="000000"/>
                <w:u w:val="single"/>
              </w:rPr>
              <w:t xml:space="preserve"> </w:t>
            </w:r>
            <w:r w:rsidRPr="0017364A">
              <w:rPr>
                <w:color w:val="000000"/>
                <w:u w:val="single"/>
              </w:rPr>
              <w:t>vadības un kontroles sistēmas jomā</w:t>
            </w:r>
            <w:r w:rsidRPr="003C253F">
              <w:rPr>
                <w:color w:val="000000"/>
              </w:rPr>
              <w:t xml:space="preserve"> </w:t>
            </w:r>
            <w:r w:rsidRPr="00E923F8">
              <w:rPr>
                <w:color w:val="000000"/>
              </w:rPr>
              <w:t>iepriekšējo trīs gadu (2011., 2012., 2013.) laikā</w:t>
            </w:r>
            <w:r>
              <w:rPr>
                <w:color w:val="000000"/>
              </w:rPr>
              <w:t>, t.sk. vismaz viena audita/</w:t>
            </w:r>
            <w:r w:rsidRPr="00E923F8">
              <w:rPr>
                <w:color w:val="000000"/>
              </w:rPr>
              <w:t>izvērtējuma veikšanā par Eiropas Savienības fond</w:t>
            </w:r>
            <w:r>
              <w:rPr>
                <w:color w:val="000000"/>
              </w:rPr>
              <w:t>u</w:t>
            </w:r>
            <w:r w:rsidRPr="00E923F8">
              <w:rPr>
                <w:color w:val="000000"/>
              </w:rPr>
              <w:t xml:space="preserve"> vai cit</w:t>
            </w:r>
            <w:r>
              <w:rPr>
                <w:color w:val="000000"/>
              </w:rPr>
              <w:t>u</w:t>
            </w:r>
            <w:r w:rsidRPr="00E923F8">
              <w:rPr>
                <w:color w:val="000000"/>
              </w:rPr>
              <w:t xml:space="preserve"> ārvalstu finanšu palīdzības instrument</w:t>
            </w:r>
            <w:r>
              <w:rPr>
                <w:color w:val="000000"/>
              </w:rPr>
              <w:t>u vadības un kontroles sistēmu.</w:t>
            </w:r>
          </w:p>
          <w:p w:rsidR="00096F9A" w:rsidRDefault="00096F9A" w:rsidP="001E5E34">
            <w:pPr>
              <w:pStyle w:val="ListParagraph"/>
              <w:ind w:left="34"/>
              <w:jc w:val="both"/>
            </w:pPr>
            <w:r>
              <w:t>Lai izvērtētu SIA „</w:t>
            </w:r>
            <w:proofErr w:type="spellStart"/>
            <w:r>
              <w:t>PricewaterhouseCoopers</w:t>
            </w:r>
            <w:proofErr w:type="spellEnd"/>
            <w:r>
              <w:t xml:space="preserve">” </w:t>
            </w:r>
            <w:r w:rsidRPr="004B281D">
              <w:t>piedāvājumu</w:t>
            </w:r>
            <w:r>
              <w:t xml:space="preserve"> saskaņā ar iepirkuma procedūras uzaicinājumā norādītajām pretendentu atlases p</w:t>
            </w:r>
            <w:r w:rsidR="001E5E34">
              <w:t>rasībām, lūgt</w:t>
            </w:r>
            <w:r>
              <w:t xml:space="preserve"> iesniegt:</w:t>
            </w:r>
          </w:p>
          <w:p w:rsidR="001E5E34" w:rsidRPr="008178BE" w:rsidRDefault="008178BE" w:rsidP="001E5E34">
            <w:pPr>
              <w:numPr>
                <w:ilvl w:val="0"/>
                <w:numId w:val="7"/>
              </w:numPr>
              <w:ind w:left="459" w:hanging="425"/>
              <w:contextualSpacing/>
              <w:jc w:val="both"/>
              <w:rPr>
                <w:lang w:eastAsia="en-US"/>
              </w:rPr>
            </w:pPr>
            <w:r>
              <w:t xml:space="preserve">informāciju, </w:t>
            </w:r>
            <w:r w:rsidRPr="00CD4BF8">
              <w:rPr>
                <w:u w:val="single"/>
              </w:rPr>
              <w:t>konkrēti norādot</w:t>
            </w:r>
            <w:r>
              <w:t xml:space="preserve"> </w:t>
            </w:r>
            <w:r w:rsidR="0099555F">
              <w:t>SIA „</w:t>
            </w:r>
            <w:proofErr w:type="spellStart"/>
            <w:r w:rsidR="0099555F">
              <w:t>PricewaterhouseCoopers</w:t>
            </w:r>
            <w:proofErr w:type="spellEnd"/>
            <w:r w:rsidR="0099555F">
              <w:t xml:space="preserve">” </w:t>
            </w:r>
            <w:r w:rsidRPr="002D3331">
              <w:t xml:space="preserve">piedāvātā personāla Ilzes </w:t>
            </w:r>
            <w:proofErr w:type="spellStart"/>
            <w:r w:rsidRPr="002D3331">
              <w:t>Ozolas</w:t>
            </w:r>
            <w:proofErr w:type="spellEnd"/>
            <w:r>
              <w:t xml:space="preserve"> izstrādāto</w:t>
            </w:r>
            <w:r w:rsidRPr="00CD4BF8">
              <w:t xml:space="preserve"> </w:t>
            </w:r>
            <w:r w:rsidRPr="00CD4BF8">
              <w:rPr>
                <w:u w:val="single"/>
              </w:rPr>
              <w:t>metodisko materiālu</w:t>
            </w:r>
            <w:r>
              <w:rPr>
                <w:u w:val="single"/>
              </w:rPr>
              <w:t>;</w:t>
            </w:r>
          </w:p>
          <w:p w:rsidR="001E5E34" w:rsidRPr="009B190D" w:rsidRDefault="008178BE" w:rsidP="0099555F">
            <w:pPr>
              <w:numPr>
                <w:ilvl w:val="0"/>
                <w:numId w:val="7"/>
              </w:numPr>
              <w:ind w:left="459" w:hanging="425"/>
              <w:contextualSpacing/>
              <w:jc w:val="both"/>
            </w:pPr>
            <w:r>
              <w:t xml:space="preserve">informāciju, </w:t>
            </w:r>
            <w:r w:rsidRPr="00CD4BF8">
              <w:rPr>
                <w:u w:val="single"/>
              </w:rPr>
              <w:t>konkrēti norādot</w:t>
            </w:r>
            <w:r>
              <w:t xml:space="preserve"> </w:t>
            </w:r>
            <w:r w:rsidR="0099555F">
              <w:t>SIA „</w:t>
            </w:r>
            <w:proofErr w:type="spellStart"/>
            <w:r w:rsidR="0099555F">
              <w:t>PricewaterhouseCoopers</w:t>
            </w:r>
            <w:proofErr w:type="spellEnd"/>
            <w:r w:rsidR="0099555F">
              <w:t xml:space="preserve">” </w:t>
            </w:r>
            <w:r w:rsidRPr="002D3331">
              <w:t>piedāvātā personāla</w:t>
            </w:r>
            <w:r>
              <w:t xml:space="preserve"> </w:t>
            </w:r>
            <w:r w:rsidRPr="002D3331">
              <w:t xml:space="preserve">Lolitas </w:t>
            </w:r>
            <w:proofErr w:type="spellStart"/>
            <w:r w:rsidRPr="002D3331">
              <w:t>Čapkevičas</w:t>
            </w:r>
            <w:proofErr w:type="spellEnd"/>
            <w:r>
              <w:t xml:space="preserve"> veiktos </w:t>
            </w:r>
            <w:r w:rsidRPr="00CD4BF8">
              <w:rPr>
                <w:color w:val="000000"/>
                <w:u w:val="single"/>
              </w:rPr>
              <w:t>auditu</w:t>
            </w:r>
            <w:r>
              <w:rPr>
                <w:color w:val="000000"/>
                <w:u w:val="single"/>
              </w:rPr>
              <w:t>s</w:t>
            </w:r>
            <w:r w:rsidRPr="00CD4BF8">
              <w:rPr>
                <w:b/>
                <w:color w:val="000000"/>
                <w:u w:val="single"/>
              </w:rPr>
              <w:t>/</w:t>
            </w:r>
            <w:r w:rsidRPr="00CD4BF8">
              <w:rPr>
                <w:u w:val="single"/>
              </w:rPr>
              <w:t>izvērtējumu</w:t>
            </w:r>
            <w:r>
              <w:rPr>
                <w:u w:val="single"/>
              </w:rPr>
              <w:t xml:space="preserve">s vadības un kontroles sistēmas jomā, t.sk. vismaz viena audita/izvērtējuma </w:t>
            </w:r>
            <w:r w:rsidRPr="008E719B">
              <w:rPr>
                <w:b/>
              </w:rPr>
              <w:t>veikšanā</w:t>
            </w:r>
            <w:r>
              <w:rPr>
                <w:u w:val="single"/>
              </w:rPr>
              <w:t xml:space="preserve"> (nevis pārraudzībā) par Eiropas Savienības fondu vai citu ārvalstu finanšu palīdzības instrumentu vadības un kontroles sistēmu.</w:t>
            </w:r>
          </w:p>
        </w:tc>
      </w:tr>
    </w:tbl>
    <w:p w:rsidR="00F51661" w:rsidRDefault="00F51661" w:rsidP="009972C6">
      <w:pPr>
        <w:ind w:right="-879"/>
        <w:jc w:val="both"/>
      </w:pPr>
    </w:p>
    <w:p w:rsidR="008178BE" w:rsidRDefault="008178BE">
      <w:pPr>
        <w:rPr>
          <w:highlight w:val="yellow"/>
        </w:rPr>
      </w:pPr>
      <w:r>
        <w:rPr>
          <w:highlight w:val="yellow"/>
        </w:rPr>
        <w:br w:type="page"/>
      </w:r>
    </w:p>
    <w:p w:rsidR="001F054D" w:rsidRDefault="001F054D">
      <w:pPr>
        <w:tabs>
          <w:tab w:val="left" w:pos="560"/>
        </w:tabs>
        <w:ind w:right="-879"/>
        <w:rPr>
          <w:highlight w:val="yellow"/>
        </w:rPr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6F747E" w:rsidRDefault="006F747E" w:rsidP="00C046BD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>
        <w:t xml:space="preserve">Pretendenta </w:t>
      </w:r>
      <w:r w:rsidRPr="000B5F18">
        <w:t xml:space="preserve">SIA „KPMG </w:t>
      </w:r>
      <w:proofErr w:type="spellStart"/>
      <w:r w:rsidRPr="000B5F18">
        <w:t>Baltics</w:t>
      </w:r>
      <w:proofErr w:type="spellEnd"/>
      <w:r w:rsidRPr="000B5F18">
        <w:t>”</w:t>
      </w:r>
      <w:r>
        <w:t xml:space="preserve"> piedāvājums atbilst</w:t>
      </w:r>
      <w:r w:rsidRPr="00126B84">
        <w:t xml:space="preserve"> iepirkuma procedūras uzaicinājumā norādītajām pretendentu </w:t>
      </w:r>
      <w:r>
        <w:t>atlases prasībām (uzaicinājuma 9</w:t>
      </w:r>
      <w:r w:rsidRPr="00126B84">
        <w:t>. punkts “Prasības pretendentiem</w:t>
      </w:r>
      <w:r>
        <w:t xml:space="preserve"> un iesniedzamie pretendentu atlases dokumenti</w:t>
      </w:r>
      <w:r w:rsidRPr="00126B84">
        <w:t>”).</w:t>
      </w:r>
    </w:p>
    <w:p w:rsidR="005545AB" w:rsidRDefault="001E5E34" w:rsidP="00C046BD">
      <w:pPr>
        <w:pStyle w:val="ListParagraph"/>
        <w:numPr>
          <w:ilvl w:val="0"/>
          <w:numId w:val="4"/>
        </w:numPr>
        <w:tabs>
          <w:tab w:val="left" w:pos="560"/>
        </w:tabs>
        <w:ind w:left="567" w:right="-879" w:hanging="567"/>
        <w:jc w:val="both"/>
      </w:pPr>
      <w:r>
        <w:t>Uzdot</w:t>
      </w:r>
      <w:r w:rsidRPr="00416465">
        <w:t xml:space="preserve"> Infrastruktūras apsaimniekošanas departamenta </w:t>
      </w:r>
      <w:r>
        <w:t>vecākajai ekspertei D. Klintij līdz 2014</w:t>
      </w:r>
      <w:r w:rsidRPr="00416465">
        <w:t>.</w:t>
      </w:r>
      <w:r>
        <w:t> </w:t>
      </w:r>
      <w:r w:rsidRPr="00416465">
        <w:t xml:space="preserve">gada </w:t>
      </w:r>
      <w:r w:rsidR="005766D2">
        <w:t>5</w:t>
      </w:r>
      <w:r w:rsidRPr="00416465">
        <w:t>.</w:t>
      </w:r>
      <w:r w:rsidR="005766D2">
        <w:t> novembrim</w:t>
      </w:r>
      <w:r>
        <w:t xml:space="preserve"> </w:t>
      </w:r>
      <w:r w:rsidRPr="00416465">
        <w:t xml:space="preserve">sagatavot un nosūtīt </w:t>
      </w:r>
      <w:r w:rsidRPr="0062781D">
        <w:t xml:space="preserve">vēstuli </w:t>
      </w:r>
      <w:r>
        <w:t xml:space="preserve">pretendentam </w:t>
      </w:r>
      <w:r w:rsidRPr="000B5F18">
        <w:t>SIA „</w:t>
      </w:r>
      <w:proofErr w:type="spellStart"/>
      <w:r w:rsidRPr="000B5F18">
        <w:t>PricewaterhouseCoopers</w:t>
      </w:r>
      <w:proofErr w:type="spellEnd"/>
      <w:r w:rsidRPr="000B5F18">
        <w:t>”</w:t>
      </w:r>
      <w:r>
        <w:t xml:space="preserve">, </w:t>
      </w:r>
      <w:r w:rsidR="00782D52">
        <w:t>lai pretendents</w:t>
      </w:r>
      <w:r w:rsidRPr="0062781D">
        <w:t xml:space="preserve"> līdz 201</w:t>
      </w:r>
      <w:r>
        <w:t>4</w:t>
      </w:r>
      <w:r w:rsidRPr="0062781D">
        <w:t>.</w:t>
      </w:r>
      <w:r>
        <w:t> </w:t>
      </w:r>
      <w:r w:rsidRPr="0062781D">
        <w:t xml:space="preserve">gada </w:t>
      </w:r>
      <w:r w:rsidR="005766D2">
        <w:t>6</w:t>
      </w:r>
      <w:r w:rsidRPr="0062781D">
        <w:t>. </w:t>
      </w:r>
      <w:r>
        <w:t xml:space="preserve">novembrim </w:t>
      </w:r>
      <w:r w:rsidR="005766D2">
        <w:t xml:space="preserve">plkst. 15.00 </w:t>
      </w:r>
      <w:r w:rsidR="00782D52">
        <w:t>attiecīgi precizē savu iesniegto piedāvājumu</w:t>
      </w:r>
      <w:r>
        <w:t>.</w:t>
      </w:r>
    </w:p>
    <w:p w:rsidR="00C35BE1" w:rsidRPr="00F0256F" w:rsidRDefault="00C35BE1">
      <w:pPr>
        <w:tabs>
          <w:tab w:val="left" w:pos="560"/>
        </w:tabs>
        <w:ind w:left="588" w:right="-879" w:hanging="588"/>
        <w:jc w:val="both"/>
      </w:pPr>
    </w:p>
    <w:p w:rsidR="009F1333" w:rsidRPr="00F0256F" w:rsidRDefault="00CD2136">
      <w:pPr>
        <w:tabs>
          <w:tab w:val="left" w:pos="560"/>
        </w:tabs>
        <w:ind w:left="588" w:right="-879" w:hanging="588"/>
        <w:jc w:val="both"/>
      </w:pPr>
      <w:r>
        <w:t>Pielikumā: </w:t>
      </w:r>
      <w:r w:rsidR="0077122E">
        <w:t>1. </w:t>
      </w:r>
      <w:r w:rsidR="0077122E" w:rsidRPr="000B5F18">
        <w:t xml:space="preserve">SIA „KPMG </w:t>
      </w:r>
      <w:proofErr w:type="spellStart"/>
      <w:r w:rsidR="0077122E" w:rsidRPr="000B5F18">
        <w:t>Baltics</w:t>
      </w:r>
      <w:proofErr w:type="spellEnd"/>
      <w:r w:rsidR="0077122E" w:rsidRPr="000B5F18">
        <w:t>”</w:t>
      </w:r>
      <w:r w:rsidR="0077122E">
        <w:t xml:space="preserve"> 2014. gada 30. oktobra vēstule </w:t>
      </w:r>
      <w:r w:rsidR="00B24643" w:rsidRPr="00F0256F">
        <w:t xml:space="preserve">uz </w:t>
      </w:r>
      <w:r w:rsidR="0077122E">
        <w:t>1</w:t>
      </w:r>
      <w:r w:rsidR="00B24643" w:rsidRPr="00F0256F">
        <w:t xml:space="preserve"> lp.</w:t>
      </w:r>
    </w:p>
    <w:p w:rsidR="00B24643" w:rsidRDefault="000D2A6F" w:rsidP="000D2A6F">
      <w:pPr>
        <w:tabs>
          <w:tab w:val="left" w:pos="560"/>
        </w:tabs>
        <w:ind w:left="588" w:right="-879" w:firstLine="546"/>
        <w:jc w:val="both"/>
      </w:pPr>
      <w:r>
        <w:t>2. </w:t>
      </w:r>
      <w:r w:rsidR="00676084" w:rsidRPr="00770E35">
        <w:t>SIA „</w:t>
      </w:r>
      <w:proofErr w:type="spellStart"/>
      <w:r w:rsidR="00676084" w:rsidRPr="00770E35">
        <w:t>PricewaterhouseCoopers</w:t>
      </w:r>
      <w:proofErr w:type="spellEnd"/>
      <w:r w:rsidR="00676084" w:rsidRPr="00770E35">
        <w:t>”</w:t>
      </w:r>
      <w:r w:rsidR="00676084">
        <w:t xml:space="preserve"> 2014. gada 3. novembra vēstule uz 12 lp.</w:t>
      </w:r>
    </w:p>
    <w:p w:rsidR="000D2A6F" w:rsidRPr="00F0256F" w:rsidRDefault="000D2A6F">
      <w:pPr>
        <w:tabs>
          <w:tab w:val="left" w:pos="560"/>
        </w:tabs>
        <w:ind w:left="588" w:right="-879" w:hanging="588"/>
        <w:jc w:val="both"/>
      </w:pPr>
    </w:p>
    <w:p w:rsidR="00795A23" w:rsidRDefault="00C9789E">
      <w:pPr>
        <w:tabs>
          <w:tab w:val="left" w:pos="560"/>
        </w:tabs>
        <w:ind w:left="588" w:right="-879" w:hanging="588"/>
        <w:jc w:val="both"/>
      </w:pPr>
      <w:r>
        <w:rPr>
          <w:sz w:val="20"/>
          <w:szCs w:val="20"/>
        </w:rPr>
        <w:t>Sēdi</w:t>
      </w:r>
      <w:r w:rsidR="008B5914" w:rsidRPr="00F0256F">
        <w:rPr>
          <w:sz w:val="20"/>
          <w:szCs w:val="20"/>
        </w:rPr>
        <w:t xml:space="preserve"> beidz plkst. </w:t>
      </w:r>
      <w:r>
        <w:rPr>
          <w:sz w:val="20"/>
          <w:szCs w:val="20"/>
        </w:rPr>
        <w:t>11</w:t>
      </w:r>
      <w:r w:rsidR="0072581A" w:rsidRPr="00F0256F">
        <w:rPr>
          <w:sz w:val="20"/>
          <w:szCs w:val="20"/>
        </w:rPr>
        <w:t>.00</w:t>
      </w:r>
      <w:r w:rsidR="0036498F" w:rsidRPr="00F0256F">
        <w:rPr>
          <w:sz w:val="20"/>
          <w:szCs w:val="20"/>
        </w:rPr>
        <w:t>.</w:t>
      </w:r>
    </w:p>
    <w:p w:rsidR="008B5914" w:rsidRDefault="008B5914">
      <w:pPr>
        <w:tabs>
          <w:tab w:val="left" w:pos="560"/>
        </w:tabs>
        <w:ind w:left="588" w:right="-879" w:hanging="588"/>
        <w:jc w:val="both"/>
      </w:pPr>
    </w:p>
    <w:p w:rsidR="0057207C" w:rsidRDefault="0057207C">
      <w:pPr>
        <w:tabs>
          <w:tab w:val="left" w:pos="560"/>
        </w:tabs>
        <w:ind w:left="588" w:right="-879" w:hanging="588"/>
        <w:jc w:val="both"/>
      </w:pPr>
    </w:p>
    <w:p w:rsidR="0057207C" w:rsidRDefault="0057207C">
      <w:pPr>
        <w:tabs>
          <w:tab w:val="left" w:pos="560"/>
        </w:tabs>
        <w:ind w:left="588" w:right="-879" w:hanging="588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C35BE1" w:rsidTr="0057207C">
        <w:trPr>
          <w:trHeight w:val="624"/>
        </w:trPr>
        <w:tc>
          <w:tcPr>
            <w:tcW w:w="2840" w:type="dxa"/>
          </w:tcPr>
          <w:p w:rsidR="00C35BE1" w:rsidRDefault="00921591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EB6268">
            <w:pPr>
              <w:jc w:val="right"/>
            </w:pPr>
            <w:r>
              <w:t>K. Zencova</w:t>
            </w:r>
          </w:p>
        </w:tc>
      </w:tr>
      <w:tr w:rsidR="00C35BE1" w:rsidTr="0057207C">
        <w:trPr>
          <w:trHeight w:val="624"/>
        </w:trPr>
        <w:tc>
          <w:tcPr>
            <w:tcW w:w="2840" w:type="dxa"/>
          </w:tcPr>
          <w:p w:rsidR="00C35BE1" w:rsidRDefault="00921591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C35BE1" w:rsidRDefault="00C35BE1">
            <w:pPr>
              <w:jc w:val="center"/>
            </w:pPr>
          </w:p>
        </w:tc>
        <w:tc>
          <w:tcPr>
            <w:tcW w:w="3499" w:type="dxa"/>
          </w:tcPr>
          <w:p w:rsidR="00C35BE1" w:rsidRDefault="00EB6268">
            <w:pPr>
              <w:jc w:val="right"/>
            </w:pPr>
            <w:r>
              <w:t>S. Lakševica</w:t>
            </w:r>
          </w:p>
        </w:tc>
      </w:tr>
      <w:tr w:rsidR="007B52CD" w:rsidTr="0057207C">
        <w:trPr>
          <w:trHeight w:val="624"/>
        </w:trPr>
        <w:tc>
          <w:tcPr>
            <w:tcW w:w="2840" w:type="dxa"/>
          </w:tcPr>
          <w:p w:rsidR="007B52CD" w:rsidRDefault="007B52CD">
            <w:pPr>
              <w:jc w:val="both"/>
            </w:pPr>
          </w:p>
        </w:tc>
        <w:tc>
          <w:tcPr>
            <w:tcW w:w="2841" w:type="dxa"/>
          </w:tcPr>
          <w:p w:rsidR="007B52CD" w:rsidRDefault="007B52CD">
            <w:pPr>
              <w:jc w:val="center"/>
            </w:pPr>
          </w:p>
        </w:tc>
        <w:tc>
          <w:tcPr>
            <w:tcW w:w="3499" w:type="dxa"/>
          </w:tcPr>
          <w:p w:rsidR="007B52CD" w:rsidRDefault="00EB6268" w:rsidP="000270EA">
            <w:pPr>
              <w:jc w:val="right"/>
            </w:pPr>
            <w:r>
              <w:t>I. Lazdiņa</w:t>
            </w:r>
          </w:p>
        </w:tc>
      </w:tr>
      <w:tr w:rsidR="008F49CF" w:rsidTr="0057207C">
        <w:trPr>
          <w:trHeight w:val="624"/>
        </w:trPr>
        <w:tc>
          <w:tcPr>
            <w:tcW w:w="2840" w:type="dxa"/>
          </w:tcPr>
          <w:p w:rsidR="008F49CF" w:rsidRDefault="008F49CF">
            <w:pPr>
              <w:jc w:val="both"/>
            </w:pPr>
          </w:p>
        </w:tc>
        <w:tc>
          <w:tcPr>
            <w:tcW w:w="2841" w:type="dxa"/>
          </w:tcPr>
          <w:p w:rsidR="008F49CF" w:rsidRDefault="008F49CF">
            <w:pPr>
              <w:jc w:val="center"/>
            </w:pPr>
          </w:p>
        </w:tc>
        <w:tc>
          <w:tcPr>
            <w:tcW w:w="3499" w:type="dxa"/>
          </w:tcPr>
          <w:p w:rsidR="008F49CF" w:rsidRDefault="00EB6268" w:rsidP="000270EA">
            <w:pPr>
              <w:jc w:val="right"/>
            </w:pPr>
            <w:r>
              <w:t>S. Pauniņa</w:t>
            </w:r>
          </w:p>
        </w:tc>
      </w:tr>
      <w:tr w:rsidR="000270EA" w:rsidTr="0057207C">
        <w:trPr>
          <w:trHeight w:val="624"/>
        </w:trPr>
        <w:tc>
          <w:tcPr>
            <w:tcW w:w="2840" w:type="dxa"/>
          </w:tcPr>
          <w:p w:rsidR="000270EA" w:rsidRDefault="000270EA">
            <w:pPr>
              <w:jc w:val="both"/>
            </w:pPr>
            <w:r>
              <w:t>Protokolē</w:t>
            </w:r>
          </w:p>
        </w:tc>
        <w:tc>
          <w:tcPr>
            <w:tcW w:w="2841" w:type="dxa"/>
          </w:tcPr>
          <w:p w:rsidR="000270EA" w:rsidRDefault="000270EA">
            <w:pPr>
              <w:jc w:val="center"/>
            </w:pPr>
          </w:p>
        </w:tc>
        <w:tc>
          <w:tcPr>
            <w:tcW w:w="3499" w:type="dxa"/>
          </w:tcPr>
          <w:p w:rsidR="000270EA" w:rsidRDefault="000270EA" w:rsidP="000270EA">
            <w:pPr>
              <w:jc w:val="right"/>
            </w:pPr>
            <w:r>
              <w:t>D. Klints</w:t>
            </w:r>
          </w:p>
        </w:tc>
      </w:tr>
    </w:tbl>
    <w:p w:rsidR="00C35BE1" w:rsidRDefault="00C35BE1">
      <w:pPr>
        <w:jc w:val="center"/>
      </w:pPr>
    </w:p>
    <w:sectPr w:rsidR="00C35BE1" w:rsidSect="004B092A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06" w:rsidRDefault="00C71D06">
      <w:r>
        <w:separator/>
      </w:r>
    </w:p>
  </w:endnote>
  <w:endnote w:type="continuationSeparator" w:id="0">
    <w:p w:rsidR="00C71D06" w:rsidRDefault="00C7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17" w:rsidRDefault="00EC5E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302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485" w:rsidRDefault="00811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6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5E17" w:rsidRDefault="00EC5E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06" w:rsidRDefault="00C71D06">
      <w:r>
        <w:separator/>
      </w:r>
    </w:p>
  </w:footnote>
  <w:footnote w:type="continuationSeparator" w:id="0">
    <w:p w:rsidR="00C71D06" w:rsidRDefault="00C7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27E6B"/>
    <w:multiLevelType w:val="hybridMultilevel"/>
    <w:tmpl w:val="7A3E3A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5BBD"/>
    <w:multiLevelType w:val="hybridMultilevel"/>
    <w:tmpl w:val="11C63AFA"/>
    <w:lvl w:ilvl="0" w:tplc="DE82C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4F2B47"/>
    <w:multiLevelType w:val="hybridMultilevel"/>
    <w:tmpl w:val="59B28FFE"/>
    <w:lvl w:ilvl="0" w:tplc="27789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CD52A0"/>
    <w:multiLevelType w:val="hybridMultilevel"/>
    <w:tmpl w:val="1D8861F0"/>
    <w:lvl w:ilvl="0" w:tplc="C75A495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B704B"/>
    <w:multiLevelType w:val="hybridMultilevel"/>
    <w:tmpl w:val="95148A6C"/>
    <w:lvl w:ilvl="0" w:tplc="EC4E3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82"/>
    <w:rsid w:val="00003E03"/>
    <w:rsid w:val="0000633E"/>
    <w:rsid w:val="00007842"/>
    <w:rsid w:val="0001269D"/>
    <w:rsid w:val="0002467B"/>
    <w:rsid w:val="000270EA"/>
    <w:rsid w:val="00036E6D"/>
    <w:rsid w:val="00044F35"/>
    <w:rsid w:val="000562A7"/>
    <w:rsid w:val="00056F5B"/>
    <w:rsid w:val="0008334E"/>
    <w:rsid w:val="00096F9A"/>
    <w:rsid w:val="000B1391"/>
    <w:rsid w:val="000B204D"/>
    <w:rsid w:val="000B6B0B"/>
    <w:rsid w:val="000B6BA2"/>
    <w:rsid w:val="000C4469"/>
    <w:rsid w:val="000D08A6"/>
    <w:rsid w:val="000D0C23"/>
    <w:rsid w:val="000D2A6F"/>
    <w:rsid w:val="000D3705"/>
    <w:rsid w:val="000F5166"/>
    <w:rsid w:val="00110315"/>
    <w:rsid w:val="00125502"/>
    <w:rsid w:val="00130140"/>
    <w:rsid w:val="00136F2A"/>
    <w:rsid w:val="00137313"/>
    <w:rsid w:val="00154762"/>
    <w:rsid w:val="001653DB"/>
    <w:rsid w:val="00166C89"/>
    <w:rsid w:val="00171343"/>
    <w:rsid w:val="00173DA9"/>
    <w:rsid w:val="0017478E"/>
    <w:rsid w:val="00183B23"/>
    <w:rsid w:val="00184D8D"/>
    <w:rsid w:val="00186096"/>
    <w:rsid w:val="00192AB7"/>
    <w:rsid w:val="001A03CF"/>
    <w:rsid w:val="001A77C9"/>
    <w:rsid w:val="001B0C86"/>
    <w:rsid w:val="001B308D"/>
    <w:rsid w:val="001B5EE1"/>
    <w:rsid w:val="001C7D4D"/>
    <w:rsid w:val="001D230F"/>
    <w:rsid w:val="001D4CFA"/>
    <w:rsid w:val="001D630D"/>
    <w:rsid w:val="001E111C"/>
    <w:rsid w:val="001E5C62"/>
    <w:rsid w:val="001E5E34"/>
    <w:rsid w:val="001F054D"/>
    <w:rsid w:val="001F0D8E"/>
    <w:rsid w:val="00200BC1"/>
    <w:rsid w:val="00221E2E"/>
    <w:rsid w:val="00222A18"/>
    <w:rsid w:val="00256ACB"/>
    <w:rsid w:val="002617D3"/>
    <w:rsid w:val="002621E1"/>
    <w:rsid w:val="00263480"/>
    <w:rsid w:val="002704BA"/>
    <w:rsid w:val="00270FE5"/>
    <w:rsid w:val="0027357E"/>
    <w:rsid w:val="002807ED"/>
    <w:rsid w:val="002866BC"/>
    <w:rsid w:val="002867B7"/>
    <w:rsid w:val="00287977"/>
    <w:rsid w:val="00292226"/>
    <w:rsid w:val="002962CF"/>
    <w:rsid w:val="002A6CBA"/>
    <w:rsid w:val="002B32EF"/>
    <w:rsid w:val="002C295E"/>
    <w:rsid w:val="002D3B31"/>
    <w:rsid w:val="002E3114"/>
    <w:rsid w:val="002E33C8"/>
    <w:rsid w:val="00300A7D"/>
    <w:rsid w:val="003015ED"/>
    <w:rsid w:val="003240D1"/>
    <w:rsid w:val="00324289"/>
    <w:rsid w:val="00337175"/>
    <w:rsid w:val="003414A9"/>
    <w:rsid w:val="003427F7"/>
    <w:rsid w:val="00343CAC"/>
    <w:rsid w:val="0035089E"/>
    <w:rsid w:val="00353A03"/>
    <w:rsid w:val="003564DC"/>
    <w:rsid w:val="00356E43"/>
    <w:rsid w:val="0036354B"/>
    <w:rsid w:val="0036498F"/>
    <w:rsid w:val="00365BD1"/>
    <w:rsid w:val="00370C4E"/>
    <w:rsid w:val="0037492B"/>
    <w:rsid w:val="00375448"/>
    <w:rsid w:val="003761B4"/>
    <w:rsid w:val="0038192C"/>
    <w:rsid w:val="00384827"/>
    <w:rsid w:val="00384E3D"/>
    <w:rsid w:val="00386962"/>
    <w:rsid w:val="003A1952"/>
    <w:rsid w:val="003A36DE"/>
    <w:rsid w:val="003B09C4"/>
    <w:rsid w:val="003B56EF"/>
    <w:rsid w:val="003C2E89"/>
    <w:rsid w:val="003E7D14"/>
    <w:rsid w:val="003F53E9"/>
    <w:rsid w:val="003F6D01"/>
    <w:rsid w:val="00400EC6"/>
    <w:rsid w:val="00403A12"/>
    <w:rsid w:val="004413A3"/>
    <w:rsid w:val="004419F8"/>
    <w:rsid w:val="0044528B"/>
    <w:rsid w:val="004460BA"/>
    <w:rsid w:val="00450675"/>
    <w:rsid w:val="004675BF"/>
    <w:rsid w:val="00467E13"/>
    <w:rsid w:val="00474D79"/>
    <w:rsid w:val="0047532B"/>
    <w:rsid w:val="0048510B"/>
    <w:rsid w:val="00495297"/>
    <w:rsid w:val="00495828"/>
    <w:rsid w:val="0049708A"/>
    <w:rsid w:val="00497EC1"/>
    <w:rsid w:val="004B02C1"/>
    <w:rsid w:val="004B092A"/>
    <w:rsid w:val="004B4218"/>
    <w:rsid w:val="004B70E3"/>
    <w:rsid w:val="004C4C70"/>
    <w:rsid w:val="004C5769"/>
    <w:rsid w:val="004C7750"/>
    <w:rsid w:val="004D2533"/>
    <w:rsid w:val="004E1106"/>
    <w:rsid w:val="004E1977"/>
    <w:rsid w:val="004E2200"/>
    <w:rsid w:val="004F3332"/>
    <w:rsid w:val="004F5B15"/>
    <w:rsid w:val="00516CA2"/>
    <w:rsid w:val="00522F3A"/>
    <w:rsid w:val="00533252"/>
    <w:rsid w:val="005369E1"/>
    <w:rsid w:val="00551677"/>
    <w:rsid w:val="005545AB"/>
    <w:rsid w:val="0057207C"/>
    <w:rsid w:val="005766D2"/>
    <w:rsid w:val="00580917"/>
    <w:rsid w:val="00591751"/>
    <w:rsid w:val="00597A1D"/>
    <w:rsid w:val="005A7C57"/>
    <w:rsid w:val="005C444A"/>
    <w:rsid w:val="005D286E"/>
    <w:rsid w:val="005D351F"/>
    <w:rsid w:val="005E309B"/>
    <w:rsid w:val="005E5DF0"/>
    <w:rsid w:val="005E6015"/>
    <w:rsid w:val="005F54EC"/>
    <w:rsid w:val="006028B5"/>
    <w:rsid w:val="00613538"/>
    <w:rsid w:val="006249CA"/>
    <w:rsid w:val="0062657E"/>
    <w:rsid w:val="0063263A"/>
    <w:rsid w:val="0063414D"/>
    <w:rsid w:val="00637D0C"/>
    <w:rsid w:val="00641F6C"/>
    <w:rsid w:val="006526E9"/>
    <w:rsid w:val="00655232"/>
    <w:rsid w:val="0066292C"/>
    <w:rsid w:val="00662DB6"/>
    <w:rsid w:val="006631A5"/>
    <w:rsid w:val="00663904"/>
    <w:rsid w:val="006675B1"/>
    <w:rsid w:val="00672578"/>
    <w:rsid w:val="00676084"/>
    <w:rsid w:val="0068112D"/>
    <w:rsid w:val="00690569"/>
    <w:rsid w:val="00692965"/>
    <w:rsid w:val="0069778C"/>
    <w:rsid w:val="006A2C57"/>
    <w:rsid w:val="006B6887"/>
    <w:rsid w:val="006B7C7D"/>
    <w:rsid w:val="006C1699"/>
    <w:rsid w:val="006C5857"/>
    <w:rsid w:val="006C598A"/>
    <w:rsid w:val="006C63D7"/>
    <w:rsid w:val="006C7689"/>
    <w:rsid w:val="006D09F7"/>
    <w:rsid w:val="006D69A0"/>
    <w:rsid w:val="006D778A"/>
    <w:rsid w:val="006D7818"/>
    <w:rsid w:val="006E1539"/>
    <w:rsid w:val="006E1E0B"/>
    <w:rsid w:val="006F0DA8"/>
    <w:rsid w:val="006F526D"/>
    <w:rsid w:val="006F747E"/>
    <w:rsid w:val="0071523E"/>
    <w:rsid w:val="0072581A"/>
    <w:rsid w:val="007342EC"/>
    <w:rsid w:val="007410D9"/>
    <w:rsid w:val="00744582"/>
    <w:rsid w:val="00745EDF"/>
    <w:rsid w:val="00755F01"/>
    <w:rsid w:val="00770E35"/>
    <w:rsid w:val="0077122E"/>
    <w:rsid w:val="00772402"/>
    <w:rsid w:val="00774449"/>
    <w:rsid w:val="00775262"/>
    <w:rsid w:val="0078067D"/>
    <w:rsid w:val="007828E0"/>
    <w:rsid w:val="00782D52"/>
    <w:rsid w:val="00783BB6"/>
    <w:rsid w:val="0079039E"/>
    <w:rsid w:val="00795A23"/>
    <w:rsid w:val="007A0885"/>
    <w:rsid w:val="007A153E"/>
    <w:rsid w:val="007B3197"/>
    <w:rsid w:val="007B52CD"/>
    <w:rsid w:val="007B5840"/>
    <w:rsid w:val="007C387F"/>
    <w:rsid w:val="007C676E"/>
    <w:rsid w:val="007D6432"/>
    <w:rsid w:val="007D7E60"/>
    <w:rsid w:val="007E1BD2"/>
    <w:rsid w:val="008014A2"/>
    <w:rsid w:val="00811485"/>
    <w:rsid w:val="00812206"/>
    <w:rsid w:val="00814EAD"/>
    <w:rsid w:val="008178BE"/>
    <w:rsid w:val="00817E28"/>
    <w:rsid w:val="008319BB"/>
    <w:rsid w:val="008335C8"/>
    <w:rsid w:val="00836A3D"/>
    <w:rsid w:val="00842E73"/>
    <w:rsid w:val="00852B59"/>
    <w:rsid w:val="0086274C"/>
    <w:rsid w:val="00891BAD"/>
    <w:rsid w:val="0089588F"/>
    <w:rsid w:val="008A55BE"/>
    <w:rsid w:val="008B5914"/>
    <w:rsid w:val="008D2D3E"/>
    <w:rsid w:val="008D371A"/>
    <w:rsid w:val="008D4C22"/>
    <w:rsid w:val="008D653E"/>
    <w:rsid w:val="008E4E09"/>
    <w:rsid w:val="008E6A36"/>
    <w:rsid w:val="008F0567"/>
    <w:rsid w:val="008F0E9B"/>
    <w:rsid w:val="008F24D8"/>
    <w:rsid w:val="008F2D20"/>
    <w:rsid w:val="008F41C7"/>
    <w:rsid w:val="008F49CF"/>
    <w:rsid w:val="00901A27"/>
    <w:rsid w:val="009168AF"/>
    <w:rsid w:val="00921591"/>
    <w:rsid w:val="009218DA"/>
    <w:rsid w:val="00922045"/>
    <w:rsid w:val="0092284D"/>
    <w:rsid w:val="0093207F"/>
    <w:rsid w:val="00934F0B"/>
    <w:rsid w:val="009371E6"/>
    <w:rsid w:val="00940F35"/>
    <w:rsid w:val="00945B47"/>
    <w:rsid w:val="0096249D"/>
    <w:rsid w:val="00972CBD"/>
    <w:rsid w:val="009816EA"/>
    <w:rsid w:val="00991401"/>
    <w:rsid w:val="0099555F"/>
    <w:rsid w:val="009972C6"/>
    <w:rsid w:val="009973B0"/>
    <w:rsid w:val="009D5B29"/>
    <w:rsid w:val="009D5D86"/>
    <w:rsid w:val="009D767A"/>
    <w:rsid w:val="009E490C"/>
    <w:rsid w:val="009E5E7F"/>
    <w:rsid w:val="009F1333"/>
    <w:rsid w:val="00A11235"/>
    <w:rsid w:val="00A11A5B"/>
    <w:rsid w:val="00A129B6"/>
    <w:rsid w:val="00A1361E"/>
    <w:rsid w:val="00A20EA8"/>
    <w:rsid w:val="00A25A55"/>
    <w:rsid w:val="00A32C78"/>
    <w:rsid w:val="00A7461D"/>
    <w:rsid w:val="00A764BE"/>
    <w:rsid w:val="00A874C3"/>
    <w:rsid w:val="00A97C6E"/>
    <w:rsid w:val="00AC78F9"/>
    <w:rsid w:val="00AD54E1"/>
    <w:rsid w:val="00AD55B2"/>
    <w:rsid w:val="00AE4A6F"/>
    <w:rsid w:val="00AF44EC"/>
    <w:rsid w:val="00B00ADF"/>
    <w:rsid w:val="00B11DB5"/>
    <w:rsid w:val="00B16645"/>
    <w:rsid w:val="00B24643"/>
    <w:rsid w:val="00B34FE7"/>
    <w:rsid w:val="00B47F03"/>
    <w:rsid w:val="00B52BD5"/>
    <w:rsid w:val="00B54241"/>
    <w:rsid w:val="00B5452A"/>
    <w:rsid w:val="00B65C6D"/>
    <w:rsid w:val="00B71D8E"/>
    <w:rsid w:val="00B82991"/>
    <w:rsid w:val="00B82D22"/>
    <w:rsid w:val="00B85BBA"/>
    <w:rsid w:val="00B9320D"/>
    <w:rsid w:val="00B96927"/>
    <w:rsid w:val="00BA3D4A"/>
    <w:rsid w:val="00BA507B"/>
    <w:rsid w:val="00BA65F8"/>
    <w:rsid w:val="00BE4FF7"/>
    <w:rsid w:val="00BE5060"/>
    <w:rsid w:val="00C046BD"/>
    <w:rsid w:val="00C05190"/>
    <w:rsid w:val="00C05371"/>
    <w:rsid w:val="00C16995"/>
    <w:rsid w:val="00C202FE"/>
    <w:rsid w:val="00C303FF"/>
    <w:rsid w:val="00C35BE1"/>
    <w:rsid w:val="00C53732"/>
    <w:rsid w:val="00C54A25"/>
    <w:rsid w:val="00C55329"/>
    <w:rsid w:val="00C70973"/>
    <w:rsid w:val="00C71D06"/>
    <w:rsid w:val="00C72BDE"/>
    <w:rsid w:val="00C76EED"/>
    <w:rsid w:val="00C94581"/>
    <w:rsid w:val="00C9789E"/>
    <w:rsid w:val="00CA2232"/>
    <w:rsid w:val="00CB3736"/>
    <w:rsid w:val="00CB625C"/>
    <w:rsid w:val="00CB6EBE"/>
    <w:rsid w:val="00CC16DC"/>
    <w:rsid w:val="00CD2136"/>
    <w:rsid w:val="00D106B3"/>
    <w:rsid w:val="00D16951"/>
    <w:rsid w:val="00D23A28"/>
    <w:rsid w:val="00D56FA1"/>
    <w:rsid w:val="00D64566"/>
    <w:rsid w:val="00D646F0"/>
    <w:rsid w:val="00D64EDA"/>
    <w:rsid w:val="00D6772E"/>
    <w:rsid w:val="00D722BD"/>
    <w:rsid w:val="00DA2CDB"/>
    <w:rsid w:val="00DA39DB"/>
    <w:rsid w:val="00DA7FDA"/>
    <w:rsid w:val="00DB2C22"/>
    <w:rsid w:val="00DB7E0D"/>
    <w:rsid w:val="00DC731D"/>
    <w:rsid w:val="00DD2587"/>
    <w:rsid w:val="00E053E1"/>
    <w:rsid w:val="00E12864"/>
    <w:rsid w:val="00E32DCA"/>
    <w:rsid w:val="00E44D06"/>
    <w:rsid w:val="00E56696"/>
    <w:rsid w:val="00E72262"/>
    <w:rsid w:val="00E800C4"/>
    <w:rsid w:val="00E80C4D"/>
    <w:rsid w:val="00E860D4"/>
    <w:rsid w:val="00EB6268"/>
    <w:rsid w:val="00EB743E"/>
    <w:rsid w:val="00EC5E17"/>
    <w:rsid w:val="00EF27D7"/>
    <w:rsid w:val="00F0256F"/>
    <w:rsid w:val="00F11A02"/>
    <w:rsid w:val="00F130DB"/>
    <w:rsid w:val="00F14F01"/>
    <w:rsid w:val="00F16FB1"/>
    <w:rsid w:val="00F27CA1"/>
    <w:rsid w:val="00F51661"/>
    <w:rsid w:val="00F54A8D"/>
    <w:rsid w:val="00F64AAE"/>
    <w:rsid w:val="00F71932"/>
    <w:rsid w:val="00F9074F"/>
    <w:rsid w:val="00F97C58"/>
    <w:rsid w:val="00FA1582"/>
    <w:rsid w:val="00FA6617"/>
    <w:rsid w:val="00FB786B"/>
    <w:rsid w:val="00FD49F6"/>
    <w:rsid w:val="00FE068F"/>
    <w:rsid w:val="00FF2B11"/>
    <w:rsid w:val="00FF4C6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11485"/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53A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11485"/>
    <w:rPr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53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4836-8D72-4705-8F1F-AE0DCA0D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4733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2014-11-06T14:07:00Z</cp:lastPrinted>
  <dcterms:created xsi:type="dcterms:W3CDTF">2017-10-04T13:18:00Z</dcterms:created>
  <dcterms:modified xsi:type="dcterms:W3CDTF">2017-10-04T13:18:00Z</dcterms:modified>
</cp:coreProperties>
</file>