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43" w:rsidRDefault="001E6D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43" w:rsidRDefault="00EB6643">
      <w:pPr>
        <w:ind w:right="41"/>
        <w:jc w:val="center"/>
        <w:outlineLvl w:val="0"/>
        <w:rPr>
          <w:b/>
          <w:spacing w:val="60"/>
          <w:sz w:val="28"/>
        </w:rPr>
      </w:pPr>
    </w:p>
    <w:p w:rsidR="009408CE" w:rsidRDefault="009408CE">
      <w:pPr>
        <w:ind w:right="41"/>
        <w:jc w:val="center"/>
        <w:outlineLvl w:val="0"/>
        <w:rPr>
          <w:b/>
          <w:spacing w:val="60"/>
          <w:sz w:val="28"/>
        </w:rPr>
      </w:pPr>
    </w:p>
    <w:p w:rsidR="00EB6643" w:rsidRDefault="001E6DE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687C15" w:rsidRPr="008D1FE3">
        <w:rPr>
          <w:rFonts w:ascii="Times New Roman" w:hAnsi="Times New Roman" w:cs="Times New Roman"/>
          <w:sz w:val="24"/>
        </w:rPr>
        <w:t xml:space="preserve">„Gaisa dzesēšanas sistēmu iegāde un </w:t>
      </w:r>
      <w:r w:rsidR="00687C15">
        <w:rPr>
          <w:rFonts w:ascii="Times New Roman" w:hAnsi="Times New Roman" w:cs="Times New Roman"/>
          <w:sz w:val="24"/>
        </w:rPr>
        <w:t>montāža</w:t>
      </w:r>
      <w:r w:rsidR="00687C15" w:rsidRPr="008D1FE3">
        <w:rPr>
          <w:rFonts w:ascii="Times New Roman" w:hAnsi="Times New Roman" w:cs="Times New Roman"/>
          <w:sz w:val="24"/>
        </w:rPr>
        <w:t xml:space="preserve"> </w:t>
      </w:r>
      <w:r w:rsidR="00687C15" w:rsidRPr="00F9619C">
        <w:rPr>
          <w:rFonts w:ascii="Times New Roman" w:hAnsi="Times New Roman" w:cs="Times New Roman"/>
          <w:sz w:val="24"/>
        </w:rPr>
        <w:t>Valsts kases nomātajās telpās ēkā</w:t>
      </w:r>
      <w:r w:rsidR="00687C15" w:rsidRPr="008D1FE3">
        <w:rPr>
          <w:rFonts w:ascii="Times New Roman" w:hAnsi="Times New Roman" w:cs="Times New Roman"/>
          <w:sz w:val="24"/>
        </w:rPr>
        <w:t xml:space="preserve"> Smilšu ielā 1, Rīgā”</w:t>
      </w:r>
      <w:r w:rsidR="00C31B0D">
        <w:rPr>
          <w:rFonts w:ascii="Times New Roman" w:hAnsi="Times New Roman" w:cs="Times New Roman"/>
          <w:sz w:val="24"/>
        </w:rPr>
        <w:t xml:space="preserve"> </w:t>
      </w:r>
      <w:r w:rsidR="00936414">
        <w:rPr>
          <w:rFonts w:ascii="Times New Roman" w:hAnsi="Times New Roman" w:cs="Times New Roman"/>
          <w:sz w:val="24"/>
        </w:rPr>
        <w:t>VK/201</w:t>
      </w:r>
      <w:r w:rsidR="00687C1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/1</w:t>
      </w:r>
      <w:r w:rsidR="00687C1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EB6643" w:rsidRDefault="001E6DE3">
      <w:pPr>
        <w:jc w:val="center"/>
      </w:pPr>
      <w:r>
        <w:t xml:space="preserve">protokols </w:t>
      </w:r>
    </w:p>
    <w:p w:rsidR="00EB6643" w:rsidRDefault="001E6DE3">
      <w:pPr>
        <w:jc w:val="center"/>
        <w:rPr>
          <w:sz w:val="20"/>
        </w:rPr>
      </w:pPr>
      <w:r>
        <w:rPr>
          <w:sz w:val="20"/>
        </w:rPr>
        <w:t>Rīga</w:t>
      </w:r>
    </w:p>
    <w:p w:rsidR="00EB6643" w:rsidRDefault="00EB664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EB6643">
        <w:tc>
          <w:tcPr>
            <w:tcW w:w="4575" w:type="dxa"/>
          </w:tcPr>
          <w:p w:rsidR="00EB6643" w:rsidRDefault="00FE5313" w:rsidP="00687C1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687C15">
              <w:rPr>
                <w:sz w:val="20"/>
              </w:rPr>
              <w:t>4</w:t>
            </w:r>
            <w:r>
              <w:rPr>
                <w:sz w:val="20"/>
              </w:rPr>
              <w:t xml:space="preserve">. gada </w:t>
            </w:r>
            <w:r w:rsidR="0046405B">
              <w:rPr>
                <w:sz w:val="20"/>
              </w:rPr>
              <w:t>20</w:t>
            </w:r>
            <w:r w:rsidR="001E6DE3" w:rsidRPr="00F12C40">
              <w:rPr>
                <w:sz w:val="20"/>
              </w:rPr>
              <w:t>. </w:t>
            </w:r>
            <w:r w:rsidR="00687C15">
              <w:rPr>
                <w:sz w:val="20"/>
              </w:rPr>
              <w:t>novembrī</w:t>
            </w:r>
            <w:r w:rsidR="001E6DE3" w:rsidRPr="00F12C40">
              <w:rPr>
                <w:sz w:val="20"/>
              </w:rPr>
              <w:t xml:space="preserve"> plkst. </w:t>
            </w:r>
            <w:r w:rsidR="0046405B">
              <w:rPr>
                <w:sz w:val="20"/>
              </w:rPr>
              <w:t>10.00</w:t>
            </w:r>
          </w:p>
        </w:tc>
        <w:tc>
          <w:tcPr>
            <w:tcW w:w="4705" w:type="dxa"/>
          </w:tcPr>
          <w:p w:rsidR="00EB6643" w:rsidRDefault="00C108BC" w:rsidP="00AE4744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 xml:space="preserve">Nr. </w:t>
            </w:r>
            <w:r w:rsidR="0046405B">
              <w:t>4</w:t>
            </w:r>
          </w:p>
        </w:tc>
      </w:tr>
      <w:tr w:rsidR="00EB6643">
        <w:tc>
          <w:tcPr>
            <w:tcW w:w="4575" w:type="dxa"/>
          </w:tcPr>
          <w:p w:rsidR="00EB6643" w:rsidRDefault="00EB6643">
            <w:pPr>
              <w:jc w:val="both"/>
            </w:pPr>
          </w:p>
        </w:tc>
        <w:tc>
          <w:tcPr>
            <w:tcW w:w="4705" w:type="dxa"/>
          </w:tcPr>
          <w:p w:rsidR="00EB6643" w:rsidRDefault="00EB6643">
            <w:pPr>
              <w:jc w:val="right"/>
            </w:pPr>
          </w:p>
        </w:tc>
      </w:tr>
      <w:tr w:rsidR="00EB6643">
        <w:tc>
          <w:tcPr>
            <w:tcW w:w="4575" w:type="dxa"/>
          </w:tcPr>
          <w:p w:rsidR="00EB6643" w:rsidRDefault="001E6DE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EB6643" w:rsidRDefault="00EB6643">
            <w:pPr>
              <w:jc w:val="right"/>
              <w:rPr>
                <w:sz w:val="20"/>
              </w:rPr>
            </w:pPr>
          </w:p>
        </w:tc>
      </w:tr>
      <w:tr w:rsidR="00EB6643">
        <w:tc>
          <w:tcPr>
            <w:tcW w:w="4575" w:type="dxa"/>
          </w:tcPr>
          <w:p w:rsidR="00EB6643" w:rsidRDefault="001E6DE3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EB6643" w:rsidRDefault="00EB6643">
            <w:pPr>
              <w:pStyle w:val="BodyText"/>
              <w:jc w:val="left"/>
              <w:rPr>
                <w:sz w:val="20"/>
              </w:rPr>
            </w:pPr>
          </w:p>
          <w:p w:rsidR="00EB6643" w:rsidRDefault="001E6DE3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A. Geiba</w:t>
            </w:r>
          </w:p>
          <w:p w:rsidR="00687C15" w:rsidRDefault="00687C15">
            <w:pPr>
              <w:pStyle w:val="BodyText"/>
              <w:jc w:val="right"/>
              <w:rPr>
                <w:sz w:val="20"/>
              </w:rPr>
            </w:pPr>
          </w:p>
        </w:tc>
      </w:tr>
      <w:tr w:rsidR="00EB6643">
        <w:tc>
          <w:tcPr>
            <w:tcW w:w="4575" w:type="dxa"/>
          </w:tcPr>
          <w:p w:rsidR="00EB6643" w:rsidRDefault="001E6DE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EB6643" w:rsidRDefault="00EB6643">
            <w:pPr>
              <w:jc w:val="right"/>
              <w:rPr>
                <w:sz w:val="20"/>
              </w:rPr>
            </w:pPr>
          </w:p>
        </w:tc>
      </w:tr>
      <w:tr w:rsidR="00E55D6E">
        <w:tc>
          <w:tcPr>
            <w:tcW w:w="4575" w:type="dxa"/>
          </w:tcPr>
          <w:p w:rsidR="00E55D6E" w:rsidRDefault="00687C1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Infrastruktūras apsaimniekošanas departamenta direktora vietniece</w:t>
            </w:r>
          </w:p>
        </w:tc>
        <w:tc>
          <w:tcPr>
            <w:tcW w:w="4705" w:type="dxa"/>
          </w:tcPr>
          <w:p w:rsidR="00687C15" w:rsidRDefault="00687C15">
            <w:pPr>
              <w:jc w:val="right"/>
              <w:rPr>
                <w:sz w:val="20"/>
              </w:rPr>
            </w:pPr>
          </w:p>
          <w:p w:rsidR="00E55D6E" w:rsidRDefault="00687C15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Ozola</w:t>
            </w:r>
          </w:p>
        </w:tc>
      </w:tr>
      <w:tr w:rsidR="00687C15">
        <w:tc>
          <w:tcPr>
            <w:tcW w:w="4575" w:type="dxa"/>
          </w:tcPr>
          <w:p w:rsidR="00687C15" w:rsidRDefault="00687C15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Juridiskā departamenta direktora vietnieks</w:t>
            </w:r>
          </w:p>
        </w:tc>
        <w:tc>
          <w:tcPr>
            <w:tcW w:w="4705" w:type="dxa"/>
          </w:tcPr>
          <w:p w:rsidR="00687C15" w:rsidRDefault="00687C15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EB6643">
        <w:tc>
          <w:tcPr>
            <w:tcW w:w="4575" w:type="dxa"/>
          </w:tcPr>
          <w:p w:rsidR="00EB6643" w:rsidRDefault="001E6DE3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EB6643" w:rsidRDefault="00EB6643">
            <w:pPr>
              <w:jc w:val="right"/>
              <w:rPr>
                <w:sz w:val="20"/>
              </w:rPr>
            </w:pPr>
          </w:p>
          <w:p w:rsidR="00EB6643" w:rsidRDefault="001E6DE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F625DE">
        <w:tc>
          <w:tcPr>
            <w:tcW w:w="4575" w:type="dxa"/>
          </w:tcPr>
          <w:p w:rsidR="00F625DE" w:rsidRDefault="00F625DE" w:rsidP="00F625DE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F625DE" w:rsidRDefault="00F625DE">
            <w:pPr>
              <w:jc w:val="right"/>
              <w:rPr>
                <w:sz w:val="20"/>
              </w:rPr>
            </w:pPr>
          </w:p>
        </w:tc>
      </w:tr>
      <w:tr w:rsidR="00F625DE">
        <w:tc>
          <w:tcPr>
            <w:tcW w:w="4575" w:type="dxa"/>
          </w:tcPr>
          <w:p w:rsidR="00F625DE" w:rsidRDefault="00687C15" w:rsidP="00F625DE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F625DE" w:rsidRDefault="00F625DE">
            <w:pPr>
              <w:jc w:val="right"/>
              <w:rPr>
                <w:sz w:val="20"/>
              </w:rPr>
            </w:pPr>
          </w:p>
        </w:tc>
      </w:tr>
      <w:tr w:rsidR="00F625DE">
        <w:tc>
          <w:tcPr>
            <w:tcW w:w="4575" w:type="dxa"/>
          </w:tcPr>
          <w:p w:rsidR="00F625DE" w:rsidRDefault="00FC70B7" w:rsidP="00F625DE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F625DE" w:rsidRDefault="00F625DE">
            <w:pPr>
              <w:jc w:val="right"/>
              <w:rPr>
                <w:sz w:val="20"/>
              </w:rPr>
            </w:pPr>
          </w:p>
          <w:p w:rsidR="00FC70B7" w:rsidRDefault="00FC70B7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EB6643" w:rsidRDefault="00EB6643"/>
    <w:p w:rsidR="00EB6643" w:rsidRDefault="001E6DE3">
      <w:pPr>
        <w:ind w:right="-879"/>
      </w:pPr>
      <w:r>
        <w:rPr>
          <w:b/>
          <w:bCs/>
          <w:i/>
          <w:iCs/>
        </w:rPr>
        <w:t>Darba kārtībā:</w:t>
      </w:r>
    </w:p>
    <w:p w:rsidR="00EB6643" w:rsidRDefault="0047130E" w:rsidP="00EA5CF8">
      <w:pPr>
        <w:pStyle w:val="BlockText"/>
        <w:numPr>
          <w:ilvl w:val="0"/>
          <w:numId w:val="4"/>
        </w:numPr>
        <w:jc w:val="both"/>
      </w:pPr>
      <w:r>
        <w:t>Pretendentu</w:t>
      </w:r>
      <w:r w:rsidR="00A31FE0">
        <w:t xml:space="preserve"> </w:t>
      </w:r>
      <w:r w:rsidR="00EA5CF8">
        <w:t xml:space="preserve">- </w:t>
      </w:r>
      <w:r w:rsidR="00EA5CF8" w:rsidRPr="00EA5CF8">
        <w:rPr>
          <w:bCs/>
        </w:rPr>
        <w:t>SIA „AIR Projekti” (</w:t>
      </w:r>
      <w:r w:rsidR="00EA5CF8">
        <w:t>30 654,84 EUR bez PVN</w:t>
      </w:r>
      <w:r w:rsidR="00EA5CF8" w:rsidRPr="00EA5CF8">
        <w:t xml:space="preserve">), </w:t>
      </w:r>
      <w:r w:rsidR="00EA5CF8" w:rsidRPr="00EA5CF8">
        <w:rPr>
          <w:bCs/>
        </w:rPr>
        <w:t>SIA „</w:t>
      </w:r>
      <w:proofErr w:type="spellStart"/>
      <w:r w:rsidR="00EA5CF8" w:rsidRPr="00EA5CF8">
        <w:rPr>
          <w:bCs/>
        </w:rPr>
        <w:t>Createx</w:t>
      </w:r>
      <w:proofErr w:type="spellEnd"/>
      <w:r w:rsidR="00EA5CF8" w:rsidRPr="00EA5CF8">
        <w:rPr>
          <w:bCs/>
        </w:rPr>
        <w:t>” (23</w:t>
      </w:r>
      <w:r w:rsidR="00EA5CF8">
        <w:rPr>
          <w:bCs/>
        </w:rPr>
        <w:t xml:space="preserve"> 062,18 EUR bez PVN) un </w:t>
      </w:r>
      <w:r w:rsidR="00EA5CF8" w:rsidRPr="00EA5CF8">
        <w:rPr>
          <w:bCs/>
        </w:rPr>
        <w:t>SIA „SALANG –P”</w:t>
      </w:r>
      <w:r w:rsidR="00EA5CF8">
        <w:rPr>
          <w:bCs/>
        </w:rPr>
        <w:t xml:space="preserve"> (</w:t>
      </w:r>
      <w:r w:rsidR="00EA5CF8">
        <w:t xml:space="preserve">20 026,85 EUR bez PVN) </w:t>
      </w:r>
      <w:r w:rsidR="00265DEB">
        <w:t xml:space="preserve">- </w:t>
      </w:r>
      <w:r>
        <w:t>piedāvājumu</w:t>
      </w:r>
      <w:r w:rsidR="00A31FE0">
        <w:t xml:space="preserve"> cenas atbilstības sākotnēji novērtētajai pare</w:t>
      </w:r>
      <w:r w:rsidR="00F33BD8">
        <w:t>dzamajai līgumcenai izvērtēšana:</w:t>
      </w:r>
    </w:p>
    <w:p w:rsidR="00F33BD8" w:rsidRPr="00F33BD8" w:rsidRDefault="00F33BD8" w:rsidP="00F33BD8">
      <w:pPr>
        <w:pStyle w:val="BlockText"/>
        <w:tabs>
          <w:tab w:val="clear" w:pos="560"/>
        </w:tabs>
        <w:ind w:left="553" w:firstLine="0"/>
        <w:jc w:val="both"/>
      </w:pPr>
      <w:r>
        <w:t xml:space="preserve">iepirkuma komisija, atverot pretendentu piedāvājumus, konstatēja, ka </w:t>
      </w:r>
      <w:r w:rsidRPr="004E5FF8">
        <w:rPr>
          <w:bCs/>
        </w:rPr>
        <w:t>SIA „</w:t>
      </w:r>
      <w:proofErr w:type="spellStart"/>
      <w:r w:rsidRPr="004E5FF8">
        <w:rPr>
          <w:bCs/>
        </w:rPr>
        <w:t>Createx</w:t>
      </w:r>
      <w:proofErr w:type="spellEnd"/>
      <w:r w:rsidRPr="004E5FF8">
        <w:rPr>
          <w:bCs/>
        </w:rPr>
        <w:t>” iesniegtajā finanšu piedāvājumā SIA „</w:t>
      </w:r>
      <w:proofErr w:type="spellStart"/>
      <w:r w:rsidRPr="004E5FF8">
        <w:rPr>
          <w:bCs/>
        </w:rPr>
        <w:t>Createx</w:t>
      </w:r>
      <w:proofErr w:type="spellEnd"/>
      <w:r w:rsidRPr="004E5FF8">
        <w:rPr>
          <w:bCs/>
        </w:rPr>
        <w:t>” piedāvājuma kopsumma bez PVN ir norādīta</w:t>
      </w:r>
      <w:r>
        <w:rPr>
          <w:bCs/>
        </w:rPr>
        <w:t xml:space="preserve"> 23 062,18 EUR</w:t>
      </w:r>
      <w:r w:rsidRPr="004E5FF8">
        <w:rPr>
          <w:bCs/>
        </w:rPr>
        <w:t>, bet finanšu piedāvājuma tabulā, saskaitot preču, pakalpojumu</w:t>
      </w:r>
      <w:r>
        <w:rPr>
          <w:bCs/>
        </w:rPr>
        <w:t xml:space="preserve">, transporta izdevumu (0,05%), būvorganizācijas </w:t>
      </w:r>
      <w:proofErr w:type="spellStart"/>
      <w:r>
        <w:rPr>
          <w:bCs/>
        </w:rPr>
        <w:t>virsizdevumu</w:t>
      </w:r>
      <w:proofErr w:type="spellEnd"/>
      <w:r>
        <w:rPr>
          <w:bCs/>
        </w:rPr>
        <w:t xml:space="preserve"> (0,01%),</w:t>
      </w:r>
      <w:r w:rsidRPr="004E5FF8">
        <w:rPr>
          <w:bCs/>
        </w:rPr>
        <w:t xml:space="preserve"> nodokļu </w:t>
      </w:r>
      <w:r>
        <w:rPr>
          <w:bCs/>
        </w:rPr>
        <w:t xml:space="preserve">un peļņas (1%) </w:t>
      </w:r>
      <w:r w:rsidRPr="004E5FF8">
        <w:rPr>
          <w:bCs/>
        </w:rPr>
        <w:t xml:space="preserve">pozīcijas, </w:t>
      </w:r>
      <w:r>
        <w:rPr>
          <w:bCs/>
        </w:rPr>
        <w:t xml:space="preserve">ņemot vērā </w:t>
      </w:r>
      <w:r w:rsidRPr="004E5FF8">
        <w:rPr>
          <w:bCs/>
        </w:rPr>
        <w:t>SIA „</w:t>
      </w:r>
      <w:proofErr w:type="spellStart"/>
      <w:r w:rsidRPr="004E5FF8">
        <w:rPr>
          <w:bCs/>
        </w:rPr>
        <w:t>Createx</w:t>
      </w:r>
      <w:proofErr w:type="spellEnd"/>
      <w:r w:rsidRPr="004E5FF8">
        <w:rPr>
          <w:bCs/>
        </w:rPr>
        <w:t>”</w:t>
      </w:r>
      <w:r>
        <w:rPr>
          <w:bCs/>
        </w:rPr>
        <w:t xml:space="preserve"> norādītos procentu lielumus, </w:t>
      </w:r>
      <w:r w:rsidRPr="00F33BD8">
        <w:rPr>
          <w:bCs/>
        </w:rPr>
        <w:t xml:space="preserve">piedāvājuma kopsumma bez PVN ir 20 166,30 EUR. </w:t>
      </w:r>
      <w:r>
        <w:rPr>
          <w:bCs/>
        </w:rPr>
        <w:t xml:space="preserve">Skatīt precizēto </w:t>
      </w:r>
      <w:r w:rsidRPr="004E5FF8">
        <w:rPr>
          <w:bCs/>
        </w:rPr>
        <w:t>SIA „</w:t>
      </w:r>
      <w:proofErr w:type="spellStart"/>
      <w:r w:rsidRPr="004E5FF8">
        <w:rPr>
          <w:bCs/>
        </w:rPr>
        <w:t>Createx</w:t>
      </w:r>
      <w:proofErr w:type="spellEnd"/>
      <w:r w:rsidRPr="004E5FF8">
        <w:rPr>
          <w:bCs/>
        </w:rPr>
        <w:t xml:space="preserve">” </w:t>
      </w:r>
      <w:r>
        <w:rPr>
          <w:bCs/>
        </w:rPr>
        <w:t>iesniegtā finanšu piedāvājuma tabulu:</w:t>
      </w:r>
    </w:p>
    <w:p w:rsidR="00A31FE0" w:rsidRPr="00EC0FC1" w:rsidRDefault="00A31FE0">
      <w:pPr>
        <w:ind w:right="-879"/>
        <w:rPr>
          <w:bCs/>
          <w:iCs/>
        </w:rPr>
      </w:pPr>
    </w:p>
    <w:tbl>
      <w:tblPr>
        <w:tblStyle w:val="TableGrid"/>
        <w:tblW w:w="8647" w:type="dxa"/>
        <w:tblInd w:w="675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ind w:right="-24"/>
              <w:jc w:val="both"/>
              <w:rPr>
                <w:bCs/>
              </w:rPr>
            </w:pPr>
            <w:r w:rsidRPr="00F33BD8">
              <w:rPr>
                <w:bCs/>
              </w:rPr>
              <w:t>Kopā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Cs/>
              </w:rPr>
            </w:pPr>
            <w:r w:rsidRPr="00F33BD8">
              <w:rPr>
                <w:bCs/>
              </w:rPr>
              <w:t>19 383,40</w:t>
            </w:r>
          </w:p>
        </w:tc>
      </w:tr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widowControl w:val="0"/>
              <w:suppressAutoHyphens/>
              <w:jc w:val="both"/>
            </w:pPr>
            <w:r w:rsidRPr="00F33BD8">
              <w:t xml:space="preserve">Transporta izdevumi </w:t>
            </w:r>
            <w:r w:rsidRPr="00F33BD8">
              <w:rPr>
                <w:b/>
              </w:rPr>
              <w:t>(0,05 %)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/>
                <w:bCs/>
              </w:rPr>
            </w:pPr>
            <w:r w:rsidRPr="00F33BD8">
              <w:rPr>
                <w:b/>
                <w:bCs/>
              </w:rPr>
              <w:t>9,69</w:t>
            </w:r>
          </w:p>
        </w:tc>
      </w:tr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widowControl w:val="0"/>
              <w:suppressAutoHyphens/>
              <w:jc w:val="both"/>
            </w:pPr>
            <w:r w:rsidRPr="00F33BD8">
              <w:t xml:space="preserve">Būvorganizācijas </w:t>
            </w:r>
            <w:proofErr w:type="spellStart"/>
            <w:r w:rsidRPr="00F33BD8">
              <w:t>virsizdevumi</w:t>
            </w:r>
            <w:proofErr w:type="spellEnd"/>
            <w:r w:rsidRPr="00F33BD8">
              <w:t xml:space="preserve"> </w:t>
            </w:r>
            <w:r w:rsidRPr="00F33BD8">
              <w:rPr>
                <w:b/>
              </w:rPr>
              <w:t>(0,01 %)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/>
                <w:bCs/>
              </w:rPr>
            </w:pPr>
            <w:r w:rsidRPr="00F33BD8">
              <w:rPr>
                <w:b/>
                <w:bCs/>
              </w:rPr>
              <w:t>1,94</w:t>
            </w:r>
          </w:p>
        </w:tc>
      </w:tr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widowControl w:val="0"/>
              <w:suppressAutoHyphens/>
              <w:jc w:val="both"/>
            </w:pPr>
            <w:r w:rsidRPr="00F33BD8">
              <w:t>Sociālais nodoklis no darba algas (24%)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Cs/>
              </w:rPr>
            </w:pPr>
            <w:r w:rsidRPr="00F33BD8">
              <w:rPr>
                <w:bCs/>
              </w:rPr>
              <w:t>577,44</w:t>
            </w:r>
          </w:p>
        </w:tc>
      </w:tr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widowControl w:val="0"/>
              <w:suppressAutoHyphens/>
              <w:jc w:val="both"/>
            </w:pPr>
            <w:r w:rsidRPr="00F33BD8">
              <w:t xml:space="preserve">Peļņa </w:t>
            </w:r>
            <w:r w:rsidRPr="00F33BD8">
              <w:rPr>
                <w:b/>
              </w:rPr>
              <w:t>(1%)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/>
                <w:bCs/>
              </w:rPr>
            </w:pPr>
            <w:r w:rsidRPr="00F33BD8">
              <w:rPr>
                <w:b/>
                <w:bCs/>
              </w:rPr>
              <w:t>193,83</w:t>
            </w:r>
          </w:p>
        </w:tc>
      </w:tr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widowControl w:val="0"/>
              <w:suppressAutoHyphens/>
              <w:jc w:val="both"/>
              <w:rPr>
                <w:b/>
              </w:rPr>
            </w:pPr>
            <w:r w:rsidRPr="00F33BD8">
              <w:rPr>
                <w:b/>
              </w:rPr>
              <w:t>Pavisam kopā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/>
                <w:bCs/>
              </w:rPr>
            </w:pPr>
            <w:r w:rsidRPr="00F33BD8">
              <w:rPr>
                <w:b/>
                <w:bCs/>
              </w:rPr>
              <w:t>20 166,30</w:t>
            </w:r>
          </w:p>
        </w:tc>
      </w:tr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widowControl w:val="0"/>
              <w:suppressAutoHyphens/>
              <w:jc w:val="both"/>
            </w:pPr>
            <w:r w:rsidRPr="00F33BD8">
              <w:t>PVN (21 %)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Cs/>
              </w:rPr>
            </w:pPr>
            <w:r w:rsidRPr="00F33BD8">
              <w:rPr>
                <w:bCs/>
              </w:rPr>
              <w:t>4 234,92</w:t>
            </w:r>
          </w:p>
        </w:tc>
      </w:tr>
      <w:tr w:rsidR="00F33BD8" w:rsidRPr="00F33BD8" w:rsidTr="0043317A">
        <w:tc>
          <w:tcPr>
            <w:tcW w:w="4678" w:type="dxa"/>
          </w:tcPr>
          <w:p w:rsidR="00F33BD8" w:rsidRPr="00F33BD8" w:rsidRDefault="00F33BD8" w:rsidP="00F33BD8">
            <w:pPr>
              <w:widowControl w:val="0"/>
              <w:suppressAutoHyphens/>
              <w:jc w:val="both"/>
            </w:pPr>
            <w:r w:rsidRPr="00F33BD8">
              <w:t>Summa kopā</w:t>
            </w:r>
          </w:p>
        </w:tc>
        <w:tc>
          <w:tcPr>
            <w:tcW w:w="3969" w:type="dxa"/>
          </w:tcPr>
          <w:p w:rsidR="00F33BD8" w:rsidRPr="00F33BD8" w:rsidRDefault="00F33BD8" w:rsidP="00F33BD8">
            <w:pPr>
              <w:ind w:right="-24"/>
              <w:jc w:val="center"/>
              <w:rPr>
                <w:bCs/>
              </w:rPr>
            </w:pPr>
            <w:r w:rsidRPr="00F33BD8">
              <w:rPr>
                <w:bCs/>
              </w:rPr>
              <w:t>24 401,22</w:t>
            </w:r>
          </w:p>
        </w:tc>
      </w:tr>
    </w:tbl>
    <w:p w:rsidR="00EC0FC1" w:rsidRDefault="00EC0FC1">
      <w:pPr>
        <w:ind w:right="-879"/>
        <w:rPr>
          <w:bCs/>
          <w:i/>
          <w:iCs/>
        </w:rPr>
      </w:pPr>
    </w:p>
    <w:p w:rsidR="00EC0FC1" w:rsidRDefault="00EC0FC1">
      <w:pPr>
        <w:rPr>
          <w:bCs/>
          <w:i/>
          <w:iCs/>
        </w:rPr>
      </w:pPr>
      <w:r>
        <w:rPr>
          <w:bCs/>
          <w:i/>
          <w:iCs/>
        </w:rPr>
        <w:br w:type="page"/>
      </w:r>
    </w:p>
    <w:p w:rsidR="00F33BD8" w:rsidRPr="00F33BD8" w:rsidRDefault="00F33BD8">
      <w:pPr>
        <w:ind w:right="-879"/>
        <w:rPr>
          <w:bCs/>
          <w:i/>
          <w:iCs/>
        </w:rPr>
      </w:pPr>
    </w:p>
    <w:p w:rsidR="00EB6643" w:rsidRDefault="001E6DE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EB6643" w:rsidRPr="004925DE" w:rsidRDefault="00AC588A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F72B02">
        <w:t xml:space="preserve">Pretendenta </w:t>
      </w:r>
      <w:r w:rsidR="00F72B02" w:rsidRPr="00F72B02">
        <w:rPr>
          <w:bCs/>
        </w:rPr>
        <w:t>SIA „AIR Projekti”</w:t>
      </w:r>
      <w:r w:rsidR="00F72B02">
        <w:rPr>
          <w:b/>
          <w:bCs/>
        </w:rPr>
        <w:t xml:space="preserve"> </w:t>
      </w:r>
      <w:r>
        <w:t xml:space="preserve">piedāvājuma cena </w:t>
      </w:r>
      <w:r w:rsidR="00F72B02">
        <w:t>30 654,84</w:t>
      </w:r>
      <w:r w:rsidR="00F72B02">
        <w:rPr>
          <w:bCs/>
        </w:rPr>
        <w:t xml:space="preserve"> EUR </w:t>
      </w:r>
      <w:r>
        <w:rPr>
          <w:bCs/>
        </w:rPr>
        <w:t xml:space="preserve">(bez PVN) </w:t>
      </w:r>
      <w:r w:rsidR="004925DE">
        <w:t>pārsniedz sākotnēji novērtēto paredzamo līgumcenu</w:t>
      </w:r>
      <w:r w:rsidR="00930563">
        <w:t xml:space="preserve"> </w:t>
      </w:r>
      <w:r w:rsidR="00F72B02">
        <w:t>20 661</w:t>
      </w:r>
      <w:r>
        <w:t xml:space="preserve">,00 </w:t>
      </w:r>
      <w:r w:rsidR="004925DE">
        <w:t xml:space="preserve">EUR </w:t>
      </w:r>
      <w:r w:rsidR="004925DE">
        <w:rPr>
          <w:bCs/>
        </w:rPr>
        <w:t>(bez PVN), t.i.,</w:t>
      </w:r>
      <w:r w:rsidR="004925DE" w:rsidRPr="004925DE">
        <w:rPr>
          <w:bCs/>
        </w:rPr>
        <w:t xml:space="preserve"> </w:t>
      </w:r>
      <w:r w:rsidR="004925DE" w:rsidRPr="00F72B02">
        <w:rPr>
          <w:bCs/>
        </w:rPr>
        <w:t>SIA „AIR Projekti”</w:t>
      </w:r>
      <w:r w:rsidR="004925DE">
        <w:rPr>
          <w:bCs/>
        </w:rPr>
        <w:t xml:space="preserve"> piedāvājums </w:t>
      </w:r>
      <w:r w:rsidR="004925DE" w:rsidRPr="005547FF">
        <w:rPr>
          <w:b/>
          <w:bCs/>
        </w:rPr>
        <w:t>neatbilst</w:t>
      </w:r>
      <w:r w:rsidR="004925DE">
        <w:rPr>
          <w:bCs/>
        </w:rPr>
        <w:t xml:space="preserve"> iep</w:t>
      </w:r>
      <w:r w:rsidR="00AD7141">
        <w:rPr>
          <w:bCs/>
        </w:rPr>
        <w:t>irkuma procedūras uzaicinājuma 4</w:t>
      </w:r>
      <w:r w:rsidR="004925DE">
        <w:rPr>
          <w:bCs/>
        </w:rPr>
        <w:t>. punkta „Paredzamā līgumcena” prasībām.</w:t>
      </w:r>
    </w:p>
    <w:p w:rsidR="004925DE" w:rsidRPr="009408CE" w:rsidRDefault="004925DE" w:rsidP="00F53B20">
      <w:pPr>
        <w:numPr>
          <w:ilvl w:val="0"/>
          <w:numId w:val="10"/>
        </w:numPr>
        <w:tabs>
          <w:tab w:val="clear" w:pos="718"/>
        </w:tabs>
        <w:ind w:left="567" w:right="-879" w:hanging="567"/>
        <w:jc w:val="both"/>
      </w:pPr>
      <w:r>
        <w:t xml:space="preserve">Saskaņā ar </w:t>
      </w:r>
      <w:r w:rsidRPr="002346C0">
        <w:t>iepirk</w:t>
      </w:r>
      <w:r w:rsidR="00AD7141">
        <w:t>uma procedūras uzaicinājuma 13</w:t>
      </w:r>
      <w:r>
        <w:t>.2. </w:t>
      </w:r>
      <w:r w:rsidR="008D477E">
        <w:t>apakš</w:t>
      </w:r>
      <w:r w:rsidRPr="002346C0">
        <w:t>punktu</w:t>
      </w:r>
      <w:r>
        <w:t xml:space="preserve"> </w:t>
      </w:r>
      <w:r w:rsidR="00D90DA5" w:rsidRPr="00D90DA5">
        <w:t xml:space="preserve">noraidīt </w:t>
      </w:r>
      <w:r w:rsidR="00D90DA5" w:rsidRPr="00F72B02">
        <w:rPr>
          <w:bCs/>
        </w:rPr>
        <w:t>SIA „AIR Projekti”</w:t>
      </w:r>
      <w:r w:rsidR="00D90DA5">
        <w:rPr>
          <w:bCs/>
        </w:rPr>
        <w:t xml:space="preserve"> </w:t>
      </w:r>
      <w:r w:rsidR="00D90DA5" w:rsidRPr="00D90DA5">
        <w:t>piedāvājumu kā neatbilstošu un tālāk neizskatīt.</w:t>
      </w:r>
    </w:p>
    <w:p w:rsidR="00AC588A" w:rsidRPr="009A7AA1" w:rsidRDefault="002558A2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2558A2">
        <w:t>Pretendenta SIA „SALANG –P”</w:t>
      </w:r>
      <w:r>
        <w:rPr>
          <w:b/>
        </w:rPr>
        <w:t xml:space="preserve"> </w:t>
      </w:r>
      <w:r>
        <w:t xml:space="preserve">piedāvājuma cena </w:t>
      </w:r>
      <w:r w:rsidR="00F53B20">
        <w:t>20 026,85</w:t>
      </w:r>
      <w:r w:rsidR="00F53B20">
        <w:rPr>
          <w:bCs/>
        </w:rPr>
        <w:t xml:space="preserve"> EUR </w:t>
      </w:r>
      <w:r>
        <w:rPr>
          <w:bCs/>
        </w:rPr>
        <w:t xml:space="preserve">(bez PVN) </w:t>
      </w:r>
      <w:r>
        <w:t xml:space="preserve">atbilst sākotnēji novērtētajai paredzamajai līgumcenai </w:t>
      </w:r>
      <w:r w:rsidR="00F53B20">
        <w:t xml:space="preserve">20 661,00 EUR </w:t>
      </w:r>
      <w:r>
        <w:rPr>
          <w:bCs/>
        </w:rPr>
        <w:t>(bez PVN).</w:t>
      </w:r>
    </w:p>
    <w:p w:rsidR="009A7AA1" w:rsidRDefault="009A7AA1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>
        <w:rPr>
          <w:bCs/>
        </w:rPr>
        <w:t xml:space="preserve">Uzdot </w:t>
      </w:r>
      <w:r>
        <w:t>Infrastruktūras apsaimniekošanas departamen</w:t>
      </w:r>
      <w:r w:rsidR="00F53B20">
        <w:t>ta vecākajai ekspertei līdz 2014</w:t>
      </w:r>
      <w:r>
        <w:t>.</w:t>
      </w:r>
      <w:r w:rsidR="00F53B20">
        <w:t> gada 22</w:t>
      </w:r>
      <w:r>
        <w:t>. </w:t>
      </w:r>
      <w:r w:rsidR="00F53B20">
        <w:t>novembrim</w:t>
      </w:r>
      <w:r>
        <w:t xml:space="preserve"> sagatavot un nosūtīt pretendentam </w:t>
      </w:r>
      <w:r w:rsidRPr="009A7AA1">
        <w:rPr>
          <w:bCs/>
        </w:rPr>
        <w:t>SIA „</w:t>
      </w:r>
      <w:proofErr w:type="spellStart"/>
      <w:r w:rsidRPr="009A7AA1">
        <w:rPr>
          <w:bCs/>
        </w:rPr>
        <w:t>Createx</w:t>
      </w:r>
      <w:proofErr w:type="spellEnd"/>
      <w:r w:rsidRPr="009A7AA1">
        <w:rPr>
          <w:bCs/>
        </w:rPr>
        <w:t>”</w:t>
      </w:r>
      <w:r>
        <w:rPr>
          <w:bCs/>
        </w:rPr>
        <w:t xml:space="preserve"> vē</w:t>
      </w:r>
      <w:r w:rsidR="00F53B20">
        <w:rPr>
          <w:bCs/>
        </w:rPr>
        <w:t>stuli, lai pretendents līdz 2014 </w:t>
      </w:r>
      <w:r>
        <w:rPr>
          <w:bCs/>
        </w:rPr>
        <w:t>.</w:t>
      </w:r>
      <w:r w:rsidR="00F53B20">
        <w:t>gada 26</w:t>
      </w:r>
      <w:r>
        <w:t>. </w:t>
      </w:r>
      <w:r w:rsidR="00F53B20">
        <w:t>novembrim</w:t>
      </w:r>
      <w:r>
        <w:t xml:space="preserve"> </w:t>
      </w:r>
      <w:r w:rsidR="0046405B">
        <w:t xml:space="preserve">apstiprina iepirkuma komisijas izdarītos labojumus </w:t>
      </w:r>
      <w:r w:rsidR="00BB7361" w:rsidRPr="009A7AA1">
        <w:rPr>
          <w:bCs/>
        </w:rPr>
        <w:t>SIA „</w:t>
      </w:r>
      <w:proofErr w:type="spellStart"/>
      <w:r w:rsidR="00BB7361" w:rsidRPr="009A7AA1">
        <w:rPr>
          <w:bCs/>
        </w:rPr>
        <w:t>Createx</w:t>
      </w:r>
      <w:proofErr w:type="spellEnd"/>
      <w:r w:rsidR="00BB7361" w:rsidRPr="009A7AA1">
        <w:rPr>
          <w:bCs/>
        </w:rPr>
        <w:t>”</w:t>
      </w:r>
      <w:r w:rsidR="00BB7361">
        <w:rPr>
          <w:bCs/>
        </w:rPr>
        <w:t xml:space="preserve"> </w:t>
      </w:r>
      <w:r w:rsidR="0046405B">
        <w:t>finanšu piedāvājumā</w:t>
      </w:r>
      <w:r>
        <w:t>.</w:t>
      </w:r>
    </w:p>
    <w:p w:rsidR="00EB6643" w:rsidRDefault="00EB6643">
      <w:pPr>
        <w:ind w:left="28" w:right="-799"/>
        <w:jc w:val="both"/>
      </w:pPr>
    </w:p>
    <w:p w:rsidR="009408CE" w:rsidRDefault="008050D7">
      <w:pPr>
        <w:ind w:left="28" w:right="-799"/>
        <w:jc w:val="both"/>
      </w:pPr>
      <w:r w:rsidRPr="00EA4C28">
        <w:rPr>
          <w:rFonts w:cs="Arial"/>
          <w:sz w:val="20"/>
          <w:szCs w:val="20"/>
        </w:rPr>
        <w:t>Sēdi beidz plkst.</w:t>
      </w:r>
      <w:r w:rsidR="0046405B">
        <w:rPr>
          <w:rFonts w:cs="Arial"/>
          <w:sz w:val="20"/>
          <w:szCs w:val="20"/>
        </w:rPr>
        <w:t xml:space="preserve"> 11.00</w:t>
      </w:r>
      <w:r w:rsidRPr="00EA4C28">
        <w:rPr>
          <w:rFonts w:cs="Arial"/>
          <w:sz w:val="20"/>
          <w:szCs w:val="20"/>
        </w:rPr>
        <w:t>.</w:t>
      </w:r>
    </w:p>
    <w:p w:rsidR="008F6D5C" w:rsidRDefault="008F6D5C">
      <w:pPr>
        <w:ind w:left="28" w:right="-799"/>
        <w:jc w:val="both"/>
      </w:pPr>
    </w:p>
    <w:p w:rsidR="000A4876" w:rsidRDefault="000A4876">
      <w:pPr>
        <w:ind w:left="28" w:right="-799"/>
        <w:jc w:val="both"/>
      </w:pPr>
    </w:p>
    <w:p w:rsidR="000A4876" w:rsidRDefault="000A4876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EB6643" w:rsidTr="00E868EB">
        <w:trPr>
          <w:trHeight w:val="680"/>
        </w:trPr>
        <w:tc>
          <w:tcPr>
            <w:tcW w:w="2840" w:type="dxa"/>
          </w:tcPr>
          <w:p w:rsidR="00EB6643" w:rsidRDefault="001E6DE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EB6643" w:rsidRDefault="00EB6643">
            <w:pPr>
              <w:jc w:val="center"/>
            </w:pPr>
          </w:p>
        </w:tc>
        <w:tc>
          <w:tcPr>
            <w:tcW w:w="3499" w:type="dxa"/>
          </w:tcPr>
          <w:p w:rsidR="00EB6643" w:rsidRDefault="001E6DE3">
            <w:pPr>
              <w:pStyle w:val="BodyText"/>
              <w:jc w:val="right"/>
            </w:pPr>
            <w:r>
              <w:t>A. Geiba</w:t>
            </w:r>
          </w:p>
        </w:tc>
      </w:tr>
      <w:tr w:rsidR="00EB6643" w:rsidTr="00E868EB">
        <w:trPr>
          <w:trHeight w:val="680"/>
        </w:trPr>
        <w:tc>
          <w:tcPr>
            <w:tcW w:w="2840" w:type="dxa"/>
          </w:tcPr>
          <w:p w:rsidR="00EB6643" w:rsidRDefault="001E6DE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EB6643" w:rsidRDefault="00EB6643">
            <w:pPr>
              <w:jc w:val="center"/>
            </w:pPr>
          </w:p>
        </w:tc>
        <w:tc>
          <w:tcPr>
            <w:tcW w:w="3499" w:type="dxa"/>
          </w:tcPr>
          <w:p w:rsidR="00EB6643" w:rsidRDefault="008050D7">
            <w:pPr>
              <w:jc w:val="right"/>
            </w:pPr>
            <w:r>
              <w:t>A. Ozola</w:t>
            </w:r>
          </w:p>
        </w:tc>
      </w:tr>
      <w:tr w:rsidR="008050D7" w:rsidTr="00E868EB">
        <w:trPr>
          <w:trHeight w:val="680"/>
        </w:trPr>
        <w:tc>
          <w:tcPr>
            <w:tcW w:w="2840" w:type="dxa"/>
          </w:tcPr>
          <w:p w:rsidR="008050D7" w:rsidRDefault="008050D7">
            <w:pPr>
              <w:jc w:val="both"/>
            </w:pPr>
          </w:p>
        </w:tc>
        <w:tc>
          <w:tcPr>
            <w:tcW w:w="2841" w:type="dxa"/>
          </w:tcPr>
          <w:p w:rsidR="008050D7" w:rsidRDefault="008050D7">
            <w:pPr>
              <w:jc w:val="center"/>
            </w:pPr>
          </w:p>
        </w:tc>
        <w:tc>
          <w:tcPr>
            <w:tcW w:w="3499" w:type="dxa"/>
          </w:tcPr>
          <w:p w:rsidR="008050D7" w:rsidRDefault="008050D7">
            <w:pPr>
              <w:jc w:val="right"/>
            </w:pPr>
            <w:r>
              <w:t>R. Zariņš</w:t>
            </w:r>
          </w:p>
        </w:tc>
      </w:tr>
      <w:tr w:rsidR="00EB6643" w:rsidTr="00E868EB">
        <w:trPr>
          <w:trHeight w:val="680"/>
        </w:trPr>
        <w:tc>
          <w:tcPr>
            <w:tcW w:w="2840" w:type="dxa"/>
          </w:tcPr>
          <w:p w:rsidR="00EB6643" w:rsidRDefault="001E6DE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EB6643" w:rsidRDefault="00EB6643">
            <w:pPr>
              <w:jc w:val="center"/>
            </w:pPr>
          </w:p>
        </w:tc>
        <w:tc>
          <w:tcPr>
            <w:tcW w:w="3499" w:type="dxa"/>
          </w:tcPr>
          <w:p w:rsidR="00EB6643" w:rsidRDefault="001E6DE3">
            <w:pPr>
              <w:jc w:val="right"/>
            </w:pPr>
            <w:r>
              <w:t>D. Klints</w:t>
            </w:r>
          </w:p>
        </w:tc>
      </w:tr>
    </w:tbl>
    <w:p w:rsidR="00EB6643" w:rsidRDefault="00EB6643">
      <w:pPr>
        <w:jc w:val="center"/>
      </w:pPr>
    </w:p>
    <w:sectPr w:rsidR="00EB6643" w:rsidSect="004C031B">
      <w:headerReference w:type="default" r:id="rId9"/>
      <w:footerReference w:type="even" r:id="rId10"/>
      <w:footerReference w:type="default" r:id="rId11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89" w:rsidRDefault="00C96289">
      <w:r>
        <w:separator/>
      </w:r>
    </w:p>
  </w:endnote>
  <w:endnote w:type="continuationSeparator" w:id="0">
    <w:p w:rsidR="00C96289" w:rsidRDefault="00C9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8" w:rsidRDefault="00A92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22A8" w:rsidRDefault="00A922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799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1AC" w:rsidRDefault="00B851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2A8" w:rsidRDefault="00A922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89" w:rsidRDefault="00C96289">
      <w:r>
        <w:separator/>
      </w:r>
    </w:p>
  </w:footnote>
  <w:footnote w:type="continuationSeparator" w:id="0">
    <w:p w:rsidR="00C96289" w:rsidRDefault="00C9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8" w:rsidRDefault="00A922A8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multilevel"/>
    <w:tmpl w:val="D4845DB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48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108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68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cs="Arial" w:hint="default"/>
      </w:r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8"/>
    <w:rsid w:val="000040E8"/>
    <w:rsid w:val="000136D6"/>
    <w:rsid w:val="000167EE"/>
    <w:rsid w:val="00037BBA"/>
    <w:rsid w:val="00043AE7"/>
    <w:rsid w:val="00043DD7"/>
    <w:rsid w:val="0006461E"/>
    <w:rsid w:val="000A28EC"/>
    <w:rsid w:val="000A4876"/>
    <w:rsid w:val="000C651C"/>
    <w:rsid w:val="000F0EBD"/>
    <w:rsid w:val="0010125D"/>
    <w:rsid w:val="0011101D"/>
    <w:rsid w:val="00136162"/>
    <w:rsid w:val="00174B21"/>
    <w:rsid w:val="00174CC5"/>
    <w:rsid w:val="00180321"/>
    <w:rsid w:val="0018046B"/>
    <w:rsid w:val="001E6DE3"/>
    <w:rsid w:val="00211D05"/>
    <w:rsid w:val="00220E1B"/>
    <w:rsid w:val="00221A41"/>
    <w:rsid w:val="0023117D"/>
    <w:rsid w:val="002558A2"/>
    <w:rsid w:val="00261FE6"/>
    <w:rsid w:val="00265DEB"/>
    <w:rsid w:val="00292696"/>
    <w:rsid w:val="002D2804"/>
    <w:rsid w:val="002E7B00"/>
    <w:rsid w:val="00335919"/>
    <w:rsid w:val="003B1BFC"/>
    <w:rsid w:val="003E1370"/>
    <w:rsid w:val="003F3B47"/>
    <w:rsid w:val="0043317A"/>
    <w:rsid w:val="00446BCF"/>
    <w:rsid w:val="0046405B"/>
    <w:rsid w:val="0047130E"/>
    <w:rsid w:val="004925DE"/>
    <w:rsid w:val="004A1A75"/>
    <w:rsid w:val="004C031B"/>
    <w:rsid w:val="004E2A75"/>
    <w:rsid w:val="004F1B33"/>
    <w:rsid w:val="00507928"/>
    <w:rsid w:val="005079DA"/>
    <w:rsid w:val="005663AD"/>
    <w:rsid w:val="00596B1C"/>
    <w:rsid w:val="00597F78"/>
    <w:rsid w:val="005A2FB2"/>
    <w:rsid w:val="005B266A"/>
    <w:rsid w:val="005B7EF1"/>
    <w:rsid w:val="005C444B"/>
    <w:rsid w:val="00651283"/>
    <w:rsid w:val="006679DD"/>
    <w:rsid w:val="00687C15"/>
    <w:rsid w:val="006D6B73"/>
    <w:rsid w:val="006D6D48"/>
    <w:rsid w:val="006E665B"/>
    <w:rsid w:val="006F62BB"/>
    <w:rsid w:val="007B1AFB"/>
    <w:rsid w:val="007C486F"/>
    <w:rsid w:val="007D742C"/>
    <w:rsid w:val="008050D7"/>
    <w:rsid w:val="00844067"/>
    <w:rsid w:val="00850A2A"/>
    <w:rsid w:val="0088700E"/>
    <w:rsid w:val="008A581E"/>
    <w:rsid w:val="008C3F85"/>
    <w:rsid w:val="008D2198"/>
    <w:rsid w:val="008D477E"/>
    <w:rsid w:val="008E22E9"/>
    <w:rsid w:val="008E4C4F"/>
    <w:rsid w:val="008F6467"/>
    <w:rsid w:val="008F6D5C"/>
    <w:rsid w:val="00904A2C"/>
    <w:rsid w:val="00907FD7"/>
    <w:rsid w:val="00930563"/>
    <w:rsid w:val="00936414"/>
    <w:rsid w:val="009408CE"/>
    <w:rsid w:val="009A7AA1"/>
    <w:rsid w:val="009B02A9"/>
    <w:rsid w:val="009B701E"/>
    <w:rsid w:val="00A02586"/>
    <w:rsid w:val="00A31FE0"/>
    <w:rsid w:val="00A32319"/>
    <w:rsid w:val="00A35346"/>
    <w:rsid w:val="00A35F10"/>
    <w:rsid w:val="00A37B57"/>
    <w:rsid w:val="00A922A8"/>
    <w:rsid w:val="00AB26A5"/>
    <w:rsid w:val="00AC588A"/>
    <w:rsid w:val="00AD7141"/>
    <w:rsid w:val="00AE4744"/>
    <w:rsid w:val="00AE6FE1"/>
    <w:rsid w:val="00AF0839"/>
    <w:rsid w:val="00AF2A49"/>
    <w:rsid w:val="00B04CBD"/>
    <w:rsid w:val="00B37F8E"/>
    <w:rsid w:val="00B851AC"/>
    <w:rsid w:val="00BA2E54"/>
    <w:rsid w:val="00BB7361"/>
    <w:rsid w:val="00BC0448"/>
    <w:rsid w:val="00BC2AF3"/>
    <w:rsid w:val="00BD2806"/>
    <w:rsid w:val="00BF38F0"/>
    <w:rsid w:val="00BF5DEF"/>
    <w:rsid w:val="00C108BC"/>
    <w:rsid w:val="00C31B0D"/>
    <w:rsid w:val="00C357AC"/>
    <w:rsid w:val="00C47C32"/>
    <w:rsid w:val="00C51DF7"/>
    <w:rsid w:val="00C60831"/>
    <w:rsid w:val="00C82F7A"/>
    <w:rsid w:val="00C96289"/>
    <w:rsid w:val="00CC509C"/>
    <w:rsid w:val="00CF0E5D"/>
    <w:rsid w:val="00D50099"/>
    <w:rsid w:val="00D841C8"/>
    <w:rsid w:val="00D90DA5"/>
    <w:rsid w:val="00D96A94"/>
    <w:rsid w:val="00DE37DF"/>
    <w:rsid w:val="00E179F1"/>
    <w:rsid w:val="00E3332A"/>
    <w:rsid w:val="00E5498A"/>
    <w:rsid w:val="00E55D6E"/>
    <w:rsid w:val="00E85BAD"/>
    <w:rsid w:val="00E868EB"/>
    <w:rsid w:val="00EA5CF8"/>
    <w:rsid w:val="00EB6643"/>
    <w:rsid w:val="00EC0FC1"/>
    <w:rsid w:val="00EC15F1"/>
    <w:rsid w:val="00EE4811"/>
    <w:rsid w:val="00EF07C6"/>
    <w:rsid w:val="00EF2517"/>
    <w:rsid w:val="00F04434"/>
    <w:rsid w:val="00F12C40"/>
    <w:rsid w:val="00F33BD8"/>
    <w:rsid w:val="00F53B20"/>
    <w:rsid w:val="00F625DE"/>
    <w:rsid w:val="00F72B02"/>
    <w:rsid w:val="00FC263B"/>
    <w:rsid w:val="00FC4147"/>
    <w:rsid w:val="00FC70B7"/>
    <w:rsid w:val="00FC7902"/>
    <w:rsid w:val="00FD3647"/>
    <w:rsid w:val="00FD5B9A"/>
    <w:rsid w:val="00FE5313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2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2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12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12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125D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12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125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51AC"/>
    <w:rPr>
      <w:lang w:eastAsia="en-US"/>
    </w:rPr>
  </w:style>
  <w:style w:type="table" w:styleId="TableGrid">
    <w:name w:val="Table Grid"/>
    <w:basedOn w:val="TableNormal"/>
    <w:uiPriority w:val="59"/>
    <w:rsid w:val="00F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2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25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12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12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125D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12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125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51AC"/>
    <w:rPr>
      <w:lang w:eastAsia="en-US"/>
    </w:rPr>
  </w:style>
  <w:style w:type="table" w:styleId="TableGrid">
    <w:name w:val="Table Grid"/>
    <w:basedOn w:val="TableNormal"/>
    <w:uiPriority w:val="59"/>
    <w:rsid w:val="00F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2583</CharactersWithSpaces>
  <SharedDoc>false</SharedDoc>
  <HLinks>
    <vt:vector size="18" baseType="variant"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http://www.kase.gov.lv/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2014-12-01T09:57:00Z</cp:lastPrinted>
  <dcterms:created xsi:type="dcterms:W3CDTF">2017-10-04T13:11:00Z</dcterms:created>
  <dcterms:modified xsi:type="dcterms:W3CDTF">2017-10-04T13:11:00Z</dcterms:modified>
</cp:coreProperties>
</file>