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F" w:rsidRPr="009E2B60" w:rsidRDefault="00572EC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572ECF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9C57F8" w:rsidRPr="009C57F8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“Reitingu aģentūras pakalpojuma par kredītreitingu informācijas nodrošināšanu iegāde” </w:t>
      </w:r>
      <w:r w:rsidR="009C57F8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VK/2015/04</w:t>
      </w:r>
      <w:r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Pr="00572ECF">
        <w:rPr>
          <w:rFonts w:ascii="Times New Roman" w:hAnsi="Times New Roman"/>
          <w:b/>
          <w:bCs/>
          <w:caps/>
          <w:sz w:val="24"/>
          <w:szCs w:val="24"/>
          <w:lang w:val="lv-LV"/>
        </w:rPr>
        <w:t>komisijas sēdes</w:t>
      </w:r>
      <w:bookmarkEnd w:id="0"/>
    </w:p>
    <w:p w:rsidR="00F36F1F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36F1F" w:rsidRPr="00FD211B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protokols</w:t>
      </w:r>
    </w:p>
    <w:p w:rsidR="00F36F1F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9E2B60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FD211B" w:rsidRDefault="00E72AA8" w:rsidP="007F3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FD211B">
              <w:rPr>
                <w:rFonts w:ascii="Times New Roman" w:hAnsi="Times New Roman"/>
                <w:sz w:val="20"/>
                <w:szCs w:val="20"/>
                <w:lang w:val="lv-LV"/>
              </w:rPr>
              <w:t>.</w:t>
            </w:r>
            <w:r w:rsidR="00F36F1F">
              <w:rPr>
                <w:rFonts w:ascii="Times New Roman" w:hAnsi="Times New Roman"/>
                <w:sz w:val="20"/>
                <w:szCs w:val="20"/>
                <w:lang w:val="lv-LV"/>
              </w:rPr>
              <w:t> </w:t>
            </w:r>
            <w:r w:rsidR="00F36F1F" w:rsidRPr="00FD211B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gada </w:t>
            </w:r>
            <w:r w:rsidR="00F063C2">
              <w:rPr>
                <w:rFonts w:ascii="Times New Roman" w:hAnsi="Times New Roman"/>
                <w:sz w:val="20"/>
                <w:szCs w:val="20"/>
                <w:lang w:val="lv-LV"/>
              </w:rPr>
              <w:t>16</w:t>
            </w:r>
            <w:r w:rsidR="00B067FC">
              <w:rPr>
                <w:rFonts w:ascii="Times New Roman" w:hAnsi="Times New Roman"/>
                <w:sz w:val="20"/>
                <w:szCs w:val="20"/>
                <w:lang w:val="lv-LV"/>
              </w:rPr>
              <w:t>. martā</w:t>
            </w:r>
            <w:r w:rsidR="00F36F1F" w:rsidRPr="00E8645B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F063C2">
              <w:rPr>
                <w:rFonts w:ascii="Times New Roman" w:hAnsi="Times New Roman"/>
                <w:sz w:val="20"/>
                <w:szCs w:val="20"/>
              </w:rPr>
              <w:t>16</w:t>
            </w:r>
            <w:r w:rsidR="009C57F8" w:rsidRPr="00E8645B">
              <w:rPr>
                <w:rFonts w:ascii="Times New Roman" w:hAnsi="Times New Roman"/>
                <w:sz w:val="20"/>
                <w:szCs w:val="20"/>
              </w:rPr>
              <w:t>.0</w:t>
            </w:r>
            <w:r w:rsidRPr="00E864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E56EAA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E56EAA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EAA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7E6265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3D2F9A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D2F9A">
              <w:rPr>
                <w:rFonts w:ascii="Times New Roman" w:hAnsi="Times New Roman"/>
                <w:sz w:val="20"/>
                <w:szCs w:val="20"/>
                <w:lang w:val="lv-LV"/>
              </w:rPr>
              <w:t>Pārvaldnieka vietnieks</w:t>
            </w:r>
          </w:p>
        </w:tc>
        <w:tc>
          <w:tcPr>
            <w:tcW w:w="4705" w:type="dxa"/>
          </w:tcPr>
          <w:p w:rsidR="00F36F1F" w:rsidRPr="00FD211B" w:rsidRDefault="006769DD" w:rsidP="006769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</w:t>
            </w:r>
            <w:r w:rsidR="009C57F8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Pone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9C57F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C57F8">
              <w:rPr>
                <w:rFonts w:ascii="Times New Roman" w:hAnsi="Times New Roman"/>
                <w:sz w:val="20"/>
                <w:szCs w:val="20"/>
                <w:lang w:val="lv-LV"/>
              </w:rPr>
              <w:t>Finanšu risku vadības departamenta vecākais eksperts</w:t>
            </w:r>
          </w:p>
        </w:tc>
        <w:tc>
          <w:tcPr>
            <w:tcW w:w="4705" w:type="dxa"/>
          </w:tcPr>
          <w:p w:rsidR="00F36F1F" w:rsidRPr="00FD211B" w:rsidRDefault="009C57F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C57F8">
              <w:rPr>
                <w:rFonts w:ascii="Times New Roman" w:hAnsi="Times New Roman"/>
                <w:sz w:val="20"/>
                <w:szCs w:val="20"/>
                <w:lang w:val="lv-LV"/>
              </w:rPr>
              <w:t>A. Skraucis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7E619C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7E619C">
        <w:rPr>
          <w:rFonts w:ascii="Times New Roman" w:hAnsi="Times New Roman"/>
          <w:sz w:val="24"/>
          <w:szCs w:val="24"/>
          <w:lang w:val="lv-LV"/>
        </w:rPr>
        <w:t>Pretendentu piedāvājumu atvēršana:</w:t>
      </w:r>
    </w:p>
    <w:p w:rsidR="007E619C" w:rsidRPr="00A20E10" w:rsidRDefault="007E619C" w:rsidP="00A627DD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7E619C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A76C80">
        <w:rPr>
          <w:rFonts w:ascii="Times New Roman" w:hAnsi="Times New Roman"/>
          <w:b/>
          <w:i/>
          <w:sz w:val="24"/>
          <w:szCs w:val="24"/>
          <w:lang w:val="lv-LV"/>
        </w:rPr>
        <w:t>J. Pone</w:t>
      </w:r>
      <w:r w:rsidRPr="007E619C">
        <w:rPr>
          <w:rFonts w:ascii="Times New Roman" w:hAnsi="Times New Roman"/>
          <w:sz w:val="24"/>
          <w:szCs w:val="24"/>
          <w:lang w:val="lv-LV"/>
        </w:rPr>
        <w:t xml:space="preserve"> i</w:t>
      </w:r>
      <w:r w:rsidRPr="007E619C">
        <w:rPr>
          <w:rFonts w:ascii="Times New Roman" w:hAnsi="Times New Roman"/>
          <w:bCs/>
          <w:sz w:val="24"/>
          <w:szCs w:val="24"/>
          <w:lang w:val="lv-LV"/>
        </w:rPr>
        <w:t xml:space="preserve">nformē, ka iepirkuma procedūrai iesniegti </w:t>
      </w:r>
      <w:r w:rsidR="00A76C80">
        <w:rPr>
          <w:rFonts w:ascii="Times New Roman" w:hAnsi="Times New Roman"/>
          <w:bCs/>
          <w:sz w:val="24"/>
          <w:szCs w:val="24"/>
          <w:lang w:val="lv-LV"/>
        </w:rPr>
        <w:t xml:space="preserve">trīs </w:t>
      </w:r>
      <w:r w:rsidRPr="007E619C">
        <w:rPr>
          <w:rFonts w:ascii="Times New Roman" w:hAnsi="Times New Roman"/>
          <w:bCs/>
          <w:sz w:val="24"/>
          <w:szCs w:val="24"/>
          <w:lang w:val="lv-LV"/>
        </w:rPr>
        <w:t xml:space="preserve">piedāvājumi – </w:t>
      </w:r>
      <w:r w:rsidRPr="00A20E10">
        <w:rPr>
          <w:rFonts w:ascii="Times New Roman" w:hAnsi="Times New Roman"/>
          <w:bCs/>
          <w:sz w:val="24"/>
          <w:szCs w:val="24"/>
          <w:lang w:val="lv-LV"/>
        </w:rPr>
        <w:t>no</w:t>
      </w:r>
      <w:r w:rsidR="00A627D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A627DD" w:rsidRPr="00A627DD">
        <w:rPr>
          <w:rFonts w:ascii="Times New Roman" w:hAnsi="Times New Roman"/>
          <w:bCs/>
          <w:sz w:val="24"/>
          <w:szCs w:val="24"/>
          <w:lang w:val="lv-LV"/>
        </w:rPr>
        <w:t xml:space="preserve">Standard &amp; </w:t>
      </w:r>
      <w:proofErr w:type="spellStart"/>
      <w:r w:rsidR="00A627DD" w:rsidRPr="00A627DD">
        <w:rPr>
          <w:rFonts w:ascii="Times New Roman" w:hAnsi="Times New Roman"/>
          <w:bCs/>
          <w:sz w:val="24"/>
          <w:szCs w:val="24"/>
          <w:lang w:val="lv-LV"/>
        </w:rPr>
        <w:t>Poor’s</w:t>
      </w:r>
      <w:proofErr w:type="spellEnd"/>
      <w:r w:rsidR="00A627DD" w:rsidRPr="00A627D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A627DD" w:rsidRPr="00A627DD">
        <w:rPr>
          <w:rFonts w:ascii="Times New Roman" w:hAnsi="Times New Roman"/>
          <w:bCs/>
          <w:sz w:val="24"/>
          <w:szCs w:val="24"/>
          <w:lang w:val="lv-LV"/>
        </w:rPr>
        <w:t>Financial</w:t>
      </w:r>
      <w:proofErr w:type="spellEnd"/>
      <w:r w:rsidR="00A627DD" w:rsidRPr="00A627D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A627DD" w:rsidRPr="00A627DD">
        <w:rPr>
          <w:rFonts w:ascii="Times New Roman" w:hAnsi="Times New Roman"/>
          <w:bCs/>
          <w:sz w:val="24"/>
          <w:szCs w:val="24"/>
          <w:lang w:val="lv-LV"/>
        </w:rPr>
        <w:t>Services</w:t>
      </w:r>
      <w:proofErr w:type="spellEnd"/>
      <w:r w:rsidR="00A627DD" w:rsidRPr="00A627DD">
        <w:rPr>
          <w:rFonts w:ascii="Times New Roman" w:hAnsi="Times New Roman"/>
          <w:bCs/>
          <w:sz w:val="24"/>
          <w:szCs w:val="24"/>
          <w:lang w:val="lv-LV"/>
        </w:rPr>
        <w:t xml:space="preserve"> LCC</w:t>
      </w:r>
      <w:r w:rsidR="00D42EE5" w:rsidRPr="00A20E10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D42EE5" w:rsidRPr="00A20E10">
        <w:rPr>
          <w:rFonts w:ascii="Times New Roman" w:hAnsi="Times New Roman"/>
          <w:bCs/>
          <w:sz w:val="24"/>
          <w:szCs w:val="24"/>
          <w:lang w:val="lv-LV"/>
        </w:rPr>
        <w:t>Moody’s</w:t>
      </w:r>
      <w:proofErr w:type="spellEnd"/>
      <w:r w:rsidR="00D42EE5" w:rsidRPr="00A20E1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D42EE5" w:rsidRPr="00A20E10">
        <w:rPr>
          <w:rFonts w:ascii="Times New Roman" w:hAnsi="Times New Roman"/>
          <w:bCs/>
          <w:sz w:val="24"/>
          <w:szCs w:val="24"/>
          <w:lang w:val="lv-LV"/>
        </w:rPr>
        <w:t>Analytics</w:t>
      </w:r>
      <w:proofErr w:type="spellEnd"/>
      <w:r w:rsidR="00D42EE5" w:rsidRPr="00A20E10">
        <w:rPr>
          <w:rFonts w:ascii="Times New Roman" w:hAnsi="Times New Roman"/>
          <w:bCs/>
          <w:sz w:val="24"/>
          <w:szCs w:val="24"/>
          <w:lang w:val="lv-LV"/>
        </w:rPr>
        <w:t xml:space="preserve"> UK </w:t>
      </w:r>
      <w:proofErr w:type="spellStart"/>
      <w:r w:rsidR="00D42EE5" w:rsidRPr="00A20E10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D42EE5" w:rsidRPr="00A20E10">
        <w:rPr>
          <w:rFonts w:ascii="Times New Roman" w:hAnsi="Times New Roman"/>
          <w:bCs/>
          <w:sz w:val="24"/>
          <w:szCs w:val="24"/>
          <w:lang w:val="lv-LV"/>
        </w:rPr>
        <w:t xml:space="preserve">. un </w:t>
      </w:r>
      <w:proofErr w:type="spellStart"/>
      <w:r w:rsidR="00D42EE5" w:rsidRPr="00A20E10">
        <w:rPr>
          <w:rFonts w:ascii="Times New Roman" w:hAnsi="Times New Roman"/>
          <w:bCs/>
          <w:sz w:val="24"/>
          <w:szCs w:val="24"/>
          <w:lang w:val="lv-LV"/>
        </w:rPr>
        <w:t>Fitch</w:t>
      </w:r>
      <w:proofErr w:type="spellEnd"/>
      <w:r w:rsidR="00D42EE5" w:rsidRPr="00A20E1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D42EE5" w:rsidRPr="00A20E10">
        <w:rPr>
          <w:rFonts w:ascii="Times New Roman" w:hAnsi="Times New Roman"/>
          <w:bCs/>
          <w:sz w:val="24"/>
          <w:szCs w:val="24"/>
          <w:lang w:val="lv-LV"/>
        </w:rPr>
        <w:t>Solutions</w:t>
      </w:r>
      <w:proofErr w:type="spellEnd"/>
      <w:r w:rsidR="00D42EE5" w:rsidRPr="00A20E1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D42EE5" w:rsidRPr="00A20E10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D42EE5" w:rsidRPr="00A20E10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7E619C" w:rsidRDefault="007E619C" w:rsidP="007E619C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7E619C">
        <w:rPr>
          <w:rFonts w:ascii="Times New Roman" w:hAnsi="Times New Roman"/>
          <w:sz w:val="24"/>
          <w:szCs w:val="24"/>
          <w:lang w:val="lv-LV"/>
        </w:rPr>
        <w:t>Komisijas locekļi paraksta apliecinājumu, ka nav ieinteresēti konkrēta pretendenta izvēlē vai darbībā un ka nav saistīti ar pretendentu Publisko iepirkumu likuma 23. panta pirmās daļas izpratnē.</w:t>
      </w:r>
    </w:p>
    <w:p w:rsidR="007E619C" w:rsidRDefault="007E619C" w:rsidP="007E619C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7E619C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A76C80">
        <w:rPr>
          <w:rFonts w:ascii="Times New Roman" w:hAnsi="Times New Roman"/>
          <w:b/>
          <w:i/>
          <w:sz w:val="24"/>
          <w:szCs w:val="24"/>
          <w:lang w:val="lv-LV"/>
        </w:rPr>
        <w:t>J. Pone</w:t>
      </w:r>
      <w:r w:rsidRPr="007E619C">
        <w:rPr>
          <w:rFonts w:ascii="Times New Roman" w:hAnsi="Times New Roman"/>
          <w:sz w:val="24"/>
          <w:szCs w:val="24"/>
          <w:lang w:val="lv-LV"/>
        </w:rPr>
        <w:t xml:space="preserve"> atver iesniegtos piedāvājumus un nosauc finanšu piedāvājumu cenu:</w:t>
      </w:r>
    </w:p>
    <w:p w:rsidR="007E619C" w:rsidRDefault="007E619C" w:rsidP="007E619C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977"/>
        <w:gridCol w:w="2977"/>
      </w:tblGrid>
      <w:tr w:rsidR="009C74B4" w:rsidRPr="009C74B4" w:rsidTr="009C74B4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9C74B4" w:rsidRPr="009C74B4" w:rsidRDefault="009C74B4" w:rsidP="009C74B4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9C74B4" w:rsidRPr="009C74B4" w:rsidRDefault="009C74B4" w:rsidP="009C74B4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9C74B4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977" w:type="dxa"/>
          </w:tcPr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9C74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977" w:type="dxa"/>
          </w:tcPr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9C74B4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Piedāvājuma summa </w:t>
            </w:r>
          </w:p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9C74B4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9C74B4" w:rsidRPr="009C74B4" w:rsidTr="009C74B4">
        <w:trPr>
          <w:cantSplit/>
        </w:trPr>
        <w:tc>
          <w:tcPr>
            <w:tcW w:w="3402" w:type="dxa"/>
          </w:tcPr>
          <w:p w:rsidR="009C74B4" w:rsidRPr="009C74B4" w:rsidRDefault="009D79C6" w:rsidP="009C74B4">
            <w:pPr>
              <w:widowControl/>
              <w:tabs>
                <w:tab w:val="left" w:pos="241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Standard &amp;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Poor’s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Financial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Services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LCC</w:t>
            </w:r>
          </w:p>
          <w:p w:rsidR="009C74B4" w:rsidRPr="009C74B4" w:rsidRDefault="009C74B4" w:rsidP="009C74B4">
            <w:pPr>
              <w:widowControl/>
              <w:tabs>
                <w:tab w:val="left" w:pos="241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55 </w:t>
            </w:r>
            <w:proofErr w:type="spellStart"/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Water</w:t>
            </w:r>
            <w:proofErr w:type="spellEnd"/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Street</w:t>
            </w:r>
            <w:proofErr w:type="spellEnd"/>
          </w:p>
          <w:p w:rsidR="009C74B4" w:rsidRPr="009C74B4" w:rsidRDefault="009C74B4" w:rsidP="009C74B4">
            <w:pPr>
              <w:widowControl/>
              <w:tabs>
                <w:tab w:val="left" w:pos="241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New</w:t>
            </w:r>
            <w:proofErr w:type="spellEnd"/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York</w:t>
            </w:r>
            <w:proofErr w:type="spellEnd"/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NY 10041</w:t>
            </w:r>
          </w:p>
          <w:p w:rsidR="009C74B4" w:rsidRPr="009C74B4" w:rsidRDefault="009C74B4" w:rsidP="009C74B4">
            <w:pPr>
              <w:widowControl/>
              <w:tabs>
                <w:tab w:val="left" w:pos="241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ASV</w:t>
            </w:r>
          </w:p>
        </w:tc>
        <w:tc>
          <w:tcPr>
            <w:tcW w:w="2977" w:type="dxa"/>
          </w:tcPr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9C74B4" w:rsidRDefault="00C114D0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13.03.2015</w:t>
            </w:r>
            <w:r w:rsidR="009C74B4" w:rsidRPr="009C74B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C114D0" w:rsidRPr="009C74B4" w:rsidRDefault="00C114D0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 12.40</w:t>
            </w:r>
          </w:p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2977" w:type="dxa"/>
          </w:tcPr>
          <w:p w:rsidR="009C74B4" w:rsidRPr="009C74B4" w:rsidRDefault="00C114D0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27 3</w:t>
            </w:r>
            <w:r w:rsidR="009C74B4" w:rsidRPr="009C74B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00,00</w:t>
            </w:r>
            <w:r w:rsidRPr="009C74B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USD</w:t>
            </w:r>
          </w:p>
          <w:p w:rsidR="009C74B4" w:rsidRPr="009C74B4" w:rsidRDefault="00900CFC" w:rsidP="00C114D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900CFC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25</w:t>
            </w:r>
            <w:r w:rsidR="009C74B4" w:rsidRPr="009C74B4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 </w:t>
            </w:r>
            <w:r w:rsidRPr="00900CFC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859,62</w:t>
            </w:r>
            <w:r w:rsidR="009C74B4" w:rsidRPr="009C74B4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 </w:t>
            </w:r>
            <w:r w:rsidR="00C114D0" w:rsidRPr="00900CFC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 xml:space="preserve">EUR </w:t>
            </w:r>
            <w:r w:rsidR="009C74B4" w:rsidRPr="009C74B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lv-LV" w:eastAsia="lv-LV"/>
              </w:rPr>
              <w:t>(</w:t>
            </w:r>
            <w:r w:rsidR="00C114D0" w:rsidRPr="00900CF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lv-LV" w:eastAsia="lv-LV"/>
              </w:rPr>
              <w:t>pēc Eiropas Centrālās bankas noteiktā eiro atsauces kursa uz 2015.gada 16.martu</w:t>
            </w:r>
            <w:r w:rsidRPr="00900CF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lv-LV" w:eastAsia="lv-LV"/>
              </w:rPr>
              <w:t xml:space="preserve"> 1EUR=1.05570 USD)</w:t>
            </w:r>
          </w:p>
        </w:tc>
      </w:tr>
      <w:tr w:rsidR="00972A7A" w:rsidRPr="009C74B4" w:rsidTr="009C74B4">
        <w:trPr>
          <w:cantSplit/>
        </w:trPr>
        <w:tc>
          <w:tcPr>
            <w:tcW w:w="3402" w:type="dxa"/>
          </w:tcPr>
          <w:p w:rsidR="00972A7A" w:rsidRDefault="00972A7A" w:rsidP="009C74B4">
            <w:pPr>
              <w:widowControl/>
              <w:tabs>
                <w:tab w:val="left" w:pos="241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lastRenderedPageBreak/>
              <w:t>Moody’s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Analytics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UK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Ltd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.</w:t>
            </w:r>
          </w:p>
          <w:p w:rsidR="00972A7A" w:rsidRPr="00972A7A" w:rsidRDefault="00972A7A" w:rsidP="009C74B4">
            <w:pPr>
              <w:widowControl/>
              <w:tabs>
                <w:tab w:val="left" w:pos="241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proofErr w:type="spellStart"/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One</w:t>
            </w:r>
            <w:proofErr w:type="spellEnd"/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Canada</w:t>
            </w:r>
            <w:proofErr w:type="spellEnd"/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Square</w:t>
            </w:r>
            <w:proofErr w:type="spellEnd"/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, </w:t>
            </w:r>
            <w:proofErr w:type="spellStart"/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Canary</w:t>
            </w:r>
            <w:proofErr w:type="spellEnd"/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Wharf</w:t>
            </w:r>
            <w:proofErr w:type="spellEnd"/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, </w:t>
            </w:r>
            <w:proofErr w:type="spellStart"/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London</w:t>
            </w:r>
            <w:proofErr w:type="spellEnd"/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, E14 5FA,</w:t>
            </w:r>
          </w:p>
          <w:p w:rsidR="00972A7A" w:rsidRPr="009C74B4" w:rsidRDefault="00972A7A" w:rsidP="00972A7A">
            <w:pPr>
              <w:widowControl/>
              <w:tabs>
                <w:tab w:val="left" w:pos="241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Lielbritānija</w:t>
            </w:r>
          </w:p>
        </w:tc>
        <w:tc>
          <w:tcPr>
            <w:tcW w:w="2977" w:type="dxa"/>
          </w:tcPr>
          <w:p w:rsidR="00972A7A" w:rsidRDefault="00972A7A" w:rsidP="00972A7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972A7A" w:rsidRPr="00972A7A" w:rsidRDefault="00972A7A" w:rsidP="00972A7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6</w:t>
            </w:r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.03.2015.</w:t>
            </w:r>
          </w:p>
          <w:p w:rsidR="00972A7A" w:rsidRPr="00972A7A" w:rsidRDefault="00972A7A" w:rsidP="00972A7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972A7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</w:t>
            </w:r>
            <w:r w:rsidR="007C2E5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12.55</w:t>
            </w:r>
          </w:p>
          <w:p w:rsidR="00972A7A" w:rsidRPr="009C74B4" w:rsidRDefault="00972A7A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2977" w:type="dxa"/>
          </w:tcPr>
          <w:p w:rsidR="007C2E55" w:rsidRDefault="007C2E55" w:rsidP="007C2E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7C2E55" w:rsidRPr="009C74B4" w:rsidRDefault="007C2E55" w:rsidP="007C2E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D42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17 0</w:t>
            </w:r>
            <w:r w:rsidRPr="009C74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00,00</w:t>
            </w:r>
            <w:r w:rsidRPr="00D42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EUR</w:t>
            </w:r>
          </w:p>
          <w:p w:rsidR="00972A7A" w:rsidRPr="009C74B4" w:rsidRDefault="00972A7A" w:rsidP="007C2E5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</w:tc>
      </w:tr>
      <w:tr w:rsidR="009C74B4" w:rsidRPr="009C74B4" w:rsidTr="009C74B4">
        <w:trPr>
          <w:cantSplit/>
        </w:trPr>
        <w:tc>
          <w:tcPr>
            <w:tcW w:w="3402" w:type="dxa"/>
          </w:tcPr>
          <w:p w:rsidR="009C74B4" w:rsidRPr="009C74B4" w:rsidRDefault="009C74B4" w:rsidP="009C74B4">
            <w:pPr>
              <w:widowControl/>
              <w:tabs>
                <w:tab w:val="left" w:pos="241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proofErr w:type="spellStart"/>
            <w:r w:rsidRPr="009C74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Fitch</w:t>
            </w:r>
            <w:proofErr w:type="spellEnd"/>
            <w:r w:rsidRPr="009C74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9C74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Solutions</w:t>
            </w:r>
            <w:proofErr w:type="spellEnd"/>
            <w:r w:rsidRPr="009C74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9C74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Ltd</w:t>
            </w:r>
            <w:proofErr w:type="spellEnd"/>
            <w:r w:rsidR="00062E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.</w:t>
            </w:r>
          </w:p>
          <w:p w:rsidR="009C74B4" w:rsidRPr="009C74B4" w:rsidRDefault="009C74B4" w:rsidP="009C74B4">
            <w:pPr>
              <w:widowControl/>
              <w:tabs>
                <w:tab w:val="left" w:pos="241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30 </w:t>
            </w:r>
            <w:proofErr w:type="spellStart"/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North</w:t>
            </w:r>
            <w:proofErr w:type="spellEnd"/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Colonnade</w:t>
            </w:r>
            <w:proofErr w:type="spellEnd"/>
          </w:p>
          <w:p w:rsidR="009C74B4" w:rsidRPr="009C74B4" w:rsidRDefault="009C74B4" w:rsidP="009C74B4">
            <w:pPr>
              <w:widowControl/>
              <w:tabs>
                <w:tab w:val="left" w:pos="241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London</w:t>
            </w:r>
            <w:proofErr w:type="spellEnd"/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E14 5GN</w:t>
            </w:r>
          </w:p>
          <w:p w:rsidR="009C74B4" w:rsidRPr="009C74B4" w:rsidRDefault="009C74B4" w:rsidP="009C74B4">
            <w:pPr>
              <w:widowControl/>
              <w:tabs>
                <w:tab w:val="left" w:pos="2415"/>
              </w:tabs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9C74B4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Lielbritānija</w:t>
            </w:r>
          </w:p>
        </w:tc>
        <w:tc>
          <w:tcPr>
            <w:tcW w:w="2977" w:type="dxa"/>
          </w:tcPr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062EB1" w:rsidRPr="00062EB1" w:rsidRDefault="00062EB1" w:rsidP="00062EB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062EB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16.03.2015.</w:t>
            </w:r>
          </w:p>
          <w:p w:rsidR="00062EB1" w:rsidRPr="00062EB1" w:rsidRDefault="007A6199" w:rsidP="00062EB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 15.0</w:t>
            </w:r>
            <w:r w:rsidR="00062EB1" w:rsidRPr="00062EB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5</w:t>
            </w:r>
          </w:p>
          <w:p w:rsidR="009C74B4" w:rsidRPr="009C74B4" w:rsidRDefault="009C74B4" w:rsidP="00062EB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2977" w:type="dxa"/>
          </w:tcPr>
          <w:p w:rsidR="00D42EE5" w:rsidRDefault="00D42EE5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9C74B4" w:rsidRPr="009C74B4" w:rsidRDefault="00D42EE5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D42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21 60</w:t>
            </w:r>
            <w:r w:rsidR="009C74B4" w:rsidRPr="009C74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0,00</w:t>
            </w:r>
            <w:r w:rsidRPr="00D42E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EUR</w:t>
            </w:r>
          </w:p>
          <w:p w:rsidR="009C74B4" w:rsidRPr="009C74B4" w:rsidRDefault="009C74B4" w:rsidP="009C74B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</w:tc>
      </w:tr>
    </w:tbl>
    <w:p w:rsidR="007E619C" w:rsidRDefault="007E619C" w:rsidP="007E619C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33E17" w:rsidRDefault="00B33E17" w:rsidP="007E619C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Pr="00876665" w:rsidRDefault="007E619C" w:rsidP="0060416A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76665">
        <w:rPr>
          <w:rFonts w:ascii="Times New Roman" w:hAnsi="Times New Roman"/>
          <w:sz w:val="24"/>
          <w:szCs w:val="24"/>
          <w:lang w:val="lv-LV"/>
        </w:rPr>
        <w:t xml:space="preserve">Pretendentu - </w:t>
      </w:r>
      <w:r w:rsidR="0060416A" w:rsidRPr="0060416A">
        <w:rPr>
          <w:rFonts w:ascii="Times New Roman" w:hAnsi="Times New Roman"/>
          <w:bCs/>
          <w:sz w:val="24"/>
          <w:szCs w:val="24"/>
          <w:lang w:val="lv-LV"/>
        </w:rPr>
        <w:t xml:space="preserve">Standard &amp; </w:t>
      </w:r>
      <w:proofErr w:type="spellStart"/>
      <w:r w:rsidR="0060416A" w:rsidRPr="0060416A">
        <w:rPr>
          <w:rFonts w:ascii="Times New Roman" w:hAnsi="Times New Roman"/>
          <w:bCs/>
          <w:sz w:val="24"/>
          <w:szCs w:val="24"/>
          <w:lang w:val="lv-LV"/>
        </w:rPr>
        <w:t>Poor’s</w:t>
      </w:r>
      <w:proofErr w:type="spellEnd"/>
      <w:r w:rsidR="0060416A" w:rsidRPr="0060416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60416A" w:rsidRPr="0060416A">
        <w:rPr>
          <w:rFonts w:ascii="Times New Roman" w:hAnsi="Times New Roman"/>
          <w:bCs/>
          <w:sz w:val="24"/>
          <w:szCs w:val="24"/>
          <w:lang w:val="lv-LV"/>
        </w:rPr>
        <w:t>Financial</w:t>
      </w:r>
      <w:proofErr w:type="spellEnd"/>
      <w:r w:rsidR="0060416A" w:rsidRPr="0060416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60416A" w:rsidRPr="0060416A">
        <w:rPr>
          <w:rFonts w:ascii="Times New Roman" w:hAnsi="Times New Roman"/>
          <w:bCs/>
          <w:sz w:val="24"/>
          <w:szCs w:val="24"/>
          <w:lang w:val="lv-LV"/>
        </w:rPr>
        <w:t>Services</w:t>
      </w:r>
      <w:proofErr w:type="spellEnd"/>
      <w:r w:rsidR="0060416A" w:rsidRPr="0060416A">
        <w:rPr>
          <w:rFonts w:ascii="Times New Roman" w:hAnsi="Times New Roman"/>
          <w:bCs/>
          <w:sz w:val="24"/>
          <w:szCs w:val="24"/>
          <w:lang w:val="lv-LV"/>
        </w:rPr>
        <w:t xml:space="preserve"> LCC</w:t>
      </w:r>
      <w:r w:rsidR="00D42EE5" w:rsidRPr="00876665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D42EE5" w:rsidRPr="00876665">
        <w:rPr>
          <w:rFonts w:ascii="Times New Roman" w:hAnsi="Times New Roman"/>
          <w:bCs/>
          <w:sz w:val="24"/>
          <w:szCs w:val="24"/>
          <w:lang w:val="lv-LV"/>
        </w:rPr>
        <w:t>Moody’s</w:t>
      </w:r>
      <w:proofErr w:type="spellEnd"/>
      <w:r w:rsidR="00D42EE5"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D42EE5" w:rsidRPr="00876665">
        <w:rPr>
          <w:rFonts w:ascii="Times New Roman" w:hAnsi="Times New Roman"/>
          <w:bCs/>
          <w:sz w:val="24"/>
          <w:szCs w:val="24"/>
          <w:lang w:val="lv-LV"/>
        </w:rPr>
        <w:t>Analytics</w:t>
      </w:r>
      <w:proofErr w:type="spellEnd"/>
      <w:r w:rsidR="00D42EE5" w:rsidRPr="00876665">
        <w:rPr>
          <w:rFonts w:ascii="Times New Roman" w:hAnsi="Times New Roman"/>
          <w:bCs/>
          <w:sz w:val="24"/>
          <w:szCs w:val="24"/>
          <w:lang w:val="lv-LV"/>
        </w:rPr>
        <w:t xml:space="preserve"> UK </w:t>
      </w:r>
      <w:proofErr w:type="spellStart"/>
      <w:r w:rsidR="00D42EE5" w:rsidRPr="00876665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D42EE5" w:rsidRPr="00876665">
        <w:rPr>
          <w:rFonts w:ascii="Times New Roman" w:hAnsi="Times New Roman"/>
          <w:bCs/>
          <w:sz w:val="24"/>
          <w:szCs w:val="24"/>
          <w:lang w:val="lv-LV"/>
        </w:rPr>
        <w:t xml:space="preserve">. un </w:t>
      </w:r>
      <w:proofErr w:type="spellStart"/>
      <w:r w:rsidR="00D42EE5" w:rsidRPr="00876665">
        <w:rPr>
          <w:rFonts w:ascii="Times New Roman" w:hAnsi="Times New Roman"/>
          <w:bCs/>
          <w:sz w:val="24"/>
          <w:szCs w:val="24"/>
          <w:lang w:val="lv-LV"/>
        </w:rPr>
        <w:t>Fitch</w:t>
      </w:r>
      <w:proofErr w:type="spellEnd"/>
      <w:r w:rsidR="00D42EE5"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D42EE5" w:rsidRPr="00876665">
        <w:rPr>
          <w:rFonts w:ascii="Times New Roman" w:hAnsi="Times New Roman"/>
          <w:bCs/>
          <w:sz w:val="24"/>
          <w:szCs w:val="24"/>
          <w:lang w:val="lv-LV"/>
        </w:rPr>
        <w:t>Solutions</w:t>
      </w:r>
      <w:proofErr w:type="spellEnd"/>
      <w:r w:rsidR="00D42EE5"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D42EE5" w:rsidRPr="00876665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D42EE5" w:rsidRPr="00876665">
        <w:rPr>
          <w:rFonts w:ascii="Times New Roman" w:hAnsi="Times New Roman"/>
          <w:bCs/>
          <w:sz w:val="24"/>
          <w:szCs w:val="24"/>
          <w:lang w:val="lv-LV"/>
        </w:rPr>
        <w:t xml:space="preserve">. - </w:t>
      </w:r>
      <w:r w:rsidRPr="00876665">
        <w:rPr>
          <w:rFonts w:ascii="Times New Roman" w:hAnsi="Times New Roman"/>
          <w:sz w:val="24"/>
          <w:szCs w:val="24"/>
          <w:lang w:val="lv-LV"/>
        </w:rPr>
        <w:t>piedāvājumu cenu atbilstības sākotnēji novērtētajai paredzamajai līgumcenai izvērtēšana.</w:t>
      </w:r>
    </w:p>
    <w:p w:rsidR="006B4B67" w:rsidRDefault="00ED61D1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76665" w:rsidDel="0060416A">
        <w:rPr>
          <w:rFonts w:ascii="Times New Roman" w:hAnsi="Times New Roman"/>
          <w:sz w:val="24"/>
          <w:szCs w:val="24"/>
          <w:lang w:val="lv-LV"/>
        </w:rPr>
        <w:t xml:space="preserve">Pretendentu - </w:t>
      </w:r>
      <w:r w:rsidR="00A5776B" w:rsidRPr="0060416A">
        <w:rPr>
          <w:rFonts w:ascii="Times New Roman" w:hAnsi="Times New Roman"/>
          <w:bCs/>
          <w:sz w:val="24"/>
          <w:szCs w:val="24"/>
          <w:lang w:val="lv-LV"/>
        </w:rPr>
        <w:t xml:space="preserve">Standard &amp; </w:t>
      </w:r>
      <w:proofErr w:type="spellStart"/>
      <w:r w:rsidR="00A5776B" w:rsidRPr="0060416A">
        <w:rPr>
          <w:rFonts w:ascii="Times New Roman" w:hAnsi="Times New Roman"/>
          <w:bCs/>
          <w:sz w:val="24"/>
          <w:szCs w:val="24"/>
          <w:lang w:val="lv-LV"/>
        </w:rPr>
        <w:t>Poor’s</w:t>
      </w:r>
      <w:proofErr w:type="spellEnd"/>
      <w:r w:rsidR="00A5776B" w:rsidRPr="0060416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A5776B" w:rsidRPr="0060416A">
        <w:rPr>
          <w:rFonts w:ascii="Times New Roman" w:hAnsi="Times New Roman"/>
          <w:bCs/>
          <w:sz w:val="24"/>
          <w:szCs w:val="24"/>
          <w:lang w:val="lv-LV"/>
        </w:rPr>
        <w:t>Financial</w:t>
      </w:r>
      <w:proofErr w:type="spellEnd"/>
      <w:r w:rsidR="00A5776B" w:rsidRPr="0060416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A5776B" w:rsidRPr="0060416A">
        <w:rPr>
          <w:rFonts w:ascii="Times New Roman" w:hAnsi="Times New Roman"/>
          <w:bCs/>
          <w:sz w:val="24"/>
          <w:szCs w:val="24"/>
          <w:lang w:val="lv-LV"/>
        </w:rPr>
        <w:t>Services</w:t>
      </w:r>
      <w:proofErr w:type="spellEnd"/>
      <w:r w:rsidR="00A5776B" w:rsidRPr="0060416A">
        <w:rPr>
          <w:rFonts w:ascii="Times New Roman" w:hAnsi="Times New Roman"/>
          <w:bCs/>
          <w:sz w:val="24"/>
          <w:szCs w:val="24"/>
          <w:lang w:val="lv-LV"/>
        </w:rPr>
        <w:t xml:space="preserve"> LCC</w:t>
      </w:r>
      <w:r w:rsidR="006B1AC5" w:rsidRPr="00876665" w:rsidDel="0060416A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6B1AC5" w:rsidRPr="00876665" w:rsidDel="0060416A">
        <w:rPr>
          <w:rFonts w:ascii="Times New Roman" w:hAnsi="Times New Roman"/>
          <w:bCs/>
          <w:sz w:val="24"/>
          <w:szCs w:val="24"/>
          <w:lang w:val="lv-LV"/>
        </w:rPr>
        <w:t>Moody’s</w:t>
      </w:r>
      <w:proofErr w:type="spellEnd"/>
      <w:r w:rsidR="006B1AC5" w:rsidRPr="00876665" w:rsidDel="0060416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6B1AC5" w:rsidRPr="00876665" w:rsidDel="0060416A">
        <w:rPr>
          <w:rFonts w:ascii="Times New Roman" w:hAnsi="Times New Roman"/>
          <w:bCs/>
          <w:sz w:val="24"/>
          <w:szCs w:val="24"/>
          <w:lang w:val="lv-LV"/>
        </w:rPr>
        <w:t>Analytics</w:t>
      </w:r>
      <w:proofErr w:type="spellEnd"/>
      <w:r w:rsidR="006B1AC5" w:rsidRPr="00876665" w:rsidDel="0060416A">
        <w:rPr>
          <w:rFonts w:ascii="Times New Roman" w:hAnsi="Times New Roman"/>
          <w:bCs/>
          <w:sz w:val="24"/>
          <w:szCs w:val="24"/>
          <w:lang w:val="lv-LV"/>
        </w:rPr>
        <w:t xml:space="preserve"> UK </w:t>
      </w:r>
      <w:proofErr w:type="spellStart"/>
      <w:r w:rsidR="006B1AC5" w:rsidRPr="00876665" w:rsidDel="0060416A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6B1AC5" w:rsidRPr="00876665" w:rsidDel="0060416A">
        <w:rPr>
          <w:rFonts w:ascii="Times New Roman" w:hAnsi="Times New Roman"/>
          <w:bCs/>
          <w:sz w:val="24"/>
          <w:szCs w:val="24"/>
          <w:lang w:val="lv-LV"/>
        </w:rPr>
        <w:t xml:space="preserve">. un </w:t>
      </w:r>
      <w:proofErr w:type="spellStart"/>
      <w:r w:rsidR="006B1AC5" w:rsidRPr="00876665" w:rsidDel="0060416A">
        <w:rPr>
          <w:rFonts w:ascii="Times New Roman" w:hAnsi="Times New Roman"/>
          <w:bCs/>
          <w:sz w:val="24"/>
          <w:szCs w:val="24"/>
          <w:lang w:val="lv-LV"/>
        </w:rPr>
        <w:t>Fitch</w:t>
      </w:r>
      <w:proofErr w:type="spellEnd"/>
      <w:r w:rsidR="006B1AC5" w:rsidRPr="00876665" w:rsidDel="0060416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6B1AC5" w:rsidRPr="00876665" w:rsidDel="0060416A">
        <w:rPr>
          <w:rFonts w:ascii="Times New Roman" w:hAnsi="Times New Roman"/>
          <w:bCs/>
          <w:sz w:val="24"/>
          <w:szCs w:val="24"/>
          <w:lang w:val="lv-LV"/>
        </w:rPr>
        <w:t>Solutions</w:t>
      </w:r>
      <w:proofErr w:type="spellEnd"/>
      <w:r w:rsidR="006B1AC5" w:rsidRPr="00876665" w:rsidDel="0060416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6B1AC5" w:rsidRPr="00876665" w:rsidDel="0060416A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6B1AC5" w:rsidRPr="00876665" w:rsidDel="0060416A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Pr="00876665" w:rsidDel="0060416A">
        <w:rPr>
          <w:rFonts w:ascii="Times New Roman" w:hAnsi="Times New Roman"/>
          <w:sz w:val="24"/>
          <w:szCs w:val="24"/>
          <w:lang w:val="lv-LV"/>
        </w:rPr>
        <w:t>- piedāvājumu atbilstības pārbaude iepirkuma procedūras uzaicinājumā norādītajām pretendentu at</w:t>
      </w:r>
      <w:r w:rsidR="008B4C44" w:rsidRPr="00876665" w:rsidDel="0060416A">
        <w:rPr>
          <w:rFonts w:ascii="Times New Roman" w:hAnsi="Times New Roman"/>
          <w:sz w:val="24"/>
          <w:szCs w:val="24"/>
          <w:lang w:val="lv-LV"/>
        </w:rPr>
        <w:t>lases prasībām (uzaicinājuma 8</w:t>
      </w:r>
      <w:r w:rsidRPr="00876665" w:rsidDel="0060416A">
        <w:rPr>
          <w:rFonts w:ascii="Times New Roman" w:hAnsi="Times New Roman"/>
          <w:sz w:val="24"/>
          <w:szCs w:val="24"/>
          <w:lang w:val="lv-LV"/>
        </w:rPr>
        <w:t>. </w:t>
      </w:r>
      <w:r w:rsidR="008B4C44" w:rsidRPr="00876665" w:rsidDel="0060416A">
        <w:rPr>
          <w:rFonts w:ascii="Times New Roman" w:hAnsi="Times New Roman"/>
          <w:sz w:val="24"/>
          <w:szCs w:val="24"/>
          <w:lang w:val="lv-LV"/>
        </w:rPr>
        <w:t>p</w:t>
      </w:r>
      <w:r w:rsidRPr="00876665" w:rsidDel="0060416A">
        <w:rPr>
          <w:rFonts w:ascii="Times New Roman" w:hAnsi="Times New Roman"/>
          <w:sz w:val="24"/>
          <w:szCs w:val="24"/>
          <w:lang w:val="lv-LV"/>
        </w:rPr>
        <w:t>unkts</w:t>
      </w:r>
      <w:r w:rsidR="008B4C44" w:rsidRPr="00876665" w:rsidDel="0060416A">
        <w:rPr>
          <w:rFonts w:ascii="Times New Roman" w:hAnsi="Times New Roman"/>
          <w:sz w:val="24"/>
          <w:szCs w:val="24"/>
          <w:lang w:val="lv-LV"/>
        </w:rPr>
        <w:t xml:space="preserve"> „</w:t>
      </w:r>
      <w:r w:rsidR="008B4C44" w:rsidRPr="00876665" w:rsidDel="0060416A">
        <w:rPr>
          <w:rFonts w:ascii="Times New Roman" w:hAnsi="Times New Roman"/>
          <w:bCs/>
          <w:sz w:val="24"/>
          <w:szCs w:val="24"/>
          <w:lang w:val="lv-LV"/>
        </w:rPr>
        <w:t>Prasības</w:t>
      </w:r>
      <w:r w:rsidR="008B4C44" w:rsidRPr="00876665" w:rsidDel="0060416A">
        <w:rPr>
          <w:rFonts w:ascii="Times New Roman" w:hAnsi="Times New Roman"/>
          <w:sz w:val="24"/>
          <w:szCs w:val="24"/>
          <w:lang w:val="lv-LV"/>
        </w:rPr>
        <w:t xml:space="preserve"> pretendentiem, iesniedzamie pretendentu atlases dokumenti un pārbaudāmās ziņas”</w:t>
      </w:r>
      <w:r w:rsidR="008F0BF6" w:rsidDel="0060416A">
        <w:rPr>
          <w:rFonts w:ascii="Times New Roman" w:hAnsi="Times New Roman"/>
          <w:sz w:val="24"/>
          <w:szCs w:val="24"/>
          <w:lang w:val="lv-LV"/>
        </w:rPr>
        <w:t>):</w:t>
      </w:r>
    </w:p>
    <w:p w:rsidR="00A15B60" w:rsidDel="0060416A" w:rsidRDefault="00A15B60" w:rsidP="00A15B60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Pretendents </w:t>
      </w:r>
      <w:proofErr w:type="spellStart"/>
      <w:r w:rsidRPr="00A15B60">
        <w:rPr>
          <w:rFonts w:ascii="Times New Roman" w:hAnsi="Times New Roman"/>
          <w:bCs/>
          <w:sz w:val="24"/>
          <w:szCs w:val="24"/>
          <w:lang w:val="lv-LV"/>
        </w:rPr>
        <w:t>Moody’s</w:t>
      </w:r>
      <w:proofErr w:type="spellEnd"/>
      <w:r w:rsidRPr="00A15B60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A15B60">
        <w:rPr>
          <w:rFonts w:ascii="Times New Roman" w:hAnsi="Times New Roman"/>
          <w:bCs/>
          <w:sz w:val="24"/>
          <w:szCs w:val="24"/>
          <w:lang w:val="lv-LV"/>
        </w:rPr>
        <w:t>Analytics</w:t>
      </w:r>
      <w:proofErr w:type="spellEnd"/>
      <w:r w:rsidRPr="00A15B60">
        <w:rPr>
          <w:rFonts w:ascii="Times New Roman" w:hAnsi="Times New Roman"/>
          <w:bCs/>
          <w:sz w:val="24"/>
          <w:szCs w:val="24"/>
          <w:lang w:val="lv-LV"/>
        </w:rPr>
        <w:t xml:space="preserve"> UK </w:t>
      </w:r>
      <w:proofErr w:type="spellStart"/>
      <w:r w:rsidRPr="00A15B60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Pr="00A15B60">
        <w:rPr>
          <w:rFonts w:ascii="Times New Roman" w:hAnsi="Times New Roman"/>
          <w:bCs/>
          <w:sz w:val="24"/>
          <w:szCs w:val="24"/>
          <w:lang w:val="lv-LV"/>
        </w:rPr>
        <w:t>.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piedāvājumā nav </w:t>
      </w:r>
      <w:r w:rsidRPr="00850235">
        <w:rPr>
          <w:rFonts w:ascii="Times New Roman" w:hAnsi="Times New Roman"/>
          <w:bCs/>
          <w:sz w:val="24"/>
          <w:szCs w:val="24"/>
          <w:lang w:val="lv-LV"/>
        </w:rPr>
        <w:t>iesniedz</w:t>
      </w:r>
      <w:r>
        <w:rPr>
          <w:rFonts w:ascii="Times New Roman" w:hAnsi="Times New Roman"/>
          <w:bCs/>
          <w:sz w:val="24"/>
          <w:szCs w:val="24"/>
          <w:lang w:val="lv-LV"/>
        </w:rPr>
        <w:t>is</w:t>
      </w:r>
      <w:r w:rsidRPr="0085023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apliecinājumu, ka, </w:t>
      </w:r>
      <w:r w:rsidRPr="00DD7EAA">
        <w:rPr>
          <w:rFonts w:ascii="Times New Roman" w:hAnsi="Times New Roman"/>
          <w:bCs/>
          <w:sz w:val="24"/>
          <w:szCs w:val="24"/>
          <w:lang w:val="lv-LV"/>
        </w:rPr>
        <w:t>parakstot iepirkuma līgumu, piegādātājs piekrīt iepirkuma līguma publicēšanai pasūtītāja mājaslapā saskaņā ar Publisko iepirkumu likuma 8.</w:t>
      </w:r>
      <w:r w:rsidRPr="006924A0">
        <w:rPr>
          <w:rFonts w:ascii="Times New Roman" w:hAnsi="Times New Roman"/>
          <w:bCs/>
          <w:sz w:val="24"/>
          <w:szCs w:val="24"/>
          <w:vertAlign w:val="superscript"/>
          <w:lang w:val="lv-LV"/>
        </w:rPr>
        <w:t>2</w:t>
      </w:r>
      <w:r w:rsidRPr="00DD7EAA">
        <w:rPr>
          <w:rFonts w:ascii="Times New Roman" w:hAnsi="Times New Roman"/>
          <w:bCs/>
          <w:sz w:val="24"/>
          <w:szCs w:val="24"/>
          <w:lang w:val="lv-LV"/>
        </w:rPr>
        <w:t xml:space="preserve"> panta trīspadsmito daļu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r w:rsidRPr="008C2552">
        <w:rPr>
          <w:rFonts w:ascii="Times New Roman" w:hAnsi="Times New Roman"/>
          <w:bCs/>
          <w:sz w:val="24"/>
          <w:szCs w:val="24"/>
          <w:lang w:val="lv-LV"/>
        </w:rPr>
        <w:t>atbilstoši normatīvajos aktos noteiktajai kārtībai ievērojot komercnoslēpuma aizsardzības prasības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ED61D1" w:rsidRPr="00876665" w:rsidRDefault="00ED61D1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76665">
        <w:rPr>
          <w:rFonts w:ascii="Times New Roman" w:hAnsi="Times New Roman"/>
          <w:sz w:val="24"/>
          <w:szCs w:val="24"/>
          <w:lang w:val="lv-LV"/>
        </w:rPr>
        <w:t xml:space="preserve">Pretendentu - </w:t>
      </w:r>
      <w:r w:rsidR="00A5776B" w:rsidRPr="0060416A">
        <w:rPr>
          <w:rFonts w:ascii="Times New Roman" w:hAnsi="Times New Roman"/>
          <w:bCs/>
          <w:sz w:val="24"/>
          <w:szCs w:val="24"/>
          <w:lang w:val="lv-LV"/>
        </w:rPr>
        <w:t xml:space="preserve">Standard &amp; </w:t>
      </w:r>
      <w:proofErr w:type="spellStart"/>
      <w:r w:rsidR="00A5776B" w:rsidRPr="0060416A">
        <w:rPr>
          <w:rFonts w:ascii="Times New Roman" w:hAnsi="Times New Roman"/>
          <w:bCs/>
          <w:sz w:val="24"/>
          <w:szCs w:val="24"/>
          <w:lang w:val="lv-LV"/>
        </w:rPr>
        <w:t>Poor’s</w:t>
      </w:r>
      <w:proofErr w:type="spellEnd"/>
      <w:r w:rsidR="00A5776B" w:rsidRPr="0060416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A5776B" w:rsidRPr="0060416A">
        <w:rPr>
          <w:rFonts w:ascii="Times New Roman" w:hAnsi="Times New Roman"/>
          <w:bCs/>
          <w:sz w:val="24"/>
          <w:szCs w:val="24"/>
          <w:lang w:val="lv-LV"/>
        </w:rPr>
        <w:t>Financial</w:t>
      </w:r>
      <w:proofErr w:type="spellEnd"/>
      <w:r w:rsidR="00A5776B" w:rsidRPr="0060416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A5776B" w:rsidRPr="0060416A">
        <w:rPr>
          <w:rFonts w:ascii="Times New Roman" w:hAnsi="Times New Roman"/>
          <w:bCs/>
          <w:sz w:val="24"/>
          <w:szCs w:val="24"/>
          <w:lang w:val="lv-LV"/>
        </w:rPr>
        <w:t>Services</w:t>
      </w:r>
      <w:proofErr w:type="spellEnd"/>
      <w:r w:rsidR="00A5776B" w:rsidRPr="0060416A">
        <w:rPr>
          <w:rFonts w:ascii="Times New Roman" w:hAnsi="Times New Roman"/>
          <w:bCs/>
          <w:sz w:val="24"/>
          <w:szCs w:val="24"/>
          <w:lang w:val="lv-LV"/>
        </w:rPr>
        <w:t xml:space="preserve"> LCC</w:t>
      </w:r>
      <w:r w:rsidR="006B1AC5" w:rsidRPr="00876665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6B1AC5" w:rsidRPr="00876665">
        <w:rPr>
          <w:rFonts w:ascii="Times New Roman" w:hAnsi="Times New Roman"/>
          <w:bCs/>
          <w:sz w:val="24"/>
          <w:szCs w:val="24"/>
          <w:lang w:val="lv-LV"/>
        </w:rPr>
        <w:t>Moody’s</w:t>
      </w:r>
      <w:proofErr w:type="spellEnd"/>
      <w:r w:rsidR="006B1AC5"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6B1AC5" w:rsidRPr="00876665">
        <w:rPr>
          <w:rFonts w:ascii="Times New Roman" w:hAnsi="Times New Roman"/>
          <w:bCs/>
          <w:sz w:val="24"/>
          <w:szCs w:val="24"/>
          <w:lang w:val="lv-LV"/>
        </w:rPr>
        <w:t>Analytics</w:t>
      </w:r>
      <w:proofErr w:type="spellEnd"/>
      <w:r w:rsidR="006B1AC5" w:rsidRPr="00876665">
        <w:rPr>
          <w:rFonts w:ascii="Times New Roman" w:hAnsi="Times New Roman"/>
          <w:bCs/>
          <w:sz w:val="24"/>
          <w:szCs w:val="24"/>
          <w:lang w:val="lv-LV"/>
        </w:rPr>
        <w:t xml:space="preserve"> UK </w:t>
      </w:r>
      <w:proofErr w:type="spellStart"/>
      <w:r w:rsidR="006B1AC5" w:rsidRPr="00876665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6B1AC5" w:rsidRPr="00876665">
        <w:rPr>
          <w:rFonts w:ascii="Times New Roman" w:hAnsi="Times New Roman"/>
          <w:bCs/>
          <w:sz w:val="24"/>
          <w:szCs w:val="24"/>
          <w:lang w:val="lv-LV"/>
        </w:rPr>
        <w:t xml:space="preserve">. un </w:t>
      </w:r>
      <w:proofErr w:type="spellStart"/>
      <w:r w:rsidR="006B1AC5" w:rsidRPr="00876665">
        <w:rPr>
          <w:rFonts w:ascii="Times New Roman" w:hAnsi="Times New Roman"/>
          <w:bCs/>
          <w:sz w:val="24"/>
          <w:szCs w:val="24"/>
          <w:lang w:val="lv-LV"/>
        </w:rPr>
        <w:t>Fitch</w:t>
      </w:r>
      <w:proofErr w:type="spellEnd"/>
      <w:r w:rsidR="006B1AC5"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6B1AC5" w:rsidRPr="00876665">
        <w:rPr>
          <w:rFonts w:ascii="Times New Roman" w:hAnsi="Times New Roman"/>
          <w:bCs/>
          <w:sz w:val="24"/>
          <w:szCs w:val="24"/>
          <w:lang w:val="lv-LV"/>
        </w:rPr>
        <w:t>Solutions</w:t>
      </w:r>
      <w:proofErr w:type="spellEnd"/>
      <w:r w:rsidR="006B1AC5"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6B1AC5" w:rsidRPr="00876665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6B1AC5" w:rsidRPr="00876665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Pr="00876665">
        <w:rPr>
          <w:rFonts w:ascii="Times New Roman" w:hAnsi="Times New Roman"/>
          <w:sz w:val="24"/>
          <w:szCs w:val="24"/>
          <w:lang w:val="lv-LV"/>
        </w:rPr>
        <w:t>- piedāvājumu atbilstības pārbaude iepirkuma procedūras uzaicinājumā norādītajām tehniskās specifikācijas prasībām (uzaicinājuma 9. punkts “Tehniskā sp</w:t>
      </w:r>
      <w:r w:rsidR="00527353" w:rsidRPr="00876665">
        <w:rPr>
          <w:rFonts w:ascii="Times New Roman" w:hAnsi="Times New Roman"/>
          <w:sz w:val="24"/>
          <w:szCs w:val="24"/>
          <w:lang w:val="lv-LV"/>
        </w:rPr>
        <w:t>ecifikācija” un uzaicinājuma 1. </w:t>
      </w:r>
      <w:r w:rsidRPr="00876665">
        <w:rPr>
          <w:rFonts w:ascii="Times New Roman" w:hAnsi="Times New Roman"/>
          <w:sz w:val="24"/>
          <w:szCs w:val="24"/>
          <w:lang w:val="lv-LV"/>
        </w:rPr>
        <w:t>pielikums “Tehniskā specifikācija”).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Pr="00876665" w:rsidRDefault="007E619C" w:rsidP="00C229A3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876665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FD4CB7" w:rsidRPr="0060416A">
        <w:rPr>
          <w:rFonts w:ascii="Times New Roman" w:hAnsi="Times New Roman"/>
          <w:bCs/>
          <w:sz w:val="24"/>
          <w:szCs w:val="24"/>
          <w:lang w:val="lv-LV"/>
        </w:rPr>
        <w:t xml:space="preserve">Standard &amp; </w:t>
      </w:r>
      <w:proofErr w:type="spellStart"/>
      <w:r w:rsidR="00FD4CB7" w:rsidRPr="0060416A">
        <w:rPr>
          <w:rFonts w:ascii="Times New Roman" w:hAnsi="Times New Roman"/>
          <w:bCs/>
          <w:sz w:val="24"/>
          <w:szCs w:val="24"/>
          <w:lang w:val="lv-LV"/>
        </w:rPr>
        <w:t>Poor’s</w:t>
      </w:r>
      <w:proofErr w:type="spellEnd"/>
      <w:r w:rsidR="00FD4CB7" w:rsidRPr="0060416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FD4CB7" w:rsidRPr="0060416A">
        <w:rPr>
          <w:rFonts w:ascii="Times New Roman" w:hAnsi="Times New Roman"/>
          <w:bCs/>
          <w:sz w:val="24"/>
          <w:szCs w:val="24"/>
          <w:lang w:val="lv-LV"/>
        </w:rPr>
        <w:t>Financial</w:t>
      </w:r>
      <w:proofErr w:type="spellEnd"/>
      <w:r w:rsidR="00FD4CB7" w:rsidRPr="0060416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FD4CB7" w:rsidRPr="0060416A">
        <w:rPr>
          <w:rFonts w:ascii="Times New Roman" w:hAnsi="Times New Roman"/>
          <w:bCs/>
          <w:sz w:val="24"/>
          <w:szCs w:val="24"/>
          <w:lang w:val="lv-LV"/>
        </w:rPr>
        <w:t>Services</w:t>
      </w:r>
      <w:proofErr w:type="spellEnd"/>
      <w:r w:rsidR="00FD4CB7" w:rsidRPr="0060416A">
        <w:rPr>
          <w:rFonts w:ascii="Times New Roman" w:hAnsi="Times New Roman"/>
          <w:bCs/>
          <w:sz w:val="24"/>
          <w:szCs w:val="24"/>
          <w:lang w:val="lv-LV"/>
        </w:rPr>
        <w:t xml:space="preserve"> LCC</w:t>
      </w:r>
      <w:r w:rsidR="00C229A3" w:rsidRPr="00876665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76665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5E6764" w:rsidRPr="00876665">
        <w:rPr>
          <w:rFonts w:ascii="Times New Roman" w:hAnsi="Times New Roman"/>
          <w:sz w:val="24"/>
          <w:szCs w:val="24"/>
          <w:lang w:val="lv-LV"/>
        </w:rPr>
        <w:t xml:space="preserve">25 859,62 EUR </w:t>
      </w:r>
      <w:r w:rsidR="006924A0">
        <w:rPr>
          <w:rFonts w:ascii="Times New Roman" w:hAnsi="Times New Roman"/>
          <w:bCs/>
          <w:sz w:val="24"/>
          <w:szCs w:val="24"/>
          <w:lang w:val="lv-LV"/>
        </w:rPr>
        <w:t>bez PVN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(27 300,00 USD bez PVN) </w:t>
      </w:r>
      <w:r w:rsidR="005E6764" w:rsidRPr="00876665">
        <w:rPr>
          <w:rFonts w:ascii="Times New Roman" w:hAnsi="Times New Roman"/>
          <w:sz w:val="24"/>
          <w:szCs w:val="24"/>
          <w:lang w:val="lv-LV"/>
        </w:rPr>
        <w:t>pārsniedz sākotnēji novērtēto paredzamo līgumcenu</w:t>
      </w:r>
      <w:r w:rsidR="00C229A3" w:rsidRPr="00876665">
        <w:rPr>
          <w:rFonts w:ascii="Times New Roman" w:hAnsi="Times New Roman"/>
          <w:sz w:val="24"/>
          <w:szCs w:val="24"/>
          <w:lang w:val="lv-LV"/>
        </w:rPr>
        <w:t xml:space="preserve"> 22 908</w:t>
      </w:r>
      <w:r w:rsidRPr="00876665">
        <w:rPr>
          <w:rFonts w:ascii="Times New Roman" w:hAnsi="Times New Roman"/>
          <w:sz w:val="24"/>
          <w:szCs w:val="24"/>
          <w:lang w:val="lv-LV"/>
        </w:rPr>
        <w:t xml:space="preserve">,00 EUR </w:t>
      </w:r>
      <w:r w:rsidR="006924A0">
        <w:rPr>
          <w:rFonts w:ascii="Times New Roman" w:hAnsi="Times New Roman"/>
          <w:bCs/>
          <w:sz w:val="24"/>
          <w:szCs w:val="24"/>
          <w:lang w:val="lv-LV"/>
        </w:rPr>
        <w:t>bez PVN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340907" w:rsidRPr="00876665" w:rsidRDefault="00340907" w:rsidP="00340907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876665">
        <w:rPr>
          <w:rFonts w:ascii="Times New Roman" w:hAnsi="Times New Roman"/>
          <w:sz w:val="24"/>
          <w:szCs w:val="24"/>
          <w:lang w:val="lv-LV"/>
        </w:rPr>
        <w:t xml:space="preserve">Pretendenta </w:t>
      </w:r>
      <w:proofErr w:type="spellStart"/>
      <w:r w:rsidRPr="00876665">
        <w:rPr>
          <w:rFonts w:ascii="Times New Roman" w:hAnsi="Times New Roman"/>
          <w:sz w:val="24"/>
          <w:szCs w:val="24"/>
          <w:lang w:val="lv-LV"/>
        </w:rPr>
        <w:t>Moody’s</w:t>
      </w:r>
      <w:proofErr w:type="spellEnd"/>
      <w:r w:rsidRPr="00876665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876665">
        <w:rPr>
          <w:rFonts w:ascii="Times New Roman" w:hAnsi="Times New Roman"/>
          <w:sz w:val="24"/>
          <w:szCs w:val="24"/>
          <w:lang w:val="lv-LV"/>
        </w:rPr>
        <w:t>Analytics</w:t>
      </w:r>
      <w:proofErr w:type="spellEnd"/>
      <w:r w:rsidRPr="00876665">
        <w:rPr>
          <w:rFonts w:ascii="Times New Roman" w:hAnsi="Times New Roman"/>
          <w:sz w:val="24"/>
          <w:szCs w:val="24"/>
          <w:lang w:val="lv-LV"/>
        </w:rPr>
        <w:t xml:space="preserve"> UK </w:t>
      </w:r>
      <w:proofErr w:type="spellStart"/>
      <w:r w:rsidRPr="00876665">
        <w:rPr>
          <w:rFonts w:ascii="Times New Roman" w:hAnsi="Times New Roman"/>
          <w:sz w:val="24"/>
          <w:szCs w:val="24"/>
          <w:lang w:val="lv-LV"/>
        </w:rPr>
        <w:t>Ltd</w:t>
      </w:r>
      <w:proofErr w:type="spellEnd"/>
      <w:r w:rsidRPr="00876665">
        <w:rPr>
          <w:rFonts w:ascii="Times New Roman" w:hAnsi="Times New Roman"/>
          <w:sz w:val="24"/>
          <w:szCs w:val="24"/>
          <w:lang w:val="lv-LV"/>
        </w:rPr>
        <w:t xml:space="preserve">. piedāvājuma cena 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 xml:space="preserve">17 000,00 EUR </w:t>
      </w:r>
      <w:r w:rsidR="006924A0">
        <w:rPr>
          <w:rFonts w:ascii="Times New Roman" w:hAnsi="Times New Roman"/>
          <w:bCs/>
          <w:sz w:val="24"/>
          <w:szCs w:val="24"/>
          <w:lang w:val="lv-LV"/>
        </w:rPr>
        <w:t>bez PVN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876665">
        <w:rPr>
          <w:rFonts w:ascii="Times New Roman" w:hAnsi="Times New Roman"/>
          <w:sz w:val="24"/>
          <w:szCs w:val="24"/>
          <w:lang w:val="lv-LV"/>
        </w:rPr>
        <w:t xml:space="preserve">atbilst sākotnēji novērtētajai paredzamajai līgumcenai 22 908,00 EUR </w:t>
      </w:r>
      <w:r w:rsidR="006924A0">
        <w:rPr>
          <w:rFonts w:ascii="Times New Roman" w:hAnsi="Times New Roman"/>
          <w:bCs/>
          <w:sz w:val="24"/>
          <w:szCs w:val="24"/>
          <w:lang w:val="lv-LV"/>
        </w:rPr>
        <w:t>bez PVN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8E3580" w:rsidRPr="00876665" w:rsidRDefault="008E3580" w:rsidP="00340907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876665">
        <w:rPr>
          <w:rFonts w:ascii="Times New Roman" w:hAnsi="Times New Roman"/>
          <w:sz w:val="24"/>
          <w:szCs w:val="24"/>
          <w:lang w:val="lv-LV"/>
        </w:rPr>
        <w:t xml:space="preserve">Pretendenta </w:t>
      </w:r>
      <w:proofErr w:type="spellStart"/>
      <w:r w:rsidRPr="00876665">
        <w:rPr>
          <w:rFonts w:ascii="Times New Roman" w:hAnsi="Times New Roman"/>
          <w:bCs/>
          <w:sz w:val="24"/>
          <w:szCs w:val="24"/>
          <w:lang w:val="lv-LV"/>
        </w:rPr>
        <w:t>Fitch</w:t>
      </w:r>
      <w:proofErr w:type="spellEnd"/>
      <w:r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876665">
        <w:rPr>
          <w:rFonts w:ascii="Times New Roman" w:hAnsi="Times New Roman"/>
          <w:bCs/>
          <w:sz w:val="24"/>
          <w:szCs w:val="24"/>
          <w:lang w:val="lv-LV"/>
        </w:rPr>
        <w:t>Solutions</w:t>
      </w:r>
      <w:proofErr w:type="spellEnd"/>
      <w:r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876665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Pr="00876665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Pr="00876665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6924A0">
        <w:rPr>
          <w:rFonts w:ascii="Times New Roman" w:hAnsi="Times New Roman"/>
          <w:bCs/>
          <w:sz w:val="24"/>
          <w:szCs w:val="24"/>
          <w:lang w:val="lv-LV"/>
        </w:rPr>
        <w:t>21 600,00 EUR bez PVN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876665">
        <w:rPr>
          <w:rFonts w:ascii="Times New Roman" w:hAnsi="Times New Roman"/>
          <w:sz w:val="24"/>
          <w:szCs w:val="24"/>
          <w:lang w:val="lv-LV"/>
        </w:rPr>
        <w:t xml:space="preserve">atbilst sākotnēji novērtētajai paredzamajai līgumcenai 22 908,00 EUR </w:t>
      </w:r>
      <w:r w:rsidR="006924A0">
        <w:rPr>
          <w:rFonts w:ascii="Times New Roman" w:hAnsi="Times New Roman"/>
          <w:bCs/>
          <w:sz w:val="24"/>
          <w:szCs w:val="24"/>
          <w:lang w:val="lv-LV"/>
        </w:rPr>
        <w:t>bez PVN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ED61D1" w:rsidRPr="00876665" w:rsidRDefault="00ED61D1" w:rsidP="00340907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876665">
        <w:rPr>
          <w:rFonts w:ascii="Times New Roman" w:hAnsi="Times New Roman"/>
          <w:sz w:val="24"/>
          <w:szCs w:val="24"/>
          <w:lang w:val="lv-LV"/>
        </w:rPr>
        <w:t>Pretendentu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 xml:space="preserve"> -</w:t>
      </w:r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 S&amp;P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Capital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 IQ,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Moody’s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Analytics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 UK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. un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Fitch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Solutions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.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 xml:space="preserve"> - </w:t>
      </w:r>
      <w:r w:rsidRPr="00876665">
        <w:rPr>
          <w:rFonts w:ascii="Times New Roman" w:hAnsi="Times New Roman"/>
          <w:sz w:val="24"/>
          <w:szCs w:val="24"/>
          <w:lang w:val="lv-LV"/>
        </w:rPr>
        <w:t xml:space="preserve">piedāvājumi atbilst iepirkuma procedūras uzaicinājumā norādītajām pretendentu atlases prasībām </w:t>
      </w:r>
      <w:r w:rsidR="008B4C44" w:rsidRPr="00876665">
        <w:rPr>
          <w:rFonts w:ascii="Times New Roman" w:hAnsi="Times New Roman"/>
          <w:sz w:val="24"/>
          <w:szCs w:val="24"/>
          <w:lang w:val="lv-LV"/>
        </w:rPr>
        <w:t>(uzaicinājuma 8. punkts „</w:t>
      </w:r>
      <w:r w:rsidR="008B4C44" w:rsidRPr="00876665">
        <w:rPr>
          <w:rFonts w:ascii="Times New Roman" w:hAnsi="Times New Roman"/>
          <w:bCs/>
          <w:sz w:val="24"/>
          <w:szCs w:val="24"/>
          <w:lang w:val="lv-LV"/>
        </w:rPr>
        <w:t>Prasības</w:t>
      </w:r>
      <w:r w:rsidR="008B4C44" w:rsidRPr="00876665">
        <w:rPr>
          <w:rFonts w:ascii="Times New Roman" w:hAnsi="Times New Roman"/>
          <w:sz w:val="24"/>
          <w:szCs w:val="24"/>
          <w:lang w:val="lv-LV"/>
        </w:rPr>
        <w:t xml:space="preserve"> pretendentiem, iesniedzamie pretendentu atlases dokumenti un pārbaudāmās ziņas”).</w:t>
      </w:r>
    </w:p>
    <w:p w:rsidR="00ED61D1" w:rsidRPr="00876665" w:rsidRDefault="00ED61D1" w:rsidP="00340907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876665">
        <w:rPr>
          <w:rFonts w:ascii="Times New Roman" w:hAnsi="Times New Roman"/>
          <w:sz w:val="24"/>
          <w:szCs w:val="24"/>
          <w:lang w:val="lv-LV"/>
        </w:rPr>
        <w:t>Pretendentu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 xml:space="preserve"> - </w:t>
      </w:r>
      <w:r w:rsidR="00FD4CB7" w:rsidRPr="0060416A">
        <w:rPr>
          <w:rFonts w:ascii="Times New Roman" w:hAnsi="Times New Roman"/>
          <w:bCs/>
          <w:sz w:val="24"/>
          <w:szCs w:val="24"/>
          <w:lang w:val="lv-LV"/>
        </w:rPr>
        <w:t xml:space="preserve">Standard &amp; </w:t>
      </w:r>
      <w:proofErr w:type="spellStart"/>
      <w:r w:rsidR="00FD4CB7" w:rsidRPr="0060416A">
        <w:rPr>
          <w:rFonts w:ascii="Times New Roman" w:hAnsi="Times New Roman"/>
          <w:bCs/>
          <w:sz w:val="24"/>
          <w:szCs w:val="24"/>
          <w:lang w:val="lv-LV"/>
        </w:rPr>
        <w:t>Poor’s</w:t>
      </w:r>
      <w:proofErr w:type="spellEnd"/>
      <w:r w:rsidR="00FD4CB7" w:rsidRPr="0060416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FD4CB7" w:rsidRPr="0060416A">
        <w:rPr>
          <w:rFonts w:ascii="Times New Roman" w:hAnsi="Times New Roman"/>
          <w:bCs/>
          <w:sz w:val="24"/>
          <w:szCs w:val="24"/>
          <w:lang w:val="lv-LV"/>
        </w:rPr>
        <w:t>Financial</w:t>
      </w:r>
      <w:proofErr w:type="spellEnd"/>
      <w:r w:rsidR="00FD4CB7" w:rsidRPr="0060416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FD4CB7" w:rsidRPr="0060416A">
        <w:rPr>
          <w:rFonts w:ascii="Times New Roman" w:hAnsi="Times New Roman"/>
          <w:bCs/>
          <w:sz w:val="24"/>
          <w:szCs w:val="24"/>
          <w:lang w:val="lv-LV"/>
        </w:rPr>
        <w:t>Services</w:t>
      </w:r>
      <w:proofErr w:type="spellEnd"/>
      <w:r w:rsidR="00FD4CB7" w:rsidRPr="0060416A">
        <w:rPr>
          <w:rFonts w:ascii="Times New Roman" w:hAnsi="Times New Roman"/>
          <w:bCs/>
          <w:sz w:val="24"/>
          <w:szCs w:val="24"/>
          <w:lang w:val="lv-LV"/>
        </w:rPr>
        <w:t xml:space="preserve"> LCC</w:t>
      </w:r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Moody’s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Analytics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 UK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. un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Fitch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Solutions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. - </w:t>
      </w:r>
      <w:r w:rsidRPr="00876665">
        <w:rPr>
          <w:rFonts w:ascii="Times New Roman" w:hAnsi="Times New Roman"/>
          <w:sz w:val="24"/>
          <w:szCs w:val="24"/>
          <w:lang w:val="lv-LV"/>
        </w:rPr>
        <w:t>piedāvājumi atbilst iepirkuma procedūras uzaicinājumā norādītajām tehniskās specifikācijas prasībām (uzaicinājuma 9. punkts “Tehniskā specifikācija” un uzaicinājuma 1. pielikums “Tehniskā specifikācija”).</w:t>
      </w:r>
    </w:p>
    <w:p w:rsidR="00ED61D1" w:rsidRPr="00A15B60" w:rsidRDefault="00850235" w:rsidP="00340907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876665">
        <w:rPr>
          <w:rFonts w:ascii="Times New Roman" w:hAnsi="Times New Roman"/>
          <w:sz w:val="24"/>
          <w:szCs w:val="24"/>
          <w:lang w:val="lv-LV"/>
        </w:rPr>
        <w:t xml:space="preserve">Saskaņā ar Publisko iepirkumu likuma </w:t>
      </w:r>
      <w:r w:rsidR="007D5A69" w:rsidRPr="00876665">
        <w:rPr>
          <w:rFonts w:ascii="Times New Roman" w:hAnsi="Times New Roman"/>
          <w:sz w:val="24"/>
          <w:szCs w:val="24"/>
          <w:lang w:val="lv-LV"/>
        </w:rPr>
        <w:t>8.</w:t>
      </w:r>
      <w:r w:rsidR="007D5A69" w:rsidRPr="00876665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="007D5A69" w:rsidRPr="00876665">
        <w:rPr>
          <w:rFonts w:ascii="Times New Roman" w:hAnsi="Times New Roman"/>
          <w:sz w:val="24"/>
          <w:szCs w:val="24"/>
          <w:lang w:val="lv-LV"/>
        </w:rPr>
        <w:t> panta devīto daļu un iepirkuma procedūras uzaicinājuma 12.</w:t>
      </w:r>
      <w:r w:rsidR="00DA63CD" w:rsidRPr="00876665">
        <w:rPr>
          <w:rFonts w:ascii="Times New Roman" w:hAnsi="Times New Roman"/>
          <w:sz w:val="24"/>
          <w:szCs w:val="24"/>
          <w:lang w:val="lv-LV"/>
        </w:rPr>
        <w:t>3</w:t>
      </w:r>
      <w:r w:rsidR="007D5A69" w:rsidRPr="00876665">
        <w:rPr>
          <w:rFonts w:ascii="Times New Roman" w:hAnsi="Times New Roman"/>
          <w:sz w:val="24"/>
          <w:szCs w:val="24"/>
          <w:lang w:val="lv-LV"/>
        </w:rPr>
        <w:t xml:space="preserve">. apakšpunktu </w:t>
      </w:r>
      <w:r w:rsidRPr="00876665">
        <w:rPr>
          <w:rFonts w:ascii="Times New Roman" w:hAnsi="Times New Roman"/>
          <w:sz w:val="24"/>
          <w:szCs w:val="24"/>
          <w:lang w:val="lv-LV"/>
        </w:rPr>
        <w:t>izvēlēties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Moody’s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Analytics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 UK </w:t>
      </w:r>
      <w:proofErr w:type="spellStart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="00357E00" w:rsidRPr="00876665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>piedāvājumu, kas atbilst iepirkuma procedūras prasībām</w:t>
      </w:r>
      <w:r w:rsidR="000B06E3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 xml:space="preserve">un ir ar viszemāko cenu </w:t>
      </w:r>
      <w:r w:rsidR="00105954">
        <w:rPr>
          <w:rFonts w:ascii="Times New Roman" w:hAnsi="Times New Roman"/>
          <w:bCs/>
          <w:sz w:val="24"/>
          <w:szCs w:val="24"/>
          <w:lang w:val="lv-LV"/>
        </w:rPr>
        <w:t>(</w:t>
      </w:r>
      <w:r w:rsidR="007C1214" w:rsidRPr="00876665">
        <w:rPr>
          <w:rFonts w:ascii="Times New Roman" w:hAnsi="Times New Roman"/>
          <w:bCs/>
          <w:sz w:val="24"/>
          <w:szCs w:val="24"/>
          <w:lang w:val="lv-LV"/>
        </w:rPr>
        <w:t xml:space="preserve">17 000,00 EUR </w:t>
      </w:r>
      <w:r w:rsidR="00105954">
        <w:rPr>
          <w:rFonts w:ascii="Times New Roman" w:hAnsi="Times New Roman"/>
          <w:bCs/>
          <w:sz w:val="24"/>
          <w:szCs w:val="24"/>
          <w:lang w:val="lv-LV"/>
        </w:rPr>
        <w:t>bez PVN)</w:t>
      </w:r>
      <w:r w:rsidRPr="00876665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A15B60" w:rsidRPr="00876665" w:rsidRDefault="00A15B60" w:rsidP="00340907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850235">
        <w:rPr>
          <w:rFonts w:ascii="Times New Roman" w:hAnsi="Times New Roman"/>
          <w:sz w:val="24"/>
          <w:szCs w:val="24"/>
          <w:lang w:val="lv-LV"/>
        </w:rPr>
        <w:t>Saskaņā ar Publisko iepirkumu likuma 8.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850235">
        <w:rPr>
          <w:rFonts w:ascii="Times New Roman" w:hAnsi="Times New Roman"/>
          <w:sz w:val="24"/>
          <w:szCs w:val="24"/>
          <w:lang w:val="lv-LV"/>
        </w:rPr>
        <w:t xml:space="preserve"> panta </w:t>
      </w:r>
      <w:r>
        <w:rPr>
          <w:rFonts w:ascii="Times New Roman" w:hAnsi="Times New Roman"/>
          <w:sz w:val="24"/>
          <w:szCs w:val="24"/>
          <w:lang w:val="lv-LV"/>
        </w:rPr>
        <w:t>septītās daļas 2. punktu</w:t>
      </w:r>
      <w:r w:rsidRPr="00850235">
        <w:rPr>
          <w:rFonts w:ascii="Times New Roman" w:hAnsi="Times New Roman"/>
          <w:sz w:val="24"/>
          <w:szCs w:val="24"/>
          <w:lang w:val="lv-LV"/>
        </w:rPr>
        <w:t xml:space="preserve"> un iep</w:t>
      </w:r>
      <w:r>
        <w:rPr>
          <w:rFonts w:ascii="Times New Roman" w:hAnsi="Times New Roman"/>
          <w:sz w:val="24"/>
          <w:szCs w:val="24"/>
          <w:lang w:val="lv-LV"/>
        </w:rPr>
        <w:t>irkuma procedūras uzaicinājuma 8.2.2.2</w:t>
      </w:r>
      <w:r w:rsidRPr="00850235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2.</w:t>
      </w:r>
      <w:r w:rsidRPr="00850235">
        <w:rPr>
          <w:rFonts w:ascii="Times New Roman" w:hAnsi="Times New Roman"/>
          <w:sz w:val="24"/>
          <w:szCs w:val="24"/>
          <w:lang w:val="lv-LV"/>
        </w:rPr>
        <w:t> apakšpunktu uzdot Finanšu risku vadības departamenta vecākajam ekspertam A. </w:t>
      </w:r>
      <w:proofErr w:type="spellStart"/>
      <w:r w:rsidRPr="00850235">
        <w:rPr>
          <w:rFonts w:ascii="Times New Roman" w:hAnsi="Times New Roman"/>
          <w:sz w:val="24"/>
          <w:szCs w:val="24"/>
          <w:lang w:val="lv-LV"/>
        </w:rPr>
        <w:t>Skraucim</w:t>
      </w:r>
      <w:proofErr w:type="spellEnd"/>
      <w:r w:rsidRPr="00850235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līdz 2015. gada 18</w:t>
      </w:r>
      <w:r w:rsidRPr="00850235">
        <w:rPr>
          <w:rFonts w:ascii="Times New Roman" w:hAnsi="Times New Roman"/>
          <w:sz w:val="24"/>
          <w:szCs w:val="24"/>
          <w:lang w:val="lv-LV"/>
        </w:rPr>
        <w:t>. </w:t>
      </w:r>
      <w:r>
        <w:rPr>
          <w:rFonts w:ascii="Times New Roman" w:hAnsi="Times New Roman"/>
          <w:sz w:val="24"/>
          <w:szCs w:val="24"/>
          <w:lang w:val="lv-LV"/>
        </w:rPr>
        <w:t>martam</w:t>
      </w:r>
      <w:r w:rsidRPr="00850235">
        <w:rPr>
          <w:rFonts w:ascii="Times New Roman" w:hAnsi="Times New Roman"/>
          <w:sz w:val="24"/>
          <w:szCs w:val="24"/>
          <w:lang w:val="lv-LV"/>
        </w:rPr>
        <w:t xml:space="preserve"> sagatavot un nosūtīt vēstuli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EC7921">
        <w:rPr>
          <w:rFonts w:ascii="Times New Roman" w:hAnsi="Times New Roman"/>
          <w:bCs/>
          <w:sz w:val="24"/>
          <w:szCs w:val="24"/>
          <w:lang w:val="lv-LV"/>
        </w:rPr>
        <w:t>Moody’s</w:t>
      </w:r>
      <w:proofErr w:type="spellEnd"/>
      <w:r w:rsidRPr="00EC7921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EC7921">
        <w:rPr>
          <w:rFonts w:ascii="Times New Roman" w:hAnsi="Times New Roman"/>
          <w:bCs/>
          <w:sz w:val="24"/>
          <w:szCs w:val="24"/>
          <w:lang w:val="lv-LV"/>
        </w:rPr>
        <w:t>Analytics</w:t>
      </w:r>
      <w:proofErr w:type="spellEnd"/>
      <w:r w:rsidRPr="00EC7921">
        <w:rPr>
          <w:rFonts w:ascii="Times New Roman" w:hAnsi="Times New Roman"/>
          <w:bCs/>
          <w:sz w:val="24"/>
          <w:szCs w:val="24"/>
          <w:lang w:val="lv-LV"/>
        </w:rPr>
        <w:t xml:space="preserve"> UK </w:t>
      </w:r>
      <w:proofErr w:type="spellStart"/>
      <w:r w:rsidRPr="00EC7921">
        <w:rPr>
          <w:rFonts w:ascii="Times New Roman" w:hAnsi="Times New Roman"/>
          <w:bCs/>
          <w:sz w:val="24"/>
          <w:szCs w:val="24"/>
          <w:lang w:val="lv-LV"/>
        </w:rPr>
        <w:t>Ltd</w:t>
      </w:r>
      <w:proofErr w:type="spellEnd"/>
      <w:r w:rsidRPr="00EC7921">
        <w:rPr>
          <w:rFonts w:ascii="Times New Roman" w:hAnsi="Times New Roman"/>
          <w:bCs/>
          <w:sz w:val="24"/>
          <w:szCs w:val="24"/>
          <w:lang w:val="lv-LV"/>
        </w:rPr>
        <w:t>.,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lai pretendents līdz 2015. gada 1</w:t>
      </w:r>
      <w:r w:rsidRPr="00850235">
        <w:rPr>
          <w:rFonts w:ascii="Times New Roman" w:hAnsi="Times New Roman"/>
          <w:bCs/>
          <w:sz w:val="24"/>
          <w:szCs w:val="24"/>
          <w:lang w:val="lv-LV"/>
        </w:rPr>
        <w:t>. </w:t>
      </w:r>
      <w:r>
        <w:rPr>
          <w:rFonts w:ascii="Times New Roman" w:hAnsi="Times New Roman"/>
          <w:bCs/>
          <w:sz w:val="24"/>
          <w:szCs w:val="24"/>
          <w:lang w:val="lv-LV"/>
        </w:rPr>
        <w:t>aprīlim</w:t>
      </w:r>
      <w:r w:rsidRPr="00850235">
        <w:rPr>
          <w:rFonts w:ascii="Times New Roman" w:hAnsi="Times New Roman"/>
          <w:bCs/>
          <w:sz w:val="24"/>
          <w:szCs w:val="24"/>
          <w:lang w:val="lv-LV"/>
        </w:rPr>
        <w:t xml:space="preserve"> iesniedz </w:t>
      </w:r>
      <w:r>
        <w:rPr>
          <w:rFonts w:ascii="Times New Roman" w:hAnsi="Times New Roman"/>
          <w:bCs/>
          <w:sz w:val="24"/>
          <w:szCs w:val="24"/>
          <w:lang w:val="lv-LV"/>
        </w:rPr>
        <w:t>apliecinājumu, ka</w:t>
      </w:r>
      <w:r w:rsidR="008F4C8E">
        <w:rPr>
          <w:rFonts w:ascii="Times New Roman" w:hAnsi="Times New Roman"/>
          <w:bCs/>
          <w:sz w:val="24"/>
          <w:szCs w:val="24"/>
          <w:lang w:val="lv-LV"/>
        </w:rPr>
        <w:t>,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DD7EAA">
        <w:rPr>
          <w:rFonts w:ascii="Times New Roman" w:hAnsi="Times New Roman"/>
          <w:bCs/>
          <w:sz w:val="24"/>
          <w:szCs w:val="24"/>
          <w:lang w:val="lv-LV"/>
        </w:rPr>
        <w:t>parakstot iepirkuma līgumu, piegādātājs piekrīt iepirkuma līguma publicēšanai pasūtītāja mājaslapā saskaņā ar Publisko iepirkumu likuma 8.</w:t>
      </w:r>
      <w:r w:rsidRPr="00A15B60">
        <w:rPr>
          <w:rFonts w:ascii="Times New Roman" w:hAnsi="Times New Roman"/>
          <w:bCs/>
          <w:sz w:val="24"/>
          <w:szCs w:val="24"/>
          <w:vertAlign w:val="superscript"/>
          <w:lang w:val="lv-LV"/>
        </w:rPr>
        <w:t>2</w:t>
      </w:r>
      <w:r w:rsidRPr="00DD7EAA">
        <w:rPr>
          <w:rFonts w:ascii="Times New Roman" w:hAnsi="Times New Roman"/>
          <w:bCs/>
          <w:sz w:val="24"/>
          <w:szCs w:val="24"/>
          <w:lang w:val="lv-LV"/>
        </w:rPr>
        <w:t xml:space="preserve"> panta </w:t>
      </w:r>
      <w:r w:rsidRPr="00DD7EAA">
        <w:rPr>
          <w:rFonts w:ascii="Times New Roman" w:hAnsi="Times New Roman"/>
          <w:bCs/>
          <w:sz w:val="24"/>
          <w:szCs w:val="24"/>
          <w:lang w:val="lv-LV"/>
        </w:rPr>
        <w:lastRenderedPageBreak/>
        <w:t>trīspadsmito daļu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r w:rsidRPr="008C2552">
        <w:rPr>
          <w:rFonts w:ascii="Times New Roman" w:hAnsi="Times New Roman"/>
          <w:bCs/>
          <w:sz w:val="24"/>
          <w:szCs w:val="24"/>
          <w:lang w:val="lv-LV"/>
        </w:rPr>
        <w:t>atbilstoši normatīvajos aktos noteiktajai kārtībai ievērojot komercnoslēpuma aizsardzības prasības</w:t>
      </w:r>
      <w:r>
        <w:rPr>
          <w:rFonts w:ascii="Times New Roman" w:hAnsi="Times New Roman"/>
          <w:bCs/>
          <w:sz w:val="24"/>
          <w:szCs w:val="24"/>
          <w:lang w:val="lv-LV"/>
        </w:rPr>
        <w:t>,</w:t>
      </w:r>
      <w:r w:rsidRPr="00DD7EA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un </w:t>
      </w:r>
      <w:r w:rsidRPr="007D5A69">
        <w:rPr>
          <w:rFonts w:ascii="Times New Roman" w:hAnsi="Times New Roman"/>
          <w:bCs/>
          <w:sz w:val="24"/>
          <w:szCs w:val="24"/>
          <w:lang w:val="lv-LV"/>
        </w:rPr>
        <w:t xml:space="preserve">attiecīgās ārvalsts kompetentās institūcijas izziņu (izsniegtu ne agrāk kā vienu mēnesi pirms iesniegšanas dienas), kas apliecina, ka uz to neattiecas </w:t>
      </w:r>
      <w:r w:rsidRPr="00DD7EAA">
        <w:rPr>
          <w:rFonts w:ascii="Times New Roman" w:hAnsi="Times New Roman"/>
          <w:bCs/>
          <w:sz w:val="24"/>
          <w:szCs w:val="24"/>
          <w:lang w:val="lv-LV"/>
        </w:rPr>
        <w:t xml:space="preserve">Publisko iepirkumu likuma </w:t>
      </w:r>
      <w:r w:rsidRPr="007D5A69">
        <w:rPr>
          <w:rFonts w:ascii="Times New Roman" w:hAnsi="Times New Roman"/>
          <w:bCs/>
          <w:sz w:val="24"/>
          <w:szCs w:val="24"/>
          <w:lang w:val="lv-LV"/>
        </w:rPr>
        <w:t>8.</w:t>
      </w:r>
      <w:r w:rsidRPr="007D5A69">
        <w:rPr>
          <w:rFonts w:ascii="Times New Roman" w:hAnsi="Times New Roman"/>
          <w:bCs/>
          <w:sz w:val="24"/>
          <w:szCs w:val="24"/>
          <w:vertAlign w:val="superscript"/>
          <w:lang w:val="lv-LV"/>
        </w:rPr>
        <w:t>2</w:t>
      </w:r>
      <w:r w:rsidRPr="007D5A69">
        <w:rPr>
          <w:rFonts w:ascii="Times New Roman" w:hAnsi="Times New Roman"/>
          <w:bCs/>
          <w:sz w:val="24"/>
          <w:szCs w:val="24"/>
          <w:lang w:val="lv-LV"/>
        </w:rPr>
        <w:t xml:space="preserve"> panta piektajā daļā noteiktie gadījumi.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F063C2" w:rsidRPr="00F063C2">
        <w:rPr>
          <w:rFonts w:ascii="Times New Roman" w:hAnsi="Times New Roman"/>
          <w:sz w:val="24"/>
          <w:szCs w:val="24"/>
          <w:lang w:val="lv-LV"/>
        </w:rPr>
        <w:t xml:space="preserve">1. Komisijas locekļa apliecinājums piedāvājumu vērtēšanai uz </w:t>
      </w:r>
      <w:r w:rsidR="00F063C2">
        <w:rPr>
          <w:rFonts w:ascii="Times New Roman" w:hAnsi="Times New Roman"/>
          <w:sz w:val="24"/>
          <w:szCs w:val="24"/>
          <w:lang w:val="lv-LV"/>
        </w:rPr>
        <w:t>4</w:t>
      </w:r>
      <w:r w:rsidR="00F063C2" w:rsidRPr="00F063C2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F063C2" w:rsidRDefault="00F063C2" w:rsidP="00F063C2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>2. </w:t>
      </w:r>
      <w:r w:rsidRPr="00F063C2">
        <w:rPr>
          <w:rFonts w:ascii="Times New Roman" w:hAnsi="Times New Roman"/>
          <w:sz w:val="24"/>
          <w:szCs w:val="24"/>
          <w:lang w:val="lv-LV"/>
        </w:rPr>
        <w:t>Pretendentu finanšu piedāvājumu cenas uz 1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E72AA8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Sēdi</w:t>
      </w:r>
      <w:r w:rsidR="00F36F1F">
        <w:rPr>
          <w:rFonts w:ascii="Times New Roman" w:hAnsi="Times New Roman"/>
          <w:sz w:val="20"/>
          <w:szCs w:val="20"/>
          <w:lang w:val="lv-LV"/>
        </w:rPr>
        <w:t xml:space="preserve"> beidz plkst. </w:t>
      </w:r>
      <w:r w:rsidR="00F063C2">
        <w:rPr>
          <w:rFonts w:ascii="Times New Roman" w:hAnsi="Times New Roman"/>
          <w:sz w:val="20"/>
          <w:szCs w:val="20"/>
        </w:rPr>
        <w:t>16.45</w:t>
      </w:r>
      <w:r w:rsidR="005B001B">
        <w:rPr>
          <w:rFonts w:ascii="Times New Roman" w:hAnsi="Times New Roman"/>
          <w:sz w:val="20"/>
          <w:szCs w:val="20"/>
        </w:rPr>
        <w:t>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Pr="009E2B60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F063C2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J. </w:t>
            </w:r>
            <w:r w:rsidR="006769DD" w:rsidRPr="006769DD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 xml:space="preserve">Pone </w:t>
            </w: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C6496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43A35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Skraucis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9"/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B4" w:rsidRDefault="00D811B4">
      <w:pPr>
        <w:spacing w:after="0" w:line="240" w:lineRule="auto"/>
      </w:pPr>
      <w:r>
        <w:separator/>
      </w:r>
    </w:p>
  </w:endnote>
  <w:endnote w:type="continuationSeparator" w:id="0">
    <w:p w:rsidR="00D811B4" w:rsidRDefault="00D8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747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EA6" w:rsidRDefault="002A4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D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3E17" w:rsidRDefault="00B33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B4" w:rsidRDefault="00D811B4">
      <w:pPr>
        <w:spacing w:after="0" w:line="240" w:lineRule="auto"/>
      </w:pPr>
      <w:r>
        <w:separator/>
      </w:r>
    </w:p>
  </w:footnote>
  <w:footnote w:type="continuationSeparator" w:id="0">
    <w:p w:rsidR="00D811B4" w:rsidRDefault="00D8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D8"/>
    <w:rsid w:val="00006384"/>
    <w:rsid w:val="00030349"/>
    <w:rsid w:val="00032C32"/>
    <w:rsid w:val="000405F4"/>
    <w:rsid w:val="00060A53"/>
    <w:rsid w:val="00062EB1"/>
    <w:rsid w:val="00075CE4"/>
    <w:rsid w:val="00080216"/>
    <w:rsid w:val="000818B6"/>
    <w:rsid w:val="00091695"/>
    <w:rsid w:val="000971F3"/>
    <w:rsid w:val="000A72C9"/>
    <w:rsid w:val="000B06E3"/>
    <w:rsid w:val="000B3818"/>
    <w:rsid w:val="000E1A80"/>
    <w:rsid w:val="000F4D4F"/>
    <w:rsid w:val="00100DD8"/>
    <w:rsid w:val="00100E6F"/>
    <w:rsid w:val="00105954"/>
    <w:rsid w:val="00116729"/>
    <w:rsid w:val="00124173"/>
    <w:rsid w:val="001265BC"/>
    <w:rsid w:val="00147D9F"/>
    <w:rsid w:val="00171FDB"/>
    <w:rsid w:val="00192CF6"/>
    <w:rsid w:val="001C455C"/>
    <w:rsid w:val="001C49BC"/>
    <w:rsid w:val="001D26A1"/>
    <w:rsid w:val="001F0120"/>
    <w:rsid w:val="002435AA"/>
    <w:rsid w:val="00245F18"/>
    <w:rsid w:val="0027051D"/>
    <w:rsid w:val="002731CC"/>
    <w:rsid w:val="00275B9E"/>
    <w:rsid w:val="0029797D"/>
    <w:rsid w:val="002A1DFE"/>
    <w:rsid w:val="002A4EA6"/>
    <w:rsid w:val="002D2682"/>
    <w:rsid w:val="002E1474"/>
    <w:rsid w:val="002E519D"/>
    <w:rsid w:val="0031397A"/>
    <w:rsid w:val="00330FF9"/>
    <w:rsid w:val="00340907"/>
    <w:rsid w:val="00357E00"/>
    <w:rsid w:val="0036489D"/>
    <w:rsid w:val="003D2F9A"/>
    <w:rsid w:val="003E3BD6"/>
    <w:rsid w:val="004154C9"/>
    <w:rsid w:val="004A1430"/>
    <w:rsid w:val="004B3BCF"/>
    <w:rsid w:val="004C036F"/>
    <w:rsid w:val="0051099A"/>
    <w:rsid w:val="00517E09"/>
    <w:rsid w:val="00527353"/>
    <w:rsid w:val="00535564"/>
    <w:rsid w:val="00537C41"/>
    <w:rsid w:val="00541175"/>
    <w:rsid w:val="005471AB"/>
    <w:rsid w:val="00563211"/>
    <w:rsid w:val="00571A88"/>
    <w:rsid w:val="00572ECF"/>
    <w:rsid w:val="00583E71"/>
    <w:rsid w:val="00584FB9"/>
    <w:rsid w:val="005B001B"/>
    <w:rsid w:val="005C771F"/>
    <w:rsid w:val="005D31DC"/>
    <w:rsid w:val="005E6764"/>
    <w:rsid w:val="0060416A"/>
    <w:rsid w:val="0060667F"/>
    <w:rsid w:val="00663C3A"/>
    <w:rsid w:val="0066721E"/>
    <w:rsid w:val="006769DD"/>
    <w:rsid w:val="006924A0"/>
    <w:rsid w:val="006B1782"/>
    <w:rsid w:val="006B1AC5"/>
    <w:rsid w:val="006B4B67"/>
    <w:rsid w:val="006B6FC6"/>
    <w:rsid w:val="00743BFE"/>
    <w:rsid w:val="00775164"/>
    <w:rsid w:val="00780FCE"/>
    <w:rsid w:val="0078158F"/>
    <w:rsid w:val="007A6199"/>
    <w:rsid w:val="007B30D2"/>
    <w:rsid w:val="007B3BA5"/>
    <w:rsid w:val="007B774E"/>
    <w:rsid w:val="007C1214"/>
    <w:rsid w:val="007C2C92"/>
    <w:rsid w:val="007C2E55"/>
    <w:rsid w:val="007D5A69"/>
    <w:rsid w:val="007E0AB7"/>
    <w:rsid w:val="007E4D1F"/>
    <w:rsid w:val="007E619C"/>
    <w:rsid w:val="007E6265"/>
    <w:rsid w:val="007F0FF1"/>
    <w:rsid w:val="007F33AC"/>
    <w:rsid w:val="007F4A13"/>
    <w:rsid w:val="007F789B"/>
    <w:rsid w:val="0080631C"/>
    <w:rsid w:val="00812DE5"/>
    <w:rsid w:val="00815277"/>
    <w:rsid w:val="00830538"/>
    <w:rsid w:val="008309B9"/>
    <w:rsid w:val="00833B07"/>
    <w:rsid w:val="00850235"/>
    <w:rsid w:val="00876665"/>
    <w:rsid w:val="00876C21"/>
    <w:rsid w:val="00883CDE"/>
    <w:rsid w:val="00893704"/>
    <w:rsid w:val="008B4C44"/>
    <w:rsid w:val="008B7276"/>
    <w:rsid w:val="008C2552"/>
    <w:rsid w:val="008C495B"/>
    <w:rsid w:val="008D621A"/>
    <w:rsid w:val="008E09B0"/>
    <w:rsid w:val="008E140B"/>
    <w:rsid w:val="008E3580"/>
    <w:rsid w:val="008F0BF6"/>
    <w:rsid w:val="008F4C8E"/>
    <w:rsid w:val="00900CFC"/>
    <w:rsid w:val="00903245"/>
    <w:rsid w:val="00906894"/>
    <w:rsid w:val="009358F1"/>
    <w:rsid w:val="00936FF6"/>
    <w:rsid w:val="00955BD6"/>
    <w:rsid w:val="00960C5E"/>
    <w:rsid w:val="00972A7A"/>
    <w:rsid w:val="00985E35"/>
    <w:rsid w:val="009C57F8"/>
    <w:rsid w:val="009C74B4"/>
    <w:rsid w:val="009D79C6"/>
    <w:rsid w:val="00A119AD"/>
    <w:rsid w:val="00A15B60"/>
    <w:rsid w:val="00A20E10"/>
    <w:rsid w:val="00A34581"/>
    <w:rsid w:val="00A36045"/>
    <w:rsid w:val="00A5776B"/>
    <w:rsid w:val="00A627DD"/>
    <w:rsid w:val="00A744EC"/>
    <w:rsid w:val="00A76C80"/>
    <w:rsid w:val="00A83359"/>
    <w:rsid w:val="00A83382"/>
    <w:rsid w:val="00A95BEA"/>
    <w:rsid w:val="00AA451C"/>
    <w:rsid w:val="00AC3751"/>
    <w:rsid w:val="00AC689C"/>
    <w:rsid w:val="00AE48CE"/>
    <w:rsid w:val="00AF1354"/>
    <w:rsid w:val="00B067FC"/>
    <w:rsid w:val="00B12C26"/>
    <w:rsid w:val="00B22FBD"/>
    <w:rsid w:val="00B33E17"/>
    <w:rsid w:val="00B402EA"/>
    <w:rsid w:val="00B674BF"/>
    <w:rsid w:val="00B90870"/>
    <w:rsid w:val="00BA1668"/>
    <w:rsid w:val="00C114D0"/>
    <w:rsid w:val="00C12B8E"/>
    <w:rsid w:val="00C229A3"/>
    <w:rsid w:val="00C44136"/>
    <w:rsid w:val="00C47F57"/>
    <w:rsid w:val="00C64964"/>
    <w:rsid w:val="00C66F8B"/>
    <w:rsid w:val="00CC7FAE"/>
    <w:rsid w:val="00CE56B4"/>
    <w:rsid w:val="00CE6824"/>
    <w:rsid w:val="00CF36D9"/>
    <w:rsid w:val="00D21FA6"/>
    <w:rsid w:val="00D231DA"/>
    <w:rsid w:val="00D42EE5"/>
    <w:rsid w:val="00D811B4"/>
    <w:rsid w:val="00DA63CD"/>
    <w:rsid w:val="00DD7EAA"/>
    <w:rsid w:val="00DF41BB"/>
    <w:rsid w:val="00E027A7"/>
    <w:rsid w:val="00E31AA8"/>
    <w:rsid w:val="00E31DF9"/>
    <w:rsid w:val="00E365CE"/>
    <w:rsid w:val="00E37E99"/>
    <w:rsid w:val="00E461D8"/>
    <w:rsid w:val="00E661A0"/>
    <w:rsid w:val="00E72AA8"/>
    <w:rsid w:val="00E7353C"/>
    <w:rsid w:val="00E80D97"/>
    <w:rsid w:val="00E819E9"/>
    <w:rsid w:val="00E81B96"/>
    <w:rsid w:val="00E8645B"/>
    <w:rsid w:val="00EB19B9"/>
    <w:rsid w:val="00EC05F8"/>
    <w:rsid w:val="00EC3062"/>
    <w:rsid w:val="00EC7921"/>
    <w:rsid w:val="00ED2F2C"/>
    <w:rsid w:val="00ED61D1"/>
    <w:rsid w:val="00ED6BC1"/>
    <w:rsid w:val="00F00DDE"/>
    <w:rsid w:val="00F030F5"/>
    <w:rsid w:val="00F063C2"/>
    <w:rsid w:val="00F10DD0"/>
    <w:rsid w:val="00F146B6"/>
    <w:rsid w:val="00F255C6"/>
    <w:rsid w:val="00F329EF"/>
    <w:rsid w:val="00F36F1F"/>
    <w:rsid w:val="00F50D8F"/>
    <w:rsid w:val="00F82429"/>
    <w:rsid w:val="00F95F83"/>
    <w:rsid w:val="00FA0D87"/>
    <w:rsid w:val="00FB4281"/>
    <w:rsid w:val="00FC34CE"/>
    <w:rsid w:val="00FD4C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E7CA-EB77-4D87-8D21-8254C527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3410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2015-03-20T13:11:00Z</cp:lastPrinted>
  <dcterms:created xsi:type="dcterms:W3CDTF">2017-10-04T12:56:00Z</dcterms:created>
  <dcterms:modified xsi:type="dcterms:W3CDTF">2017-10-04T12:56:00Z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