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13" w:rsidRPr="00B64236" w:rsidRDefault="00F70413" w:rsidP="00F70413">
      <w:pPr>
        <w:keepNext/>
        <w:widowControl/>
        <w:spacing w:after="0" w:line="240" w:lineRule="auto"/>
        <w:ind w:right="41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iepirkuma procedūras „</w:t>
      </w:r>
      <w:r w:rsidRPr="0064521A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Piekļuves kontroles un mehānisko atslēgu vadības sistēmu iegāde un montāža ēkā Smilšu ielā 1, Rīgā</w:t>
      </w:r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>”</w:t>
      </w:r>
      <w:r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VK/2015/15</w:t>
      </w:r>
      <w:r w:rsidRPr="00B64236">
        <w:rPr>
          <w:rFonts w:ascii="Times New Roman" w:eastAsia="Times New Roman" w:hAnsi="Times New Roman"/>
          <w:b/>
          <w:bCs/>
          <w:caps/>
          <w:sz w:val="24"/>
          <w:lang w:val="lv-LV" w:eastAsia="lv-LV"/>
        </w:rPr>
        <w:t xml:space="preserve"> komisijas sēdes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ED743D" w:rsidRDefault="00E72AA8" w:rsidP="00F704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ED743D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ED743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3513C0" w:rsidRPr="00ED743D">
              <w:rPr>
                <w:rFonts w:ascii="Times New Roman" w:hAnsi="Times New Roman"/>
                <w:sz w:val="20"/>
                <w:szCs w:val="20"/>
                <w:lang w:val="lv-LV"/>
              </w:rPr>
              <w:t>3</w:t>
            </w:r>
            <w:r w:rsidR="003D298E" w:rsidRPr="00ED743D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F70413" w:rsidRPr="00ED743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novembrī </w:t>
            </w:r>
            <w:r w:rsidR="00F36F1F" w:rsidRPr="00ED743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6733D6" w:rsidRPr="00ED743D">
              <w:rPr>
                <w:rFonts w:ascii="Times New Roman" w:hAnsi="Times New Roman"/>
                <w:sz w:val="20"/>
                <w:szCs w:val="20"/>
              </w:rPr>
              <w:t>15</w:t>
            </w:r>
            <w:r w:rsidR="009C57F8" w:rsidRPr="00ED743D">
              <w:rPr>
                <w:rFonts w:ascii="Times New Roman" w:hAnsi="Times New Roman"/>
                <w:sz w:val="20"/>
                <w:szCs w:val="20"/>
              </w:rPr>
              <w:t>.0</w:t>
            </w:r>
            <w:r w:rsidRPr="00ED74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ED743D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ED743D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743D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F70413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 w:rsidRPr="00ED74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70413" w:rsidRPr="00FD211B" w:rsidTr="00A36045">
        <w:tc>
          <w:tcPr>
            <w:tcW w:w="4575" w:type="dxa"/>
          </w:tcPr>
          <w:p w:rsidR="00F70413" w:rsidRPr="00B64236" w:rsidRDefault="00F70413" w:rsidP="0078262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Sēdi vada:</w:t>
            </w:r>
          </w:p>
        </w:tc>
        <w:tc>
          <w:tcPr>
            <w:tcW w:w="4705" w:type="dxa"/>
          </w:tcPr>
          <w:p w:rsidR="00F70413" w:rsidRPr="00B64236" w:rsidRDefault="00F70413" w:rsidP="0078262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F70413" w:rsidRPr="00FD211B" w:rsidTr="00A36045">
        <w:tc>
          <w:tcPr>
            <w:tcW w:w="4575" w:type="dxa"/>
          </w:tcPr>
          <w:p w:rsidR="00F70413" w:rsidRPr="00B64236" w:rsidRDefault="00F70413" w:rsidP="0078262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</w:t>
            </w: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s</w:t>
            </w:r>
          </w:p>
        </w:tc>
        <w:tc>
          <w:tcPr>
            <w:tcW w:w="4705" w:type="dxa"/>
          </w:tcPr>
          <w:p w:rsidR="00F70413" w:rsidRPr="00B64236" w:rsidRDefault="00F70413" w:rsidP="0078262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  <w:p w:rsidR="00F70413" w:rsidRPr="00B64236" w:rsidRDefault="00F70413" w:rsidP="00F7041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A.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Geiba</w:t>
            </w:r>
          </w:p>
        </w:tc>
      </w:tr>
      <w:tr w:rsidR="00F70413" w:rsidRPr="00FD211B" w:rsidTr="00A36045">
        <w:tc>
          <w:tcPr>
            <w:tcW w:w="4575" w:type="dxa"/>
          </w:tcPr>
          <w:p w:rsidR="00F70413" w:rsidRPr="00B64236" w:rsidRDefault="00F70413" w:rsidP="0078262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  <w:tc>
          <w:tcPr>
            <w:tcW w:w="4705" w:type="dxa"/>
          </w:tcPr>
          <w:p w:rsidR="00F70413" w:rsidRPr="00B64236" w:rsidRDefault="00F70413" w:rsidP="0078262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F70413" w:rsidRPr="00FD211B" w:rsidTr="00A36045">
        <w:tc>
          <w:tcPr>
            <w:tcW w:w="4575" w:type="dxa"/>
          </w:tcPr>
          <w:p w:rsidR="00F70413" w:rsidRPr="00B64236" w:rsidRDefault="00F70413" w:rsidP="0078262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Piedalās:</w:t>
            </w:r>
          </w:p>
        </w:tc>
        <w:tc>
          <w:tcPr>
            <w:tcW w:w="4705" w:type="dxa"/>
          </w:tcPr>
          <w:p w:rsidR="00F70413" w:rsidRPr="00B64236" w:rsidRDefault="00F70413" w:rsidP="0078262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F70413" w:rsidRPr="00FD211B" w:rsidTr="00A36045">
        <w:tc>
          <w:tcPr>
            <w:tcW w:w="4575" w:type="dxa"/>
          </w:tcPr>
          <w:p w:rsidR="00F70413" w:rsidRPr="00B64236" w:rsidRDefault="00F70413" w:rsidP="0078262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F70413" w:rsidRPr="00B64236" w:rsidRDefault="00F70413" w:rsidP="0078262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  <w:p w:rsidR="00F70413" w:rsidRPr="00B64236" w:rsidRDefault="00F70413" w:rsidP="0078262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D. Klints</w:t>
            </w:r>
          </w:p>
        </w:tc>
      </w:tr>
      <w:tr w:rsidR="00F70413" w:rsidRPr="00FD211B" w:rsidTr="00A36045">
        <w:tc>
          <w:tcPr>
            <w:tcW w:w="4575" w:type="dxa"/>
          </w:tcPr>
          <w:p w:rsidR="00F70413" w:rsidRPr="00B64236" w:rsidRDefault="00F70413" w:rsidP="0078262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Juridiskā departamenta direktores vietnieks</w:t>
            </w:r>
          </w:p>
        </w:tc>
        <w:tc>
          <w:tcPr>
            <w:tcW w:w="4705" w:type="dxa"/>
          </w:tcPr>
          <w:p w:rsidR="00F70413" w:rsidRPr="00B64236" w:rsidRDefault="00F70413" w:rsidP="0078262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  <w:t>R. Zariņš</w:t>
            </w:r>
          </w:p>
        </w:tc>
      </w:tr>
      <w:tr w:rsidR="00F70413" w:rsidRPr="00FD211B" w:rsidTr="00A36045">
        <w:tc>
          <w:tcPr>
            <w:tcW w:w="4575" w:type="dxa"/>
          </w:tcPr>
          <w:p w:rsidR="00F70413" w:rsidRPr="00A262C1" w:rsidRDefault="00F70413" w:rsidP="0078262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A262C1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Nepiedalās:</w:t>
            </w:r>
          </w:p>
        </w:tc>
        <w:tc>
          <w:tcPr>
            <w:tcW w:w="4705" w:type="dxa"/>
          </w:tcPr>
          <w:p w:rsidR="00F70413" w:rsidRPr="00B64236" w:rsidRDefault="00F70413" w:rsidP="0078262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F70413" w:rsidRPr="00FD211B" w:rsidTr="00A36045">
        <w:tc>
          <w:tcPr>
            <w:tcW w:w="4575" w:type="dxa"/>
          </w:tcPr>
          <w:p w:rsidR="00F70413" w:rsidRPr="00B64236" w:rsidRDefault="00F70413" w:rsidP="00F70413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</w:t>
            </w: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a vietniece</w:t>
            </w:r>
          </w:p>
        </w:tc>
        <w:tc>
          <w:tcPr>
            <w:tcW w:w="4705" w:type="dxa"/>
          </w:tcPr>
          <w:p w:rsidR="00F70413" w:rsidRPr="00B64236" w:rsidRDefault="00F70413" w:rsidP="0078262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  <w:p w:rsidR="00F70413" w:rsidRPr="00B64236" w:rsidRDefault="00F70413" w:rsidP="00F7041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A.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Ozola</w:t>
            </w:r>
          </w:p>
        </w:tc>
      </w:tr>
      <w:tr w:rsidR="00F70413" w:rsidRPr="00FD211B" w:rsidTr="00A36045">
        <w:tc>
          <w:tcPr>
            <w:tcW w:w="4575" w:type="dxa"/>
          </w:tcPr>
          <w:p w:rsidR="00F70413" w:rsidRPr="00B64236" w:rsidRDefault="00F70413" w:rsidP="0078262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70413" w:rsidRPr="00B64236" w:rsidRDefault="00F70413" w:rsidP="0078262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F70413" w:rsidRPr="00FD211B" w:rsidTr="00A36045">
        <w:tc>
          <w:tcPr>
            <w:tcW w:w="4575" w:type="dxa"/>
          </w:tcPr>
          <w:p w:rsidR="00F70413" w:rsidRPr="00B64236" w:rsidRDefault="00F70413" w:rsidP="0078262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Protokolē</w:t>
            </w:r>
            <w:r>
              <w:rPr>
                <w:rFonts w:ascii="Times New Roman" w:eastAsia="Times New Roman" w:hAnsi="Times New Roman"/>
                <w:sz w:val="20"/>
                <w:szCs w:val="24"/>
                <w:u w:val="single"/>
                <w:lang w:val="lv-LV" w:eastAsia="lv-LV"/>
              </w:rPr>
              <w:t>:</w:t>
            </w:r>
          </w:p>
        </w:tc>
        <w:tc>
          <w:tcPr>
            <w:tcW w:w="4705" w:type="dxa"/>
          </w:tcPr>
          <w:p w:rsidR="00F70413" w:rsidRPr="00B64236" w:rsidRDefault="00F70413" w:rsidP="0078262E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val="lv-LV" w:eastAsia="lv-LV"/>
              </w:rPr>
            </w:pPr>
          </w:p>
        </w:tc>
      </w:tr>
      <w:tr w:rsidR="00F70413" w:rsidRPr="00FD211B" w:rsidTr="00A36045">
        <w:tc>
          <w:tcPr>
            <w:tcW w:w="4575" w:type="dxa"/>
          </w:tcPr>
          <w:p w:rsidR="00F70413" w:rsidRPr="00B64236" w:rsidRDefault="00F70413" w:rsidP="0078262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Infrastruktūras apsaimniekošanas departamenta direktor</w:t>
            </w: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a vietniece</w:t>
            </w:r>
          </w:p>
        </w:tc>
        <w:tc>
          <w:tcPr>
            <w:tcW w:w="4705" w:type="dxa"/>
          </w:tcPr>
          <w:p w:rsidR="00F70413" w:rsidRPr="00B64236" w:rsidRDefault="00F70413" w:rsidP="0078262E">
            <w:pPr>
              <w:widowControl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  <w:p w:rsidR="00F70413" w:rsidRPr="00B64236" w:rsidRDefault="00F70413" w:rsidP="00F70413">
            <w:pPr>
              <w:widowControl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D</w:t>
            </w:r>
            <w:r w:rsidRPr="00B64236"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. </w:t>
            </w:r>
            <w:r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  <w:t>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126B84">
        <w:t xml:space="preserve">Pretendenta </w:t>
      </w:r>
      <w:r w:rsidR="00F70413">
        <w:t xml:space="preserve">SIA ”BIS S” </w:t>
      </w:r>
      <w:r w:rsidRPr="00126B84">
        <w:t>piedāvājuma atbilstības pārbaude iepirkuma procedūras uzaicinājumā norādītajām tehniskās specifik</w:t>
      </w:r>
      <w:r w:rsidR="005E6FD1">
        <w:t>ācijas prasībām (uzaicinājuma 10</w:t>
      </w:r>
      <w:r w:rsidRPr="00126B84">
        <w:t>. punkts “Tehniskā specifikācija”</w:t>
      </w:r>
      <w:r w:rsidR="00160449">
        <w:t>,</w:t>
      </w:r>
      <w:r w:rsidR="005E6FD1">
        <w:t xml:space="preserve"> uzaicinājuma </w:t>
      </w:r>
      <w:r w:rsidR="00F70413">
        <w:t>2</w:t>
      </w:r>
      <w:r w:rsidR="005E6FD1">
        <w:t>. pielikums „Tehniskā specifikācija”</w:t>
      </w:r>
      <w:r w:rsidRPr="00126B84">
        <w:t>).</w:t>
      </w:r>
    </w:p>
    <w:p w:rsidR="003A0697" w:rsidRPr="00126B84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 xml:space="preserve">Lēmuma par iepirkuma procedūras </w:t>
      </w:r>
      <w:r w:rsidRPr="00891B0D">
        <w:t>piedāvājuma izvēli pieņemšana.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>Lēmuma par iepirkuma procedūras rezultātiem pieņemšana.</w:t>
      </w:r>
    </w:p>
    <w:p w:rsidR="00CD2C57" w:rsidRPr="00ED743D" w:rsidRDefault="00CD2C57" w:rsidP="00C74EC0">
      <w:pPr>
        <w:pStyle w:val="BlockText"/>
        <w:numPr>
          <w:ilvl w:val="0"/>
          <w:numId w:val="12"/>
        </w:numPr>
        <w:ind w:right="12"/>
        <w:jc w:val="both"/>
      </w:pPr>
      <w:r w:rsidRPr="00ED743D">
        <w:t xml:space="preserve">Pretendenta </w:t>
      </w:r>
      <w:r w:rsidR="00F70413" w:rsidRPr="00ED743D">
        <w:t>SIA ”BIS S”</w:t>
      </w:r>
      <w:r w:rsidR="00901B14" w:rsidRPr="00ED743D">
        <w:t xml:space="preserve"> </w:t>
      </w:r>
      <w:r w:rsidRPr="00ED743D">
        <w:t>nomaksāto nodokļu pārbaude Elektronis</w:t>
      </w:r>
      <w:r w:rsidR="009A0C03" w:rsidRPr="00ED743D">
        <w:t>ko iepirkumu sistēmā E-</w:t>
      </w:r>
      <w:r w:rsidRPr="00ED743D">
        <w:t xml:space="preserve">izziņas </w:t>
      </w:r>
      <w:r w:rsidRPr="00ED743D">
        <w:rPr>
          <w:u w:val="single"/>
        </w:rPr>
        <w:t>dienā, kad pieņemts lēmums par iespējamu līguma slēgšanas tiesību piešķiršanu (</w:t>
      </w:r>
      <w:r w:rsidR="003513C0" w:rsidRPr="00ED743D">
        <w:rPr>
          <w:u w:val="single"/>
        </w:rPr>
        <w:t>03</w:t>
      </w:r>
      <w:r w:rsidRPr="00ED743D">
        <w:rPr>
          <w:u w:val="single"/>
        </w:rPr>
        <w:t>.1</w:t>
      </w:r>
      <w:r w:rsidR="00F70413" w:rsidRPr="00ED743D">
        <w:rPr>
          <w:u w:val="single"/>
        </w:rPr>
        <w:t>1</w:t>
      </w:r>
      <w:r w:rsidR="00A3017E" w:rsidRPr="00ED743D">
        <w:rPr>
          <w:u w:val="single"/>
        </w:rPr>
        <w:t>.2015.) un atkārtota maksātnespējas pārbaude.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slēgšanu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izpildes uzraudzību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Informācijas par iepirkuma procedūras re</w:t>
      </w:r>
      <w:r w:rsidR="00982ACA">
        <w:t>zultātiem nosūtīšana pretendentiem</w:t>
      </w:r>
      <w:r w:rsidRPr="00306AC3">
        <w:t>.</w:t>
      </w:r>
    </w:p>
    <w:p w:rsidR="0075034D" w:rsidRDefault="003A0697" w:rsidP="00F70413">
      <w:pPr>
        <w:pStyle w:val="BlockText"/>
        <w:numPr>
          <w:ilvl w:val="0"/>
          <w:numId w:val="12"/>
        </w:numPr>
        <w:tabs>
          <w:tab w:val="clear" w:pos="560"/>
          <w:tab w:val="left" w:pos="0"/>
        </w:tabs>
        <w:ind w:right="12"/>
        <w:jc w:val="both"/>
      </w:pPr>
      <w:r w:rsidRPr="00306AC3">
        <w:t>Lēmuma par iepirkuma procedūras rezultātiem publicēšana Valsts kases mājaslapā.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552A80">
        <w:t>Noslēgtā iepirkuma līguma publicēšana Valsts kases mājaslapā.</w:t>
      </w:r>
    </w:p>
    <w:p w:rsidR="006B4B67" w:rsidRPr="003A0697" w:rsidRDefault="003A0697" w:rsidP="00C74EC0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982ACA" w:rsidRDefault="00982ACA">
      <w:pPr>
        <w:widowControl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br w:type="page"/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A0697" w:rsidRPr="003A0697" w:rsidRDefault="003A0697" w:rsidP="00CD2C57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Pretendenta</w:t>
      </w:r>
      <w:r w:rsidR="00C14E05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F70413" w:rsidRPr="00F70413">
        <w:rPr>
          <w:rFonts w:ascii="Times New Roman" w:hAnsi="Times New Roman"/>
          <w:sz w:val="24"/>
          <w:szCs w:val="24"/>
        </w:rPr>
        <w:t>SIA”BIS S”</w:t>
      </w:r>
      <w:r w:rsidR="00F70413" w:rsidRPr="00F70413"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piedāvājums atbilst iepirkuma procedūras uzaicinājumā norādītajām tehniskās specifikācijas prasībām (uzaicinājuma </w:t>
      </w:r>
      <w:r w:rsidR="00CD2C57">
        <w:rPr>
          <w:rFonts w:ascii="Times New Roman" w:hAnsi="Times New Roman"/>
          <w:sz w:val="24"/>
          <w:szCs w:val="24"/>
          <w:lang w:val="lv-LV"/>
        </w:rPr>
        <w:t>10</w:t>
      </w:r>
      <w:r w:rsidRPr="003A0697">
        <w:rPr>
          <w:rFonts w:ascii="Times New Roman" w:hAnsi="Times New Roman"/>
          <w:sz w:val="24"/>
          <w:szCs w:val="24"/>
          <w:lang w:val="lv-LV"/>
        </w:rPr>
        <w:t>. punkts “Tehniskā specifikācija”</w:t>
      </w:r>
      <w:r w:rsidR="00CD2C57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044423">
        <w:rPr>
          <w:rFonts w:ascii="Times New Roman" w:hAnsi="Times New Roman"/>
          <w:sz w:val="24"/>
          <w:szCs w:val="24"/>
          <w:lang w:val="lv-LV"/>
        </w:rPr>
        <w:t>uzaicinājuma 1.</w:t>
      </w:r>
      <w:r w:rsidR="00044423" w:rsidRPr="009A0C03">
        <w:rPr>
          <w:rFonts w:ascii="Times New Roman" w:hAnsi="Times New Roman"/>
          <w:sz w:val="24"/>
          <w:szCs w:val="24"/>
          <w:lang w:val="lv-LV"/>
        </w:rPr>
        <w:t> </w:t>
      </w:r>
      <w:r w:rsidR="00CD2C57" w:rsidRPr="00CD2C57">
        <w:rPr>
          <w:rFonts w:ascii="Times New Roman" w:hAnsi="Times New Roman"/>
          <w:sz w:val="24"/>
          <w:szCs w:val="24"/>
          <w:lang w:val="lv-LV"/>
        </w:rPr>
        <w:t>pielikums „Tehniskā specifikācija”</w:t>
      </w:r>
      <w:r w:rsidRPr="003A0697">
        <w:rPr>
          <w:rFonts w:ascii="Times New Roman" w:hAnsi="Times New Roman"/>
          <w:sz w:val="24"/>
          <w:szCs w:val="24"/>
          <w:lang w:val="lv-LV"/>
        </w:rPr>
        <w:t>).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Saskaņā ar Publisko iepirkumu likuma 8.</w:t>
      </w:r>
      <w:r w:rsidRPr="003A0697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3A0697">
        <w:rPr>
          <w:rFonts w:ascii="Times New Roman" w:hAnsi="Times New Roman"/>
          <w:sz w:val="24"/>
          <w:szCs w:val="24"/>
          <w:lang w:val="lv-LV"/>
        </w:rPr>
        <w:t> panta devīto daļu un iepi</w:t>
      </w:r>
      <w:r w:rsidR="00044423">
        <w:rPr>
          <w:rFonts w:ascii="Times New Roman" w:hAnsi="Times New Roman"/>
          <w:sz w:val="24"/>
          <w:szCs w:val="24"/>
          <w:lang w:val="lv-LV"/>
        </w:rPr>
        <w:t>rkuma procedūras uzaicinājuma 1</w:t>
      </w:r>
      <w:r w:rsidR="00F70413">
        <w:rPr>
          <w:rFonts w:ascii="Times New Roman" w:hAnsi="Times New Roman"/>
          <w:sz w:val="24"/>
          <w:szCs w:val="24"/>
          <w:lang w:val="lv-LV"/>
        </w:rPr>
        <w:t>4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. punktu izvēlēties </w:t>
      </w:r>
      <w:r w:rsidR="00A3017E" w:rsidRPr="00F70413">
        <w:rPr>
          <w:rFonts w:ascii="Times New Roman" w:hAnsi="Times New Roman"/>
          <w:sz w:val="24"/>
          <w:szCs w:val="24"/>
        </w:rPr>
        <w:t>SIA</w:t>
      </w:r>
      <w:r w:rsidR="00A3017E">
        <w:rPr>
          <w:rFonts w:ascii="Times New Roman" w:hAnsi="Times New Roman"/>
          <w:sz w:val="24"/>
          <w:szCs w:val="24"/>
        </w:rPr>
        <w:t xml:space="preserve"> </w:t>
      </w:r>
      <w:r w:rsidR="00A3017E" w:rsidRPr="00F70413">
        <w:rPr>
          <w:rFonts w:ascii="Times New Roman" w:hAnsi="Times New Roman"/>
          <w:sz w:val="24"/>
          <w:szCs w:val="24"/>
        </w:rPr>
        <w:t>”BIS S”</w:t>
      </w:r>
      <w:r w:rsidR="00A3017E" w:rsidRPr="00F70413"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piedāvājumu, kas atbilst iepirkuma procedūras prasībām (</w:t>
      </w:r>
      <w:r w:rsidR="00F70413">
        <w:rPr>
          <w:rFonts w:ascii="Times New Roman" w:hAnsi="Times New Roman"/>
          <w:sz w:val="24"/>
          <w:szCs w:val="24"/>
          <w:lang w:val="lv-LV"/>
        </w:rPr>
        <w:t>41946,54</w:t>
      </w:r>
      <w:r w:rsidR="00F70413" w:rsidRPr="00E034C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EUR</w:t>
      </w:r>
      <w:r w:rsidR="009E5F5C">
        <w:rPr>
          <w:rFonts w:ascii="Times New Roman" w:hAnsi="Times New Roman"/>
          <w:bCs/>
          <w:sz w:val="24"/>
          <w:szCs w:val="24"/>
          <w:lang w:val="lv-LV"/>
        </w:rPr>
        <w:t xml:space="preserve"> bez PVN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).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Tā kā iepirkuma komisija Elektronisko iepirkumu sistēmā E- izziņas pārliecinājās, ka </w:t>
      </w:r>
      <w:r w:rsidR="00F70413" w:rsidRPr="003A069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F70413" w:rsidRPr="00F70413">
        <w:rPr>
          <w:rFonts w:ascii="Times New Roman" w:hAnsi="Times New Roman"/>
          <w:sz w:val="24"/>
          <w:szCs w:val="24"/>
        </w:rPr>
        <w:t>SIA”BIS S”</w:t>
      </w:r>
      <w:r w:rsidR="00F70413" w:rsidRPr="00F70413">
        <w:t xml:space="preserve"> </w:t>
      </w:r>
      <w:r w:rsidR="00044423" w:rsidRPr="0004442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44423" w:rsidRPr="00044423">
        <w:rPr>
          <w:rFonts w:ascii="Times New Roman" w:hAnsi="Times New Roman"/>
          <w:sz w:val="24"/>
          <w:szCs w:val="24"/>
          <w:u w:val="single"/>
          <w:lang w:val="lv-LV"/>
        </w:rPr>
        <w:t xml:space="preserve">dienā, kad pieņemts lēmums par iespējamu līguma slēgšanas tiesību piešķiršanu </w:t>
      </w:r>
      <w:r w:rsidR="00044423" w:rsidRPr="00ED743D">
        <w:rPr>
          <w:rFonts w:ascii="Times New Roman" w:hAnsi="Times New Roman"/>
          <w:sz w:val="24"/>
          <w:szCs w:val="24"/>
          <w:u w:val="single"/>
          <w:lang w:val="lv-LV"/>
        </w:rPr>
        <w:t>(</w:t>
      </w:r>
      <w:r w:rsidR="003513C0" w:rsidRPr="00ED743D">
        <w:rPr>
          <w:rFonts w:ascii="Times New Roman" w:hAnsi="Times New Roman"/>
          <w:sz w:val="24"/>
          <w:szCs w:val="24"/>
          <w:u w:val="single"/>
          <w:lang w:val="lv-LV"/>
        </w:rPr>
        <w:t>03</w:t>
      </w:r>
      <w:r w:rsidR="00044423" w:rsidRPr="00ED743D">
        <w:rPr>
          <w:rFonts w:ascii="Times New Roman" w:hAnsi="Times New Roman"/>
          <w:sz w:val="24"/>
          <w:szCs w:val="24"/>
          <w:u w:val="single"/>
          <w:lang w:val="lv-LV"/>
        </w:rPr>
        <w:t>.1</w:t>
      </w:r>
      <w:r w:rsidR="00F70413" w:rsidRPr="00ED743D">
        <w:rPr>
          <w:rFonts w:ascii="Times New Roman" w:hAnsi="Times New Roman"/>
          <w:sz w:val="24"/>
          <w:szCs w:val="24"/>
          <w:u w:val="single"/>
          <w:lang w:val="lv-LV"/>
        </w:rPr>
        <w:t>1</w:t>
      </w:r>
      <w:r w:rsidR="00044423" w:rsidRPr="00ED743D">
        <w:rPr>
          <w:rFonts w:ascii="Times New Roman" w:hAnsi="Times New Roman"/>
          <w:sz w:val="24"/>
          <w:szCs w:val="24"/>
          <w:u w:val="single"/>
          <w:lang w:val="lv-LV"/>
        </w:rPr>
        <w:t>.2015.)</w:t>
      </w:r>
      <w:r w:rsidR="00044423" w:rsidRPr="00ED743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D743D">
        <w:rPr>
          <w:rFonts w:ascii="Times New Roman" w:hAnsi="Times New Roman"/>
          <w:sz w:val="24"/>
          <w:szCs w:val="24"/>
          <w:lang w:val="lv-LV"/>
        </w:rPr>
        <w:t>nav nodokļu</w:t>
      </w:r>
      <w:r w:rsidR="008E6CF2" w:rsidRPr="00ED743D">
        <w:rPr>
          <w:rFonts w:ascii="Times New Roman" w:hAnsi="Times New Roman"/>
          <w:sz w:val="24"/>
          <w:szCs w:val="24"/>
          <w:lang w:val="lv-LV"/>
        </w:rPr>
        <w:t>, tajā skaitā valsts sociālās apdrošināšanas obligāto iemaks</w:t>
      </w:r>
      <w:r w:rsidR="00DC6BF1" w:rsidRPr="00ED743D">
        <w:rPr>
          <w:rFonts w:ascii="Times New Roman" w:hAnsi="Times New Roman"/>
          <w:sz w:val="24"/>
          <w:szCs w:val="24"/>
          <w:lang w:val="lv-LV"/>
        </w:rPr>
        <w:t>u parādu</w:t>
      </w:r>
      <w:r w:rsidR="008E6CF2" w:rsidRPr="00ED743D">
        <w:rPr>
          <w:rFonts w:ascii="Times New Roman" w:hAnsi="Times New Roman"/>
          <w:sz w:val="24"/>
          <w:szCs w:val="24"/>
          <w:lang w:val="lv-LV"/>
        </w:rPr>
        <w:t>,</w:t>
      </w:r>
      <w:r w:rsidRPr="00ED743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E6CF2" w:rsidRPr="00ED743D">
        <w:rPr>
          <w:rFonts w:ascii="Times New Roman" w:hAnsi="Times New Roman"/>
          <w:sz w:val="24"/>
          <w:szCs w:val="24"/>
          <w:lang w:val="lv-LV"/>
        </w:rPr>
        <w:t xml:space="preserve">kas kopsummā kādā no valstīm pārsniedz 150 EUR, </w:t>
      </w:r>
      <w:r w:rsidR="00160449" w:rsidRPr="00ED743D">
        <w:rPr>
          <w:rFonts w:ascii="Times New Roman" w:hAnsi="Times New Roman"/>
          <w:sz w:val="24"/>
          <w:szCs w:val="24"/>
          <w:lang w:val="lv-LV"/>
        </w:rPr>
        <w:t>un atkārtoti pārbaudīja,</w:t>
      </w:r>
      <w:r w:rsidR="0016044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ka nav ierakstu par </w:t>
      </w:r>
      <w:r w:rsidR="00F70413" w:rsidRPr="00F70413">
        <w:rPr>
          <w:rFonts w:ascii="Times New Roman" w:hAnsi="Times New Roman"/>
          <w:sz w:val="24"/>
          <w:szCs w:val="24"/>
        </w:rPr>
        <w:t>SIA”BIS S”</w:t>
      </w:r>
      <w:r w:rsidR="00F70413" w:rsidRPr="00F70413"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>maksātnespējas (t.sk. bankrota) procesiem, likvidācijas procesu, apturētu vai pārtrauktu saimniecisko darbību, tad pretendenta piedāvājums atbilst iepirkuma procedūras uzaicinājumā norādītajām pretendentu atlases prasībām</w:t>
      </w:r>
      <w:r w:rsidR="006A5FC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44423">
        <w:rPr>
          <w:rFonts w:ascii="Times New Roman" w:hAnsi="Times New Roman"/>
          <w:sz w:val="24"/>
          <w:szCs w:val="24"/>
          <w:lang w:val="lv-LV"/>
        </w:rPr>
        <w:t>(uzaicinājuma 9</w:t>
      </w:r>
      <w:r w:rsidR="006A5FC3" w:rsidRPr="006A5FC3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, un iepirkuma komisija nolemj noslēgt līgumu ar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pretendentu </w:t>
      </w:r>
      <w:r w:rsidR="00901B14" w:rsidRPr="00F70413">
        <w:rPr>
          <w:rFonts w:ascii="Times New Roman" w:hAnsi="Times New Roman"/>
          <w:sz w:val="24"/>
          <w:szCs w:val="24"/>
        </w:rPr>
        <w:t>SIA”BIS S”</w:t>
      </w:r>
      <w:r w:rsidR="00901B14" w:rsidRPr="00F70413"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par kopējo summu </w:t>
      </w:r>
      <w:r w:rsidR="00901B14" w:rsidRPr="00901B14">
        <w:rPr>
          <w:rFonts w:ascii="Times New Roman" w:hAnsi="Times New Roman"/>
          <w:b/>
          <w:sz w:val="24"/>
          <w:szCs w:val="24"/>
          <w:lang w:val="lv-LV"/>
        </w:rPr>
        <w:t>41</w:t>
      </w:r>
      <w:r w:rsidR="00FF01E6">
        <w:rPr>
          <w:rFonts w:ascii="Times New Roman" w:hAnsi="Times New Roman"/>
          <w:b/>
          <w:sz w:val="24"/>
          <w:szCs w:val="24"/>
          <w:lang w:val="lv-LV"/>
        </w:rPr>
        <w:t> </w:t>
      </w:r>
      <w:r w:rsidR="00901B14" w:rsidRPr="00901B14">
        <w:rPr>
          <w:rFonts w:ascii="Times New Roman" w:hAnsi="Times New Roman"/>
          <w:b/>
          <w:sz w:val="24"/>
          <w:szCs w:val="24"/>
          <w:lang w:val="lv-LV"/>
        </w:rPr>
        <w:t>946,54</w:t>
      </w:r>
      <w:r w:rsidR="00901B14" w:rsidRPr="00E034C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E5F5C">
        <w:rPr>
          <w:rFonts w:ascii="Times New Roman" w:hAnsi="Times New Roman"/>
          <w:b/>
          <w:bCs/>
          <w:sz w:val="24"/>
          <w:szCs w:val="24"/>
          <w:lang w:val="lv-LV"/>
        </w:rPr>
        <w:t>EUR (bez PVN)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Atbildīgo par līguma slēgšanu noteikt Inf</w:t>
      </w:r>
      <w:r w:rsidR="00901B14">
        <w:rPr>
          <w:rFonts w:ascii="Times New Roman" w:hAnsi="Times New Roman"/>
          <w:sz w:val="24"/>
          <w:szCs w:val="24"/>
          <w:lang w:val="lv-LV"/>
        </w:rPr>
        <w:t>rastruktūras apsaimniekošanas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departamenta </w:t>
      </w:r>
      <w:r w:rsidR="00901B14">
        <w:rPr>
          <w:rFonts w:ascii="Times New Roman" w:hAnsi="Times New Roman"/>
          <w:sz w:val="24"/>
          <w:szCs w:val="24"/>
          <w:lang w:val="lv-LV"/>
        </w:rPr>
        <w:t>direktoru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A. </w:t>
      </w:r>
      <w:proofErr w:type="spellStart"/>
      <w:r w:rsidR="00901B14">
        <w:rPr>
          <w:rFonts w:ascii="Times New Roman" w:hAnsi="Times New Roman"/>
          <w:sz w:val="24"/>
          <w:szCs w:val="24"/>
          <w:lang w:val="lv-LV"/>
        </w:rPr>
        <w:t>Geibu</w:t>
      </w:r>
      <w:proofErr w:type="spellEnd"/>
      <w:r w:rsidRPr="003A0697">
        <w:rPr>
          <w:rFonts w:ascii="Times New Roman" w:hAnsi="Times New Roman"/>
          <w:sz w:val="24"/>
          <w:szCs w:val="24"/>
          <w:lang w:val="lv-LV"/>
        </w:rPr>
        <w:t>.</w:t>
      </w:r>
    </w:p>
    <w:p w:rsidR="00901B14" w:rsidRPr="003A0697" w:rsidRDefault="003A0697" w:rsidP="00901B14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901B14">
        <w:rPr>
          <w:rFonts w:ascii="Times New Roman" w:hAnsi="Times New Roman"/>
          <w:sz w:val="24"/>
          <w:szCs w:val="24"/>
          <w:lang w:val="lv-LV"/>
        </w:rPr>
        <w:t xml:space="preserve">Atbildīgo par līguma izpildes uzraudzību noteikt </w:t>
      </w:r>
      <w:r w:rsidR="00901B14" w:rsidRPr="003A0697">
        <w:rPr>
          <w:rFonts w:ascii="Times New Roman" w:hAnsi="Times New Roman"/>
          <w:sz w:val="24"/>
          <w:szCs w:val="24"/>
          <w:lang w:val="lv-LV"/>
        </w:rPr>
        <w:t>Inf</w:t>
      </w:r>
      <w:r w:rsidR="00901B14">
        <w:rPr>
          <w:rFonts w:ascii="Times New Roman" w:hAnsi="Times New Roman"/>
          <w:sz w:val="24"/>
          <w:szCs w:val="24"/>
          <w:lang w:val="lv-LV"/>
        </w:rPr>
        <w:t>rastruktūras apsaimniekošanas</w:t>
      </w:r>
      <w:r w:rsidR="00901B14" w:rsidRPr="003A0697">
        <w:rPr>
          <w:rFonts w:ascii="Times New Roman" w:hAnsi="Times New Roman"/>
          <w:sz w:val="24"/>
          <w:szCs w:val="24"/>
          <w:lang w:val="lv-LV"/>
        </w:rPr>
        <w:t xml:space="preserve"> departamenta </w:t>
      </w:r>
      <w:r w:rsidR="00901B14">
        <w:rPr>
          <w:rFonts w:ascii="Times New Roman" w:hAnsi="Times New Roman"/>
          <w:sz w:val="24"/>
          <w:szCs w:val="24"/>
          <w:lang w:val="lv-LV"/>
        </w:rPr>
        <w:t>direktoru</w:t>
      </w:r>
      <w:r w:rsidR="00901B14" w:rsidRPr="003A0697">
        <w:rPr>
          <w:rFonts w:ascii="Times New Roman" w:hAnsi="Times New Roman"/>
          <w:sz w:val="24"/>
          <w:szCs w:val="24"/>
          <w:lang w:val="lv-LV"/>
        </w:rPr>
        <w:t xml:space="preserve"> A. </w:t>
      </w:r>
      <w:proofErr w:type="spellStart"/>
      <w:r w:rsidR="00901B14">
        <w:rPr>
          <w:rFonts w:ascii="Times New Roman" w:hAnsi="Times New Roman"/>
          <w:sz w:val="24"/>
          <w:szCs w:val="24"/>
          <w:lang w:val="lv-LV"/>
        </w:rPr>
        <w:t>Geibu</w:t>
      </w:r>
      <w:proofErr w:type="spellEnd"/>
      <w:r w:rsidR="00901B14" w:rsidRPr="003A0697">
        <w:rPr>
          <w:rFonts w:ascii="Times New Roman" w:hAnsi="Times New Roman"/>
          <w:sz w:val="24"/>
          <w:szCs w:val="24"/>
          <w:lang w:val="lv-LV"/>
        </w:rPr>
        <w:t>.</w:t>
      </w:r>
    </w:p>
    <w:p w:rsidR="003A0697" w:rsidRPr="00ED743D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901B14">
        <w:rPr>
          <w:rFonts w:ascii="Times New Roman" w:hAnsi="Times New Roman"/>
          <w:sz w:val="24"/>
          <w:szCs w:val="24"/>
          <w:lang w:val="lv-LV"/>
        </w:rPr>
        <w:t>Infrastruktūras apsaimniekošanas departamenta vecākajai ekspertei D. Klintij līdz 201</w:t>
      </w:r>
      <w:r w:rsidR="006A5FC3" w:rsidRPr="00901B14">
        <w:rPr>
          <w:rFonts w:ascii="Times New Roman" w:hAnsi="Times New Roman"/>
          <w:sz w:val="24"/>
          <w:szCs w:val="24"/>
          <w:lang w:val="lv-LV"/>
        </w:rPr>
        <w:t>5</w:t>
      </w:r>
      <w:r w:rsidRPr="00901B14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901B14" w:rsidRPr="00ED743D">
        <w:rPr>
          <w:rFonts w:ascii="Times New Roman" w:hAnsi="Times New Roman"/>
          <w:sz w:val="24"/>
          <w:szCs w:val="24"/>
          <w:lang w:val="lv-LV"/>
        </w:rPr>
        <w:t>4</w:t>
      </w:r>
      <w:r w:rsidRPr="00ED743D">
        <w:rPr>
          <w:rFonts w:ascii="Times New Roman" w:hAnsi="Times New Roman"/>
          <w:sz w:val="24"/>
          <w:szCs w:val="24"/>
          <w:lang w:val="lv-LV"/>
        </w:rPr>
        <w:t>. </w:t>
      </w:r>
      <w:r w:rsidR="00901B14" w:rsidRPr="00ED743D">
        <w:rPr>
          <w:rFonts w:ascii="Times New Roman" w:hAnsi="Times New Roman"/>
          <w:sz w:val="24"/>
          <w:szCs w:val="24"/>
          <w:lang w:val="lv-LV"/>
        </w:rPr>
        <w:t>novembrim</w:t>
      </w:r>
      <w:r w:rsidRPr="00ED743D">
        <w:rPr>
          <w:rFonts w:ascii="Times New Roman" w:hAnsi="Times New Roman"/>
          <w:sz w:val="24"/>
          <w:szCs w:val="24"/>
          <w:lang w:val="lv-LV"/>
        </w:rPr>
        <w:t xml:space="preserve"> sagatavot un nosūtīt vēstuli </w:t>
      </w:r>
      <w:r w:rsidR="00982ACA" w:rsidRPr="00ED743D">
        <w:rPr>
          <w:rFonts w:ascii="Times New Roman" w:hAnsi="Times New Roman"/>
          <w:sz w:val="24"/>
          <w:szCs w:val="24"/>
        </w:rPr>
        <w:t xml:space="preserve">SIA “BUSINESS PLUS”, </w:t>
      </w:r>
      <w:r w:rsidR="00901B14" w:rsidRPr="00ED743D">
        <w:rPr>
          <w:rFonts w:ascii="Times New Roman" w:hAnsi="Times New Roman"/>
          <w:sz w:val="24"/>
          <w:szCs w:val="24"/>
        </w:rPr>
        <w:t>SIA “TANTRA - L” un SIA ”BIS S”</w:t>
      </w:r>
      <w:r w:rsidR="00901B14" w:rsidRPr="00ED743D">
        <w:t xml:space="preserve"> </w:t>
      </w:r>
      <w:r w:rsidRPr="00ED743D">
        <w:rPr>
          <w:rFonts w:ascii="Times New Roman" w:hAnsi="Times New Roman"/>
          <w:sz w:val="24"/>
          <w:szCs w:val="24"/>
          <w:lang w:val="lv-LV"/>
        </w:rPr>
        <w:t>par iepirkuma procedūras rezultātiem.</w:t>
      </w:r>
    </w:p>
    <w:p w:rsidR="003A0697" w:rsidRPr="00ED743D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ED743D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</w:t>
      </w:r>
      <w:r w:rsidR="00901B14" w:rsidRPr="00ED743D">
        <w:rPr>
          <w:rFonts w:ascii="Times New Roman" w:hAnsi="Times New Roman"/>
          <w:sz w:val="24"/>
          <w:szCs w:val="24"/>
          <w:lang w:val="lv-LV"/>
        </w:rPr>
        <w:t xml:space="preserve">vecākajai ekspertei D. Klintij </w:t>
      </w:r>
      <w:r w:rsidR="006A5FC3" w:rsidRPr="00ED743D">
        <w:rPr>
          <w:rFonts w:ascii="Times New Roman" w:hAnsi="Times New Roman"/>
          <w:sz w:val="24"/>
          <w:szCs w:val="24"/>
          <w:lang w:val="lv-LV"/>
        </w:rPr>
        <w:t>līdz 2015</w:t>
      </w:r>
      <w:r w:rsidRPr="00ED743D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3513C0" w:rsidRPr="00ED743D">
        <w:rPr>
          <w:rFonts w:ascii="Times New Roman" w:hAnsi="Times New Roman"/>
          <w:sz w:val="24"/>
          <w:szCs w:val="24"/>
          <w:lang w:val="lv-LV"/>
        </w:rPr>
        <w:t>4</w:t>
      </w:r>
      <w:r w:rsidRPr="00ED743D">
        <w:rPr>
          <w:rFonts w:ascii="Times New Roman" w:hAnsi="Times New Roman"/>
          <w:sz w:val="24"/>
          <w:szCs w:val="24"/>
          <w:lang w:val="lv-LV"/>
        </w:rPr>
        <w:t>. </w:t>
      </w:r>
      <w:r w:rsidR="00901B14" w:rsidRPr="00ED743D">
        <w:rPr>
          <w:rFonts w:ascii="Times New Roman" w:hAnsi="Times New Roman"/>
          <w:sz w:val="24"/>
          <w:szCs w:val="24"/>
          <w:lang w:val="lv-LV"/>
        </w:rPr>
        <w:t>novembrim</w:t>
      </w:r>
      <w:r w:rsidRPr="00ED743D">
        <w:rPr>
          <w:rFonts w:ascii="Times New Roman" w:hAnsi="Times New Roman"/>
          <w:sz w:val="24"/>
          <w:szCs w:val="24"/>
          <w:lang w:val="lv-LV"/>
        </w:rPr>
        <w:t xml:space="preserve"> publicēt lēmumu par iepirkuma procedūras rezultātiem Valsts kases mājaslapas </w:t>
      </w:r>
      <w:hyperlink r:id="rId9" w:history="1">
        <w:r w:rsidRPr="00ED743D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ED743D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75034D" w:rsidRPr="00ED743D" w:rsidRDefault="003A0697" w:rsidP="0075034D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ED743D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proofErr w:type="spellStart"/>
      <w:r w:rsidRPr="00ED743D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ED743D">
        <w:rPr>
          <w:rFonts w:ascii="Times New Roman" w:hAnsi="Times New Roman"/>
          <w:sz w:val="24"/>
          <w:szCs w:val="24"/>
          <w:lang w:val="lv-LV"/>
        </w:rPr>
        <w:t xml:space="preserve"> ne vēlāk kā dienā, kad stājas spēkā iepirkuma līgums, publicēt iepirkuma līguma tekstu Valsts kases mājaslapas </w:t>
      </w:r>
      <w:hyperlink r:id="rId10" w:history="1">
        <w:r w:rsidRPr="00ED743D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ED743D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6B4B67" w:rsidRPr="003A0697" w:rsidRDefault="00160449" w:rsidP="00C74EC0">
      <w:pPr>
        <w:pStyle w:val="Header"/>
        <w:numPr>
          <w:ilvl w:val="0"/>
          <w:numId w:val="14"/>
        </w:numPr>
        <w:tabs>
          <w:tab w:val="left" w:pos="720"/>
        </w:tabs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ED743D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proofErr w:type="spellStart"/>
      <w:r w:rsidRPr="00ED743D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ED743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0697" w:rsidRPr="00ED743D">
        <w:rPr>
          <w:rFonts w:ascii="Times New Roman" w:hAnsi="Times New Roman"/>
          <w:sz w:val="24"/>
          <w:szCs w:val="24"/>
          <w:lang w:val="lv-LV"/>
        </w:rPr>
        <w:t>publicēt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3A0697" w:rsidRPr="003A0697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1" w:history="1">
        <w:r w:rsidR="003A0697"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5034D" w:rsidRPr="00ED743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ED743D">
        <w:rPr>
          <w:rFonts w:ascii="Times New Roman" w:hAnsi="Times New Roman"/>
          <w:sz w:val="20"/>
          <w:szCs w:val="20"/>
          <w:lang w:val="lv-LV"/>
        </w:rPr>
        <w:t>Sēdi beidz plkst. 16.00.</w:t>
      </w:r>
    </w:p>
    <w:p w:rsidR="0075034D" w:rsidRPr="00ED743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634C58" w:rsidRPr="00634C58" w:rsidRDefault="007E0AB7" w:rsidP="00982ACA">
      <w:pPr>
        <w:pStyle w:val="Header"/>
        <w:ind w:left="1134" w:hanging="1134"/>
        <w:jc w:val="both"/>
        <w:rPr>
          <w:rFonts w:ascii="Times New Roman" w:hAnsi="Times New Roman"/>
          <w:sz w:val="24"/>
          <w:szCs w:val="24"/>
          <w:lang w:val="lv-LV"/>
        </w:rPr>
      </w:pPr>
      <w:r w:rsidRPr="00ED743D">
        <w:rPr>
          <w:rFonts w:ascii="Times New Roman" w:hAnsi="Times New Roman"/>
          <w:sz w:val="24"/>
          <w:szCs w:val="24"/>
          <w:lang w:val="lv-LV"/>
        </w:rPr>
        <w:t>Pielikumā:</w:t>
      </w:r>
      <w:r w:rsidR="003A0697" w:rsidRPr="00ED743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34C58" w:rsidRPr="00ED743D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634C58" w:rsidRPr="00ED743D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634C58" w:rsidRPr="00ED743D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slēgšanas tiesību piešķiršanu (</w:t>
      </w:r>
      <w:r w:rsidR="00706F8D" w:rsidRPr="00ED743D">
        <w:rPr>
          <w:rFonts w:ascii="Times New Roman" w:hAnsi="Times New Roman"/>
          <w:sz w:val="24"/>
          <w:szCs w:val="24"/>
          <w:lang w:val="lv-LV"/>
        </w:rPr>
        <w:t>03</w:t>
      </w:r>
      <w:r w:rsidR="00634C58" w:rsidRPr="00ED743D">
        <w:rPr>
          <w:rFonts w:ascii="Times New Roman" w:hAnsi="Times New Roman"/>
          <w:sz w:val="24"/>
          <w:szCs w:val="24"/>
          <w:lang w:val="lv-LV"/>
        </w:rPr>
        <w:t>.1</w:t>
      </w:r>
      <w:r w:rsidR="00160449" w:rsidRPr="00ED743D">
        <w:rPr>
          <w:rFonts w:ascii="Times New Roman" w:hAnsi="Times New Roman"/>
          <w:sz w:val="24"/>
          <w:szCs w:val="24"/>
          <w:lang w:val="lv-LV"/>
        </w:rPr>
        <w:t>1</w:t>
      </w:r>
      <w:r w:rsidR="00634C58" w:rsidRPr="00ED743D">
        <w:rPr>
          <w:rFonts w:ascii="Times New Roman" w:hAnsi="Times New Roman"/>
          <w:sz w:val="24"/>
          <w:szCs w:val="24"/>
          <w:lang w:val="lv-LV"/>
        </w:rPr>
        <w:t xml:space="preserve">.2015.) uz </w:t>
      </w:r>
      <w:r w:rsidR="00ED743D" w:rsidRPr="00ED743D">
        <w:rPr>
          <w:rFonts w:ascii="Times New Roman" w:hAnsi="Times New Roman"/>
          <w:sz w:val="24"/>
          <w:szCs w:val="24"/>
          <w:lang w:val="lv-LV"/>
        </w:rPr>
        <w:t>4</w:t>
      </w:r>
      <w:r w:rsidR="00634C58" w:rsidRPr="00ED743D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A4D0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</w:t>
            </w:r>
            <w:r w:rsidR="00A3017E"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Geiba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A3017E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03" w:rsidRDefault="00DE3E03">
      <w:pPr>
        <w:spacing w:after="0" w:line="240" w:lineRule="auto"/>
      </w:pPr>
      <w:r>
        <w:separator/>
      </w:r>
    </w:p>
  </w:endnote>
  <w:endnote w:type="continuationSeparator" w:id="0">
    <w:p w:rsidR="00DE3E03" w:rsidRDefault="00DE3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0E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03" w:rsidRDefault="00DE3E03">
      <w:pPr>
        <w:spacing w:after="0" w:line="240" w:lineRule="auto"/>
      </w:pPr>
      <w:r>
        <w:separator/>
      </w:r>
    </w:p>
  </w:footnote>
  <w:footnote w:type="continuationSeparator" w:id="0">
    <w:p w:rsidR="00DE3E03" w:rsidRDefault="00DE3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5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7A"/>
    <w:rsid w:val="00006384"/>
    <w:rsid w:val="0001528C"/>
    <w:rsid w:val="00030349"/>
    <w:rsid w:val="00032059"/>
    <w:rsid w:val="00032C32"/>
    <w:rsid w:val="00044423"/>
    <w:rsid w:val="00060A53"/>
    <w:rsid w:val="00075CE4"/>
    <w:rsid w:val="000818B6"/>
    <w:rsid w:val="000A72C9"/>
    <w:rsid w:val="000B3818"/>
    <w:rsid w:val="000E2484"/>
    <w:rsid w:val="000F7A0E"/>
    <w:rsid w:val="00100E6F"/>
    <w:rsid w:val="00124173"/>
    <w:rsid w:val="00125FB8"/>
    <w:rsid w:val="001265BC"/>
    <w:rsid w:val="0014147A"/>
    <w:rsid w:val="00142720"/>
    <w:rsid w:val="0014742E"/>
    <w:rsid w:val="00147D9F"/>
    <w:rsid w:val="00160449"/>
    <w:rsid w:val="0016247D"/>
    <w:rsid w:val="00163FC9"/>
    <w:rsid w:val="001703E6"/>
    <w:rsid w:val="0018093F"/>
    <w:rsid w:val="0018097A"/>
    <w:rsid w:val="00192CF6"/>
    <w:rsid w:val="001C49BC"/>
    <w:rsid w:val="001F0120"/>
    <w:rsid w:val="0021308F"/>
    <w:rsid w:val="00227E27"/>
    <w:rsid w:val="002364B4"/>
    <w:rsid w:val="002435AA"/>
    <w:rsid w:val="00245F18"/>
    <w:rsid w:val="0027051D"/>
    <w:rsid w:val="00275552"/>
    <w:rsid w:val="00275B9E"/>
    <w:rsid w:val="00290E5C"/>
    <w:rsid w:val="002D2682"/>
    <w:rsid w:val="002D31B1"/>
    <w:rsid w:val="002E1474"/>
    <w:rsid w:val="002E519D"/>
    <w:rsid w:val="002E5C3D"/>
    <w:rsid w:val="002F5BD9"/>
    <w:rsid w:val="00331FC9"/>
    <w:rsid w:val="003513C0"/>
    <w:rsid w:val="00371776"/>
    <w:rsid w:val="00372395"/>
    <w:rsid w:val="00381565"/>
    <w:rsid w:val="003A0697"/>
    <w:rsid w:val="003D298E"/>
    <w:rsid w:val="003E3BD6"/>
    <w:rsid w:val="00402E94"/>
    <w:rsid w:val="004154C9"/>
    <w:rsid w:val="00470CE3"/>
    <w:rsid w:val="00474D4A"/>
    <w:rsid w:val="00494C7A"/>
    <w:rsid w:val="004B3BCF"/>
    <w:rsid w:val="004D07EE"/>
    <w:rsid w:val="0051099A"/>
    <w:rsid w:val="00517E09"/>
    <w:rsid w:val="0053061C"/>
    <w:rsid w:val="00535564"/>
    <w:rsid w:val="00537C41"/>
    <w:rsid w:val="00572ECF"/>
    <w:rsid w:val="00582C2C"/>
    <w:rsid w:val="00583E71"/>
    <w:rsid w:val="00584FB9"/>
    <w:rsid w:val="005B001B"/>
    <w:rsid w:val="005B4120"/>
    <w:rsid w:val="005D31DC"/>
    <w:rsid w:val="005E6FD1"/>
    <w:rsid w:val="0060667F"/>
    <w:rsid w:val="00634C58"/>
    <w:rsid w:val="00663C3A"/>
    <w:rsid w:val="0066721E"/>
    <w:rsid w:val="006733D6"/>
    <w:rsid w:val="00692B5F"/>
    <w:rsid w:val="006A5FC3"/>
    <w:rsid w:val="006B1782"/>
    <w:rsid w:val="006B4B67"/>
    <w:rsid w:val="006C561D"/>
    <w:rsid w:val="006E63E1"/>
    <w:rsid w:val="00706F8D"/>
    <w:rsid w:val="00743BFE"/>
    <w:rsid w:val="0075034D"/>
    <w:rsid w:val="007553C6"/>
    <w:rsid w:val="0078158F"/>
    <w:rsid w:val="007B0947"/>
    <w:rsid w:val="007B3BA5"/>
    <w:rsid w:val="007B774E"/>
    <w:rsid w:val="007C2C92"/>
    <w:rsid w:val="007E0AB7"/>
    <w:rsid w:val="007E4D1F"/>
    <w:rsid w:val="007E6B7F"/>
    <w:rsid w:val="007F0FF1"/>
    <w:rsid w:val="007F33AC"/>
    <w:rsid w:val="008043F1"/>
    <w:rsid w:val="00815277"/>
    <w:rsid w:val="008309B9"/>
    <w:rsid w:val="00832EC6"/>
    <w:rsid w:val="0083683C"/>
    <w:rsid w:val="00876C21"/>
    <w:rsid w:val="00882ED4"/>
    <w:rsid w:val="00883CDE"/>
    <w:rsid w:val="008A4357"/>
    <w:rsid w:val="008A7FFD"/>
    <w:rsid w:val="008E6CF2"/>
    <w:rsid w:val="00901B14"/>
    <w:rsid w:val="00903245"/>
    <w:rsid w:val="00906894"/>
    <w:rsid w:val="00934E87"/>
    <w:rsid w:val="009358F1"/>
    <w:rsid w:val="00955BD6"/>
    <w:rsid w:val="00960C5E"/>
    <w:rsid w:val="0096432E"/>
    <w:rsid w:val="00982ACA"/>
    <w:rsid w:val="00985B23"/>
    <w:rsid w:val="00985E35"/>
    <w:rsid w:val="00985FB4"/>
    <w:rsid w:val="00993639"/>
    <w:rsid w:val="009A0C03"/>
    <w:rsid w:val="009C57F8"/>
    <w:rsid w:val="009E5F5C"/>
    <w:rsid w:val="009E72D0"/>
    <w:rsid w:val="00A119AD"/>
    <w:rsid w:val="00A210DA"/>
    <w:rsid w:val="00A2502E"/>
    <w:rsid w:val="00A26E4F"/>
    <w:rsid w:val="00A3017E"/>
    <w:rsid w:val="00A34581"/>
    <w:rsid w:val="00A36045"/>
    <w:rsid w:val="00A744EC"/>
    <w:rsid w:val="00A7581E"/>
    <w:rsid w:val="00A8277F"/>
    <w:rsid w:val="00A83359"/>
    <w:rsid w:val="00A83382"/>
    <w:rsid w:val="00A85A2C"/>
    <w:rsid w:val="00A95BEA"/>
    <w:rsid w:val="00AC4FE5"/>
    <w:rsid w:val="00AC689C"/>
    <w:rsid w:val="00AC6CB8"/>
    <w:rsid w:val="00AD0E29"/>
    <w:rsid w:val="00AE48CE"/>
    <w:rsid w:val="00AF1354"/>
    <w:rsid w:val="00B12C26"/>
    <w:rsid w:val="00B16EBA"/>
    <w:rsid w:val="00B22FBD"/>
    <w:rsid w:val="00B33C0F"/>
    <w:rsid w:val="00B402EA"/>
    <w:rsid w:val="00B674BF"/>
    <w:rsid w:val="00BA4D0B"/>
    <w:rsid w:val="00BB5439"/>
    <w:rsid w:val="00C12B8E"/>
    <w:rsid w:val="00C14E05"/>
    <w:rsid w:val="00C14F88"/>
    <w:rsid w:val="00C22484"/>
    <w:rsid w:val="00C267E5"/>
    <w:rsid w:val="00C47F57"/>
    <w:rsid w:val="00C61F62"/>
    <w:rsid w:val="00C64964"/>
    <w:rsid w:val="00C74EC0"/>
    <w:rsid w:val="00C805D3"/>
    <w:rsid w:val="00C84ED7"/>
    <w:rsid w:val="00CA0181"/>
    <w:rsid w:val="00CB4B93"/>
    <w:rsid w:val="00CC7FAE"/>
    <w:rsid w:val="00CD2C57"/>
    <w:rsid w:val="00CE133A"/>
    <w:rsid w:val="00CE56B4"/>
    <w:rsid w:val="00CF36D9"/>
    <w:rsid w:val="00D21FA6"/>
    <w:rsid w:val="00D40B9F"/>
    <w:rsid w:val="00D8211D"/>
    <w:rsid w:val="00D82196"/>
    <w:rsid w:val="00DA16E2"/>
    <w:rsid w:val="00DC6BF1"/>
    <w:rsid w:val="00DD1C99"/>
    <w:rsid w:val="00DE3E03"/>
    <w:rsid w:val="00DF41BB"/>
    <w:rsid w:val="00E019E2"/>
    <w:rsid w:val="00E027A7"/>
    <w:rsid w:val="00E31AA8"/>
    <w:rsid w:val="00E31DF9"/>
    <w:rsid w:val="00E365CE"/>
    <w:rsid w:val="00E37E99"/>
    <w:rsid w:val="00E664F8"/>
    <w:rsid w:val="00E714F5"/>
    <w:rsid w:val="00E72AA8"/>
    <w:rsid w:val="00E7353C"/>
    <w:rsid w:val="00E81B96"/>
    <w:rsid w:val="00E8645B"/>
    <w:rsid w:val="00EC05F8"/>
    <w:rsid w:val="00EC3062"/>
    <w:rsid w:val="00ED2F2C"/>
    <w:rsid w:val="00ED743D"/>
    <w:rsid w:val="00EF35D6"/>
    <w:rsid w:val="00F03093"/>
    <w:rsid w:val="00F030F5"/>
    <w:rsid w:val="00F10DD0"/>
    <w:rsid w:val="00F146B6"/>
    <w:rsid w:val="00F1601B"/>
    <w:rsid w:val="00F205B0"/>
    <w:rsid w:val="00F211BC"/>
    <w:rsid w:val="00F255C6"/>
    <w:rsid w:val="00F36F1F"/>
    <w:rsid w:val="00F41D83"/>
    <w:rsid w:val="00F50D8F"/>
    <w:rsid w:val="00F67680"/>
    <w:rsid w:val="00F70413"/>
    <w:rsid w:val="00F73E3B"/>
    <w:rsid w:val="00F93641"/>
    <w:rsid w:val="00FF0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0A5E1-D8F4-4063-84D6-C8BE34DD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2884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2015-10-28T12:22:00Z</cp:lastPrinted>
  <dcterms:created xsi:type="dcterms:W3CDTF">2017-10-04T10:37:00Z</dcterms:created>
  <dcterms:modified xsi:type="dcterms:W3CDTF">2017-10-04T10:37:00Z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