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2B1559" w:rsidRPr="002B1559">
        <w:rPr>
          <w:rFonts w:ascii="Times New Roman" w:hAnsi="Times New Roman"/>
          <w:b/>
          <w:bCs/>
          <w:caps/>
          <w:sz w:val="24"/>
          <w:szCs w:val="24"/>
          <w:lang w:val="lv-LV"/>
        </w:rPr>
        <w:t>„Tīkla komutator</w:t>
      </w:r>
      <w:r w:rsidR="00F861FF">
        <w:rPr>
          <w:rFonts w:ascii="Times New Roman" w:hAnsi="Times New Roman"/>
          <w:b/>
          <w:bCs/>
          <w:caps/>
          <w:sz w:val="24"/>
          <w:szCs w:val="24"/>
          <w:lang w:val="lv-LV"/>
        </w:rPr>
        <w:t>i</w:t>
      </w:r>
      <w:r w:rsidR="002B1559" w:rsidRPr="002B1559">
        <w:rPr>
          <w:rFonts w:ascii="Times New Roman" w:hAnsi="Times New Roman"/>
          <w:b/>
          <w:bCs/>
          <w:caps/>
          <w:sz w:val="24"/>
          <w:szCs w:val="24"/>
          <w:lang w:val="lv-LV"/>
        </w:rPr>
        <w:t>”</w:t>
      </w:r>
      <w:r w:rsidR="00BF28CE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</w:t>
      </w:r>
      <w:r w:rsidR="00F861FF">
        <w:rPr>
          <w:rFonts w:ascii="Times New Roman" w:hAnsi="Times New Roman"/>
          <w:b/>
          <w:bCs/>
          <w:caps/>
          <w:sz w:val="24"/>
          <w:szCs w:val="24"/>
          <w:lang w:val="lv-LV"/>
        </w:rPr>
        <w:t>6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/</w:t>
      </w:r>
      <w:r w:rsidR="00F861FF">
        <w:rPr>
          <w:rFonts w:ascii="Times New Roman" w:hAnsi="Times New Roman"/>
          <w:b/>
          <w:bCs/>
          <w:caps/>
          <w:sz w:val="24"/>
          <w:szCs w:val="24"/>
          <w:lang w:val="lv-LV"/>
        </w:rPr>
        <w:t>04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</w:t>
            </w:r>
            <w:r w:rsidR="00F861FF">
              <w:rPr>
                <w:rFonts w:ascii="Times New Roman" w:hAnsi="Times New Roman"/>
                <w:sz w:val="20"/>
                <w:szCs w:val="20"/>
                <w:lang w:val="lv-LV"/>
              </w:rPr>
              <w:t>6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F861FF">
              <w:rPr>
                <w:rFonts w:ascii="Times New Roman" w:hAnsi="Times New Roman"/>
                <w:sz w:val="20"/>
                <w:szCs w:val="20"/>
                <w:lang w:val="lv-LV"/>
              </w:rPr>
              <w:t>1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F861FF">
              <w:rPr>
                <w:rFonts w:ascii="Times New Roman" w:hAnsi="Times New Roman"/>
                <w:sz w:val="20"/>
                <w:szCs w:val="20"/>
                <w:lang w:val="lv-LV"/>
              </w:rPr>
              <w:t>jūlijā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6E63E1">
              <w:rPr>
                <w:rFonts w:ascii="Times New Roman" w:hAnsi="Times New Roman"/>
                <w:sz w:val="20"/>
                <w:szCs w:val="20"/>
              </w:rPr>
              <w:t>1</w:t>
            </w:r>
            <w:r w:rsidR="00F861FF">
              <w:rPr>
                <w:rFonts w:ascii="Times New Roman" w:hAnsi="Times New Roman"/>
                <w:sz w:val="20"/>
                <w:szCs w:val="20"/>
              </w:rPr>
              <w:t>3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</w:t>
            </w:r>
            <w:r w:rsidR="00F861FF">
              <w:rPr>
                <w:rFonts w:ascii="Times New Roman" w:hAnsi="Times New Roman"/>
                <w:sz w:val="20"/>
                <w:szCs w:val="20"/>
              </w:rPr>
              <w:t>3</w:t>
            </w:r>
            <w:r w:rsidRPr="006E63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61329A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7B0947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F861FF" w:rsidRPr="00FD211B" w:rsidTr="00A36045">
        <w:tc>
          <w:tcPr>
            <w:tcW w:w="4575" w:type="dxa"/>
          </w:tcPr>
          <w:p w:rsidR="00F861FF" w:rsidRDefault="00F861FF" w:rsidP="004D5E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2364B4">
              <w:rPr>
                <w:rFonts w:ascii="Times New Roman" w:hAnsi="Times New Roman"/>
                <w:sz w:val="20"/>
                <w:szCs w:val="20"/>
                <w:lang w:val="lv-LV"/>
              </w:rPr>
              <w:t>Infrastruk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tūras uzturēšanas daļas vadītāja vietnieks</w:t>
            </w:r>
          </w:p>
        </w:tc>
        <w:tc>
          <w:tcPr>
            <w:tcW w:w="4705" w:type="dxa"/>
          </w:tcPr>
          <w:p w:rsidR="00F861FF" w:rsidRDefault="00F861FF" w:rsidP="004D5E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861FF" w:rsidRPr="00FD211B" w:rsidRDefault="00F861FF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2B1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Nep</w:t>
            </w: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iedalās:</w:t>
            </w: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Default="00F861FF" w:rsidP="002B1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4154C9" w:rsidRDefault="00F861FF" w:rsidP="004D5E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F861FF" w:rsidRDefault="00F861FF" w:rsidP="004D5E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861FF" w:rsidRDefault="00F861FF" w:rsidP="004D5E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EA5E78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Infrastruktūras apsaimniekošanas departamenta 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direktora vietniece</w:t>
            </w:r>
          </w:p>
        </w:tc>
        <w:tc>
          <w:tcPr>
            <w:tcW w:w="4705" w:type="dxa"/>
          </w:tcPr>
          <w:p w:rsidR="00F861FF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861FF" w:rsidRPr="00FD211B" w:rsidRDefault="00F861FF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Ozola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F861FF">
        <w:rPr>
          <w:rFonts w:ascii="Times New Roman" w:hAnsi="Times New Roman"/>
          <w:sz w:val="24"/>
          <w:szCs w:val="24"/>
          <w:lang w:val="lv-LV"/>
        </w:rPr>
        <w:t>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</w:t>
      </w:r>
      <w:r w:rsidR="00F861FF">
        <w:rPr>
          <w:rFonts w:ascii="Times New Roman" w:hAnsi="Times New Roman"/>
          <w:sz w:val="24"/>
          <w:szCs w:val="24"/>
          <w:lang w:val="lv-LV"/>
        </w:rPr>
        <w:t>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atvēršana:</w:t>
      </w:r>
    </w:p>
    <w:p w:rsidR="00043437" w:rsidRPr="007A60AC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>a iepirkuma procedūrai iesniegt</w:t>
      </w:r>
      <w:r w:rsidR="00F861FF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F861FF">
        <w:rPr>
          <w:rFonts w:ascii="Times New Roman" w:hAnsi="Times New Roman"/>
          <w:bCs/>
          <w:sz w:val="24"/>
          <w:szCs w:val="24"/>
          <w:lang w:val="lv-LV"/>
        </w:rPr>
        <w:t>viens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 xml:space="preserve"> piedāvājum</w:t>
      </w:r>
      <w:r w:rsidR="00F861FF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7A60AC" w:rsidRPr="007A60AC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7A60AC" w:rsidRPr="007A60A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 w:rsidR="002E5823"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pretendentu Publisko iepirkumu likuma 23. panta pirmās daļas izpratnē.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atver iesniegto piedāvājumu un nosauc finanšu piedāvājum</w:t>
      </w:r>
      <w:r w:rsidR="00F861FF">
        <w:rPr>
          <w:rFonts w:ascii="Times New Roman" w:hAnsi="Times New Roman"/>
          <w:sz w:val="24"/>
          <w:szCs w:val="24"/>
          <w:lang w:val="lv-LV"/>
        </w:rPr>
        <w:t>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cenu:</w:t>
      </w: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043437" w:rsidRPr="00043437" w:rsidTr="00043437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741EAF" w:rsidRPr="00043437" w:rsidTr="00043437">
        <w:trPr>
          <w:cantSplit/>
        </w:trPr>
        <w:tc>
          <w:tcPr>
            <w:tcW w:w="3892" w:type="dxa"/>
          </w:tcPr>
          <w:p w:rsidR="00741EAF" w:rsidRPr="00043437" w:rsidRDefault="00741EAF" w:rsidP="00741EA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proofErr w:type="spellStart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OptiCom</w:t>
            </w:r>
            <w:proofErr w:type="spellEnd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741EAF" w:rsidRPr="00043437" w:rsidRDefault="00741EAF" w:rsidP="00741EAF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40003231409</w:t>
            </w:r>
          </w:p>
          <w:p w:rsidR="00741EAF" w:rsidRPr="001B6C04" w:rsidRDefault="00741EAF" w:rsidP="00741EA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Rūpniecības iela 5, Rīga, LV - 1010</w:t>
            </w:r>
          </w:p>
        </w:tc>
        <w:tc>
          <w:tcPr>
            <w:tcW w:w="2744" w:type="dxa"/>
          </w:tcPr>
          <w:p w:rsidR="00FD2611" w:rsidRPr="00FD2611" w:rsidRDefault="00FD2611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D2611" w:rsidRPr="00FD2611" w:rsidRDefault="002D5B9F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</w:t>
            </w:r>
            <w:r w:rsidR="00F861F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F861F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06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</w:t>
            </w:r>
            <w:r w:rsidR="00F861F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6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741EAF" w:rsidRPr="00043437" w:rsidRDefault="00FD2611" w:rsidP="00F861F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2D5B9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</w:t>
            </w:r>
            <w:r w:rsidR="00F861F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27</w:t>
            </w:r>
          </w:p>
        </w:tc>
        <w:tc>
          <w:tcPr>
            <w:tcW w:w="2720" w:type="dxa"/>
          </w:tcPr>
          <w:p w:rsidR="007A60AC" w:rsidRDefault="007A60AC" w:rsidP="007A60A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741EAF" w:rsidRPr="007A60AC" w:rsidRDefault="00F861FF" w:rsidP="00F861F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25</w:t>
            </w:r>
            <w:r w:rsidR="007A60AC" w:rsidRPr="007A60A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</w:t>
            </w:r>
            <w:r w:rsidR="007A60AC" w:rsidRPr="007A60A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,00</w:t>
            </w:r>
          </w:p>
        </w:tc>
      </w:tr>
    </w:tbl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F861FF">
        <w:rPr>
          <w:rFonts w:ascii="Times New Roman" w:hAnsi="Times New Roman"/>
          <w:sz w:val="24"/>
          <w:szCs w:val="24"/>
          <w:lang w:val="lv-LV"/>
        </w:rPr>
        <w:t>a</w:t>
      </w:r>
      <w:r w:rsidR="00D87303">
        <w:rPr>
          <w:rFonts w:ascii="Times New Roman" w:hAnsi="Times New Roman"/>
          <w:sz w:val="24"/>
          <w:szCs w:val="24"/>
          <w:lang w:val="lv-LV"/>
        </w:rPr>
        <w:t xml:space="preserve"> -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D87303" w:rsidRPr="00D87303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="00D87303">
        <w:rPr>
          <w:rFonts w:ascii="Times New Roman" w:hAnsi="Times New Roman"/>
          <w:bCs/>
          <w:sz w:val="24"/>
          <w:szCs w:val="24"/>
          <w:lang w:val="lv-LV"/>
        </w:rPr>
        <w:t xml:space="preserve">- </w:t>
      </w:r>
      <w:r w:rsidR="00D87303">
        <w:rPr>
          <w:rFonts w:ascii="Times New Roman" w:hAnsi="Times New Roman"/>
          <w:sz w:val="24"/>
          <w:szCs w:val="24"/>
          <w:lang w:val="lv-LV"/>
        </w:rPr>
        <w:t>piedāvājum</w:t>
      </w:r>
      <w:r w:rsidR="00F861FF">
        <w:rPr>
          <w:rFonts w:ascii="Times New Roman" w:hAnsi="Times New Roman"/>
          <w:sz w:val="24"/>
          <w:szCs w:val="24"/>
          <w:lang w:val="lv-LV"/>
        </w:rPr>
        <w:t>a</w:t>
      </w:r>
      <w:r w:rsidR="00D87303">
        <w:rPr>
          <w:rFonts w:ascii="Times New Roman" w:hAnsi="Times New Roman"/>
          <w:sz w:val="24"/>
          <w:szCs w:val="24"/>
          <w:lang w:val="lv-LV"/>
        </w:rPr>
        <w:t xml:space="preserve"> cen</w:t>
      </w:r>
      <w:r w:rsidR="00F861FF">
        <w:rPr>
          <w:rFonts w:ascii="Times New Roman" w:hAnsi="Times New Roman"/>
          <w:sz w:val="24"/>
          <w:szCs w:val="24"/>
          <w:lang w:val="lv-LV"/>
        </w:rPr>
        <w:t>as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sākotnēji novērtētajai paredzamajai līgumcenai </w:t>
      </w:r>
      <w:r w:rsidR="00F861FF" w:rsidRPr="00043437">
        <w:rPr>
          <w:rFonts w:ascii="Times New Roman" w:hAnsi="Times New Roman"/>
          <w:sz w:val="24"/>
          <w:szCs w:val="24"/>
          <w:lang w:val="lv-LV"/>
        </w:rPr>
        <w:t xml:space="preserve">atbilstības </w:t>
      </w:r>
      <w:r w:rsidRPr="00043437">
        <w:rPr>
          <w:rFonts w:ascii="Times New Roman" w:hAnsi="Times New Roman"/>
          <w:sz w:val="24"/>
          <w:szCs w:val="24"/>
          <w:lang w:val="lv-LV"/>
        </w:rPr>
        <w:t>izvērtēšana.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-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 - piedāvājumu atbilstības pārbaude iepirkuma procedūras uzaicinājumā norādītajām pretendentu atlases prasībām (uzaicinājuma 8. punkts “Pretendentu atlases prasības, iesniedzamie pretendentu atlases dokumenti un pārbaudāmās ziņas”).</w:t>
      </w:r>
    </w:p>
    <w:p w:rsidR="001A47A7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A47A7">
        <w:rPr>
          <w:rFonts w:ascii="Times New Roman" w:hAnsi="Times New Roman"/>
          <w:sz w:val="24"/>
          <w:szCs w:val="24"/>
          <w:lang w:val="lv-LV"/>
        </w:rPr>
        <w:t>Pretendenta - SIA “</w:t>
      </w:r>
      <w:proofErr w:type="spellStart"/>
      <w:r w:rsidRPr="001A47A7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A47A7">
        <w:rPr>
          <w:rFonts w:ascii="Times New Roman" w:hAnsi="Times New Roman"/>
          <w:sz w:val="24"/>
          <w:szCs w:val="24"/>
          <w:lang w:val="lv-LV"/>
        </w:rPr>
        <w:t xml:space="preserve">” - nomaksāto nodokļu pārbaude Elektronisko iepirkumu sistēmā E- izziņas dienā, kad paziņojums par plānoto līgumu publicēts Iepirkumu uzraudzības biroja mājaslapā (17.06.2016.) </w:t>
      </w:r>
    </w:p>
    <w:p w:rsidR="0013124A" w:rsidRPr="001A47A7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A47A7">
        <w:rPr>
          <w:rFonts w:ascii="Times New Roman" w:hAnsi="Times New Roman"/>
          <w:sz w:val="24"/>
          <w:szCs w:val="24"/>
          <w:lang w:val="lv-LV"/>
        </w:rPr>
        <w:t>Pretendenta - SIA “</w:t>
      </w:r>
      <w:proofErr w:type="spellStart"/>
      <w:r w:rsidRPr="001A47A7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A47A7">
        <w:rPr>
          <w:rFonts w:ascii="Times New Roman" w:hAnsi="Times New Roman"/>
          <w:sz w:val="24"/>
          <w:szCs w:val="24"/>
          <w:lang w:val="lv-LV"/>
        </w:rPr>
        <w:t>” - piedāvājumu atbilstības pārbaude iepirkuma procedūras uzaicinājumā norādītajām tehniskās specifikācijas prasībām (uzaicinājuma 9. punkts “Tehniskā specifikācija” un uzaicinājuma 1. pielikums „Tehniskā specifikācija”).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Lēmuma par iepirkuma procedūras piedāvājuma izvēli pieņemšana.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-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 - nomaksāto nodokļu</w:t>
      </w:r>
      <w:r w:rsidR="00D346CF" w:rsidRPr="00D346C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46CF">
        <w:rPr>
          <w:rFonts w:ascii="Times New Roman" w:hAnsi="Times New Roman"/>
          <w:sz w:val="24"/>
          <w:szCs w:val="24"/>
          <w:lang w:val="lv-LV"/>
        </w:rPr>
        <w:t>un</w:t>
      </w:r>
      <w:r w:rsidR="00D346CF" w:rsidRPr="001A47A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46CF" w:rsidRPr="0013124A">
        <w:rPr>
          <w:rFonts w:ascii="Times New Roman" w:hAnsi="Times New Roman"/>
          <w:sz w:val="24"/>
          <w:szCs w:val="24"/>
          <w:lang w:val="lv-LV"/>
        </w:rPr>
        <w:t>maksātnespējas pārbaude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pārbaude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 xml:space="preserve"> Elektronisko iepirkumu sistēmā E-izziņas dienā, kad pieņemts lēmums par iespējamu līguma slēgšanas tiesību piešķiršanu (</w:t>
      </w:r>
      <w:r>
        <w:rPr>
          <w:rFonts w:ascii="Times New Roman" w:hAnsi="Times New Roman"/>
          <w:sz w:val="24"/>
          <w:szCs w:val="24"/>
          <w:lang w:val="lv-LV"/>
        </w:rPr>
        <w:t>01</w:t>
      </w:r>
      <w:r w:rsidRPr="0013124A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07</w:t>
      </w:r>
      <w:r w:rsidRPr="0013124A">
        <w:rPr>
          <w:rFonts w:ascii="Times New Roman" w:hAnsi="Times New Roman"/>
          <w:sz w:val="24"/>
          <w:szCs w:val="24"/>
          <w:lang w:val="lv-LV"/>
        </w:rPr>
        <w:t>.201</w:t>
      </w:r>
      <w:r>
        <w:rPr>
          <w:rFonts w:ascii="Times New Roman" w:hAnsi="Times New Roman"/>
          <w:sz w:val="24"/>
          <w:szCs w:val="24"/>
          <w:lang w:val="lv-LV"/>
        </w:rPr>
        <w:t>6</w:t>
      </w:r>
      <w:r w:rsidR="00D346CF">
        <w:rPr>
          <w:rFonts w:ascii="Times New Roman" w:hAnsi="Times New Roman"/>
          <w:sz w:val="24"/>
          <w:szCs w:val="24"/>
          <w:lang w:val="lv-LV"/>
        </w:rPr>
        <w:t>.).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Lēmuma par iepirkuma procedūras rezultātiem pieņemšana.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slēgšanu noteikšana.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izpildes uzraudzību noteikšana.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Informācijas par iepirkuma procedūras rezultātiem nosūtīšana pretendent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13124A">
        <w:rPr>
          <w:rFonts w:ascii="Times New Roman" w:hAnsi="Times New Roman"/>
          <w:sz w:val="24"/>
          <w:szCs w:val="24"/>
          <w:lang w:val="lv-LV"/>
        </w:rPr>
        <w:t>m.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Lēmuma par iepirkuma procedūras rezultātiem publicēšana Valsts kases mājaslapā.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Noslēgtā iepirkuma līguma publicēšana Valsts kases mājaslapā.</w:t>
      </w:r>
    </w:p>
    <w:p w:rsidR="0013124A" w:rsidRPr="0013124A" w:rsidRDefault="0013124A" w:rsidP="0013124A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13124A" w:rsidRPr="0013124A" w:rsidRDefault="0013124A" w:rsidP="0013124A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F067B9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F861FF"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“</w:t>
      </w:r>
      <w:proofErr w:type="spellStart"/>
      <w:r w:rsidR="00F861FF"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OptiCom</w:t>
      </w:r>
      <w:proofErr w:type="spellEnd"/>
      <w:r w:rsidR="00F861FF" w:rsidRPr="00F067B9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”</w:t>
      </w:r>
      <w:r w:rsidR="00F861FF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F861FF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25 100</w:t>
      </w:r>
      <w:r w:rsidR="00792D4F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,00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 w:rsidR="00C00F2B"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="00F861FF">
        <w:rPr>
          <w:rFonts w:ascii="Times New Roman" w:hAnsi="Times New Roman"/>
          <w:sz w:val="24"/>
          <w:szCs w:val="24"/>
          <w:lang w:val="lv-LV"/>
        </w:rPr>
        <w:t>25</w:t>
      </w:r>
      <w:r w:rsidR="00F067B9">
        <w:rPr>
          <w:rFonts w:ascii="Times New Roman" w:hAnsi="Times New Roman"/>
          <w:sz w:val="24"/>
          <w:szCs w:val="24"/>
          <w:lang w:val="lv-LV"/>
        </w:rPr>
        <w:t> </w:t>
      </w:r>
      <w:r w:rsidR="00F861FF">
        <w:rPr>
          <w:rFonts w:ascii="Times New Roman" w:hAnsi="Times New Roman"/>
          <w:sz w:val="24"/>
          <w:szCs w:val="24"/>
          <w:lang w:val="lv-LV"/>
        </w:rPr>
        <w:t>200</w:t>
      </w:r>
      <w:r w:rsidR="00F067B9">
        <w:rPr>
          <w:rFonts w:ascii="Times New Roman" w:hAnsi="Times New Roman"/>
          <w:sz w:val="24"/>
          <w:szCs w:val="24"/>
          <w:lang w:val="lv-LV"/>
        </w:rPr>
        <w:t>,</w:t>
      </w:r>
      <w:r w:rsidR="00F861FF">
        <w:rPr>
          <w:rFonts w:ascii="Times New Roman" w:hAnsi="Times New Roman"/>
          <w:sz w:val="24"/>
          <w:szCs w:val="24"/>
          <w:lang w:val="lv-LV"/>
        </w:rPr>
        <w:t>00</w:t>
      </w:r>
      <w:r w:rsidR="00833A22" w:rsidRPr="00833A2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2A0D51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2A0D51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2A0D51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2A0D51">
        <w:rPr>
          <w:rFonts w:ascii="Times New Roman" w:hAnsi="Times New Roman"/>
          <w:sz w:val="24"/>
          <w:szCs w:val="24"/>
          <w:lang w:val="lv-LV"/>
        </w:rPr>
        <w:t xml:space="preserve">- </w:t>
      </w:r>
      <w:r>
        <w:rPr>
          <w:rFonts w:ascii="Times New Roman" w:hAnsi="Times New Roman"/>
          <w:sz w:val="24"/>
          <w:szCs w:val="24"/>
          <w:lang w:val="lv-LV"/>
        </w:rPr>
        <w:t>piedāvājums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pretendentu atlases prasībām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211BC">
        <w:rPr>
          <w:rFonts w:ascii="Times New Roman" w:hAnsi="Times New Roman"/>
          <w:sz w:val="24"/>
          <w:szCs w:val="24"/>
          <w:lang w:val="lv-LV"/>
        </w:rPr>
        <w:t xml:space="preserve">(uzaicinājuma 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Pretendentu -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 - piedāvājum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tehniskās specifikācijas prasībām (uzaicinājuma 9. punkts “Tehniskā specifikācija” un uzaicinājuma 1. pielikums „Tehniskā specifikācija”).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Saskaņā ar Publisko iepirkumu likuma 8.2 panta devīto daļu un iepirkuma procedūras uzaicinājuma 12.3. apakšpunktu izvēlēties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 piedāvājumu, kas atbilst iepirkuma procedūras prasībām (</w:t>
      </w:r>
      <w:r w:rsidR="00260797">
        <w:rPr>
          <w:rFonts w:ascii="Times New Roman" w:hAnsi="Times New Roman"/>
          <w:sz w:val="24"/>
          <w:szCs w:val="24"/>
          <w:lang w:val="lv-LV"/>
        </w:rPr>
        <w:t>25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60797">
        <w:rPr>
          <w:rFonts w:ascii="Times New Roman" w:hAnsi="Times New Roman"/>
          <w:sz w:val="24"/>
          <w:szCs w:val="24"/>
          <w:lang w:val="lv-LV"/>
        </w:rPr>
        <w:t>100</w:t>
      </w:r>
      <w:r w:rsidRPr="0013124A">
        <w:rPr>
          <w:rFonts w:ascii="Times New Roman" w:hAnsi="Times New Roman"/>
          <w:sz w:val="24"/>
          <w:szCs w:val="24"/>
          <w:lang w:val="lv-LV"/>
        </w:rPr>
        <w:t>,00 EUR bez PVN).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Tā kā iepirkuma komisija Elektronisko iepirkumu sistēmā E- izziņas pārliecinājās, ka SIA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 dienā, kad paziņojums par plānoto līgumu publicēts Iepirkumu uzraudzības biroja mājaslapā (</w:t>
      </w:r>
      <w:r w:rsidR="00260797">
        <w:rPr>
          <w:rFonts w:ascii="Times New Roman" w:hAnsi="Times New Roman"/>
          <w:sz w:val="24"/>
          <w:szCs w:val="24"/>
          <w:lang w:val="lv-LV"/>
        </w:rPr>
        <w:t>1</w:t>
      </w:r>
      <w:r w:rsidRPr="0013124A">
        <w:rPr>
          <w:rFonts w:ascii="Times New Roman" w:hAnsi="Times New Roman"/>
          <w:sz w:val="24"/>
          <w:szCs w:val="24"/>
          <w:lang w:val="lv-LV"/>
        </w:rPr>
        <w:t>7.</w:t>
      </w:r>
      <w:r w:rsidR="00260797">
        <w:rPr>
          <w:rFonts w:ascii="Times New Roman" w:hAnsi="Times New Roman"/>
          <w:sz w:val="24"/>
          <w:szCs w:val="24"/>
          <w:lang w:val="lv-LV"/>
        </w:rPr>
        <w:t>06</w:t>
      </w:r>
      <w:r w:rsidRPr="0013124A">
        <w:rPr>
          <w:rFonts w:ascii="Times New Roman" w:hAnsi="Times New Roman"/>
          <w:sz w:val="24"/>
          <w:szCs w:val="24"/>
          <w:lang w:val="lv-LV"/>
        </w:rPr>
        <w:t>.201</w:t>
      </w:r>
      <w:r w:rsidR="00260797">
        <w:rPr>
          <w:rFonts w:ascii="Times New Roman" w:hAnsi="Times New Roman"/>
          <w:sz w:val="24"/>
          <w:szCs w:val="24"/>
          <w:lang w:val="lv-LV"/>
        </w:rPr>
        <w:t>6</w:t>
      </w:r>
      <w:r w:rsidRPr="0013124A">
        <w:rPr>
          <w:rFonts w:ascii="Times New Roman" w:hAnsi="Times New Roman"/>
          <w:sz w:val="24"/>
          <w:szCs w:val="24"/>
          <w:lang w:val="lv-LV"/>
        </w:rPr>
        <w:t>.) un dienā, kad pieņemts lēmums par iespējamu līguma slēgšanas tiesību piešķiršanu (</w:t>
      </w:r>
      <w:r w:rsidR="00260797">
        <w:rPr>
          <w:rFonts w:ascii="Times New Roman" w:hAnsi="Times New Roman"/>
          <w:sz w:val="24"/>
          <w:szCs w:val="24"/>
          <w:lang w:val="lv-LV"/>
        </w:rPr>
        <w:t>01</w:t>
      </w:r>
      <w:r w:rsidRPr="0013124A">
        <w:rPr>
          <w:rFonts w:ascii="Times New Roman" w:hAnsi="Times New Roman"/>
          <w:sz w:val="24"/>
          <w:szCs w:val="24"/>
          <w:lang w:val="lv-LV"/>
        </w:rPr>
        <w:t>.</w:t>
      </w:r>
      <w:r w:rsidR="00260797">
        <w:rPr>
          <w:rFonts w:ascii="Times New Roman" w:hAnsi="Times New Roman"/>
          <w:sz w:val="24"/>
          <w:szCs w:val="24"/>
          <w:lang w:val="lv-LV"/>
        </w:rPr>
        <w:t>0</w:t>
      </w:r>
      <w:r w:rsidR="00D346CF">
        <w:rPr>
          <w:rFonts w:ascii="Times New Roman" w:hAnsi="Times New Roman"/>
          <w:sz w:val="24"/>
          <w:szCs w:val="24"/>
          <w:lang w:val="lv-LV"/>
        </w:rPr>
        <w:t>7</w:t>
      </w:r>
      <w:r w:rsidRPr="0013124A">
        <w:rPr>
          <w:rFonts w:ascii="Times New Roman" w:hAnsi="Times New Roman"/>
          <w:sz w:val="24"/>
          <w:szCs w:val="24"/>
          <w:lang w:val="lv-LV"/>
        </w:rPr>
        <w:t>.201</w:t>
      </w:r>
      <w:r w:rsidR="00260797">
        <w:rPr>
          <w:rFonts w:ascii="Times New Roman" w:hAnsi="Times New Roman"/>
          <w:sz w:val="24"/>
          <w:szCs w:val="24"/>
          <w:lang w:val="lv-LV"/>
        </w:rPr>
        <w:t>6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.) nav nodokļu parādu, tajā skaitā valsts sociālās apdrošināšanas obligāto iemaksu parādu, kas kopsummā kādā no valstīm pārsniedz 150 </w:t>
      </w:r>
      <w:r w:rsidRPr="0013124A">
        <w:rPr>
          <w:rFonts w:ascii="Times New Roman" w:hAnsi="Times New Roman"/>
          <w:sz w:val="24"/>
          <w:szCs w:val="24"/>
          <w:lang w:val="lv-LV"/>
        </w:rPr>
        <w:lastRenderedPageBreak/>
        <w:t>EUR, ka nav ierakstu par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 maksātnespējas (t.sk. bankrota) procesiem, likvidācijas procesu, apturētu vai pārtrauktu saimniecisko darbību, tad pretendent</w:t>
      </w:r>
      <w:r w:rsidR="002A0D51">
        <w:rPr>
          <w:rFonts w:ascii="Times New Roman" w:hAnsi="Times New Roman"/>
          <w:sz w:val="24"/>
          <w:szCs w:val="24"/>
          <w:lang w:val="lv-LV"/>
        </w:rPr>
        <w:t>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-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</w:t>
      </w:r>
      <w:r w:rsidR="0026079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124A">
        <w:rPr>
          <w:rFonts w:ascii="Times New Roman" w:hAnsi="Times New Roman"/>
          <w:sz w:val="24"/>
          <w:szCs w:val="24"/>
          <w:lang w:val="lv-LV"/>
        </w:rPr>
        <w:t>- piedāvājum</w:t>
      </w:r>
      <w:r w:rsidR="00260797">
        <w:rPr>
          <w:rFonts w:ascii="Times New Roman" w:hAnsi="Times New Roman"/>
          <w:sz w:val="24"/>
          <w:szCs w:val="24"/>
          <w:lang w:val="lv-LV"/>
        </w:rPr>
        <w:t>s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atbilst iepirkuma procedūras uzaicinājumā norādītajām pretendentu atlases prasībām (uzaicinājuma 8. punkts “Pretendentu atlases prasības, iesniedzamie pretendentu atlases dokumenti un pārbaudāmās ziņas”), un iepirkuma komisija nolemj noslēgt līgumu ar pretendentu </w:t>
      </w:r>
      <w:r w:rsidR="00260797" w:rsidRPr="0013124A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260797"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="00260797" w:rsidRPr="0013124A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par kopējo summu </w:t>
      </w:r>
      <w:r w:rsidR="00260797">
        <w:rPr>
          <w:rFonts w:ascii="Times New Roman" w:hAnsi="Times New Roman"/>
          <w:sz w:val="24"/>
          <w:szCs w:val="24"/>
          <w:lang w:val="lv-LV"/>
        </w:rPr>
        <w:t>25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60797">
        <w:rPr>
          <w:rFonts w:ascii="Times New Roman" w:hAnsi="Times New Roman"/>
          <w:sz w:val="24"/>
          <w:szCs w:val="24"/>
          <w:lang w:val="lv-LV"/>
        </w:rPr>
        <w:t>100</w:t>
      </w:r>
      <w:r w:rsidRPr="0013124A">
        <w:rPr>
          <w:rFonts w:ascii="Times New Roman" w:hAnsi="Times New Roman"/>
          <w:sz w:val="24"/>
          <w:szCs w:val="24"/>
          <w:lang w:val="lv-LV"/>
        </w:rPr>
        <w:t>,00 EUR (bez PVN).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Infrastruktūras uzturēšanas daļas vadītāju A. Rutki.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Infrastruktūras uzturēšanas daļas vadītāju A. Rutki.</w:t>
      </w:r>
    </w:p>
    <w:p w:rsidR="0013124A" w:rsidRP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260797">
        <w:rPr>
          <w:rFonts w:ascii="Times New Roman" w:hAnsi="Times New Roman"/>
          <w:sz w:val="24"/>
          <w:szCs w:val="24"/>
          <w:lang w:val="lv-LV"/>
        </w:rPr>
        <w:t>direktora vietniecei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60797">
        <w:rPr>
          <w:rFonts w:ascii="Times New Roman" w:hAnsi="Times New Roman"/>
          <w:sz w:val="24"/>
          <w:szCs w:val="24"/>
          <w:lang w:val="lv-LV"/>
        </w:rPr>
        <w:t>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. </w:t>
      </w:r>
      <w:proofErr w:type="spellStart"/>
      <w:r w:rsidR="00260797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 xml:space="preserve"> līdz 201</w:t>
      </w:r>
      <w:r w:rsidR="00260797">
        <w:rPr>
          <w:rFonts w:ascii="Times New Roman" w:hAnsi="Times New Roman"/>
          <w:sz w:val="24"/>
          <w:szCs w:val="24"/>
          <w:lang w:val="lv-LV"/>
        </w:rPr>
        <w:t>6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. gada </w:t>
      </w:r>
      <w:r w:rsidR="00260797">
        <w:rPr>
          <w:rFonts w:ascii="Times New Roman" w:hAnsi="Times New Roman"/>
          <w:sz w:val="24"/>
          <w:szCs w:val="24"/>
          <w:lang w:val="lv-LV"/>
        </w:rPr>
        <w:t>4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260797">
        <w:rPr>
          <w:rFonts w:ascii="Times New Roman" w:hAnsi="Times New Roman"/>
          <w:sz w:val="24"/>
          <w:szCs w:val="24"/>
          <w:lang w:val="lv-LV"/>
        </w:rPr>
        <w:t>jūlijam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sagatavot un nosūtīt vēstuli SIA “</w:t>
      </w:r>
      <w:proofErr w:type="spellStart"/>
      <w:r w:rsidRPr="0013124A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13124A">
        <w:rPr>
          <w:rFonts w:ascii="Times New Roman" w:hAnsi="Times New Roman"/>
          <w:sz w:val="24"/>
          <w:szCs w:val="24"/>
          <w:lang w:val="lv-LV"/>
        </w:rPr>
        <w:t>” par iepirkuma procedūras rezultātiem.</w:t>
      </w:r>
    </w:p>
    <w:p w:rsidR="0013124A" w:rsidRDefault="0013124A" w:rsidP="0013124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2607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direktora vietniecei A. </w:t>
      </w:r>
      <w:proofErr w:type="spellStart"/>
      <w:r w:rsidRPr="00260797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260797">
        <w:rPr>
          <w:rFonts w:ascii="Times New Roman" w:hAnsi="Times New Roman"/>
          <w:sz w:val="24"/>
          <w:szCs w:val="24"/>
          <w:lang w:val="lv-LV"/>
        </w:rPr>
        <w:t xml:space="preserve"> līdz 201</w:t>
      </w:r>
      <w:r w:rsidR="00D346CF">
        <w:rPr>
          <w:rFonts w:ascii="Times New Roman" w:hAnsi="Times New Roman"/>
          <w:sz w:val="24"/>
          <w:szCs w:val="24"/>
          <w:lang w:val="lv-LV"/>
        </w:rPr>
        <w:t>6</w:t>
      </w:r>
      <w:r w:rsidRPr="00260797">
        <w:rPr>
          <w:rFonts w:ascii="Times New Roman" w:hAnsi="Times New Roman"/>
          <w:sz w:val="24"/>
          <w:szCs w:val="24"/>
          <w:lang w:val="lv-LV"/>
        </w:rPr>
        <w:t xml:space="preserve">. gada </w:t>
      </w:r>
      <w:r w:rsidR="00260797" w:rsidRPr="00260797">
        <w:rPr>
          <w:rFonts w:ascii="Times New Roman" w:hAnsi="Times New Roman"/>
          <w:sz w:val="24"/>
          <w:szCs w:val="24"/>
          <w:lang w:val="lv-LV"/>
        </w:rPr>
        <w:t>4</w:t>
      </w:r>
      <w:r w:rsidRPr="00260797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260797" w:rsidRPr="00260797">
        <w:rPr>
          <w:rFonts w:ascii="Times New Roman" w:hAnsi="Times New Roman"/>
          <w:sz w:val="24"/>
          <w:szCs w:val="24"/>
          <w:lang w:val="lv-LV"/>
        </w:rPr>
        <w:t>jūlijam</w:t>
      </w:r>
      <w:r w:rsidRPr="00260797">
        <w:rPr>
          <w:rFonts w:ascii="Times New Roman" w:hAnsi="Times New Roman"/>
          <w:sz w:val="24"/>
          <w:szCs w:val="24"/>
          <w:lang w:val="lv-LV"/>
        </w:rPr>
        <w:t xml:space="preserve"> publicēt lēmumu par iepirkuma procedūras rezultātiem Valsts kases mājaslapas</w:t>
      </w:r>
      <w:r w:rsidR="00260797" w:rsidRPr="00260797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9" w:history="1">
        <w:r w:rsidR="00260797" w:rsidRPr="002607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2607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260797" w:rsidRPr="00843B7C" w:rsidRDefault="00260797" w:rsidP="00260797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43B7C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direktora vietniecei A. </w:t>
      </w:r>
      <w:proofErr w:type="spellStart"/>
      <w:r w:rsidRPr="00843B7C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843B7C">
        <w:rPr>
          <w:rFonts w:ascii="Times New Roman" w:hAnsi="Times New Roman"/>
          <w:sz w:val="24"/>
          <w:szCs w:val="24"/>
          <w:lang w:val="lv-LV"/>
        </w:rPr>
        <w:t xml:space="preserve"> ne vēlāk kā dienā, kad stājas spēkā iepirkuma līgums, publicēt iepirkuma līguma tekstu Valsts kases mājaslapas </w:t>
      </w:r>
      <w:hyperlink r:id="rId10" w:history="1">
        <w:r w:rsidR="00843B7C" w:rsidRPr="00843B7C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www.kase.gov.lv/</w:t>
        </w:r>
      </w:hyperlink>
      <w:r w:rsidRPr="00843B7C">
        <w:rPr>
          <w:rFonts w:ascii="Times New Roman" w:hAnsi="Times New Roman"/>
          <w:sz w:val="24"/>
          <w:szCs w:val="24"/>
          <w:lang w:val="lv-LV"/>
        </w:rPr>
        <w:t xml:space="preserve"> sadaļā “Publiskie iepirkumi”.</w:t>
      </w:r>
    </w:p>
    <w:p w:rsidR="00260797" w:rsidRPr="00260797" w:rsidRDefault="00260797" w:rsidP="00260797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2607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direktora vietniecei A. </w:t>
      </w:r>
      <w:proofErr w:type="spellStart"/>
      <w:r w:rsidRPr="00260797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260797">
        <w:rPr>
          <w:rFonts w:ascii="Times New Roman" w:hAnsi="Times New Roman"/>
          <w:sz w:val="24"/>
          <w:szCs w:val="24"/>
          <w:lang w:val="lv-LV"/>
        </w:rPr>
        <w:t xml:space="preserve"> publicēt Informatīvu paziņojumu par noslēgto līgumu Iepirkumu uzraudzības biroja mājaslapas </w:t>
      </w:r>
      <w:hyperlink r:id="rId11" w:history="1">
        <w:r w:rsidRPr="00260797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260797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2A0D51">
        <w:rPr>
          <w:rFonts w:ascii="Times New Roman" w:hAnsi="Times New Roman"/>
          <w:sz w:val="20"/>
          <w:szCs w:val="20"/>
          <w:lang w:val="lv-LV"/>
        </w:rPr>
        <w:t>1</w:t>
      </w:r>
      <w:r w:rsidR="0013124A" w:rsidRPr="002A0D51">
        <w:rPr>
          <w:rFonts w:ascii="Times New Roman" w:hAnsi="Times New Roman"/>
          <w:sz w:val="20"/>
          <w:szCs w:val="20"/>
          <w:lang w:val="lv-LV"/>
        </w:rPr>
        <w:t>6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  <w:r w:rsidR="0013124A" w:rsidRPr="002A0D51">
        <w:rPr>
          <w:rFonts w:ascii="Times New Roman" w:hAnsi="Times New Roman"/>
          <w:sz w:val="20"/>
          <w:szCs w:val="20"/>
          <w:lang w:val="lv-LV"/>
        </w:rPr>
        <w:t>0</w:t>
      </w:r>
      <w:r w:rsidRPr="002A0D51">
        <w:rPr>
          <w:rFonts w:ascii="Times New Roman" w:hAnsi="Times New Roman"/>
          <w:sz w:val="20"/>
          <w:szCs w:val="20"/>
          <w:lang w:val="lv-LV"/>
        </w:rPr>
        <w:t>0.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043437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1. Komisijas locekļa apliecinājums </w:t>
      </w:r>
      <w:r w:rsidR="00C82DEC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="002A4E76">
        <w:rPr>
          <w:rFonts w:ascii="Times New Roman" w:eastAsia="Times New Roman" w:hAnsi="Times New Roman" w:cs="Arial"/>
          <w:sz w:val="24"/>
          <w:szCs w:val="20"/>
          <w:lang w:val="lv-LV" w:eastAsia="lv-LV"/>
        </w:rPr>
        <w:t>uz 3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F861FF" w:rsidRPr="00043437" w:rsidRDefault="00F861FF" w:rsidP="00043437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ab/>
      </w: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ab/>
        <w:t xml:space="preserve">         2. Komisijas lietveža apliecinājums uz 1 lp.</w:t>
      </w:r>
    </w:p>
    <w:p w:rsidR="00043437" w:rsidRDefault="00F861FF" w:rsidP="00043437">
      <w:pPr>
        <w:pStyle w:val="Header"/>
        <w:ind w:left="1134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>3</w:t>
      </w:r>
      <w:r w:rsidR="00043437"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. Pretendentu finanšu piedāvājumu cenas uz 1 lp.</w:t>
      </w:r>
    </w:p>
    <w:p w:rsidR="00260797" w:rsidRPr="00260797" w:rsidRDefault="00260797" w:rsidP="00260797">
      <w:pPr>
        <w:pStyle w:val="Header"/>
        <w:tabs>
          <w:tab w:val="left" w:pos="720"/>
        </w:tabs>
        <w:ind w:left="1418" w:hanging="141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                  4.</w:t>
      </w:r>
      <w:r w:rsidRPr="00260797">
        <w:rPr>
          <w:rFonts w:ascii="Times New Roman" w:hAnsi="Times New Roman"/>
          <w:sz w:val="24"/>
          <w:szCs w:val="24"/>
          <w:lang w:val="lv-LV"/>
        </w:rPr>
        <w:t xml:space="preserve"> Izdruka no </w:t>
      </w:r>
      <w:r w:rsidRPr="00260797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Pr="00260797">
        <w:rPr>
          <w:rFonts w:ascii="Times New Roman" w:hAnsi="Times New Roman"/>
          <w:sz w:val="24"/>
          <w:szCs w:val="24"/>
          <w:lang w:val="lv-LV"/>
        </w:rPr>
        <w:t xml:space="preserve"> par dienu, kad paziņojums par plānoto līgumu publicēts Iepirkumu uzraudzības biroja mājaslapā (</w:t>
      </w:r>
      <w:r>
        <w:rPr>
          <w:rFonts w:ascii="Times New Roman" w:hAnsi="Times New Roman"/>
          <w:sz w:val="24"/>
          <w:szCs w:val="24"/>
          <w:lang w:val="lv-LV"/>
        </w:rPr>
        <w:t>17</w:t>
      </w:r>
      <w:r w:rsidRPr="00260797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06</w:t>
      </w:r>
      <w:r w:rsidRPr="00260797">
        <w:rPr>
          <w:rFonts w:ascii="Times New Roman" w:hAnsi="Times New Roman"/>
          <w:sz w:val="24"/>
          <w:szCs w:val="24"/>
          <w:lang w:val="lv-LV"/>
        </w:rPr>
        <w:t>.201</w:t>
      </w:r>
      <w:r>
        <w:rPr>
          <w:rFonts w:ascii="Times New Roman" w:hAnsi="Times New Roman"/>
          <w:sz w:val="24"/>
          <w:szCs w:val="24"/>
          <w:lang w:val="lv-LV"/>
        </w:rPr>
        <w:t>6</w:t>
      </w:r>
      <w:r w:rsidRPr="00260797">
        <w:rPr>
          <w:rFonts w:ascii="Times New Roman" w:hAnsi="Times New Roman"/>
          <w:sz w:val="24"/>
          <w:szCs w:val="24"/>
          <w:lang w:val="lv-LV"/>
        </w:rPr>
        <w:t xml:space="preserve">.) uz </w:t>
      </w:r>
      <w:r w:rsidR="00D346CF">
        <w:rPr>
          <w:rFonts w:ascii="Times New Roman" w:hAnsi="Times New Roman"/>
          <w:sz w:val="24"/>
          <w:szCs w:val="24"/>
          <w:lang w:val="lv-LV"/>
        </w:rPr>
        <w:t>1</w:t>
      </w:r>
      <w:r w:rsidRPr="00260797">
        <w:rPr>
          <w:rFonts w:ascii="Times New Roman" w:hAnsi="Times New Roman"/>
          <w:sz w:val="24"/>
          <w:szCs w:val="24"/>
          <w:lang w:val="lv-LV"/>
        </w:rPr>
        <w:t> lp.</w:t>
      </w:r>
    </w:p>
    <w:p w:rsidR="00260797" w:rsidRPr="00260797" w:rsidRDefault="00260797" w:rsidP="00260797">
      <w:pPr>
        <w:tabs>
          <w:tab w:val="left" w:pos="1418"/>
          <w:tab w:val="center" w:pos="4320"/>
          <w:tab w:val="right" w:pos="8640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5</w:t>
      </w:r>
      <w:r w:rsidRPr="00260797">
        <w:rPr>
          <w:rFonts w:ascii="Times New Roman" w:hAnsi="Times New Roman"/>
          <w:sz w:val="24"/>
          <w:szCs w:val="24"/>
          <w:lang w:val="lv-LV"/>
        </w:rPr>
        <w:t xml:space="preserve">. Izdruka no </w:t>
      </w:r>
      <w:r w:rsidRPr="00260797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Pr="00260797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slēgšanas tiesību piešķiršanu (</w:t>
      </w:r>
      <w:r>
        <w:rPr>
          <w:rFonts w:ascii="Times New Roman" w:hAnsi="Times New Roman"/>
          <w:sz w:val="24"/>
          <w:szCs w:val="24"/>
          <w:lang w:val="lv-LV"/>
        </w:rPr>
        <w:t>01</w:t>
      </w:r>
      <w:r w:rsidRPr="00260797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07</w:t>
      </w:r>
      <w:r w:rsidRPr="00260797">
        <w:rPr>
          <w:rFonts w:ascii="Times New Roman" w:hAnsi="Times New Roman"/>
          <w:sz w:val="24"/>
          <w:szCs w:val="24"/>
          <w:lang w:val="lv-LV"/>
        </w:rPr>
        <w:t>.201</w:t>
      </w:r>
      <w:r>
        <w:rPr>
          <w:rFonts w:ascii="Times New Roman" w:hAnsi="Times New Roman"/>
          <w:sz w:val="24"/>
          <w:szCs w:val="24"/>
          <w:lang w:val="lv-LV"/>
        </w:rPr>
        <w:t>6</w:t>
      </w:r>
      <w:r w:rsidRPr="00260797">
        <w:rPr>
          <w:rFonts w:ascii="Times New Roman" w:hAnsi="Times New Roman"/>
          <w:sz w:val="24"/>
          <w:szCs w:val="24"/>
          <w:lang w:val="lv-LV"/>
        </w:rPr>
        <w:t>.) uz 2 lp.</w:t>
      </w:r>
    </w:p>
    <w:p w:rsidR="00260797" w:rsidRDefault="00260797" w:rsidP="00043437">
      <w:pPr>
        <w:pStyle w:val="Header"/>
        <w:ind w:left="1134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C22484" w:rsidRPr="009E2B60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734A19" w:rsidRDefault="00734A19" w:rsidP="00734A19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</w:t>
            </w:r>
            <w:r w:rsidR="00BA4D0B" w:rsidRPr="00734A19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36212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13124A" w:rsidRPr="00AE5F74" w:rsidTr="00A119AD">
        <w:trPr>
          <w:trHeight w:val="567"/>
        </w:trPr>
        <w:tc>
          <w:tcPr>
            <w:tcW w:w="2768" w:type="dxa"/>
          </w:tcPr>
          <w:p w:rsidR="0013124A" w:rsidRDefault="0013124A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13124A" w:rsidRPr="00AE5F74" w:rsidRDefault="0013124A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13124A" w:rsidRPr="00A119AD" w:rsidRDefault="0013124A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R. Baltiņš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13124A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="006B4B67">
              <w:rPr>
                <w:rFonts w:ascii="Times New Roman" w:hAnsi="Times New Roman"/>
                <w:sz w:val="24"/>
                <w:szCs w:val="24"/>
                <w:lang w:val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Ozola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3B" w:rsidRDefault="0047413B">
      <w:pPr>
        <w:spacing w:after="0" w:line="240" w:lineRule="auto"/>
      </w:pPr>
      <w:r>
        <w:separator/>
      </w:r>
    </w:p>
  </w:endnote>
  <w:endnote w:type="continuationSeparator" w:id="0">
    <w:p w:rsidR="0047413B" w:rsidRDefault="0047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1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3B" w:rsidRDefault="0047413B">
      <w:pPr>
        <w:spacing w:after="0" w:line="240" w:lineRule="auto"/>
      </w:pPr>
      <w:r>
        <w:separator/>
      </w:r>
    </w:p>
  </w:footnote>
  <w:footnote w:type="continuationSeparator" w:id="0">
    <w:p w:rsidR="0047413B" w:rsidRDefault="0047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63521A"/>
    <w:multiLevelType w:val="hybridMultilevel"/>
    <w:tmpl w:val="37C29B0E"/>
    <w:lvl w:ilvl="0" w:tplc="042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F8"/>
    <w:rsid w:val="00006384"/>
    <w:rsid w:val="0001528C"/>
    <w:rsid w:val="00030349"/>
    <w:rsid w:val="00032059"/>
    <w:rsid w:val="00032C32"/>
    <w:rsid w:val="00043437"/>
    <w:rsid w:val="00060A53"/>
    <w:rsid w:val="00075CE4"/>
    <w:rsid w:val="000818B6"/>
    <w:rsid w:val="000A72C9"/>
    <w:rsid w:val="000B3818"/>
    <w:rsid w:val="000E2484"/>
    <w:rsid w:val="00100E6F"/>
    <w:rsid w:val="00124173"/>
    <w:rsid w:val="00125FB8"/>
    <w:rsid w:val="001265BC"/>
    <w:rsid w:val="0013124A"/>
    <w:rsid w:val="0014147A"/>
    <w:rsid w:val="00142720"/>
    <w:rsid w:val="0014742E"/>
    <w:rsid w:val="00147D9F"/>
    <w:rsid w:val="0016247D"/>
    <w:rsid w:val="001640A9"/>
    <w:rsid w:val="001703E6"/>
    <w:rsid w:val="00176DCC"/>
    <w:rsid w:val="0018093F"/>
    <w:rsid w:val="0018097A"/>
    <w:rsid w:val="001820BC"/>
    <w:rsid w:val="00192CF6"/>
    <w:rsid w:val="001A47A7"/>
    <w:rsid w:val="001B6C04"/>
    <w:rsid w:val="001C49BC"/>
    <w:rsid w:val="001F0120"/>
    <w:rsid w:val="002364B4"/>
    <w:rsid w:val="002435AA"/>
    <w:rsid w:val="00245F18"/>
    <w:rsid w:val="00260797"/>
    <w:rsid w:val="0027051D"/>
    <w:rsid w:val="00275B9E"/>
    <w:rsid w:val="00290E5C"/>
    <w:rsid w:val="002A0D51"/>
    <w:rsid w:val="002A4E76"/>
    <w:rsid w:val="002B1559"/>
    <w:rsid w:val="002D2682"/>
    <w:rsid w:val="002D31B1"/>
    <w:rsid w:val="002D5B9F"/>
    <w:rsid w:val="002E1474"/>
    <w:rsid w:val="002E519D"/>
    <w:rsid w:val="002E5823"/>
    <w:rsid w:val="002E5C3D"/>
    <w:rsid w:val="00331FC9"/>
    <w:rsid w:val="00357D7B"/>
    <w:rsid w:val="0036212B"/>
    <w:rsid w:val="00371776"/>
    <w:rsid w:val="00372395"/>
    <w:rsid w:val="003D298E"/>
    <w:rsid w:val="003E3BD6"/>
    <w:rsid w:val="003F632A"/>
    <w:rsid w:val="00402E94"/>
    <w:rsid w:val="004154C9"/>
    <w:rsid w:val="0046222F"/>
    <w:rsid w:val="00464F27"/>
    <w:rsid w:val="00465660"/>
    <w:rsid w:val="00470CE3"/>
    <w:rsid w:val="0047413B"/>
    <w:rsid w:val="00474D4A"/>
    <w:rsid w:val="004B3BCF"/>
    <w:rsid w:val="004D07EE"/>
    <w:rsid w:val="0051099A"/>
    <w:rsid w:val="00517E09"/>
    <w:rsid w:val="0053061C"/>
    <w:rsid w:val="00535564"/>
    <w:rsid w:val="00537C41"/>
    <w:rsid w:val="0057272E"/>
    <w:rsid w:val="00572ECF"/>
    <w:rsid w:val="00582C2C"/>
    <w:rsid w:val="00583E71"/>
    <w:rsid w:val="00584FB9"/>
    <w:rsid w:val="00590CAE"/>
    <w:rsid w:val="005B001B"/>
    <w:rsid w:val="005B4120"/>
    <w:rsid w:val="005D31DC"/>
    <w:rsid w:val="0060667F"/>
    <w:rsid w:val="0061329A"/>
    <w:rsid w:val="00661ACC"/>
    <w:rsid w:val="00663C3A"/>
    <w:rsid w:val="0066721E"/>
    <w:rsid w:val="00670D09"/>
    <w:rsid w:val="00692B5F"/>
    <w:rsid w:val="006B1782"/>
    <w:rsid w:val="006B4B67"/>
    <w:rsid w:val="006C561D"/>
    <w:rsid w:val="006E63E1"/>
    <w:rsid w:val="006F7E72"/>
    <w:rsid w:val="00706123"/>
    <w:rsid w:val="00734A19"/>
    <w:rsid w:val="00741EAF"/>
    <w:rsid w:val="00743BFE"/>
    <w:rsid w:val="00760A9A"/>
    <w:rsid w:val="0078158F"/>
    <w:rsid w:val="00781D4F"/>
    <w:rsid w:val="00792D4F"/>
    <w:rsid w:val="007A60AC"/>
    <w:rsid w:val="007B0947"/>
    <w:rsid w:val="007B3BA5"/>
    <w:rsid w:val="007B774E"/>
    <w:rsid w:val="007C2C92"/>
    <w:rsid w:val="007E0AB7"/>
    <w:rsid w:val="007E3E52"/>
    <w:rsid w:val="007E4D1F"/>
    <w:rsid w:val="007E6B7F"/>
    <w:rsid w:val="007F0FF1"/>
    <w:rsid w:val="007F33AC"/>
    <w:rsid w:val="008043F1"/>
    <w:rsid w:val="00815277"/>
    <w:rsid w:val="008309B9"/>
    <w:rsid w:val="00832EC6"/>
    <w:rsid w:val="00833A22"/>
    <w:rsid w:val="0083683C"/>
    <w:rsid w:val="00843B7C"/>
    <w:rsid w:val="00853379"/>
    <w:rsid w:val="00863DC7"/>
    <w:rsid w:val="00876C21"/>
    <w:rsid w:val="00883CDE"/>
    <w:rsid w:val="008A7FFD"/>
    <w:rsid w:val="00903245"/>
    <w:rsid w:val="00906894"/>
    <w:rsid w:val="00934E87"/>
    <w:rsid w:val="009358F1"/>
    <w:rsid w:val="00955BD6"/>
    <w:rsid w:val="00960C5E"/>
    <w:rsid w:val="00985B23"/>
    <w:rsid w:val="00985E35"/>
    <w:rsid w:val="00985FB4"/>
    <w:rsid w:val="00993639"/>
    <w:rsid w:val="009A1893"/>
    <w:rsid w:val="009C57F8"/>
    <w:rsid w:val="009E72D0"/>
    <w:rsid w:val="00A04D29"/>
    <w:rsid w:val="00A119AD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C0CE9"/>
    <w:rsid w:val="00AC689C"/>
    <w:rsid w:val="00AC6CB8"/>
    <w:rsid w:val="00AE48CE"/>
    <w:rsid w:val="00AF1354"/>
    <w:rsid w:val="00AF3912"/>
    <w:rsid w:val="00B12C26"/>
    <w:rsid w:val="00B16EBA"/>
    <w:rsid w:val="00B22FBD"/>
    <w:rsid w:val="00B402EA"/>
    <w:rsid w:val="00B674BF"/>
    <w:rsid w:val="00B966A7"/>
    <w:rsid w:val="00BA4D0B"/>
    <w:rsid w:val="00BB4560"/>
    <w:rsid w:val="00BB5439"/>
    <w:rsid w:val="00BF28CE"/>
    <w:rsid w:val="00C00F2B"/>
    <w:rsid w:val="00C12B8E"/>
    <w:rsid w:val="00C14F88"/>
    <w:rsid w:val="00C177F8"/>
    <w:rsid w:val="00C22484"/>
    <w:rsid w:val="00C267E5"/>
    <w:rsid w:val="00C47F57"/>
    <w:rsid w:val="00C61F62"/>
    <w:rsid w:val="00C64964"/>
    <w:rsid w:val="00C805D3"/>
    <w:rsid w:val="00C82DEC"/>
    <w:rsid w:val="00CA0181"/>
    <w:rsid w:val="00CB593D"/>
    <w:rsid w:val="00CC7FAE"/>
    <w:rsid w:val="00CE133A"/>
    <w:rsid w:val="00CE56B4"/>
    <w:rsid w:val="00CF36D9"/>
    <w:rsid w:val="00D112FC"/>
    <w:rsid w:val="00D21FA6"/>
    <w:rsid w:val="00D346CF"/>
    <w:rsid w:val="00D40B9F"/>
    <w:rsid w:val="00D82196"/>
    <w:rsid w:val="00D87303"/>
    <w:rsid w:val="00DA16E2"/>
    <w:rsid w:val="00DD1C99"/>
    <w:rsid w:val="00DF41BB"/>
    <w:rsid w:val="00E027A7"/>
    <w:rsid w:val="00E30FFA"/>
    <w:rsid w:val="00E31AA8"/>
    <w:rsid w:val="00E31DF9"/>
    <w:rsid w:val="00E365CE"/>
    <w:rsid w:val="00E37E99"/>
    <w:rsid w:val="00E714F5"/>
    <w:rsid w:val="00E72AA8"/>
    <w:rsid w:val="00E7353C"/>
    <w:rsid w:val="00E81B96"/>
    <w:rsid w:val="00E8645B"/>
    <w:rsid w:val="00EC05F8"/>
    <w:rsid w:val="00EC3062"/>
    <w:rsid w:val="00ED0032"/>
    <w:rsid w:val="00ED2F2C"/>
    <w:rsid w:val="00EF35D6"/>
    <w:rsid w:val="00F03093"/>
    <w:rsid w:val="00F030F5"/>
    <w:rsid w:val="00F067B9"/>
    <w:rsid w:val="00F10261"/>
    <w:rsid w:val="00F10DD0"/>
    <w:rsid w:val="00F146B6"/>
    <w:rsid w:val="00F1601B"/>
    <w:rsid w:val="00F205B0"/>
    <w:rsid w:val="00F255C6"/>
    <w:rsid w:val="00F36F1F"/>
    <w:rsid w:val="00F50D8F"/>
    <w:rsid w:val="00F67680"/>
    <w:rsid w:val="00F73E3B"/>
    <w:rsid w:val="00F861FF"/>
    <w:rsid w:val="00F93641"/>
    <w:rsid w:val="00FC658E"/>
    <w:rsid w:val="00FD26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690D-174D-4186-A714-FD9D5D2F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4226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2016-07-01T12:08:00Z</cp:lastPrinted>
  <dcterms:created xsi:type="dcterms:W3CDTF">2017-10-03T13:17:00Z</dcterms:created>
  <dcterms:modified xsi:type="dcterms:W3CDTF">2017-10-03T13:17:00Z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