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91D55" w14:textId="34716E2A" w:rsidR="00633C7A" w:rsidRPr="00201C59" w:rsidRDefault="00633C7A" w:rsidP="00633C7A">
      <w:pPr>
        <w:pStyle w:val="Title"/>
        <w:outlineLvl w:val="0"/>
        <w:rPr>
          <w:sz w:val="26"/>
          <w:szCs w:val="26"/>
          <w:lang w:val="en-US"/>
        </w:rPr>
      </w:pPr>
      <w:bookmarkStart w:id="0" w:name="_GoBack"/>
      <w:bookmarkEnd w:id="0"/>
      <w:r w:rsidRPr="00C3410A">
        <w:rPr>
          <w:sz w:val="26"/>
          <w:szCs w:val="26"/>
        </w:rPr>
        <w:t>Līgum</w:t>
      </w:r>
      <w:r w:rsidR="00FD5884">
        <w:rPr>
          <w:sz w:val="26"/>
          <w:szCs w:val="26"/>
        </w:rPr>
        <w:t>s</w:t>
      </w:r>
      <w:r w:rsidRPr="00C3410A">
        <w:rPr>
          <w:sz w:val="26"/>
          <w:szCs w:val="26"/>
        </w:rPr>
        <w:t xml:space="preserve"> </w:t>
      </w:r>
    </w:p>
    <w:p w14:paraId="72F91D56" w14:textId="77777777" w:rsidR="00633C7A" w:rsidRPr="004C39A9" w:rsidRDefault="00633C7A" w:rsidP="00633C7A">
      <w:pPr>
        <w:jc w:val="center"/>
      </w:pPr>
      <w:r w:rsidRPr="004C39A9">
        <w:t xml:space="preserve">par </w:t>
      </w:r>
      <w:r>
        <w:rPr>
          <w:szCs w:val="20"/>
        </w:rPr>
        <w:t>Genesys PureConnect programmatūras ražotāja tehnisko atbalstu</w:t>
      </w:r>
    </w:p>
    <w:p w14:paraId="72F91D57" w14:textId="77777777" w:rsidR="00633C7A" w:rsidRPr="008B3275" w:rsidRDefault="00633C7A" w:rsidP="00633C7A">
      <w:pPr>
        <w:rPr>
          <w:b/>
        </w:rPr>
      </w:pPr>
    </w:p>
    <w:p w14:paraId="72F91D58" w14:textId="77777777" w:rsidR="00633C7A" w:rsidRPr="0084481C" w:rsidRDefault="00633C7A" w:rsidP="00633C7A">
      <w:pPr>
        <w:spacing w:after="120"/>
        <w:jc w:val="center"/>
        <w:rPr>
          <w:sz w:val="20"/>
          <w:szCs w:val="20"/>
        </w:rPr>
      </w:pPr>
      <w:r w:rsidRPr="0084481C">
        <w:rPr>
          <w:sz w:val="20"/>
          <w:szCs w:val="20"/>
        </w:rPr>
        <w:t>Rīgā</w:t>
      </w:r>
    </w:p>
    <w:p w14:paraId="72F91D59" w14:textId="0A61C7A4" w:rsidR="00633C7A" w:rsidRPr="0084481C" w:rsidRDefault="000A695F" w:rsidP="0084481C">
      <w:pPr>
        <w:spacing w:after="120"/>
        <w:ind w:left="5954" w:hanging="5954"/>
        <w:rPr>
          <w:sz w:val="20"/>
          <w:szCs w:val="20"/>
        </w:rPr>
      </w:pPr>
      <w:r w:rsidRPr="00CC2672">
        <w:rPr>
          <w:sz w:val="20"/>
          <w:szCs w:val="16"/>
        </w:rPr>
        <w:t>Datums skatāms laika zīmogā</w:t>
      </w:r>
      <w:r>
        <w:rPr>
          <w:sz w:val="20"/>
          <w:szCs w:val="16"/>
        </w:rPr>
        <w:tab/>
      </w:r>
      <w:r w:rsidR="00FD5884" w:rsidRPr="0084481C">
        <w:rPr>
          <w:b/>
          <w:sz w:val="20"/>
          <w:szCs w:val="20"/>
        </w:rPr>
        <w:t>Pasūtītāja</w:t>
      </w:r>
      <w:r w:rsidR="00DD2C80" w:rsidRPr="0084481C">
        <w:rPr>
          <w:b/>
          <w:sz w:val="20"/>
          <w:szCs w:val="20"/>
        </w:rPr>
        <w:t xml:space="preserve"> līguma</w:t>
      </w:r>
      <w:r w:rsidRPr="0084481C">
        <w:rPr>
          <w:b/>
          <w:sz w:val="20"/>
          <w:szCs w:val="20"/>
        </w:rPr>
        <w:t xml:space="preserve"> numuru skatīt reģistrācijas informācijā</w:t>
      </w:r>
      <w:r w:rsidR="00633C7A" w:rsidRPr="0084481C">
        <w:rPr>
          <w:b/>
          <w:sz w:val="20"/>
          <w:szCs w:val="20"/>
        </w:rPr>
        <w:t xml:space="preserve"> </w:t>
      </w:r>
    </w:p>
    <w:p w14:paraId="2BD7038F" w14:textId="3C79E160" w:rsidR="00FD5884" w:rsidRPr="0084481C" w:rsidRDefault="000A695F" w:rsidP="0084481C">
      <w:pPr>
        <w:tabs>
          <w:tab w:val="left" w:pos="567"/>
          <w:tab w:val="left" w:pos="5954"/>
        </w:tabs>
        <w:spacing w:after="120"/>
        <w:ind w:left="5954" w:hanging="5234"/>
        <w:jc w:val="both"/>
        <w:rPr>
          <w:b/>
          <w:sz w:val="20"/>
          <w:szCs w:val="20"/>
        </w:rPr>
      </w:pPr>
      <w:r w:rsidRPr="0084481C">
        <w:rPr>
          <w:b/>
          <w:sz w:val="20"/>
          <w:szCs w:val="20"/>
        </w:rPr>
        <w:tab/>
      </w:r>
      <w:r w:rsidR="00FD5884" w:rsidRPr="0084481C">
        <w:rPr>
          <w:b/>
          <w:sz w:val="20"/>
          <w:szCs w:val="20"/>
        </w:rPr>
        <w:t>Piegādātāja līguma uzskaites Nr.2017/1889-TA</w:t>
      </w:r>
    </w:p>
    <w:p w14:paraId="72F91D5B" w14:textId="1765F2A5" w:rsidR="00633C7A" w:rsidRPr="008B3275" w:rsidRDefault="00633C7A" w:rsidP="00201C59">
      <w:pPr>
        <w:pStyle w:val="BodyTextIndent"/>
        <w:spacing w:after="0"/>
        <w:ind w:left="0"/>
        <w:jc w:val="both"/>
      </w:pPr>
      <w:r w:rsidRPr="008B3275">
        <w:rPr>
          <w:b/>
        </w:rPr>
        <w:t>Valsts kase</w:t>
      </w:r>
      <w:r w:rsidRPr="008B3275">
        <w:t>, reģ.</w:t>
      </w:r>
      <w:r w:rsidR="00CE2DA5">
        <w:t xml:space="preserve"> </w:t>
      </w:r>
      <w:r w:rsidRPr="008B3275">
        <w:t xml:space="preserve">Nr. 90000597275, adrese: Smilšu </w:t>
      </w:r>
      <w:r w:rsidR="00DD2C80">
        <w:t>ielā 1, Rīgā, LV-1919</w:t>
      </w:r>
      <w:r w:rsidR="006D3D51">
        <w:t>,</w:t>
      </w:r>
      <w:r w:rsidR="00DD2C80">
        <w:t xml:space="preserve"> (turpmāk –</w:t>
      </w:r>
      <w:r w:rsidRPr="008B3275">
        <w:t xml:space="preserve"> </w:t>
      </w:r>
      <w:r w:rsidRPr="00AC1266">
        <w:rPr>
          <w:i/>
        </w:rPr>
        <w:t>Pasūtītājs</w:t>
      </w:r>
      <w:r w:rsidRPr="008B3275">
        <w:t>), tās pārvaldnieka Kaspar</w:t>
      </w:r>
      <w:r w:rsidR="00DD2C80">
        <w:t>a Āboliņa personā, kurš</w:t>
      </w:r>
      <w:r w:rsidRPr="008B3275">
        <w:t xml:space="preserve"> rīkojas saskaņā ar Ministru kabineta 2004.gada 3.augusta noteikumiem Nr.677 „Valsts kases nolikums” no vienas puses</w:t>
      </w:r>
    </w:p>
    <w:p w14:paraId="72F91D5C" w14:textId="77777777" w:rsidR="00633C7A" w:rsidRPr="008B3275" w:rsidRDefault="00633C7A" w:rsidP="00633C7A">
      <w:pPr>
        <w:ind w:firstLine="720"/>
        <w:jc w:val="center"/>
      </w:pPr>
      <w:r w:rsidRPr="008B3275">
        <w:t>un</w:t>
      </w:r>
    </w:p>
    <w:p w14:paraId="72F91D5D" w14:textId="64348B02" w:rsidR="00633C7A" w:rsidRPr="008B3275" w:rsidRDefault="00201C59" w:rsidP="00201C59">
      <w:pPr>
        <w:jc w:val="both"/>
      </w:pPr>
      <w:r>
        <w:rPr>
          <w:b/>
        </w:rPr>
        <w:t>SIA “Belam-Rīga”</w:t>
      </w:r>
      <w:r w:rsidRPr="005B30AC">
        <w:t xml:space="preserve">, </w:t>
      </w:r>
      <w:r w:rsidRPr="008B3275">
        <w:t xml:space="preserve">reģ.Nr. </w:t>
      </w:r>
      <w:r w:rsidRPr="00D031A4">
        <w:t>40003171311</w:t>
      </w:r>
      <w:r>
        <w:t>,</w:t>
      </w:r>
      <w:r>
        <w:rPr>
          <w:b/>
        </w:rPr>
        <w:t xml:space="preserve"> </w:t>
      </w:r>
      <w:r w:rsidRPr="005B30AC">
        <w:t>adrese:</w:t>
      </w:r>
      <w:r>
        <w:t xml:space="preserve"> Ģertrūdes ielā 94, Rīgā, LV-1009, </w:t>
      </w:r>
      <w:r w:rsidR="006D3D51">
        <w:t xml:space="preserve">(turpmāk – </w:t>
      </w:r>
      <w:r w:rsidR="006D3D51" w:rsidRPr="006D3D51">
        <w:rPr>
          <w:i/>
        </w:rPr>
        <w:t>Piegādātājs</w:t>
      </w:r>
      <w:r w:rsidR="006D3D51">
        <w:t>)</w:t>
      </w:r>
      <w:r w:rsidR="006D3D51" w:rsidRPr="006D3D51">
        <w:t xml:space="preserve"> </w:t>
      </w:r>
      <w:r>
        <w:t>tās izpilddirektora Ilo Lošaka personā, k</w:t>
      </w:r>
      <w:r w:rsidR="001542F0">
        <w:t>urš</w:t>
      </w:r>
      <w:r>
        <w:t xml:space="preserve"> rīkojas saskaņā ar</w:t>
      </w:r>
      <w:r w:rsidR="00DD2C80">
        <w:t xml:space="preserve"> 2015.gada 3.marta Pilnvaru Nr.</w:t>
      </w:r>
      <w:r>
        <w:t>039/2015</w:t>
      </w:r>
      <w:r w:rsidR="00633C7A" w:rsidRPr="008B3275">
        <w:t xml:space="preserve">, no otras puses (abi kopā un katrs atsevišķi </w:t>
      </w:r>
      <w:r w:rsidR="00DD2C80">
        <w:t>turpmāk –</w:t>
      </w:r>
      <w:r w:rsidR="00633C7A" w:rsidRPr="00F60E7D">
        <w:t xml:space="preserve"> </w:t>
      </w:r>
      <w:r w:rsidR="00633C7A" w:rsidRPr="0076560B">
        <w:rPr>
          <w:i/>
        </w:rPr>
        <w:t>Puses/Puse</w:t>
      </w:r>
      <w:r w:rsidR="00633C7A" w:rsidRPr="00F60E7D">
        <w:t>), pamatojoties uz iepirkuma (iepirkum</w:t>
      </w:r>
      <w:r w:rsidR="00E25312">
        <w:t>a</w:t>
      </w:r>
      <w:r w:rsidR="00633C7A" w:rsidRPr="00F60E7D">
        <w:t xml:space="preserve"> identifikācijas Nr.</w:t>
      </w:r>
      <w:r w:rsidR="006A1B5C">
        <w:t> </w:t>
      </w:r>
      <w:r w:rsidR="00633C7A" w:rsidRPr="00F60E7D">
        <w:t>VK/201</w:t>
      </w:r>
      <w:r w:rsidR="00633C7A">
        <w:t>7</w:t>
      </w:r>
      <w:r w:rsidR="00633C7A" w:rsidRPr="00F60E7D">
        <w:t>/</w:t>
      </w:r>
      <w:r w:rsidR="00B26709">
        <w:t>10</w:t>
      </w:r>
      <w:r w:rsidR="00E25312">
        <w:t>, turpmāk –</w:t>
      </w:r>
      <w:r w:rsidR="00633C7A">
        <w:t xml:space="preserve"> Iepirkums</w:t>
      </w:r>
      <w:r w:rsidR="00633C7A" w:rsidRPr="00F60E7D">
        <w:t>) rezultātiem</w:t>
      </w:r>
      <w:r w:rsidR="00633C7A" w:rsidRPr="008B3275">
        <w:t>, nos</w:t>
      </w:r>
      <w:r w:rsidR="00633C7A">
        <w:t>lēdz šādu līgumu (turpmāk</w:t>
      </w:r>
      <w:r w:rsidR="00633C7A" w:rsidRPr="008B3275">
        <w:t xml:space="preserve"> – Līgums).</w:t>
      </w:r>
    </w:p>
    <w:p w14:paraId="72F91D5E" w14:textId="77777777" w:rsidR="00633C7A" w:rsidRPr="008B3275" w:rsidRDefault="00633C7A" w:rsidP="00633C7A">
      <w:pPr>
        <w:jc w:val="center"/>
      </w:pPr>
    </w:p>
    <w:p w14:paraId="72F91D5F" w14:textId="77777777" w:rsidR="00633C7A" w:rsidRPr="008B3275" w:rsidRDefault="00633C7A" w:rsidP="00633C7A">
      <w:pPr>
        <w:numPr>
          <w:ilvl w:val="0"/>
          <w:numId w:val="1"/>
        </w:numPr>
        <w:jc w:val="both"/>
        <w:rPr>
          <w:b/>
        </w:rPr>
      </w:pPr>
      <w:r w:rsidRPr="008B3275">
        <w:rPr>
          <w:b/>
        </w:rPr>
        <w:t>Līguma priekšmets</w:t>
      </w:r>
    </w:p>
    <w:p w14:paraId="72F91D60" w14:textId="46C29776" w:rsidR="00633C7A" w:rsidRPr="008B3275" w:rsidRDefault="00633C7A" w:rsidP="00633C7A">
      <w:pPr>
        <w:ind w:left="576"/>
        <w:jc w:val="both"/>
      </w:pPr>
      <w:r w:rsidRPr="00AC1266">
        <w:rPr>
          <w:i/>
        </w:rPr>
        <w:t>Pasūtītājs</w:t>
      </w:r>
      <w:r w:rsidRPr="008B3275">
        <w:t xml:space="preserve"> pasūta un apmaksā, bet </w:t>
      </w:r>
      <w:r w:rsidRPr="00AC1266">
        <w:rPr>
          <w:i/>
        </w:rPr>
        <w:t>Piegādātājs</w:t>
      </w:r>
      <w:r>
        <w:t xml:space="preserve"> </w:t>
      </w:r>
      <w:r w:rsidR="00DD2C80">
        <w:t>veic</w:t>
      </w:r>
      <w:r w:rsidRPr="00CC57B3">
        <w:t xml:space="preserve"> </w:t>
      </w:r>
      <w:r w:rsidR="00DD2C80">
        <w:t>k</w:t>
      </w:r>
      <w:r w:rsidRPr="00F07A54">
        <w:t>ontakt</w:t>
      </w:r>
      <w:r>
        <w:t xml:space="preserve">u centra </w:t>
      </w:r>
      <w:r>
        <w:rPr>
          <w:szCs w:val="20"/>
        </w:rPr>
        <w:t xml:space="preserve">Genesys PureConnect </w:t>
      </w:r>
      <w:r>
        <w:t>licenču uzturēšanu</w:t>
      </w:r>
      <w:r w:rsidRPr="00CC57B3">
        <w:rPr>
          <w:rFonts w:ascii="TimesNewRomanPSMT" w:hAnsi="TimesNewRomanPSMT" w:cs="TimesNewRomanPSMT"/>
        </w:rPr>
        <w:t xml:space="preserve"> Rīgā, Smilšu ielā 1</w:t>
      </w:r>
      <w:r w:rsidRPr="00F61EB2">
        <w:t xml:space="preserve"> (turpmāk</w:t>
      </w:r>
      <w:r w:rsidR="00DD2C80">
        <w:t xml:space="preserve"> –</w:t>
      </w:r>
      <w:r w:rsidRPr="00F61EB2">
        <w:t xml:space="preserve"> </w:t>
      </w:r>
      <w:r w:rsidRPr="0076560B">
        <w:rPr>
          <w:i/>
        </w:rPr>
        <w:t>Pakalpojums</w:t>
      </w:r>
      <w:r w:rsidRPr="00F61EB2">
        <w:t>)</w:t>
      </w:r>
      <w:r>
        <w:t xml:space="preserve"> saskaņā ar Līgumu un Iepirkuma tehnisko specifikāciju</w:t>
      </w:r>
      <w:r w:rsidRPr="008B3275">
        <w:t>.</w:t>
      </w:r>
    </w:p>
    <w:p w14:paraId="72F91D61" w14:textId="77777777" w:rsidR="00633C7A" w:rsidRDefault="00633C7A" w:rsidP="00633C7A">
      <w:pPr>
        <w:jc w:val="both"/>
      </w:pPr>
    </w:p>
    <w:p w14:paraId="72F91D62" w14:textId="77777777" w:rsidR="00633C7A" w:rsidRPr="00F104DA" w:rsidRDefault="00633C7A" w:rsidP="00633C7A">
      <w:pPr>
        <w:numPr>
          <w:ilvl w:val="0"/>
          <w:numId w:val="1"/>
        </w:numPr>
        <w:jc w:val="both"/>
        <w:rPr>
          <w:b/>
        </w:rPr>
      </w:pPr>
      <w:r w:rsidRPr="00F104DA">
        <w:rPr>
          <w:b/>
        </w:rPr>
        <w:t>Līguma darbības termiņš</w:t>
      </w:r>
    </w:p>
    <w:p w14:paraId="72F91D63" w14:textId="77777777" w:rsidR="00633C7A" w:rsidRDefault="00633C7A" w:rsidP="00633C7A">
      <w:pPr>
        <w:numPr>
          <w:ilvl w:val="1"/>
          <w:numId w:val="1"/>
        </w:numPr>
        <w:jc w:val="both"/>
      </w:pPr>
      <w:r w:rsidRPr="00836A20">
        <w:t xml:space="preserve">Līgums </w:t>
      </w:r>
      <w:r>
        <w:t>stājas spēkā tā abpusējas parakstīšanas dienā.</w:t>
      </w:r>
    </w:p>
    <w:p w14:paraId="72F91D64" w14:textId="77777777" w:rsidR="00633C7A" w:rsidRDefault="00633C7A" w:rsidP="00633C7A">
      <w:pPr>
        <w:numPr>
          <w:ilvl w:val="1"/>
          <w:numId w:val="1"/>
        </w:numPr>
        <w:jc w:val="both"/>
      </w:pPr>
      <w:r>
        <w:t>Attiecībā uz</w:t>
      </w:r>
      <w:r>
        <w:rPr>
          <w:i/>
        </w:rPr>
        <w:t xml:space="preserve"> Pakalpojumu </w:t>
      </w:r>
      <w:r>
        <w:t>sniegšanu</w:t>
      </w:r>
      <w:r w:rsidRPr="00836A20">
        <w:t xml:space="preserve"> Līgums</w:t>
      </w:r>
      <w:r>
        <w:rPr>
          <w:i/>
        </w:rPr>
        <w:t xml:space="preserve"> </w:t>
      </w:r>
      <w:r>
        <w:t>ir spēkā līdz</w:t>
      </w:r>
      <w:r>
        <w:rPr>
          <w:i/>
        </w:rPr>
        <w:t xml:space="preserve"> </w:t>
      </w:r>
      <w:r w:rsidRPr="00C26943">
        <w:t>2018.gada 23.novembrim.</w:t>
      </w:r>
      <w:r>
        <w:t xml:space="preserve"> Attiecībā uz iespējamo domstarpību un strīdu risināšanu</w:t>
      </w:r>
      <w:r>
        <w:rPr>
          <w:i/>
        </w:rPr>
        <w:t xml:space="preserve"> </w:t>
      </w:r>
      <w:r w:rsidRPr="00836A20">
        <w:t>Līgums</w:t>
      </w:r>
      <w:r>
        <w:rPr>
          <w:i/>
        </w:rPr>
        <w:t xml:space="preserve"> </w:t>
      </w:r>
      <w:r>
        <w:t>ir spēkā līdz</w:t>
      </w:r>
      <w:r>
        <w:rPr>
          <w:i/>
        </w:rPr>
        <w:t xml:space="preserve"> </w:t>
      </w:r>
      <w:r w:rsidRPr="00836A20">
        <w:t>Līgumā</w:t>
      </w:r>
      <w:r>
        <w:rPr>
          <w:i/>
        </w:rPr>
        <w:t xml:space="preserve"> </w:t>
      </w:r>
      <w:r>
        <w:t xml:space="preserve">paredzēto </w:t>
      </w:r>
      <w:r>
        <w:rPr>
          <w:i/>
        </w:rPr>
        <w:t xml:space="preserve">Pušu </w:t>
      </w:r>
      <w:r>
        <w:t>savstarpējo saistību izpildei.</w:t>
      </w:r>
    </w:p>
    <w:p w14:paraId="72F91D65" w14:textId="77777777" w:rsidR="00633C7A" w:rsidRPr="008B3275" w:rsidRDefault="00633C7A" w:rsidP="00633C7A">
      <w:pPr>
        <w:jc w:val="both"/>
      </w:pPr>
    </w:p>
    <w:p w14:paraId="72F91D66" w14:textId="77777777" w:rsidR="00633C7A" w:rsidRPr="008B3275" w:rsidRDefault="00633C7A" w:rsidP="00633C7A">
      <w:pPr>
        <w:numPr>
          <w:ilvl w:val="0"/>
          <w:numId w:val="1"/>
        </w:numPr>
        <w:jc w:val="both"/>
        <w:rPr>
          <w:b/>
        </w:rPr>
      </w:pPr>
      <w:bookmarkStart w:id="1" w:name="_Ref353873055"/>
      <w:r>
        <w:rPr>
          <w:b/>
        </w:rPr>
        <w:t>Līgumcen</w:t>
      </w:r>
      <w:r w:rsidRPr="008B3275">
        <w:rPr>
          <w:b/>
        </w:rPr>
        <w:t>a un apmaksas kārtība</w:t>
      </w:r>
      <w:bookmarkEnd w:id="1"/>
    </w:p>
    <w:p w14:paraId="72F91D67" w14:textId="6BC37951" w:rsidR="00633C7A" w:rsidRDefault="00633C7A" w:rsidP="00633C7A">
      <w:pPr>
        <w:numPr>
          <w:ilvl w:val="1"/>
          <w:numId w:val="1"/>
        </w:numPr>
        <w:jc w:val="both"/>
      </w:pPr>
      <w:bookmarkStart w:id="2" w:name="_Ref353870815"/>
      <w:r>
        <w:t xml:space="preserve">Kopējā līgumcena ir </w:t>
      </w:r>
      <w:r w:rsidR="00FD5884">
        <w:rPr>
          <w:lang w:eastAsia="en-US"/>
        </w:rPr>
        <w:t>13 176.00</w:t>
      </w:r>
      <w:r w:rsidR="00FD5884" w:rsidRPr="00003999">
        <w:rPr>
          <w:lang w:eastAsia="en-US"/>
        </w:rPr>
        <w:t> </w:t>
      </w:r>
      <w:r>
        <w:t xml:space="preserve">EUR </w:t>
      </w:r>
      <w:r w:rsidRPr="008B3275">
        <w:t>(</w:t>
      </w:r>
      <w:r w:rsidR="00FD5884">
        <w:t>trīspadsmit tūkstoši viens simts septiņdesmit seši</w:t>
      </w:r>
      <w:r>
        <w:t xml:space="preserve"> </w:t>
      </w:r>
      <w:r w:rsidRPr="00C13321">
        <w:rPr>
          <w:i/>
        </w:rPr>
        <w:t>euro</w:t>
      </w:r>
      <w:r w:rsidRPr="008B3275">
        <w:t>)</w:t>
      </w:r>
      <w:r>
        <w:t>, kurai pieskaitāms pievienotās vērtības nodoklis (PVN) atbilstoši Latvija</w:t>
      </w:r>
      <w:r w:rsidR="006D3D51">
        <w:t>s</w:t>
      </w:r>
      <w:r>
        <w:t xml:space="preserve"> Republikas normatīvajos aktos noteiktajam </w:t>
      </w:r>
      <w:r w:rsidRPr="009D0781">
        <w:rPr>
          <w:i/>
        </w:rPr>
        <w:t>Pakalpojuma</w:t>
      </w:r>
      <w:r>
        <w:t xml:space="preserve"> sniegšanas dienā (turpmāk – Līgumcena)</w:t>
      </w:r>
      <w:r w:rsidRPr="008B3275">
        <w:t>.</w:t>
      </w:r>
    </w:p>
    <w:p w14:paraId="72F91D68" w14:textId="77777777" w:rsidR="00633C7A" w:rsidRDefault="00633C7A" w:rsidP="00633C7A">
      <w:pPr>
        <w:numPr>
          <w:ilvl w:val="1"/>
          <w:numId w:val="1"/>
        </w:numPr>
        <w:jc w:val="both"/>
        <w:rPr>
          <w:i/>
        </w:rPr>
      </w:pPr>
      <w:r>
        <w:rPr>
          <w:i/>
        </w:rPr>
        <w:t xml:space="preserve">Pasūtītājs </w:t>
      </w:r>
      <w:r>
        <w:t>veic rēķina apmaksu 30 (trīsdesmit) dienu laikā no tā saņemšanas, pārskaitot naudu uz</w:t>
      </w:r>
      <w:r>
        <w:rPr>
          <w:i/>
        </w:rPr>
        <w:t xml:space="preserve"> Piegādātāja</w:t>
      </w:r>
      <w:r>
        <w:t xml:space="preserve"> rēķinā norādīto bankas kontu. </w:t>
      </w:r>
      <w:r w:rsidRPr="00671BBA">
        <w:rPr>
          <w:kern w:val="28"/>
        </w:rPr>
        <w:t>Par apmaksas dienu tiek uzskatīta tā diena,</w:t>
      </w:r>
      <w:r>
        <w:rPr>
          <w:kern w:val="28"/>
        </w:rPr>
        <w:t xml:space="preserve"> kad </w:t>
      </w:r>
      <w:r w:rsidRPr="009D0781">
        <w:rPr>
          <w:i/>
          <w:kern w:val="28"/>
        </w:rPr>
        <w:t>Pasūtītājs</w:t>
      </w:r>
      <w:r w:rsidRPr="00671BBA">
        <w:rPr>
          <w:kern w:val="28"/>
        </w:rPr>
        <w:t xml:space="preserve"> </w:t>
      </w:r>
      <w:r w:rsidRPr="00F35E98">
        <w:rPr>
          <w:kern w:val="28"/>
        </w:rPr>
        <w:t>devis maksājuma rīkojumu bankai</w:t>
      </w:r>
      <w:r>
        <w:rPr>
          <w:kern w:val="28"/>
        </w:rPr>
        <w:t xml:space="preserve"> apmaksāt rēķinu.</w:t>
      </w:r>
    </w:p>
    <w:bookmarkEnd w:id="2"/>
    <w:p w14:paraId="72F91D69" w14:textId="77777777" w:rsidR="00633C7A" w:rsidRPr="008B3275" w:rsidRDefault="00633C7A" w:rsidP="00633C7A">
      <w:pPr>
        <w:numPr>
          <w:ilvl w:val="1"/>
          <w:numId w:val="1"/>
        </w:numPr>
        <w:jc w:val="both"/>
      </w:pPr>
      <w:r w:rsidRPr="008B3275">
        <w:t xml:space="preserve">Visi ar </w:t>
      </w:r>
      <w:r w:rsidRPr="00316B7B">
        <w:rPr>
          <w:i/>
        </w:rPr>
        <w:t>Pakalpojuma</w:t>
      </w:r>
      <w:r w:rsidRPr="008B3275">
        <w:t xml:space="preserve"> veikšanu saistītie izdevumi, kas </w:t>
      </w:r>
      <w:r w:rsidRPr="00316B7B">
        <w:rPr>
          <w:i/>
        </w:rPr>
        <w:t>Piegādātājam</w:t>
      </w:r>
      <w:r w:rsidRPr="008B3275">
        <w:t xml:space="preserve"> rodas, nodarbinot izpildē iesaistīto personālu un speciālistus, ir iekļauti Līgum</w:t>
      </w:r>
      <w:r>
        <w:t>cen</w:t>
      </w:r>
      <w:r w:rsidRPr="008B3275">
        <w:t>ā.</w:t>
      </w:r>
    </w:p>
    <w:p w14:paraId="72F91D6A" w14:textId="77777777" w:rsidR="00633C7A" w:rsidRPr="008B3275" w:rsidRDefault="00633C7A" w:rsidP="00633C7A">
      <w:pPr>
        <w:ind w:left="432"/>
      </w:pPr>
    </w:p>
    <w:p w14:paraId="72F91D6B" w14:textId="77777777" w:rsidR="00633C7A" w:rsidRPr="008B3275" w:rsidRDefault="00633C7A" w:rsidP="00633C7A">
      <w:pPr>
        <w:numPr>
          <w:ilvl w:val="0"/>
          <w:numId w:val="1"/>
        </w:numPr>
        <w:rPr>
          <w:b/>
        </w:rPr>
      </w:pPr>
      <w:r w:rsidRPr="008B3275">
        <w:rPr>
          <w:b/>
        </w:rPr>
        <w:t>Pušu tiesības un pienākumi</w:t>
      </w:r>
    </w:p>
    <w:p w14:paraId="72F91D6C" w14:textId="77777777" w:rsidR="00633C7A" w:rsidRPr="008B3275" w:rsidRDefault="00633C7A" w:rsidP="00633C7A">
      <w:pPr>
        <w:numPr>
          <w:ilvl w:val="1"/>
          <w:numId w:val="1"/>
        </w:numPr>
        <w:spacing w:after="120"/>
        <w:contextualSpacing/>
        <w:jc w:val="both"/>
      </w:pPr>
      <w:r w:rsidRPr="00660BEE">
        <w:rPr>
          <w:i/>
        </w:rPr>
        <w:t>Pasūtītāja</w:t>
      </w:r>
      <w:r w:rsidRPr="008B3275">
        <w:t xml:space="preserve"> tiesības un pienākumi:</w:t>
      </w:r>
    </w:p>
    <w:p w14:paraId="72F91D6D" w14:textId="77777777" w:rsidR="00633C7A" w:rsidRDefault="00633C7A" w:rsidP="00633C7A">
      <w:pPr>
        <w:numPr>
          <w:ilvl w:val="2"/>
          <w:numId w:val="1"/>
        </w:numPr>
        <w:spacing w:after="120"/>
        <w:contextualSpacing/>
        <w:jc w:val="both"/>
      </w:pPr>
      <w:r>
        <w:t xml:space="preserve">saņemt un izmantot Līgumā noteikto </w:t>
      </w:r>
      <w:r w:rsidRPr="001A78E5">
        <w:rPr>
          <w:i/>
        </w:rPr>
        <w:t>Pakalpojumu</w:t>
      </w:r>
      <w:r>
        <w:t>;</w:t>
      </w:r>
    </w:p>
    <w:p w14:paraId="72F91D6E" w14:textId="77777777" w:rsidR="00633C7A" w:rsidRPr="008B3275" w:rsidRDefault="00633C7A" w:rsidP="00633C7A">
      <w:pPr>
        <w:numPr>
          <w:ilvl w:val="2"/>
          <w:numId w:val="1"/>
        </w:numPr>
        <w:spacing w:after="120"/>
        <w:contextualSpacing/>
        <w:jc w:val="both"/>
      </w:pPr>
      <w:r>
        <w:t>savlaicīgi veikt Līgumā noteiktos maksājumus;</w:t>
      </w:r>
    </w:p>
    <w:p w14:paraId="72F91D6F" w14:textId="77777777" w:rsidR="00633C7A" w:rsidRPr="006E30F0" w:rsidRDefault="00633C7A" w:rsidP="00633C7A">
      <w:pPr>
        <w:numPr>
          <w:ilvl w:val="2"/>
          <w:numId w:val="1"/>
        </w:numPr>
        <w:spacing w:after="120"/>
        <w:contextualSpacing/>
        <w:jc w:val="both"/>
      </w:pPr>
      <w:r>
        <w:t>n</w:t>
      </w:r>
      <w:r w:rsidRPr="008B3275">
        <w:t xml:space="preserve">odrošināt </w:t>
      </w:r>
      <w:r w:rsidRPr="004D1E07">
        <w:rPr>
          <w:i/>
        </w:rPr>
        <w:t>Piegādātāju</w:t>
      </w:r>
      <w:r w:rsidRPr="008B3275">
        <w:t xml:space="preserve"> ar visu informāciju, kas nepieciešama Līguma izpildei, kā arī nodrošināt </w:t>
      </w:r>
      <w:r w:rsidRPr="004D1E07">
        <w:rPr>
          <w:i/>
        </w:rPr>
        <w:t>Pasūtītāja</w:t>
      </w:r>
      <w:r w:rsidRPr="002177D3">
        <w:t xml:space="preserve"> atbildīgo darbinieku līdzdalību Līguma izpildē, lai nodrošinātu pienākumu izpildi no </w:t>
      </w:r>
      <w:r w:rsidRPr="004D1E07">
        <w:rPr>
          <w:i/>
        </w:rPr>
        <w:t>Pasūtītāja</w:t>
      </w:r>
      <w:r w:rsidRPr="00D61AD8">
        <w:t xml:space="preserve"> puses</w:t>
      </w:r>
      <w:r w:rsidRPr="006E30F0">
        <w:t>.</w:t>
      </w:r>
    </w:p>
    <w:p w14:paraId="72F91D70" w14:textId="77777777" w:rsidR="00633C7A" w:rsidRPr="006E30F0" w:rsidRDefault="00633C7A" w:rsidP="00633C7A">
      <w:pPr>
        <w:numPr>
          <w:ilvl w:val="1"/>
          <w:numId w:val="1"/>
        </w:numPr>
        <w:spacing w:after="120"/>
        <w:contextualSpacing/>
        <w:jc w:val="both"/>
      </w:pPr>
      <w:r w:rsidRPr="004D1E07">
        <w:rPr>
          <w:i/>
        </w:rPr>
        <w:t>Piegādātāja</w:t>
      </w:r>
      <w:r w:rsidRPr="006E30F0">
        <w:t xml:space="preserve"> tiesības un pienākumi: </w:t>
      </w:r>
    </w:p>
    <w:p w14:paraId="72F91D71" w14:textId="10D5FA90" w:rsidR="00633C7A" w:rsidRPr="00DA4B81" w:rsidRDefault="00633C7A" w:rsidP="00633C7A">
      <w:pPr>
        <w:numPr>
          <w:ilvl w:val="2"/>
          <w:numId w:val="1"/>
        </w:numPr>
        <w:spacing w:after="120"/>
        <w:contextualSpacing/>
        <w:jc w:val="both"/>
      </w:pPr>
      <w:r w:rsidRPr="00DA4B81">
        <w:t>ievērot Līguma</w:t>
      </w:r>
      <w:r w:rsidR="00DD2C80">
        <w:t xml:space="preserve"> un Iepirkuma tehniskās specifikācijas</w:t>
      </w:r>
      <w:r w:rsidRPr="00DA4B81">
        <w:t xml:space="preserve"> noteikumus un termiņus;</w:t>
      </w:r>
    </w:p>
    <w:p w14:paraId="72F91D72" w14:textId="77777777" w:rsidR="00633C7A" w:rsidRPr="008B3275" w:rsidRDefault="00633C7A" w:rsidP="00633C7A">
      <w:pPr>
        <w:numPr>
          <w:ilvl w:val="2"/>
          <w:numId w:val="1"/>
        </w:numPr>
        <w:spacing w:after="120"/>
        <w:contextualSpacing/>
        <w:jc w:val="both"/>
      </w:pPr>
      <w:r>
        <w:t xml:space="preserve">kvalitatīvi un profesionāli sniegt </w:t>
      </w:r>
      <w:r w:rsidRPr="001A78E5">
        <w:rPr>
          <w:i/>
        </w:rPr>
        <w:t>Pakalpojumu</w:t>
      </w:r>
      <w:r>
        <w:t>.</w:t>
      </w:r>
    </w:p>
    <w:p w14:paraId="72F91D73" w14:textId="77777777" w:rsidR="00633C7A" w:rsidRPr="008B3275" w:rsidRDefault="00633C7A" w:rsidP="00633C7A">
      <w:pPr>
        <w:numPr>
          <w:ilvl w:val="1"/>
          <w:numId w:val="1"/>
        </w:numPr>
        <w:spacing w:after="120"/>
        <w:contextualSpacing/>
        <w:jc w:val="both"/>
      </w:pPr>
      <w:r w:rsidRPr="0031407C">
        <w:rPr>
          <w:i/>
        </w:rPr>
        <w:lastRenderedPageBreak/>
        <w:t>Puses</w:t>
      </w:r>
      <w:r w:rsidRPr="008B3275">
        <w:t xml:space="preserve"> apņemas nekavējoties informēt (telefoniski, elektroniski vai rakstveidā) viena otru par jebkādām grūtībām Līguma izpildes procesā, kas varētu aizkavēt savlaicīgu darbu veikšanu un Līguma izpildi.</w:t>
      </w:r>
    </w:p>
    <w:p w14:paraId="72F91D74" w14:textId="77777777" w:rsidR="00633C7A" w:rsidRPr="008B3275" w:rsidRDefault="00633C7A" w:rsidP="00633C7A">
      <w:pPr>
        <w:numPr>
          <w:ilvl w:val="1"/>
          <w:numId w:val="1"/>
        </w:numPr>
        <w:spacing w:after="120"/>
        <w:contextualSpacing/>
        <w:jc w:val="both"/>
      </w:pPr>
      <w:r w:rsidRPr="0031407C">
        <w:rPr>
          <w:i/>
        </w:rPr>
        <w:t>Puses</w:t>
      </w:r>
      <w:r w:rsidRPr="008B3275">
        <w:t xml:space="preserve"> apliecina, ka tām ir visas nepieciešamās pilnvaras un tiesības, lai slēgtu Līgumu, kā arī tām nav zināmi nekādi tiesiski vai faktiski šķēršļi vai iemesli, kas jebkādā veidā ietekmētu vai aizliegtu uzņemties Līgumā minēto pienākumu izpildi.</w:t>
      </w:r>
    </w:p>
    <w:p w14:paraId="72F91D75" w14:textId="77777777" w:rsidR="00633C7A" w:rsidRDefault="00633C7A" w:rsidP="00633C7A">
      <w:pPr>
        <w:numPr>
          <w:ilvl w:val="1"/>
          <w:numId w:val="1"/>
        </w:numPr>
        <w:spacing w:after="120"/>
        <w:contextualSpacing/>
        <w:jc w:val="both"/>
      </w:pPr>
      <w:r w:rsidRPr="0031407C">
        <w:rPr>
          <w:i/>
        </w:rPr>
        <w:t>Piegādātājs</w:t>
      </w:r>
      <w:r w:rsidRPr="008B3275">
        <w:t xml:space="preserve"> apliecina, ka ir iepazinies ar Līguma noteikumiem un atzinis tos par saistošiem un izpildāmiem. </w:t>
      </w:r>
      <w:r w:rsidRPr="0031407C">
        <w:rPr>
          <w:i/>
        </w:rPr>
        <w:t>Piegādātājs</w:t>
      </w:r>
      <w:r w:rsidRPr="008B3275">
        <w:t xml:space="preserve"> apliecina, ka viņa rīcībā atrodas pietiekami daudz darbinieku un nepieciešamo materiālo resursu, kā arī citu līdzekļu, lai savlaicīgi un kvalitatīvi veiktu visus Līgumā noteiktos pienākumus.</w:t>
      </w:r>
    </w:p>
    <w:p w14:paraId="72F91D76" w14:textId="77777777" w:rsidR="00633C7A" w:rsidRPr="008B3275" w:rsidRDefault="00633C7A" w:rsidP="00633C7A">
      <w:pPr>
        <w:spacing w:after="120"/>
        <w:contextualSpacing/>
        <w:jc w:val="both"/>
      </w:pPr>
    </w:p>
    <w:p w14:paraId="72F91D77" w14:textId="77777777" w:rsidR="00633C7A" w:rsidRPr="008B3275" w:rsidRDefault="00633C7A" w:rsidP="00633C7A">
      <w:pPr>
        <w:numPr>
          <w:ilvl w:val="0"/>
          <w:numId w:val="1"/>
        </w:numPr>
        <w:contextualSpacing/>
        <w:rPr>
          <w:b/>
        </w:rPr>
      </w:pPr>
      <w:r w:rsidRPr="008B3275">
        <w:rPr>
          <w:b/>
        </w:rPr>
        <w:t>Pušu sadarbība un pilnvarotās personas</w:t>
      </w:r>
    </w:p>
    <w:p w14:paraId="72F91D78" w14:textId="77777777" w:rsidR="00633C7A" w:rsidRPr="008B3275" w:rsidRDefault="00633C7A" w:rsidP="00633C7A">
      <w:pPr>
        <w:numPr>
          <w:ilvl w:val="1"/>
          <w:numId w:val="1"/>
        </w:numPr>
        <w:contextualSpacing/>
        <w:jc w:val="both"/>
      </w:pPr>
      <w:r w:rsidRPr="008B3275">
        <w:t xml:space="preserve">Līguma izpildei katra </w:t>
      </w:r>
      <w:r w:rsidRPr="00892FD3">
        <w:rPr>
          <w:i/>
        </w:rPr>
        <w:t>Puse</w:t>
      </w:r>
      <w:r w:rsidRPr="008B3275">
        <w:t xml:space="preserve"> norīko vienu vai vairākus pārstāvjus, kuru pienākums ir vadīt un sekot Līguma izpildei, t</w:t>
      </w:r>
      <w:r>
        <w:t>ai skaitā pārbaudīt un pieņemt n</w:t>
      </w:r>
      <w:r w:rsidRPr="008B3275">
        <w:t xml:space="preserve">odevumus, informēt par Līguma izpildi gan savu, gan otru </w:t>
      </w:r>
      <w:r w:rsidRPr="00892FD3">
        <w:rPr>
          <w:i/>
        </w:rPr>
        <w:t>Pusi</w:t>
      </w:r>
      <w:r w:rsidRPr="008B3275">
        <w:t>.</w:t>
      </w:r>
    </w:p>
    <w:p w14:paraId="72F91D7A" w14:textId="360142CC" w:rsidR="00633C7A" w:rsidRPr="008B3275" w:rsidRDefault="00633C7A" w:rsidP="00DD2C80">
      <w:pPr>
        <w:numPr>
          <w:ilvl w:val="1"/>
          <w:numId w:val="1"/>
        </w:numPr>
        <w:spacing w:after="120"/>
        <w:jc w:val="both"/>
      </w:pPr>
      <w:r w:rsidRPr="00892FD3">
        <w:rPr>
          <w:i/>
        </w:rPr>
        <w:t>Pasūtītāja</w:t>
      </w:r>
      <w:r w:rsidRPr="008B3275">
        <w:t xml:space="preserve"> pārstāvis: </w:t>
      </w:r>
      <w:r w:rsidR="00DD2C80">
        <w:t>Andris Rutkis, tā</w:t>
      </w:r>
      <w:r w:rsidR="00B57BE4">
        <w:t>l</w:t>
      </w:r>
      <w:r w:rsidR="00DD2C80">
        <w:t>r</w:t>
      </w:r>
      <w:r w:rsidR="00B57BE4">
        <w:t xml:space="preserve">: 67094256, </w:t>
      </w:r>
      <w:hyperlink r:id="rId9" w:history="1">
        <w:r w:rsidR="00B57BE4" w:rsidRPr="0087022A">
          <w:rPr>
            <w:rStyle w:val="Hyperlink"/>
          </w:rPr>
          <w:t>andris.rutkis@kase.gov.lv</w:t>
        </w:r>
      </w:hyperlink>
      <w:r w:rsidR="00B57BE4" w:rsidRPr="008B3275">
        <w:t>;</w:t>
      </w:r>
    </w:p>
    <w:p w14:paraId="3F23F108" w14:textId="1650D4D2" w:rsidR="00FD5884" w:rsidRPr="008B3275" w:rsidRDefault="00633C7A" w:rsidP="00DD2C80">
      <w:pPr>
        <w:numPr>
          <w:ilvl w:val="1"/>
          <w:numId w:val="1"/>
        </w:numPr>
        <w:spacing w:after="120"/>
        <w:jc w:val="both"/>
      </w:pPr>
      <w:r w:rsidRPr="00892FD3">
        <w:rPr>
          <w:i/>
        </w:rPr>
        <w:t>Piegādātāja</w:t>
      </w:r>
      <w:r w:rsidRPr="008B3275">
        <w:t xml:space="preserve"> pārstāvis:</w:t>
      </w:r>
      <w:r w:rsidR="00DD2C80">
        <w:t xml:space="preserve"> </w:t>
      </w:r>
      <w:r w:rsidR="00FD5884">
        <w:t xml:space="preserve">Marks Kovalenoks, </w:t>
      </w:r>
      <w:r w:rsidR="00DD2C80">
        <w:t>tā</w:t>
      </w:r>
      <w:r w:rsidR="00FD5884">
        <w:t>l</w:t>
      </w:r>
      <w:r w:rsidR="00DD2C80">
        <w:t>r</w:t>
      </w:r>
      <w:r w:rsidR="00FD5884" w:rsidRPr="008B3275">
        <w:t>.</w:t>
      </w:r>
      <w:r w:rsidR="00FD5884">
        <w:t xml:space="preserve">: 67013439, 29378266, </w:t>
      </w:r>
      <w:hyperlink r:id="rId10" w:history="1">
        <w:r w:rsidR="00FD5884" w:rsidRPr="00BC35FE">
          <w:rPr>
            <w:rStyle w:val="Hyperlink"/>
          </w:rPr>
          <w:t>mk@belam.lv</w:t>
        </w:r>
      </w:hyperlink>
      <w:r w:rsidR="00FD5884" w:rsidRPr="008B3275">
        <w:t xml:space="preserve">. </w:t>
      </w:r>
    </w:p>
    <w:p w14:paraId="72F91D7D" w14:textId="77777777" w:rsidR="00633C7A" w:rsidRPr="008B3275" w:rsidRDefault="00633C7A" w:rsidP="00633C7A">
      <w:pPr>
        <w:numPr>
          <w:ilvl w:val="1"/>
          <w:numId w:val="1"/>
        </w:numPr>
        <w:spacing w:after="120"/>
        <w:ind w:left="578" w:hanging="578"/>
        <w:contextualSpacing/>
        <w:jc w:val="both"/>
      </w:pPr>
      <w:r w:rsidRPr="007106CF">
        <w:t>Pārstāvju</w:t>
      </w:r>
      <w:r w:rsidRPr="008B3275">
        <w:t xml:space="preserve"> nomaiņas gadījumā otra </w:t>
      </w:r>
      <w:r w:rsidRPr="00892FD3">
        <w:rPr>
          <w:i/>
        </w:rPr>
        <w:t>Puse</w:t>
      </w:r>
      <w:r w:rsidRPr="008B3275">
        <w:t xml:space="preserve"> par to tiek rakstveidā informēta 3 (trīs) darba dienu laikā.</w:t>
      </w:r>
    </w:p>
    <w:p w14:paraId="72F91D7E" w14:textId="45121688" w:rsidR="00633C7A" w:rsidRPr="008B3275" w:rsidRDefault="00633C7A" w:rsidP="00633C7A">
      <w:pPr>
        <w:numPr>
          <w:ilvl w:val="1"/>
          <w:numId w:val="1"/>
        </w:numPr>
        <w:spacing w:after="120"/>
        <w:ind w:left="578" w:hanging="578"/>
        <w:contextualSpacing/>
        <w:jc w:val="both"/>
      </w:pPr>
      <w:r w:rsidRPr="008B3275">
        <w:t xml:space="preserve">Jebkurš oficiāls paziņojums, lūgums, pieprasījums vai cita informācija (izņemot tehniskas dabas informāciju) Līguma sakarā tiek iesniegta rakstveidā un tiek uzskatīta par iesniegtu vai nosūtītu tai pašā dienā, ja tā nosūtīta pa faksu vai pasūtītāja pārstāvja </w:t>
      </w:r>
      <w:r w:rsidR="00C77F98">
        <w:br/>
      </w:r>
      <w:r w:rsidRPr="008B3275">
        <w:t>e-pasta ad</w:t>
      </w:r>
      <w:r>
        <w:t>resi, vai nodota personīgi otras</w:t>
      </w:r>
      <w:r w:rsidRPr="008B3275">
        <w:t xml:space="preserve"> </w:t>
      </w:r>
      <w:r w:rsidRPr="00892FD3">
        <w:rPr>
          <w:i/>
        </w:rPr>
        <w:t>Puse</w:t>
      </w:r>
      <w:r>
        <w:rPr>
          <w:i/>
        </w:rPr>
        <w:t xml:space="preserve">s </w:t>
      </w:r>
      <w:r w:rsidRPr="009F01B5">
        <w:t>pārstāvim.</w:t>
      </w:r>
      <w:r w:rsidRPr="008B3275">
        <w:t xml:space="preserve"> Ja paziņojums nosūtīts kā reģistrēts pasta sūtījums uz Līgumā norādītajām adresēm, tad uzskatāms</w:t>
      </w:r>
      <w:r>
        <w:t>, ka šāds sūtījums ir saņemts 7</w:t>
      </w:r>
      <w:r w:rsidR="006D3D51">
        <w:t>.</w:t>
      </w:r>
      <w:r w:rsidRPr="008B3275">
        <w:t xml:space="preserve"> (</w:t>
      </w:r>
      <w:r>
        <w:t>septī</w:t>
      </w:r>
      <w:r w:rsidRPr="008B3275">
        <w:t xml:space="preserve">tajā) dienā pēc tā nodošanas pastā. </w:t>
      </w:r>
    </w:p>
    <w:p w14:paraId="72F91D7F" w14:textId="77777777" w:rsidR="00633C7A" w:rsidRPr="008B3275" w:rsidRDefault="00633C7A" w:rsidP="00633C7A"/>
    <w:p w14:paraId="72F91D80" w14:textId="77777777" w:rsidR="00633C7A" w:rsidRPr="008B3275" w:rsidRDefault="00633C7A" w:rsidP="00633C7A">
      <w:pPr>
        <w:numPr>
          <w:ilvl w:val="0"/>
          <w:numId w:val="1"/>
        </w:numPr>
        <w:rPr>
          <w:b/>
        </w:rPr>
      </w:pPr>
      <w:r w:rsidRPr="008B3275">
        <w:rPr>
          <w:b/>
        </w:rPr>
        <w:t>Pušu atbildība</w:t>
      </w:r>
    </w:p>
    <w:p w14:paraId="72F91D81" w14:textId="77777777" w:rsidR="00633C7A" w:rsidRPr="00671BB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bookmarkStart w:id="3" w:name="_Ref353873390"/>
      <w:r w:rsidRPr="003B151A">
        <w:rPr>
          <w:i/>
          <w:kern w:val="28"/>
        </w:rPr>
        <w:t>Puses</w:t>
      </w:r>
      <w:r>
        <w:rPr>
          <w:kern w:val="28"/>
        </w:rPr>
        <w:t xml:space="preserve"> ir</w:t>
      </w:r>
      <w:r w:rsidRPr="00671BBA">
        <w:rPr>
          <w:kern w:val="28"/>
        </w:rPr>
        <w:t xml:space="preserve"> atbildīgas par savlaicīgu un precīzu Līguma noteikumu izpildi. </w:t>
      </w:r>
    </w:p>
    <w:p w14:paraId="72F91D82" w14:textId="77777777" w:rsidR="00633C7A" w:rsidRPr="00671BB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Gadījumā, ja kāda no </w:t>
      </w:r>
      <w:r w:rsidRPr="003B151A">
        <w:rPr>
          <w:i/>
          <w:kern w:val="28"/>
        </w:rPr>
        <w:t>Pusēm</w:t>
      </w:r>
      <w:r w:rsidRPr="00671BBA">
        <w:rPr>
          <w:kern w:val="28"/>
        </w:rPr>
        <w:t xml:space="preserve"> neizpilda vai nepienācīgi pilda Līguma noteikumus, kā rezultātā otrai </w:t>
      </w:r>
      <w:r w:rsidRPr="003B151A">
        <w:rPr>
          <w:i/>
          <w:kern w:val="28"/>
        </w:rPr>
        <w:t>Pusei</w:t>
      </w:r>
      <w:r>
        <w:rPr>
          <w:kern w:val="28"/>
        </w:rPr>
        <w:t xml:space="preserve"> ir nodarīti </w:t>
      </w:r>
      <w:r w:rsidRPr="00671BBA">
        <w:rPr>
          <w:kern w:val="28"/>
        </w:rPr>
        <w:t xml:space="preserve">zaudējumi, vainīgajai </w:t>
      </w:r>
      <w:r w:rsidRPr="003B151A">
        <w:rPr>
          <w:i/>
          <w:kern w:val="28"/>
        </w:rPr>
        <w:t>Pusei</w:t>
      </w:r>
      <w:r w:rsidRPr="00671BBA">
        <w:rPr>
          <w:kern w:val="28"/>
        </w:rPr>
        <w:t xml:space="preserve"> ir jāatlīdzina cietušajai </w:t>
      </w:r>
      <w:r w:rsidRPr="003B151A">
        <w:rPr>
          <w:i/>
          <w:kern w:val="28"/>
        </w:rPr>
        <w:t>Pusei</w:t>
      </w:r>
      <w:r w:rsidRPr="00671BBA">
        <w:rPr>
          <w:kern w:val="28"/>
        </w:rPr>
        <w:t xml:space="preserve"> nodarītais zaudējums pilnā apmērā.</w:t>
      </w:r>
    </w:p>
    <w:p w14:paraId="72F91D83" w14:textId="54BB7A74" w:rsidR="00633C7A" w:rsidRPr="00D1783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Pr>
          <w:kern w:val="28"/>
        </w:rPr>
        <w:t>Gadījumā, ja Līgumcenas sa</w:t>
      </w:r>
      <w:r w:rsidRPr="00671BBA">
        <w:rPr>
          <w:kern w:val="28"/>
        </w:rPr>
        <w:t xml:space="preserve">maksa tiek aizkavēta, </w:t>
      </w:r>
      <w:r w:rsidRPr="008B3275">
        <w:t>Pasūtītāj</w:t>
      </w:r>
      <w:r>
        <w:t>s</w:t>
      </w:r>
      <w:r w:rsidRPr="00671BBA">
        <w:rPr>
          <w:kern w:val="28"/>
        </w:rPr>
        <w:t xml:space="preserve"> maksā </w:t>
      </w:r>
      <w:r w:rsidRPr="003B151A">
        <w:rPr>
          <w:i/>
        </w:rPr>
        <w:t>Piegādātājam</w:t>
      </w:r>
      <w:r>
        <w:rPr>
          <w:kern w:val="28"/>
        </w:rPr>
        <w:t xml:space="preserve"> </w:t>
      </w:r>
      <w:r w:rsidRPr="00D1783E">
        <w:rPr>
          <w:kern w:val="28"/>
        </w:rPr>
        <w:t>līgumsodu, kura apmērs ir 0,2% (divas procenta desmitdaļas) dienā n</w:t>
      </w:r>
      <w:r>
        <w:rPr>
          <w:kern w:val="28"/>
        </w:rPr>
        <w:t>o laikā nesamaksātās Līgumcen</w:t>
      </w:r>
      <w:r w:rsidRPr="00D1783E">
        <w:rPr>
          <w:kern w:val="28"/>
        </w:rPr>
        <w:t xml:space="preserve">as (ieskaitot PVN), bet ne vairāk kā 10% no nesamaksātās </w:t>
      </w:r>
      <w:r w:rsidR="00C77F98">
        <w:rPr>
          <w:kern w:val="28"/>
        </w:rPr>
        <w:t>Līgumcenas</w:t>
      </w:r>
      <w:r w:rsidRPr="00D1783E">
        <w:rPr>
          <w:kern w:val="28"/>
        </w:rPr>
        <w:t>.</w:t>
      </w:r>
    </w:p>
    <w:p w14:paraId="72F91D84" w14:textId="77777777" w:rsidR="00633C7A" w:rsidRPr="00D1783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D1783E">
        <w:rPr>
          <w:kern w:val="28"/>
        </w:rPr>
        <w:t xml:space="preserve">Gadījumā, ja </w:t>
      </w:r>
      <w:r w:rsidRPr="00D1783E">
        <w:rPr>
          <w:i/>
        </w:rPr>
        <w:t>Piegādātāja</w:t>
      </w:r>
      <w:r w:rsidRPr="00D1783E">
        <w:rPr>
          <w:kern w:val="28"/>
        </w:rPr>
        <w:t xml:space="preserve"> vainas dēļ netiek nodrošināta </w:t>
      </w:r>
      <w:r w:rsidRPr="00D1783E">
        <w:rPr>
          <w:i/>
          <w:kern w:val="28"/>
        </w:rPr>
        <w:t xml:space="preserve">Pakalpojuma </w:t>
      </w:r>
      <w:r w:rsidRPr="00D1783E">
        <w:rPr>
          <w:kern w:val="28"/>
        </w:rPr>
        <w:t xml:space="preserve">sniegšana, </w:t>
      </w:r>
      <w:r w:rsidRPr="00D1783E">
        <w:rPr>
          <w:i/>
        </w:rPr>
        <w:t>Piegādātājs</w:t>
      </w:r>
      <w:r w:rsidRPr="00D1783E">
        <w:rPr>
          <w:kern w:val="28"/>
        </w:rPr>
        <w:t xml:space="preserve"> maksā līgumsodu, kura apmērs ir 0,2% (divas procenta desmitdaļas) no </w:t>
      </w:r>
      <w:r>
        <w:rPr>
          <w:kern w:val="28"/>
        </w:rPr>
        <w:t>L</w:t>
      </w:r>
      <w:r w:rsidRPr="00D1783E">
        <w:rPr>
          <w:kern w:val="28"/>
        </w:rPr>
        <w:t xml:space="preserve">īgumcenas (ieskaitot PVN) par katru </w:t>
      </w:r>
      <w:r w:rsidRPr="00D1783E">
        <w:rPr>
          <w:i/>
          <w:kern w:val="28"/>
        </w:rPr>
        <w:t>Pakalpojuma</w:t>
      </w:r>
      <w:r w:rsidRPr="00D1783E">
        <w:rPr>
          <w:kern w:val="28"/>
        </w:rPr>
        <w:t xml:space="preserve"> sniegšanas pārtraukuma dienu, bet ne vairāk kā 10% no </w:t>
      </w:r>
      <w:r>
        <w:rPr>
          <w:kern w:val="28"/>
        </w:rPr>
        <w:t>L</w:t>
      </w:r>
      <w:r w:rsidRPr="00D1783E">
        <w:rPr>
          <w:kern w:val="28"/>
        </w:rPr>
        <w:t>īgumcenas (ieskaitot PVN).</w:t>
      </w:r>
    </w:p>
    <w:p w14:paraId="72F91D85" w14:textId="77777777" w:rsidR="00633C7A"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671BBA">
        <w:rPr>
          <w:kern w:val="28"/>
        </w:rPr>
        <w:t xml:space="preserve">Līgumsoda samaksa neatbrīvo </w:t>
      </w:r>
      <w:r>
        <w:rPr>
          <w:kern w:val="28"/>
        </w:rPr>
        <w:t xml:space="preserve">Puses </w:t>
      </w:r>
      <w:r w:rsidRPr="00671BBA">
        <w:rPr>
          <w:kern w:val="28"/>
        </w:rPr>
        <w:t xml:space="preserve">no </w:t>
      </w:r>
      <w:r>
        <w:rPr>
          <w:kern w:val="28"/>
        </w:rPr>
        <w:t xml:space="preserve">citu </w:t>
      </w:r>
      <w:r w:rsidRPr="00671BBA">
        <w:rPr>
          <w:kern w:val="28"/>
        </w:rPr>
        <w:t>Līgum</w:t>
      </w:r>
      <w:r>
        <w:rPr>
          <w:kern w:val="28"/>
        </w:rPr>
        <w:t>ā</w:t>
      </w:r>
      <w:r w:rsidRPr="00671BBA">
        <w:rPr>
          <w:kern w:val="28"/>
        </w:rPr>
        <w:t xml:space="preserve"> paredzēto saistību izpildes</w:t>
      </w:r>
      <w:r>
        <w:rPr>
          <w:kern w:val="28"/>
        </w:rPr>
        <w:t>, kā arī Pušu tiesības vērsties pret otru Pusi par zaudējumu atlīdzināšanu</w:t>
      </w:r>
      <w:r w:rsidRPr="00671BBA">
        <w:rPr>
          <w:kern w:val="28"/>
        </w:rPr>
        <w:t>.</w:t>
      </w:r>
    </w:p>
    <w:p w14:paraId="72F91D86" w14:textId="77777777" w:rsidR="00633C7A" w:rsidRPr="00CC316E" w:rsidRDefault="00633C7A" w:rsidP="00633C7A">
      <w:pPr>
        <w:widowControl w:val="0"/>
        <w:numPr>
          <w:ilvl w:val="1"/>
          <w:numId w:val="1"/>
        </w:numPr>
        <w:tabs>
          <w:tab w:val="clear" w:pos="576"/>
          <w:tab w:val="left" w:pos="567"/>
        </w:tabs>
        <w:overflowPunct w:val="0"/>
        <w:autoSpaceDE w:val="0"/>
        <w:autoSpaceDN w:val="0"/>
        <w:adjustRightInd w:val="0"/>
        <w:spacing w:after="60"/>
        <w:ind w:left="578" w:hanging="578"/>
        <w:contextualSpacing/>
        <w:jc w:val="both"/>
        <w:rPr>
          <w:kern w:val="28"/>
        </w:rPr>
      </w:pPr>
      <w:r w:rsidRPr="00B05000">
        <w:rPr>
          <w:rFonts w:cs="Arial"/>
        </w:rPr>
        <w:t>Līgumsoda summa netiek ieskaitīta zaudējumu atlīdzībā</w:t>
      </w:r>
      <w:r>
        <w:rPr>
          <w:rFonts w:cs="Arial"/>
        </w:rPr>
        <w:t>.</w:t>
      </w:r>
    </w:p>
    <w:bookmarkEnd w:id="3"/>
    <w:p w14:paraId="72F91D87" w14:textId="77777777" w:rsidR="00633C7A" w:rsidRPr="008B3275" w:rsidRDefault="00633C7A" w:rsidP="00633C7A">
      <w:pPr>
        <w:spacing w:after="120"/>
        <w:ind w:left="576"/>
        <w:jc w:val="both"/>
      </w:pPr>
    </w:p>
    <w:p w14:paraId="72F91D88" w14:textId="77777777" w:rsidR="00633C7A" w:rsidRPr="008B3275" w:rsidRDefault="00633C7A" w:rsidP="00633C7A">
      <w:pPr>
        <w:numPr>
          <w:ilvl w:val="0"/>
          <w:numId w:val="1"/>
        </w:numPr>
        <w:rPr>
          <w:b/>
        </w:rPr>
      </w:pPr>
      <w:r w:rsidRPr="008B3275">
        <w:rPr>
          <w:b/>
        </w:rPr>
        <w:t xml:space="preserve">Konfidencialitātes nosacījumi </w:t>
      </w:r>
    </w:p>
    <w:p w14:paraId="72F91D89" w14:textId="77777777" w:rsidR="00633C7A" w:rsidRPr="00C56B79"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Konfidenciāla informācija nozīmē</w:t>
      </w:r>
      <w:r w:rsidRPr="00EE0EAF">
        <w:rPr>
          <w:kern w:val="28"/>
        </w:rPr>
        <w:t xml:space="preserve"> </w:t>
      </w:r>
      <w:r>
        <w:rPr>
          <w:kern w:val="28"/>
        </w:rPr>
        <w:t>ierobežotas pieejamības</w:t>
      </w:r>
      <w:r w:rsidRPr="00671BBA">
        <w:rPr>
          <w:kern w:val="28"/>
        </w:rPr>
        <w:t xml:space="preserve"> informāciju un datus, t.sk., bet ne tikai, biznesa, Līgumā iesaistīto personu sensitīvos datus, komerciālu vai </w:t>
      </w:r>
      <w:r w:rsidRPr="00C56B79">
        <w:rPr>
          <w:kern w:val="28"/>
        </w:rPr>
        <w:t xml:space="preserve">tehnisku informāciju un datus, ko viena </w:t>
      </w:r>
      <w:r w:rsidRPr="00C56B79">
        <w:rPr>
          <w:i/>
          <w:kern w:val="28"/>
        </w:rPr>
        <w:t>Puse</w:t>
      </w:r>
      <w:r w:rsidRPr="00C56B79">
        <w:rPr>
          <w:kern w:val="28"/>
        </w:rPr>
        <w:t xml:space="preserve"> izpauž otrai </w:t>
      </w:r>
      <w:r w:rsidRPr="00C56B79">
        <w:rPr>
          <w:i/>
          <w:kern w:val="28"/>
        </w:rPr>
        <w:t>Pusei</w:t>
      </w:r>
      <w:r w:rsidRPr="00C56B79">
        <w:rPr>
          <w:kern w:val="28"/>
        </w:rPr>
        <w:t xml:space="preserve"> saistībā ar Līgumu, neatkarīgi no šādas informācijas vai datu saglabāšanas vides.</w:t>
      </w:r>
    </w:p>
    <w:p w14:paraId="72F91D8A"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C56B79">
        <w:rPr>
          <w:kern w:val="28"/>
        </w:rPr>
        <w:t xml:space="preserve">Neviena no </w:t>
      </w:r>
      <w:r w:rsidRPr="00C56B79">
        <w:rPr>
          <w:i/>
          <w:kern w:val="28"/>
        </w:rPr>
        <w:t>Pusēm</w:t>
      </w:r>
      <w:r w:rsidRPr="00C56B79">
        <w:rPr>
          <w:kern w:val="28"/>
        </w:rPr>
        <w:t xml:space="preserve"> neizpauž konfidenciālu informāciju, kas saņemta no otras</w:t>
      </w:r>
      <w:r w:rsidRPr="00671BBA">
        <w:rPr>
          <w:kern w:val="28"/>
        </w:rPr>
        <w:t xml:space="preserve"> </w:t>
      </w:r>
      <w:r w:rsidRPr="00D02EC9">
        <w:rPr>
          <w:i/>
          <w:kern w:val="28"/>
        </w:rPr>
        <w:t>Puses</w:t>
      </w:r>
      <w:r w:rsidRPr="00671BBA">
        <w:rPr>
          <w:kern w:val="28"/>
        </w:rPr>
        <w:t xml:space="preserve"> Līguma spēkā esamības l</w:t>
      </w:r>
      <w:r>
        <w:rPr>
          <w:kern w:val="28"/>
        </w:rPr>
        <w:t>aikā un</w:t>
      </w:r>
      <w:r w:rsidRPr="00671BBA">
        <w:rPr>
          <w:kern w:val="28"/>
        </w:rPr>
        <w:t xml:space="preserve"> arī pēc Līguma izbeigšanas. Katra </w:t>
      </w:r>
      <w:r w:rsidRPr="00D02EC9">
        <w:rPr>
          <w:i/>
          <w:kern w:val="28"/>
        </w:rPr>
        <w:t>Puse</w:t>
      </w:r>
      <w:r w:rsidRPr="00671BBA">
        <w:rPr>
          <w:kern w:val="28"/>
        </w:rPr>
        <w:t xml:space="preserve"> šādu konfidenciālu informāciju izmantos vienīgi Līguma izpildes nolūkā. Neviena no </w:t>
      </w:r>
      <w:r w:rsidRPr="00D02EC9">
        <w:rPr>
          <w:i/>
          <w:kern w:val="28"/>
        </w:rPr>
        <w:t>Pusēm</w:t>
      </w:r>
      <w:r w:rsidRPr="00671BBA">
        <w:rPr>
          <w:kern w:val="28"/>
        </w:rPr>
        <w:t xml:space="preserve"> neizpaudīs nevienu šādu konfidenciālu informāciju trešajām personām (izņemot </w:t>
      </w:r>
      <w:r w:rsidRPr="00671BBA">
        <w:rPr>
          <w:kern w:val="28"/>
        </w:rPr>
        <w:lastRenderedPageBreak/>
        <w:t xml:space="preserve">attiecīgās </w:t>
      </w:r>
      <w:r w:rsidRPr="00D02EC9">
        <w:rPr>
          <w:i/>
          <w:kern w:val="28"/>
        </w:rPr>
        <w:t>Puses</w:t>
      </w:r>
      <w:r w:rsidRPr="00671BBA">
        <w:rPr>
          <w:kern w:val="28"/>
        </w:rPr>
        <w:t xml:space="preserve"> darbiniekus, kam to nepieciešams zināt Līguma izpildes nodrošināšanai), iepriekš tam nesaņemot otras </w:t>
      </w:r>
      <w:r w:rsidRPr="00D02EC9">
        <w:rPr>
          <w:i/>
          <w:kern w:val="28"/>
        </w:rPr>
        <w:t>Puses</w:t>
      </w:r>
      <w:r>
        <w:rPr>
          <w:kern w:val="28"/>
        </w:rPr>
        <w:t xml:space="preserve"> rakstveida</w:t>
      </w:r>
      <w:r w:rsidRPr="00671BBA">
        <w:rPr>
          <w:kern w:val="28"/>
        </w:rPr>
        <w:t xml:space="preserve"> piekrišanu, un neizmantos to nesankcionēti.</w:t>
      </w:r>
    </w:p>
    <w:p w14:paraId="72F91D8B"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D02EC9">
        <w:rPr>
          <w:i/>
          <w:kern w:val="28"/>
        </w:rPr>
        <w:t>Puses</w:t>
      </w:r>
      <w:r w:rsidRPr="00671BBA">
        <w:rPr>
          <w:kern w:val="28"/>
        </w:rPr>
        <w:t xml:space="preserve"> ir atbildīgas par konfidencialitātes saistību ievērošanu, tai skaitā no jebkura darbinieka, apakšuzņēmēja, piegādātāja, saistītā uzņēmuma vai profesionālā konsultanta, kam informācija nepieciešama Līguma izpildes nodrošināšanai, vai kādas trešās personas, kurai </w:t>
      </w:r>
      <w:r w:rsidRPr="00D02EC9">
        <w:rPr>
          <w:i/>
          <w:kern w:val="28"/>
        </w:rPr>
        <w:t>Puses</w:t>
      </w:r>
      <w:r w:rsidRPr="00671BBA">
        <w:rPr>
          <w:kern w:val="28"/>
        </w:rPr>
        <w:t xml:space="preserve"> ir atļāvušas šādu konfidenciālu informāciju saņemt, puses.</w:t>
      </w:r>
    </w:p>
    <w:p w14:paraId="72F91D8C"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 xml:space="preserve">Katra </w:t>
      </w:r>
      <w:r w:rsidRPr="00D02EC9">
        <w:rPr>
          <w:i/>
          <w:kern w:val="28"/>
        </w:rPr>
        <w:t>Puse</w:t>
      </w:r>
      <w:r w:rsidRPr="00671BBA">
        <w:rPr>
          <w:kern w:val="28"/>
        </w:rPr>
        <w:t xml:space="preserve"> pret šādu konfidenciālo informāciju izturēsies ar to pašu rūpību kā attiecībā pret savu konfidenciālo informāciju.</w:t>
      </w:r>
    </w:p>
    <w:p w14:paraId="72F91D8D" w14:textId="77777777" w:rsidR="00633C7A" w:rsidRPr="00671BB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Konfidencialitātes saistības neattieksies uz informāciju:</w:t>
      </w:r>
    </w:p>
    <w:p w14:paraId="72F91D8E" w14:textId="77777777" w:rsidR="00633C7A" w:rsidRPr="00197769" w:rsidRDefault="00633C7A" w:rsidP="00633C7A">
      <w:pPr>
        <w:pStyle w:val="ListParagraph"/>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197769">
        <w:rPr>
          <w:kern w:val="28"/>
        </w:rPr>
        <w:t xml:space="preserve">kas bija saņēmējas </w:t>
      </w:r>
      <w:r w:rsidRPr="00465D62">
        <w:rPr>
          <w:i/>
          <w:kern w:val="28"/>
        </w:rPr>
        <w:t>Puses</w:t>
      </w:r>
      <w:r w:rsidRPr="00197769">
        <w:rPr>
          <w:kern w:val="28"/>
        </w:rPr>
        <w:t xml:space="preserve"> rīcībā bez konfidencialitātes saistībām līdz tās saņemšanai no izpaudēja </w:t>
      </w:r>
      <w:r w:rsidRPr="00465D62">
        <w:rPr>
          <w:i/>
          <w:kern w:val="28"/>
        </w:rPr>
        <w:t>Puses</w:t>
      </w:r>
      <w:r w:rsidRPr="00197769">
        <w:rPr>
          <w:kern w:val="28"/>
        </w:rPr>
        <w:t>;</w:t>
      </w:r>
    </w:p>
    <w:p w14:paraId="72F91D8F" w14:textId="77777777" w:rsidR="00633C7A" w:rsidRPr="00671BBA" w:rsidRDefault="00633C7A" w:rsidP="00633C7A">
      <w:pPr>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kas izpaušanas brīdī jau ir vispārpieejama vai vēlāk kļūst vispārpieejama bez </w:t>
      </w:r>
      <w:r>
        <w:rPr>
          <w:kern w:val="28"/>
        </w:rPr>
        <w:t>konfidencialitātes saistības</w:t>
      </w:r>
      <w:r w:rsidRPr="00671BBA">
        <w:rPr>
          <w:kern w:val="28"/>
        </w:rPr>
        <w:t xml:space="preserve"> neizpildes no</w:t>
      </w:r>
      <w:r>
        <w:rPr>
          <w:kern w:val="28"/>
        </w:rPr>
        <w:t xml:space="preserve"> informācijas saņēmēja </w:t>
      </w:r>
      <w:r w:rsidRPr="00465D62">
        <w:rPr>
          <w:i/>
          <w:kern w:val="28"/>
        </w:rPr>
        <w:t>Puses</w:t>
      </w:r>
      <w:r w:rsidRPr="00671BBA">
        <w:rPr>
          <w:kern w:val="28"/>
        </w:rPr>
        <w:t>;</w:t>
      </w:r>
    </w:p>
    <w:p w14:paraId="72F91D90" w14:textId="77777777" w:rsidR="00633C7A" w:rsidRPr="00671BBA" w:rsidRDefault="00633C7A" w:rsidP="00633C7A">
      <w:pPr>
        <w:widowControl w:val="0"/>
        <w:numPr>
          <w:ilvl w:val="2"/>
          <w:numId w:val="1"/>
        </w:numPr>
        <w:tabs>
          <w:tab w:val="clear" w:pos="720"/>
          <w:tab w:val="num" w:pos="1418"/>
        </w:tabs>
        <w:overflowPunct w:val="0"/>
        <w:autoSpaceDE w:val="0"/>
        <w:autoSpaceDN w:val="0"/>
        <w:adjustRightInd w:val="0"/>
        <w:ind w:left="1418" w:right="85" w:hanging="851"/>
        <w:jc w:val="both"/>
        <w:rPr>
          <w:kern w:val="28"/>
        </w:rPr>
      </w:pPr>
      <w:r w:rsidRPr="00671BBA">
        <w:rPr>
          <w:kern w:val="28"/>
        </w:rPr>
        <w:t xml:space="preserve">ko saņēmusī </w:t>
      </w:r>
      <w:r w:rsidRPr="00465D62">
        <w:rPr>
          <w:i/>
          <w:kern w:val="28"/>
        </w:rPr>
        <w:t>Puse</w:t>
      </w:r>
      <w:r w:rsidRPr="00671BBA">
        <w:rPr>
          <w:kern w:val="28"/>
        </w:rPr>
        <w:t xml:space="preserve"> ir likumīgi saņēmusi no trešās personas, kurai nav konfidencialitātes saistību, ar noteikumu, ka attiecīgā trešā persona nav pārkāpusi nevienas konfidencialitātes saistības attiecībā uz konkrēto konfidenciālo informāciju;</w:t>
      </w:r>
    </w:p>
    <w:p w14:paraId="72F91D91" w14:textId="77777777" w:rsidR="00633C7A" w:rsidRPr="00671BBA" w:rsidRDefault="00633C7A" w:rsidP="00633C7A">
      <w:pPr>
        <w:widowControl w:val="0"/>
        <w:numPr>
          <w:ilvl w:val="2"/>
          <w:numId w:val="1"/>
        </w:numPr>
        <w:overflowPunct w:val="0"/>
        <w:autoSpaceDE w:val="0"/>
        <w:autoSpaceDN w:val="0"/>
        <w:adjustRightInd w:val="0"/>
        <w:ind w:right="85" w:hanging="153"/>
        <w:jc w:val="both"/>
        <w:rPr>
          <w:kern w:val="28"/>
        </w:rPr>
      </w:pPr>
      <w:r w:rsidRPr="00671BBA">
        <w:rPr>
          <w:kern w:val="28"/>
        </w:rPr>
        <w:t xml:space="preserve">kuras izpaušanas pienākums ir noteikts ar </w:t>
      </w:r>
      <w:r>
        <w:rPr>
          <w:kern w:val="28"/>
        </w:rPr>
        <w:t>normatīvajiem aktiem</w:t>
      </w:r>
      <w:r w:rsidRPr="00671BBA">
        <w:rPr>
          <w:kern w:val="28"/>
        </w:rPr>
        <w:t>.</w:t>
      </w:r>
    </w:p>
    <w:p w14:paraId="72F91D92" w14:textId="77777777" w:rsidR="00633C7A" w:rsidRDefault="00633C7A" w:rsidP="00633C7A">
      <w:pPr>
        <w:widowControl w:val="0"/>
        <w:numPr>
          <w:ilvl w:val="1"/>
          <w:numId w:val="1"/>
        </w:numPr>
        <w:overflowPunct w:val="0"/>
        <w:autoSpaceDE w:val="0"/>
        <w:autoSpaceDN w:val="0"/>
        <w:adjustRightInd w:val="0"/>
        <w:ind w:right="85"/>
        <w:contextualSpacing/>
        <w:jc w:val="both"/>
        <w:rPr>
          <w:kern w:val="28"/>
        </w:rPr>
      </w:pPr>
      <w:r w:rsidRPr="00671BBA">
        <w:rPr>
          <w:kern w:val="28"/>
        </w:rPr>
        <w:t>Informācija presei saist</w:t>
      </w:r>
      <w:r>
        <w:rPr>
          <w:kern w:val="28"/>
        </w:rPr>
        <w:t>ībā ar Līgumu iepriekš rakstveidā</w:t>
      </w:r>
      <w:r w:rsidRPr="00671BBA">
        <w:rPr>
          <w:kern w:val="28"/>
        </w:rPr>
        <w:t xml:space="preserve"> jāsaskaņo abām </w:t>
      </w:r>
      <w:r w:rsidRPr="00CA1E35">
        <w:rPr>
          <w:i/>
          <w:kern w:val="28"/>
        </w:rPr>
        <w:t>Pusēm</w:t>
      </w:r>
      <w:r w:rsidRPr="00671BBA">
        <w:rPr>
          <w:kern w:val="28"/>
        </w:rPr>
        <w:t>.</w:t>
      </w:r>
    </w:p>
    <w:p w14:paraId="72F91D93" w14:textId="63502911" w:rsidR="00633C7A" w:rsidRDefault="00633C7A" w:rsidP="00633C7A">
      <w:pPr>
        <w:pStyle w:val="BodyText"/>
        <w:numPr>
          <w:ilvl w:val="1"/>
          <w:numId w:val="1"/>
        </w:numPr>
        <w:tabs>
          <w:tab w:val="left" w:pos="900"/>
        </w:tabs>
        <w:spacing w:after="120"/>
        <w:contextualSpacing/>
      </w:pPr>
      <w:r>
        <w:t>Piegādātājs</w:t>
      </w:r>
      <w:r w:rsidRPr="008B3275">
        <w:t xml:space="preserve"> piekrīt Līguma un tā grozījumu un/vai papildinājumu publicēšanai </w:t>
      </w:r>
      <w:r w:rsidRPr="00CA1E35">
        <w:rPr>
          <w:i/>
        </w:rPr>
        <w:t xml:space="preserve">Pasūtītāja </w:t>
      </w:r>
      <w:r w:rsidRPr="008B3275">
        <w:t xml:space="preserve">mājas lapā saskaņā ar Publisko iepirkumu likuma </w:t>
      </w:r>
      <w:r w:rsidR="00CA22AD">
        <w:t>9</w:t>
      </w:r>
      <w:r w:rsidRPr="003D51AC">
        <w:t>.</w:t>
      </w:r>
      <w:r w:rsidR="00CA22AD">
        <w:t xml:space="preserve"> panta astoņ</w:t>
      </w:r>
      <w:r w:rsidRPr="003D51AC">
        <w:t>padsmito daļu</w:t>
      </w:r>
      <w:r>
        <w:t>.</w:t>
      </w:r>
    </w:p>
    <w:p w14:paraId="72F91D94" w14:textId="77777777" w:rsidR="00633C7A" w:rsidRPr="008B3275" w:rsidRDefault="00633C7A" w:rsidP="00633C7A">
      <w:pPr>
        <w:pStyle w:val="BodyText"/>
        <w:tabs>
          <w:tab w:val="left" w:pos="900"/>
        </w:tabs>
        <w:spacing w:after="120"/>
        <w:contextualSpacing/>
      </w:pPr>
    </w:p>
    <w:p w14:paraId="72F91D95" w14:textId="77777777" w:rsidR="00633C7A" w:rsidRPr="008B3275" w:rsidRDefault="00633C7A" w:rsidP="00633C7A">
      <w:pPr>
        <w:numPr>
          <w:ilvl w:val="0"/>
          <w:numId w:val="1"/>
        </w:numPr>
        <w:contextualSpacing/>
        <w:rPr>
          <w:b/>
        </w:rPr>
      </w:pPr>
      <w:r w:rsidRPr="008B3275">
        <w:rPr>
          <w:b/>
        </w:rPr>
        <w:t>Nepārvaramas varas apstākļi</w:t>
      </w:r>
    </w:p>
    <w:p w14:paraId="72F91D96" w14:textId="77777777" w:rsidR="00633C7A" w:rsidRDefault="00633C7A" w:rsidP="00633C7A">
      <w:pPr>
        <w:pStyle w:val="BodyText"/>
        <w:numPr>
          <w:ilvl w:val="1"/>
          <w:numId w:val="1"/>
        </w:numPr>
        <w:spacing w:after="120"/>
        <w:ind w:left="578" w:hanging="578"/>
        <w:contextualSpacing/>
      </w:pPr>
      <w:bookmarkStart w:id="4" w:name="_Ref353892408"/>
      <w:r w:rsidRPr="008B3275">
        <w:t xml:space="preserve">Nepārvarama vara nozīmē jebkādu neparedzamu ārkārtas situāciju vai notikumu, kas ir ārpus </w:t>
      </w:r>
      <w:r w:rsidRPr="00795083">
        <w:rPr>
          <w:i/>
        </w:rPr>
        <w:t>Pušu</w:t>
      </w:r>
      <w:r w:rsidRPr="008B3275">
        <w:t xml:space="preserve"> kontroles un nav radušies to kļūdas vai nevērīgas rīcības rezultātā, kas kavē vienu no </w:t>
      </w:r>
      <w:r w:rsidRPr="00795083">
        <w:rPr>
          <w:i/>
        </w:rPr>
        <w:t>Pusēm</w:t>
      </w:r>
      <w:r w:rsidRPr="008B3275">
        <w:t xml:space="preserve"> veikt kādu no tās Līgumā noteiktajiem pienākumiem un no kuriem nav bijis iespējams izvairīties, veicot pienācīgus piesardzības pasākumus.</w:t>
      </w:r>
      <w:bookmarkEnd w:id="4"/>
    </w:p>
    <w:p w14:paraId="72F91D97" w14:textId="77777777" w:rsidR="00633C7A" w:rsidRDefault="00633C7A" w:rsidP="00633C7A">
      <w:pPr>
        <w:pStyle w:val="BodyText"/>
        <w:numPr>
          <w:ilvl w:val="1"/>
          <w:numId w:val="1"/>
        </w:numPr>
        <w:spacing w:after="120"/>
        <w:ind w:left="578" w:hanging="578"/>
        <w:contextualSpacing/>
      </w:pPr>
      <w:r w:rsidRPr="00F47A1C">
        <w:rPr>
          <w:i/>
        </w:rPr>
        <w:t>Puse</w:t>
      </w:r>
      <w:r w:rsidRPr="008B3275">
        <w:t xml:space="preserve">, kurai kļuvis neiespējami izpildīt tās saistības Līguma </w:t>
      </w:r>
      <w:r w:rsidRPr="008B3275">
        <w:fldChar w:fldCharType="begin"/>
      </w:r>
      <w:r w:rsidRPr="008B3275">
        <w:instrText xml:space="preserve"> REF _Ref353892408 \r \h  \* MERGEFORMAT </w:instrText>
      </w:r>
      <w:r w:rsidRPr="008B3275">
        <w:fldChar w:fldCharType="separate"/>
      </w:r>
      <w:r>
        <w:t>8.1</w:t>
      </w:r>
      <w:r w:rsidRPr="008B3275">
        <w:fldChar w:fldCharType="end"/>
      </w:r>
      <w:r w:rsidRPr="008B3275">
        <w:t>.</w:t>
      </w:r>
      <w:r>
        <w:t>apakš</w:t>
      </w:r>
      <w:r w:rsidRPr="008B3275">
        <w:t xml:space="preserve">punktā minēto apstākļu dēļ, </w:t>
      </w:r>
      <w:r>
        <w:t>3</w:t>
      </w:r>
      <w:r w:rsidRPr="008B3275">
        <w:t xml:space="preserve"> (</w:t>
      </w:r>
      <w:r>
        <w:t>trīs</w:t>
      </w:r>
      <w:r w:rsidRPr="008B3275">
        <w:t xml:space="preserve">) darba dienu laikā mutiski informē otru </w:t>
      </w:r>
      <w:r w:rsidRPr="00F47A1C">
        <w:rPr>
          <w:i/>
        </w:rPr>
        <w:t>Pusi</w:t>
      </w:r>
      <w:r w:rsidRPr="008B3275">
        <w:t xml:space="preserve"> par šādu apstākļu rašanos vai izbeigšanos un 5 (piecu) darba dienu laikā iesniedz rakstveida paziņojumu par minēto apstākļu rašanos vai izbeigšanos kopā ar pierādījumiem par nepārvaramas varas apstākļu iestāšanos. Ja paziņojums nav izdarīts paredzētajā laikā, vainīgā </w:t>
      </w:r>
      <w:r w:rsidRPr="00F47A1C">
        <w:rPr>
          <w:i/>
        </w:rPr>
        <w:t>Puse</w:t>
      </w:r>
      <w:r w:rsidRPr="008B3275">
        <w:t xml:space="preserve"> zaudē tiesības atsaukties uz nepārvaramu varu.</w:t>
      </w:r>
    </w:p>
    <w:p w14:paraId="72F91D98" w14:textId="77777777" w:rsidR="00633C7A" w:rsidRDefault="00633C7A" w:rsidP="00633C7A">
      <w:pPr>
        <w:pStyle w:val="BodyText"/>
        <w:numPr>
          <w:ilvl w:val="1"/>
          <w:numId w:val="1"/>
        </w:numPr>
        <w:spacing w:after="120"/>
        <w:ind w:left="578" w:hanging="578"/>
        <w:contextualSpacing/>
      </w:pPr>
      <w:r w:rsidRPr="008B3275">
        <w:t>Nepārvaramas varas gadījumā L</w:t>
      </w:r>
      <w:r>
        <w:t>īgumā noteiktais termiņš, nepiemēroj</w:t>
      </w:r>
      <w:r w:rsidRPr="008B3275">
        <w:t>ot līgumsoda aprēķinu, tiek pagarināts attiecīgi par tādu laika periodu, par kādu šie nepārvaramas varas apstākļi</w:t>
      </w:r>
      <w:r>
        <w:t xml:space="preserve"> ir aizkavējuši Līguma izpildi.</w:t>
      </w:r>
    </w:p>
    <w:p w14:paraId="72F91D99" w14:textId="77777777" w:rsidR="00633C7A" w:rsidRPr="001F0E03" w:rsidRDefault="00633C7A" w:rsidP="00633C7A">
      <w:pPr>
        <w:pStyle w:val="BodyText"/>
        <w:spacing w:after="120"/>
        <w:ind w:left="578"/>
        <w:contextualSpacing/>
      </w:pPr>
    </w:p>
    <w:p w14:paraId="72F91D9A" w14:textId="77777777" w:rsidR="00633C7A" w:rsidRPr="00636907" w:rsidRDefault="00633C7A" w:rsidP="00633C7A">
      <w:pPr>
        <w:pStyle w:val="BlockText"/>
        <w:numPr>
          <w:ilvl w:val="0"/>
          <w:numId w:val="1"/>
        </w:numPr>
        <w:spacing w:after="0"/>
        <w:ind w:right="0"/>
        <w:contextualSpacing/>
        <w:rPr>
          <w:b/>
          <w:bCs/>
          <w:sz w:val="24"/>
          <w:szCs w:val="24"/>
        </w:rPr>
      </w:pPr>
      <w:r w:rsidRPr="00636907">
        <w:rPr>
          <w:b/>
          <w:bCs/>
          <w:sz w:val="24"/>
          <w:szCs w:val="24"/>
        </w:rPr>
        <w:t>Strīdu izskatīšanas kārtība</w:t>
      </w:r>
    </w:p>
    <w:p w14:paraId="72F91D9B" w14:textId="77777777" w:rsidR="00633C7A" w:rsidRPr="00636907" w:rsidRDefault="00633C7A" w:rsidP="00633C7A">
      <w:pPr>
        <w:pStyle w:val="BlockText"/>
        <w:numPr>
          <w:ilvl w:val="1"/>
          <w:numId w:val="1"/>
        </w:numPr>
        <w:spacing w:after="0"/>
        <w:ind w:right="0"/>
        <w:contextualSpacing/>
        <w:jc w:val="both"/>
        <w:rPr>
          <w:bCs/>
          <w:sz w:val="24"/>
          <w:szCs w:val="24"/>
        </w:rPr>
      </w:pPr>
      <w:r w:rsidRPr="005D1925">
        <w:rPr>
          <w:bCs/>
          <w:i/>
          <w:sz w:val="24"/>
          <w:szCs w:val="24"/>
        </w:rPr>
        <w:t>Puses</w:t>
      </w:r>
      <w:r w:rsidRPr="00636907">
        <w:rPr>
          <w:bCs/>
          <w:sz w:val="24"/>
          <w:szCs w:val="24"/>
        </w:rPr>
        <w:t xml:space="preserve"> domstarpības, kas saistītas ar Līgumā paredzēto saistību izpildi, risina vienošanās ceļā. Vienošanos noformē rakstveidā.</w:t>
      </w:r>
    </w:p>
    <w:p w14:paraId="72F91D9C" w14:textId="77777777" w:rsidR="00633C7A" w:rsidRDefault="00633C7A" w:rsidP="00633C7A">
      <w:pPr>
        <w:pStyle w:val="BlockText"/>
        <w:numPr>
          <w:ilvl w:val="1"/>
          <w:numId w:val="1"/>
        </w:numPr>
        <w:spacing w:after="0"/>
        <w:ind w:right="0"/>
        <w:jc w:val="both"/>
        <w:rPr>
          <w:bCs/>
          <w:sz w:val="24"/>
          <w:szCs w:val="24"/>
        </w:rPr>
      </w:pPr>
      <w:r w:rsidRPr="00636907">
        <w:rPr>
          <w:bCs/>
          <w:sz w:val="24"/>
          <w:szCs w:val="24"/>
        </w:rPr>
        <w:t xml:space="preserve">Ja </w:t>
      </w:r>
      <w:r w:rsidRPr="005D1925">
        <w:rPr>
          <w:bCs/>
          <w:i/>
          <w:sz w:val="24"/>
          <w:szCs w:val="24"/>
        </w:rPr>
        <w:t>Puses</w:t>
      </w:r>
      <w:r w:rsidRPr="00636907">
        <w:rPr>
          <w:bCs/>
          <w:sz w:val="24"/>
          <w:szCs w:val="24"/>
        </w:rPr>
        <w:t xml:space="preserve"> nevar 30 dienu laikā vienoties, strīdu nodod izskatīšanai Latvijas Republikas tiesā normatīvajos aktos noteiktajā kārtībā, piemērojot Latvijas Republikas normatīvos aktus.</w:t>
      </w:r>
    </w:p>
    <w:p w14:paraId="72F91D9D" w14:textId="77777777" w:rsidR="00633C7A" w:rsidRPr="00400C2C" w:rsidRDefault="00633C7A" w:rsidP="00633C7A">
      <w:pPr>
        <w:widowControl w:val="0"/>
        <w:numPr>
          <w:ilvl w:val="1"/>
          <w:numId w:val="1"/>
        </w:numPr>
        <w:autoSpaceDE w:val="0"/>
        <w:autoSpaceDN w:val="0"/>
        <w:adjustRightInd w:val="0"/>
        <w:jc w:val="both"/>
        <w:rPr>
          <w:bCs/>
        </w:rPr>
      </w:pPr>
      <w:r>
        <w:t xml:space="preserve">Ja vienas </w:t>
      </w:r>
      <w:r w:rsidRPr="00400C2C">
        <w:rPr>
          <w:i/>
        </w:rPr>
        <w:t>Puses</w:t>
      </w:r>
      <w:r>
        <w:t xml:space="preserve"> saistību izpildes nokavējums liedz otrai </w:t>
      </w:r>
      <w:r w:rsidRPr="00400C2C">
        <w:rPr>
          <w:i/>
        </w:rPr>
        <w:t>Pusei</w:t>
      </w:r>
      <w:r>
        <w:t xml:space="preserve"> veikt savlaicīgu saistību izpildi, tad otras </w:t>
      </w:r>
      <w:r w:rsidRPr="00400C2C">
        <w:rPr>
          <w:i/>
        </w:rPr>
        <w:t>Puses</w:t>
      </w:r>
      <w:r>
        <w:t xml:space="preserve"> saistību izpildes termiņš tiek pagarināts par pirmās </w:t>
      </w:r>
      <w:r w:rsidRPr="00400C2C">
        <w:rPr>
          <w:i/>
        </w:rPr>
        <w:t>Puses</w:t>
      </w:r>
      <w:r>
        <w:t xml:space="preserve"> nokavēto laika posmu. </w:t>
      </w:r>
      <w:r w:rsidRPr="00400C2C">
        <w:rPr>
          <w:i/>
        </w:rPr>
        <w:t>Pusei</w:t>
      </w:r>
      <w:r>
        <w:t xml:space="preserve">, kura prasa, lai minēto apstākļu dēļ tiktu pagarināts saistību izpildes termiņš, ir pienākums iesniegt dokumentus, kuri apliecina otras </w:t>
      </w:r>
      <w:r w:rsidRPr="00400C2C">
        <w:rPr>
          <w:i/>
        </w:rPr>
        <w:t>Puses</w:t>
      </w:r>
      <w:r>
        <w:t xml:space="preserve"> saistību izpildes nokavējuma faktu.</w:t>
      </w:r>
    </w:p>
    <w:p w14:paraId="72F91D9E" w14:textId="77777777" w:rsidR="00633C7A" w:rsidRPr="00400C2C" w:rsidRDefault="00633C7A" w:rsidP="00633C7A">
      <w:pPr>
        <w:widowControl w:val="0"/>
        <w:numPr>
          <w:ilvl w:val="1"/>
          <w:numId w:val="1"/>
        </w:numPr>
        <w:autoSpaceDE w:val="0"/>
        <w:autoSpaceDN w:val="0"/>
        <w:adjustRightInd w:val="0"/>
        <w:jc w:val="both"/>
        <w:rPr>
          <w:bCs/>
        </w:rPr>
      </w:pPr>
      <w:r w:rsidRPr="00400C2C">
        <w:rPr>
          <w:i/>
        </w:rPr>
        <w:t>Puses</w:t>
      </w:r>
      <w:r>
        <w:t xml:space="preserve"> apņemas 3 (trīs) darba dienu laikā ziņot viena otrai par </w:t>
      </w:r>
      <w:r w:rsidRPr="00836A20">
        <w:t>Līguma</w:t>
      </w:r>
      <w:r>
        <w:t xml:space="preserve"> noteikumu nepildīšanu, norādot iemeslus.</w:t>
      </w:r>
    </w:p>
    <w:p w14:paraId="72F91D9F" w14:textId="59D6F548" w:rsidR="00633C7A" w:rsidRPr="009B21EB" w:rsidRDefault="00633C7A" w:rsidP="00633C7A">
      <w:pPr>
        <w:widowControl w:val="0"/>
        <w:numPr>
          <w:ilvl w:val="1"/>
          <w:numId w:val="1"/>
        </w:numPr>
        <w:overflowPunct w:val="0"/>
        <w:autoSpaceDE w:val="0"/>
        <w:autoSpaceDN w:val="0"/>
        <w:adjustRightInd w:val="0"/>
        <w:ind w:right="85"/>
        <w:jc w:val="both"/>
        <w:rPr>
          <w:kern w:val="28"/>
        </w:rPr>
      </w:pPr>
      <w:bookmarkStart w:id="5" w:name="_Ref330220910"/>
      <w:r w:rsidRPr="005D1925">
        <w:rPr>
          <w:i/>
          <w:kern w:val="28"/>
        </w:rPr>
        <w:lastRenderedPageBreak/>
        <w:t>Pasūtītājs</w:t>
      </w:r>
      <w:r w:rsidRPr="00671BBA">
        <w:rPr>
          <w:kern w:val="28"/>
        </w:rPr>
        <w:t xml:space="preserve"> ir tiesīgs atkāpties no Līguma vienpusēji, ja</w:t>
      </w:r>
      <w:bookmarkEnd w:id="5"/>
      <w:r>
        <w:rPr>
          <w:kern w:val="28"/>
        </w:rPr>
        <w:t xml:space="preserve"> </w:t>
      </w:r>
      <w:r w:rsidRPr="009B21EB">
        <w:rPr>
          <w:i/>
          <w:kern w:val="28"/>
        </w:rPr>
        <w:t>Piegādātājs</w:t>
      </w:r>
      <w:r w:rsidRPr="009B21EB">
        <w:rPr>
          <w:kern w:val="28"/>
        </w:rPr>
        <w:t xml:space="preserve"> ir sniedzis Iepirkuma</w:t>
      </w:r>
      <w:r>
        <w:rPr>
          <w:kern w:val="28"/>
        </w:rPr>
        <w:t>m un Līguma</w:t>
      </w:r>
      <w:r w:rsidRPr="009B21EB">
        <w:rPr>
          <w:kern w:val="28"/>
        </w:rPr>
        <w:t>m</w:t>
      </w:r>
      <w:r w:rsidR="00C77F98">
        <w:rPr>
          <w:kern w:val="28"/>
        </w:rPr>
        <w:t xml:space="preserve"> un Iepirkuma tehniskajai specifikācijai</w:t>
      </w:r>
      <w:r w:rsidRPr="009B21EB">
        <w:rPr>
          <w:kern w:val="28"/>
        </w:rPr>
        <w:t xml:space="preserve"> neatbilstošu </w:t>
      </w:r>
      <w:r w:rsidRPr="009B21EB">
        <w:rPr>
          <w:i/>
          <w:kern w:val="28"/>
        </w:rPr>
        <w:t>Pakalpojumu</w:t>
      </w:r>
      <w:r>
        <w:rPr>
          <w:kern w:val="28"/>
        </w:rPr>
        <w:t xml:space="preserve"> un par t</w:t>
      </w:r>
      <w:r w:rsidRPr="009B21EB">
        <w:rPr>
          <w:kern w:val="28"/>
        </w:rPr>
        <w:t>o  ir sastādīts akts;</w:t>
      </w:r>
    </w:p>
    <w:p w14:paraId="72F91DA0" w14:textId="77777777" w:rsidR="00633C7A" w:rsidRDefault="00633C7A" w:rsidP="00633C7A">
      <w:pPr>
        <w:widowControl w:val="0"/>
        <w:numPr>
          <w:ilvl w:val="1"/>
          <w:numId w:val="1"/>
        </w:numPr>
        <w:overflowPunct w:val="0"/>
        <w:autoSpaceDE w:val="0"/>
        <w:autoSpaceDN w:val="0"/>
        <w:adjustRightInd w:val="0"/>
        <w:ind w:right="85"/>
        <w:jc w:val="both"/>
        <w:rPr>
          <w:kern w:val="28"/>
        </w:rPr>
      </w:pPr>
      <w:r w:rsidRPr="00671BBA">
        <w:rPr>
          <w:kern w:val="28"/>
        </w:rPr>
        <w:t xml:space="preserve">Vienpusējas atkāpšanās no Līguma gadījumā, </w:t>
      </w:r>
      <w:r w:rsidRPr="000B5E2C">
        <w:rPr>
          <w:i/>
          <w:kern w:val="28"/>
        </w:rPr>
        <w:t>Pasūtītājs</w:t>
      </w:r>
      <w:r w:rsidRPr="00671BBA">
        <w:rPr>
          <w:kern w:val="28"/>
        </w:rPr>
        <w:t xml:space="preserve"> ierakstītā vēstulē nosūta </w:t>
      </w:r>
      <w:r w:rsidRPr="000B5E2C">
        <w:rPr>
          <w:i/>
          <w:kern w:val="28"/>
        </w:rPr>
        <w:t>Piegādātājam</w:t>
      </w:r>
      <w:r w:rsidRPr="00671BBA">
        <w:rPr>
          <w:kern w:val="28"/>
        </w:rPr>
        <w:t xml:space="preserve"> paziņojumu par atkāpšanos no Līguma, pamatojoties uz Līguma </w:t>
      </w:r>
      <w:r w:rsidRPr="00671BBA">
        <w:rPr>
          <w:kern w:val="28"/>
        </w:rPr>
        <w:fldChar w:fldCharType="begin"/>
      </w:r>
      <w:r w:rsidRPr="00671BBA">
        <w:rPr>
          <w:kern w:val="28"/>
        </w:rPr>
        <w:instrText xml:space="preserve"> REF _Ref330220910 \r \h  \* MERGEFORMAT </w:instrText>
      </w:r>
      <w:r w:rsidRPr="00671BBA">
        <w:rPr>
          <w:kern w:val="28"/>
        </w:rPr>
      </w:r>
      <w:r w:rsidRPr="00671BBA">
        <w:rPr>
          <w:kern w:val="28"/>
        </w:rPr>
        <w:fldChar w:fldCharType="separate"/>
      </w:r>
      <w:r>
        <w:rPr>
          <w:kern w:val="28"/>
        </w:rPr>
        <w:t>9.5</w:t>
      </w:r>
      <w:r w:rsidRPr="00671BBA">
        <w:rPr>
          <w:kern w:val="28"/>
        </w:rPr>
        <w:fldChar w:fldCharType="end"/>
      </w:r>
      <w:r>
        <w:rPr>
          <w:kern w:val="28"/>
        </w:rPr>
        <w:t>.apakšpunktu</w:t>
      </w:r>
      <w:r w:rsidRPr="00671BBA">
        <w:rPr>
          <w:kern w:val="28"/>
        </w:rPr>
        <w:t xml:space="preserve">. Ar nosūtīto paziņojumu </w:t>
      </w:r>
      <w:r w:rsidRPr="000B5E2C">
        <w:rPr>
          <w:i/>
          <w:kern w:val="28"/>
        </w:rPr>
        <w:t>Puses</w:t>
      </w:r>
      <w:r w:rsidRPr="00671BBA">
        <w:rPr>
          <w:kern w:val="28"/>
        </w:rPr>
        <w:t xml:space="preserve"> uzskata, ka Līgums ir izbeigts</w:t>
      </w:r>
      <w:r>
        <w:rPr>
          <w:kern w:val="28"/>
        </w:rPr>
        <w:t xml:space="preserve"> nākamajā dienā pēc tā nogādāšanas </w:t>
      </w:r>
      <w:r w:rsidRPr="009746E4">
        <w:rPr>
          <w:i/>
          <w:kern w:val="28"/>
        </w:rPr>
        <w:t>Piegādātājam</w:t>
      </w:r>
      <w:r>
        <w:rPr>
          <w:kern w:val="28"/>
        </w:rPr>
        <w:t xml:space="preserve"> Līguma 5.5.apakšpunktā noteiktajā kārtībā</w:t>
      </w:r>
      <w:r w:rsidRPr="00671BBA">
        <w:rPr>
          <w:kern w:val="28"/>
        </w:rPr>
        <w:t>.</w:t>
      </w:r>
    </w:p>
    <w:p w14:paraId="72F91DA1" w14:textId="77777777" w:rsidR="00633C7A" w:rsidRPr="008951D7" w:rsidRDefault="00633C7A" w:rsidP="00633C7A">
      <w:pPr>
        <w:widowControl w:val="0"/>
        <w:numPr>
          <w:ilvl w:val="1"/>
          <w:numId w:val="1"/>
        </w:numPr>
        <w:overflowPunct w:val="0"/>
        <w:autoSpaceDE w:val="0"/>
        <w:autoSpaceDN w:val="0"/>
        <w:adjustRightInd w:val="0"/>
        <w:ind w:right="85"/>
        <w:jc w:val="both"/>
        <w:rPr>
          <w:kern w:val="28"/>
        </w:rPr>
      </w:pPr>
      <w:r w:rsidRPr="00400C2C">
        <w:rPr>
          <w:i/>
        </w:rPr>
        <w:t>P</w:t>
      </w:r>
      <w:r>
        <w:rPr>
          <w:i/>
        </w:rPr>
        <w:t>usēm</w:t>
      </w:r>
      <w:r>
        <w:t xml:space="preserve"> ir tiesības vienpusējā kārtā atkāpties no </w:t>
      </w:r>
      <w:r w:rsidRPr="00836A20">
        <w:t>Līguma</w:t>
      </w:r>
      <w:r>
        <w:t xml:space="preserve"> izpildes, rakstveidā par to informējot otru </w:t>
      </w:r>
      <w:r w:rsidRPr="00400C2C">
        <w:rPr>
          <w:i/>
        </w:rPr>
        <w:t>Pusi</w:t>
      </w:r>
      <w:r>
        <w:t xml:space="preserve"> (Līguma 5.5.apakšpunktā noteiktajā kārtībā) ne mazāk kā 1 (vienu) mēnesi iepriekš un nokārtojot savstarpējās saistības, kādas pastāv uz </w:t>
      </w:r>
      <w:r w:rsidRPr="00836A20">
        <w:t>Līguma</w:t>
      </w:r>
      <w:r>
        <w:t xml:space="preserve"> izbeigšanas brīdi.</w:t>
      </w:r>
    </w:p>
    <w:p w14:paraId="72F91DA2" w14:textId="77777777" w:rsidR="00633C7A" w:rsidRPr="00400C2C" w:rsidRDefault="00633C7A" w:rsidP="00633C7A">
      <w:pPr>
        <w:widowControl w:val="0"/>
        <w:numPr>
          <w:ilvl w:val="1"/>
          <w:numId w:val="1"/>
        </w:numPr>
        <w:overflowPunct w:val="0"/>
        <w:autoSpaceDE w:val="0"/>
        <w:autoSpaceDN w:val="0"/>
        <w:adjustRightInd w:val="0"/>
        <w:ind w:right="85"/>
        <w:jc w:val="both"/>
        <w:rPr>
          <w:kern w:val="28"/>
        </w:rPr>
      </w:pPr>
      <w:r>
        <w:rPr>
          <w:kern w:val="28"/>
        </w:rPr>
        <w:t>Pusēm rakstveidā vienojoties, Līgums var tikt izbeigts jebkurā laikā.</w:t>
      </w:r>
    </w:p>
    <w:p w14:paraId="72F91DA3" w14:textId="77777777" w:rsidR="00633C7A" w:rsidRPr="00636907" w:rsidRDefault="00633C7A" w:rsidP="00633C7A">
      <w:pPr>
        <w:pStyle w:val="BlockText"/>
        <w:numPr>
          <w:ilvl w:val="1"/>
          <w:numId w:val="1"/>
        </w:numPr>
        <w:spacing w:after="0"/>
        <w:ind w:right="0"/>
        <w:jc w:val="both"/>
        <w:rPr>
          <w:b/>
          <w:sz w:val="24"/>
          <w:szCs w:val="24"/>
        </w:rPr>
      </w:pPr>
      <w:r w:rsidRPr="00636907">
        <w:rPr>
          <w:bCs/>
          <w:sz w:val="24"/>
          <w:szCs w:val="24"/>
        </w:rPr>
        <w:t>Strīdi vai domstarpības Pušu starpā neatbrīvo t</w:t>
      </w:r>
      <w:r>
        <w:rPr>
          <w:bCs/>
          <w:sz w:val="24"/>
          <w:szCs w:val="24"/>
        </w:rPr>
        <w:t>ā</w:t>
      </w:r>
      <w:r w:rsidRPr="00636907">
        <w:rPr>
          <w:bCs/>
          <w:sz w:val="24"/>
          <w:szCs w:val="24"/>
        </w:rPr>
        <w:t>s no saistību, kas noteiktas Līgumā, izpildes.</w:t>
      </w:r>
    </w:p>
    <w:p w14:paraId="72F91DA4" w14:textId="77777777" w:rsidR="00633C7A" w:rsidRPr="00636907" w:rsidRDefault="00633C7A" w:rsidP="00633C7A">
      <w:pPr>
        <w:pStyle w:val="BlockText"/>
        <w:spacing w:after="0"/>
        <w:ind w:left="576" w:right="0" w:firstLine="0"/>
        <w:jc w:val="both"/>
        <w:rPr>
          <w:b/>
          <w:sz w:val="24"/>
          <w:szCs w:val="24"/>
        </w:rPr>
      </w:pPr>
    </w:p>
    <w:p w14:paraId="72F91DA5" w14:textId="77777777" w:rsidR="00633C7A" w:rsidRPr="001F0E03" w:rsidRDefault="00633C7A" w:rsidP="00633C7A">
      <w:pPr>
        <w:pStyle w:val="Justifiedcenter"/>
      </w:pPr>
      <w:r w:rsidRPr="001F0E03">
        <w:t>Noslēguma noteikumi</w:t>
      </w:r>
    </w:p>
    <w:p w14:paraId="72F91DA6" w14:textId="77777777" w:rsidR="00633C7A" w:rsidRPr="006B38F4" w:rsidRDefault="00633C7A" w:rsidP="00633C7A">
      <w:pPr>
        <w:numPr>
          <w:ilvl w:val="1"/>
          <w:numId w:val="1"/>
        </w:numPr>
        <w:spacing w:after="120"/>
        <w:ind w:left="578" w:hanging="578"/>
        <w:contextualSpacing/>
        <w:jc w:val="both"/>
      </w:pPr>
      <w:r w:rsidRPr="00886015">
        <w:rPr>
          <w:i/>
          <w:kern w:val="28"/>
        </w:rPr>
        <w:t>Puses</w:t>
      </w:r>
      <w:r w:rsidRPr="00671BBA">
        <w:rPr>
          <w:kern w:val="28"/>
        </w:rPr>
        <w:t xml:space="preserve"> ar saviem parakstiem apliecina, ka viņām ir saprotams Līguma saturs un nozīme, atzīst Līgumu par pareizu un labprātīgi vēlas to pildīt</w:t>
      </w:r>
      <w:r>
        <w:rPr>
          <w:kern w:val="28"/>
        </w:rPr>
        <w:t>.</w:t>
      </w:r>
    </w:p>
    <w:p w14:paraId="72F91DA7" w14:textId="77777777" w:rsidR="00633C7A" w:rsidRPr="006B38F4" w:rsidRDefault="00633C7A" w:rsidP="00633C7A">
      <w:pPr>
        <w:numPr>
          <w:ilvl w:val="1"/>
          <w:numId w:val="1"/>
        </w:numPr>
        <w:spacing w:after="120"/>
        <w:ind w:left="578" w:hanging="578"/>
        <w:contextualSpacing/>
        <w:jc w:val="both"/>
      </w:pPr>
      <w:r w:rsidRPr="00671BBA">
        <w:rPr>
          <w:kern w:val="28"/>
        </w:rPr>
        <w:t xml:space="preserve">Katrai </w:t>
      </w:r>
      <w:r w:rsidRPr="00600791">
        <w:rPr>
          <w:i/>
          <w:kern w:val="28"/>
        </w:rPr>
        <w:t>Pusei</w:t>
      </w:r>
      <w:r w:rsidRPr="00671BBA">
        <w:rPr>
          <w:kern w:val="28"/>
        </w:rPr>
        <w:t xml:space="preserve"> ir nekavējoties, bet ne vēlāk kā 3 (trīs) darba dienu laikā, jāziņo otrai </w:t>
      </w:r>
      <w:r w:rsidRPr="00600791">
        <w:rPr>
          <w:i/>
          <w:kern w:val="28"/>
        </w:rPr>
        <w:t xml:space="preserve">Pusei </w:t>
      </w:r>
      <w:r w:rsidRPr="00671BBA">
        <w:rPr>
          <w:kern w:val="28"/>
        </w:rPr>
        <w:t>par savas juridiskās adreses vai norēķinu rekvizītu maiņu</w:t>
      </w:r>
      <w:r>
        <w:rPr>
          <w:kern w:val="28"/>
        </w:rPr>
        <w:t>.</w:t>
      </w:r>
    </w:p>
    <w:p w14:paraId="72F91DA8" w14:textId="77777777" w:rsidR="00633C7A" w:rsidRPr="00A82CCE" w:rsidRDefault="00633C7A" w:rsidP="00633C7A">
      <w:pPr>
        <w:numPr>
          <w:ilvl w:val="1"/>
          <w:numId w:val="1"/>
        </w:numPr>
        <w:spacing w:after="120"/>
        <w:ind w:left="578" w:hanging="578"/>
        <w:contextualSpacing/>
        <w:jc w:val="both"/>
      </w:pPr>
      <w:r w:rsidRPr="00600791">
        <w:rPr>
          <w:rFonts w:cs="Arial"/>
          <w:i/>
          <w:lang w:eastAsia="ar-SA"/>
        </w:rPr>
        <w:t>Pušu</w:t>
      </w:r>
      <w:r w:rsidRPr="00835B4D">
        <w:rPr>
          <w:rFonts w:cs="Arial"/>
          <w:lang w:eastAsia="ar-SA"/>
        </w:rPr>
        <w:t xml:space="preserve"> reorganizācija vai to vadītāju maiņa nevar būt par pamatu Līguma pārtraukšanai vai izbeigšanai. Gadījumā, ja kāda no </w:t>
      </w:r>
      <w:r w:rsidRPr="00600791">
        <w:rPr>
          <w:rFonts w:cs="Arial"/>
          <w:i/>
          <w:lang w:eastAsia="ar-SA"/>
        </w:rPr>
        <w:t>Pusēm</w:t>
      </w:r>
      <w:r w:rsidRPr="00835B4D">
        <w:rPr>
          <w:rFonts w:cs="Arial"/>
          <w:lang w:eastAsia="ar-SA"/>
        </w:rPr>
        <w:t xml:space="preserve"> tiek reorganizēta vai likvidēta, tiek mainīts to vadītājs, Līgums paliek spēkā un tā nosacījumi ir saistoši </w:t>
      </w:r>
      <w:r w:rsidRPr="00600791">
        <w:rPr>
          <w:rFonts w:cs="Arial"/>
          <w:i/>
          <w:lang w:eastAsia="ar-SA"/>
        </w:rPr>
        <w:t>Puses</w:t>
      </w:r>
      <w:r w:rsidRPr="00835B4D">
        <w:rPr>
          <w:rFonts w:cs="Arial"/>
          <w:lang w:eastAsia="ar-SA"/>
        </w:rPr>
        <w:t xml:space="preserve"> tiesību un saistību pārņēmējam. </w:t>
      </w:r>
      <w:r w:rsidRPr="00600791">
        <w:rPr>
          <w:rFonts w:cs="Arial"/>
          <w:i/>
          <w:lang w:eastAsia="ar-SA"/>
        </w:rPr>
        <w:t>Puses</w:t>
      </w:r>
      <w:r w:rsidRPr="00835B4D">
        <w:rPr>
          <w:rFonts w:cs="Arial"/>
          <w:lang w:eastAsia="ar-SA"/>
        </w:rPr>
        <w:t xml:space="preserve"> brīdina viena otru par šādu apstākļu iestāšanos vienu mēnesi iepriekš</w:t>
      </w:r>
      <w:r>
        <w:rPr>
          <w:rFonts w:cs="Arial"/>
          <w:lang w:eastAsia="ar-SA"/>
        </w:rPr>
        <w:t>.</w:t>
      </w:r>
    </w:p>
    <w:p w14:paraId="72F91DA9" w14:textId="77777777" w:rsidR="00633C7A" w:rsidRPr="008951D7" w:rsidRDefault="00633C7A" w:rsidP="00633C7A">
      <w:pPr>
        <w:numPr>
          <w:ilvl w:val="1"/>
          <w:numId w:val="1"/>
        </w:numPr>
        <w:spacing w:after="120"/>
        <w:ind w:left="578" w:hanging="578"/>
        <w:contextualSpacing/>
        <w:jc w:val="both"/>
      </w:pPr>
      <w:r>
        <w:rPr>
          <w:kern w:val="28"/>
        </w:rPr>
        <w:t>Līguma izpilde notiek atbilstoši Līgumā un Iepirkuma tehniskajā specifikācijā paredzētajā kārtībā. Domstarpību gadījumā dokumentiem secība un prioritāte tiek noteikta atbilstoši šajā punktā minētajam.</w:t>
      </w:r>
    </w:p>
    <w:p w14:paraId="72F91DAA" w14:textId="77777777" w:rsidR="00633C7A" w:rsidRPr="008B3275" w:rsidRDefault="00633C7A" w:rsidP="00633C7A">
      <w:pPr>
        <w:numPr>
          <w:ilvl w:val="1"/>
          <w:numId w:val="1"/>
        </w:numPr>
        <w:spacing w:after="120"/>
        <w:ind w:left="578" w:hanging="578"/>
        <w:contextualSpacing/>
        <w:jc w:val="both"/>
      </w:pPr>
      <w:r w:rsidRPr="00671BBA">
        <w:rPr>
          <w:kern w:val="28"/>
        </w:rPr>
        <w:t xml:space="preserve">Gadījumos, kas nav </w:t>
      </w:r>
      <w:r>
        <w:rPr>
          <w:kern w:val="28"/>
        </w:rPr>
        <w:t>atrunā</w:t>
      </w:r>
      <w:r w:rsidRPr="00671BBA">
        <w:rPr>
          <w:kern w:val="28"/>
        </w:rPr>
        <w:t>ti Līgumā, Puses rīkojas saskaņā ar Latvijas Republikas normatīvajiem aktiem</w:t>
      </w:r>
      <w:r>
        <w:rPr>
          <w:kern w:val="28"/>
        </w:rPr>
        <w:t>.</w:t>
      </w:r>
    </w:p>
    <w:p w14:paraId="72F91DAB" w14:textId="1700FE47" w:rsidR="00633C7A" w:rsidRPr="008B3275" w:rsidRDefault="00633C7A" w:rsidP="00633C7A">
      <w:pPr>
        <w:numPr>
          <w:ilvl w:val="1"/>
          <w:numId w:val="1"/>
        </w:numPr>
        <w:spacing w:after="120"/>
        <w:ind w:left="578" w:hanging="578"/>
        <w:contextualSpacing/>
        <w:jc w:val="both"/>
      </w:pPr>
      <w:r w:rsidRPr="008B3275">
        <w:t xml:space="preserve">Par Līguma grozījumiem un papildinājumiem </w:t>
      </w:r>
      <w:r w:rsidRPr="00600791">
        <w:rPr>
          <w:i/>
        </w:rPr>
        <w:t>Puses</w:t>
      </w:r>
      <w:r w:rsidRPr="008B3275">
        <w:t xml:space="preserve"> vienojas rakstveidā</w:t>
      </w:r>
      <w:r>
        <w:t xml:space="preserve"> un saskaņā</w:t>
      </w:r>
      <w:r w:rsidR="000B69A9">
        <w:t xml:space="preserve"> ar Publisko iepirkumu likum</w:t>
      </w:r>
      <w:r>
        <w:t>ā noteikto</w:t>
      </w:r>
      <w:r w:rsidRPr="008B3275">
        <w:t>. Grozījumi un papildinājumi stājas spēkā pēc to abpusējas parakstīšanas, un tie kļūst par Līguma neatņemamu sastāvdaļu.</w:t>
      </w:r>
    </w:p>
    <w:p w14:paraId="72F91DAC" w14:textId="23BC82A3" w:rsidR="00633C7A" w:rsidRDefault="00633C7A" w:rsidP="00633C7A">
      <w:pPr>
        <w:numPr>
          <w:ilvl w:val="1"/>
          <w:numId w:val="1"/>
        </w:numPr>
        <w:ind w:left="578" w:hanging="578"/>
        <w:contextualSpacing/>
        <w:jc w:val="both"/>
      </w:pPr>
      <w:r w:rsidRPr="008B3275">
        <w:t xml:space="preserve">Līgums sagatavots latviešu valodā uz </w:t>
      </w:r>
      <w:r w:rsidR="00201C59">
        <w:t>4</w:t>
      </w:r>
      <w:r w:rsidR="000B69A9">
        <w:t xml:space="preserve"> </w:t>
      </w:r>
      <w:r w:rsidRPr="0088503A">
        <w:t>(</w:t>
      </w:r>
      <w:r w:rsidR="00201C59">
        <w:t>četram</w:t>
      </w:r>
      <w:r w:rsidRPr="0088503A">
        <w:t>)</w:t>
      </w:r>
      <w:r w:rsidR="000B69A9">
        <w:t xml:space="preserve"> lapā</w:t>
      </w:r>
      <w:r w:rsidRPr="008B3275">
        <w:t xml:space="preserve">m un parakstīts 2 (divos) eksemplāros ar vienādu juridisko spēku, katrai </w:t>
      </w:r>
      <w:r w:rsidRPr="00600791">
        <w:rPr>
          <w:i/>
        </w:rPr>
        <w:t>Pusei</w:t>
      </w:r>
      <w:r w:rsidRPr="008B3275">
        <w:t xml:space="preserve"> pa vienam eksemplāram.</w:t>
      </w:r>
    </w:p>
    <w:p w14:paraId="72F91DAD" w14:textId="77777777" w:rsidR="00633C7A" w:rsidRPr="008B3275" w:rsidRDefault="00633C7A" w:rsidP="00633C7A">
      <w:pPr>
        <w:numPr>
          <w:ilvl w:val="1"/>
          <w:numId w:val="1"/>
        </w:numPr>
        <w:ind w:left="578" w:hanging="578"/>
        <w:contextualSpacing/>
        <w:jc w:val="both"/>
      </w:pPr>
      <w:r>
        <w:t>Līguma pielikums un neatņemama sastāvdaļa ir Iepirkuma tehniskā specifikācija.</w:t>
      </w:r>
    </w:p>
    <w:p w14:paraId="72F91DAE" w14:textId="77777777" w:rsidR="00633C7A" w:rsidRPr="008B3275" w:rsidRDefault="00633C7A" w:rsidP="00633C7A">
      <w:pPr>
        <w:ind w:left="720"/>
        <w:jc w:val="both"/>
      </w:pPr>
    </w:p>
    <w:p w14:paraId="72F91DAF" w14:textId="77777777" w:rsidR="00633C7A" w:rsidRPr="008B3275" w:rsidRDefault="00633C7A" w:rsidP="00633C7A">
      <w:pPr>
        <w:numPr>
          <w:ilvl w:val="0"/>
          <w:numId w:val="1"/>
        </w:numPr>
        <w:jc w:val="both"/>
        <w:rPr>
          <w:b/>
        </w:rPr>
      </w:pPr>
      <w:r>
        <w:rPr>
          <w:b/>
        </w:rPr>
        <w:t>Pušu r</w:t>
      </w:r>
      <w:r w:rsidRPr="008B3275">
        <w:rPr>
          <w:b/>
        </w:rPr>
        <w:t>ekvizīti un paraksti</w:t>
      </w:r>
    </w:p>
    <w:tbl>
      <w:tblPr>
        <w:tblW w:w="0" w:type="auto"/>
        <w:tblLook w:val="01E0" w:firstRow="1" w:lastRow="1" w:firstColumn="1" w:lastColumn="1" w:noHBand="0" w:noVBand="0"/>
      </w:tblPr>
      <w:tblGrid>
        <w:gridCol w:w="3635"/>
        <w:gridCol w:w="1293"/>
        <w:gridCol w:w="4403"/>
      </w:tblGrid>
      <w:tr w:rsidR="000A695F" w:rsidRPr="008B3275" w14:paraId="72F91DB4" w14:textId="77777777" w:rsidTr="0084481C">
        <w:trPr>
          <w:trHeight w:val="303"/>
        </w:trPr>
        <w:tc>
          <w:tcPr>
            <w:tcW w:w="3635" w:type="dxa"/>
          </w:tcPr>
          <w:p w14:paraId="72F91DB0" w14:textId="77777777" w:rsidR="000A695F" w:rsidRDefault="000A695F" w:rsidP="00F048A0"/>
          <w:p w14:paraId="72F91DB1" w14:textId="77777777" w:rsidR="000A695F" w:rsidRPr="008B3275" w:rsidRDefault="000A695F" w:rsidP="00F048A0">
            <w:r w:rsidRPr="008B3275">
              <w:t>Pasūtītājs:</w:t>
            </w:r>
          </w:p>
        </w:tc>
        <w:tc>
          <w:tcPr>
            <w:tcW w:w="1293" w:type="dxa"/>
          </w:tcPr>
          <w:p w14:paraId="37F51011" w14:textId="77777777" w:rsidR="000A695F" w:rsidRDefault="000A695F" w:rsidP="00F048A0">
            <w:pPr>
              <w:tabs>
                <w:tab w:val="right" w:pos="9214"/>
              </w:tabs>
              <w:snapToGrid w:val="0"/>
              <w:ind w:right="-908"/>
              <w:rPr>
                <w:rFonts w:eastAsia="Verdana"/>
                <w:bCs/>
                <w:color w:val="000000"/>
              </w:rPr>
            </w:pPr>
          </w:p>
        </w:tc>
        <w:tc>
          <w:tcPr>
            <w:tcW w:w="4403" w:type="dxa"/>
          </w:tcPr>
          <w:p w14:paraId="72F91DB2" w14:textId="2608BADA" w:rsidR="000A695F" w:rsidRDefault="000A695F" w:rsidP="00F048A0">
            <w:pPr>
              <w:tabs>
                <w:tab w:val="right" w:pos="9214"/>
              </w:tabs>
              <w:snapToGrid w:val="0"/>
              <w:ind w:right="-908"/>
              <w:rPr>
                <w:rFonts w:eastAsia="Verdana"/>
                <w:bCs/>
                <w:color w:val="000000"/>
              </w:rPr>
            </w:pPr>
          </w:p>
          <w:p w14:paraId="72F91DB3" w14:textId="7EC40B5C" w:rsidR="000A695F" w:rsidRPr="008B3275" w:rsidRDefault="000A695F" w:rsidP="00F048A0">
            <w:pPr>
              <w:tabs>
                <w:tab w:val="right" w:pos="9214"/>
              </w:tabs>
              <w:snapToGrid w:val="0"/>
              <w:ind w:right="-908"/>
            </w:pPr>
            <w:r>
              <w:rPr>
                <w:rFonts w:eastAsia="Verdana"/>
                <w:bCs/>
                <w:color w:val="000000"/>
              </w:rPr>
              <w:t>Piegādā</w:t>
            </w:r>
            <w:r w:rsidRPr="008B3275">
              <w:rPr>
                <w:rFonts w:eastAsia="Verdana"/>
                <w:bCs/>
                <w:color w:val="000000"/>
              </w:rPr>
              <w:t>tājs:</w:t>
            </w:r>
          </w:p>
        </w:tc>
      </w:tr>
      <w:tr w:rsidR="000A695F" w:rsidRPr="008B3275" w14:paraId="72F91DB7" w14:textId="77777777" w:rsidTr="0084481C">
        <w:tc>
          <w:tcPr>
            <w:tcW w:w="3635" w:type="dxa"/>
          </w:tcPr>
          <w:p w14:paraId="72F91DB5" w14:textId="77777777" w:rsidR="000A695F" w:rsidRPr="008B3275" w:rsidRDefault="000A695F" w:rsidP="00FD5884">
            <w:r w:rsidRPr="008B3275">
              <w:t>Valsts kase</w:t>
            </w:r>
          </w:p>
        </w:tc>
        <w:tc>
          <w:tcPr>
            <w:tcW w:w="1293" w:type="dxa"/>
          </w:tcPr>
          <w:p w14:paraId="0467D01D" w14:textId="77777777" w:rsidR="000A695F" w:rsidRDefault="000A695F" w:rsidP="00FD5884">
            <w:pPr>
              <w:tabs>
                <w:tab w:val="right" w:pos="9214"/>
              </w:tabs>
              <w:snapToGrid w:val="0"/>
              <w:ind w:right="-908"/>
            </w:pPr>
          </w:p>
        </w:tc>
        <w:tc>
          <w:tcPr>
            <w:tcW w:w="4403" w:type="dxa"/>
          </w:tcPr>
          <w:p w14:paraId="72F91DB6" w14:textId="4F7631F8" w:rsidR="000A695F" w:rsidRPr="008B3275" w:rsidRDefault="000A695F" w:rsidP="00FD5884">
            <w:pPr>
              <w:tabs>
                <w:tab w:val="right" w:pos="9214"/>
              </w:tabs>
              <w:snapToGrid w:val="0"/>
              <w:ind w:right="-908"/>
            </w:pPr>
            <w:r>
              <w:t>SIA “Belam-Rīga”</w:t>
            </w:r>
          </w:p>
        </w:tc>
      </w:tr>
      <w:tr w:rsidR="000A695F" w:rsidRPr="008B3275" w14:paraId="72F91DBE" w14:textId="77777777" w:rsidTr="0084481C">
        <w:tc>
          <w:tcPr>
            <w:tcW w:w="3635" w:type="dxa"/>
          </w:tcPr>
          <w:p w14:paraId="72F91DB8" w14:textId="77777777" w:rsidR="000A695F" w:rsidRPr="008B3275" w:rsidRDefault="000A695F" w:rsidP="00FD5884">
            <w:r w:rsidRPr="008B3275">
              <w:t>Reģ. Nr. 90000597275</w:t>
            </w:r>
          </w:p>
          <w:p w14:paraId="72F91DB9" w14:textId="77777777" w:rsidR="000A695F" w:rsidRPr="008B3275" w:rsidRDefault="000A695F" w:rsidP="00FD5884">
            <w:pPr>
              <w:ind w:right="-568"/>
              <w:jc w:val="both"/>
            </w:pPr>
            <w:r w:rsidRPr="008B3275">
              <w:t>Konts: LV06TREL2130051005000</w:t>
            </w:r>
          </w:p>
          <w:p w14:paraId="72F91DBA" w14:textId="77777777" w:rsidR="000A695F" w:rsidRPr="008B3275" w:rsidRDefault="000A695F" w:rsidP="00FD5884">
            <w:pPr>
              <w:ind w:right="-568"/>
              <w:jc w:val="both"/>
            </w:pPr>
            <w:r w:rsidRPr="008B3275">
              <w:t>Valsts kase, kods: TRELLV22.</w:t>
            </w:r>
          </w:p>
          <w:p w14:paraId="72F91DBB" w14:textId="77777777" w:rsidR="000A695F" w:rsidRDefault="000A695F" w:rsidP="00FD5884"/>
          <w:p w14:paraId="72F91DBC" w14:textId="77777777" w:rsidR="000A695F" w:rsidRPr="008B3275" w:rsidRDefault="000A695F" w:rsidP="00FD5884"/>
        </w:tc>
        <w:tc>
          <w:tcPr>
            <w:tcW w:w="1293" w:type="dxa"/>
          </w:tcPr>
          <w:p w14:paraId="40E27EBB" w14:textId="77777777" w:rsidR="000A695F" w:rsidRDefault="000A695F" w:rsidP="00FD5884">
            <w:pPr>
              <w:tabs>
                <w:tab w:val="right" w:pos="9214"/>
              </w:tabs>
              <w:snapToGrid w:val="0"/>
              <w:ind w:right="-908"/>
            </w:pPr>
          </w:p>
        </w:tc>
        <w:tc>
          <w:tcPr>
            <w:tcW w:w="4403" w:type="dxa"/>
          </w:tcPr>
          <w:p w14:paraId="62509399" w14:textId="1DA793EC" w:rsidR="000A695F" w:rsidRDefault="000A695F" w:rsidP="00FD5884">
            <w:pPr>
              <w:tabs>
                <w:tab w:val="right" w:pos="9214"/>
              </w:tabs>
              <w:snapToGrid w:val="0"/>
              <w:ind w:right="-908"/>
            </w:pPr>
            <w:r>
              <w:t xml:space="preserve">Reģ. Nr. </w:t>
            </w:r>
            <w:r w:rsidRPr="002D620C">
              <w:t>40003171311</w:t>
            </w:r>
          </w:p>
          <w:p w14:paraId="483B4114" w14:textId="77777777" w:rsidR="000A695F" w:rsidRDefault="000A695F" w:rsidP="00FD5884">
            <w:pPr>
              <w:tabs>
                <w:tab w:val="right" w:pos="9214"/>
              </w:tabs>
              <w:snapToGrid w:val="0"/>
              <w:ind w:right="-908"/>
            </w:pPr>
            <w:r>
              <w:t xml:space="preserve">Konts: </w:t>
            </w:r>
            <w:r w:rsidRPr="002D620C">
              <w:t>LV78RIKO0002010027269</w:t>
            </w:r>
          </w:p>
          <w:p w14:paraId="243C822C" w14:textId="41EB5F3A" w:rsidR="000A695F" w:rsidRDefault="0084481C" w:rsidP="00FD5884">
            <w:pPr>
              <w:tabs>
                <w:tab w:val="right" w:pos="9214"/>
              </w:tabs>
              <w:snapToGrid w:val="0"/>
              <w:ind w:right="-908"/>
            </w:pPr>
            <w:r>
              <w:t>Luminor</w:t>
            </w:r>
            <w:r w:rsidRPr="002D620C">
              <w:t xml:space="preserve"> </w:t>
            </w:r>
            <w:r w:rsidR="000A695F" w:rsidRPr="002D620C">
              <w:t>bank</w:t>
            </w:r>
            <w:r>
              <w:t xml:space="preserve"> AS</w:t>
            </w:r>
            <w:r w:rsidR="000A695F">
              <w:t xml:space="preserve">, </w:t>
            </w:r>
            <w:r w:rsidR="000A695F" w:rsidRPr="002D620C">
              <w:t>RIKOLV2X</w:t>
            </w:r>
          </w:p>
          <w:p w14:paraId="72F91DBD" w14:textId="77777777" w:rsidR="000A695F" w:rsidRPr="008B3275" w:rsidRDefault="000A695F" w:rsidP="00FD5884">
            <w:pPr>
              <w:tabs>
                <w:tab w:val="right" w:pos="9214"/>
              </w:tabs>
              <w:snapToGrid w:val="0"/>
              <w:ind w:right="-908"/>
            </w:pPr>
          </w:p>
        </w:tc>
      </w:tr>
      <w:tr w:rsidR="000A695F" w:rsidRPr="008B3275" w14:paraId="72F91DC2" w14:textId="77777777" w:rsidTr="0084481C">
        <w:trPr>
          <w:trHeight w:val="513"/>
        </w:trPr>
        <w:tc>
          <w:tcPr>
            <w:tcW w:w="3635" w:type="dxa"/>
            <w:tcBorders>
              <w:bottom w:val="single" w:sz="4" w:space="0" w:color="auto"/>
            </w:tcBorders>
          </w:tcPr>
          <w:p w14:paraId="72F91DBF" w14:textId="77777777" w:rsidR="000A695F" w:rsidRPr="008B3275" w:rsidRDefault="000A695F" w:rsidP="00FD5884"/>
          <w:p w14:paraId="72F91DC0" w14:textId="3FB41971" w:rsidR="000A695F" w:rsidRPr="008B3275" w:rsidRDefault="000A695F" w:rsidP="00FD5884">
            <w:r>
              <w:t xml:space="preserve"> (paraksts*)</w:t>
            </w:r>
          </w:p>
        </w:tc>
        <w:tc>
          <w:tcPr>
            <w:tcW w:w="1293" w:type="dxa"/>
          </w:tcPr>
          <w:p w14:paraId="329CC9C3" w14:textId="77777777" w:rsidR="000A695F" w:rsidRDefault="000A695F" w:rsidP="00FD5884"/>
        </w:tc>
        <w:tc>
          <w:tcPr>
            <w:tcW w:w="4403" w:type="dxa"/>
            <w:tcBorders>
              <w:bottom w:val="single" w:sz="4" w:space="0" w:color="auto"/>
            </w:tcBorders>
          </w:tcPr>
          <w:p w14:paraId="59D825C5" w14:textId="77777777" w:rsidR="000A695F" w:rsidRDefault="000A695F" w:rsidP="00FD5884"/>
          <w:p w14:paraId="72F91DC1" w14:textId="7B40E2C2" w:rsidR="000A695F" w:rsidRPr="008B3275" w:rsidRDefault="000A695F" w:rsidP="00FD5884">
            <w:r>
              <w:t xml:space="preserve"> (paraksts*)</w:t>
            </w:r>
            <w:r w:rsidDel="000A695F">
              <w:t xml:space="preserve"> </w:t>
            </w:r>
          </w:p>
        </w:tc>
      </w:tr>
      <w:tr w:rsidR="000A695F" w:rsidRPr="005146D0" w14:paraId="0246AD56" w14:textId="77777777" w:rsidTr="0084481C">
        <w:tc>
          <w:tcPr>
            <w:tcW w:w="3635" w:type="dxa"/>
            <w:tcBorders>
              <w:top w:val="single" w:sz="4" w:space="0" w:color="auto"/>
            </w:tcBorders>
          </w:tcPr>
          <w:p w14:paraId="79BE13E1" w14:textId="77777777" w:rsidR="000A695F" w:rsidRPr="004668FC" w:rsidRDefault="000A695F" w:rsidP="00C7745F">
            <w:r w:rsidRPr="008B3275">
              <w:t>K.Āboliņš</w:t>
            </w:r>
          </w:p>
        </w:tc>
        <w:tc>
          <w:tcPr>
            <w:tcW w:w="1293" w:type="dxa"/>
          </w:tcPr>
          <w:p w14:paraId="29FF5DE3" w14:textId="77777777" w:rsidR="000A695F" w:rsidRDefault="000A695F" w:rsidP="00C7745F"/>
        </w:tc>
        <w:tc>
          <w:tcPr>
            <w:tcW w:w="4403" w:type="dxa"/>
            <w:tcBorders>
              <w:top w:val="single" w:sz="4" w:space="0" w:color="auto"/>
            </w:tcBorders>
          </w:tcPr>
          <w:p w14:paraId="0C0DA384" w14:textId="43F5064C" w:rsidR="000A695F" w:rsidRPr="005146D0" w:rsidRDefault="000A695F" w:rsidP="00C7745F">
            <w:r>
              <w:t>I. Lošaks</w:t>
            </w:r>
          </w:p>
        </w:tc>
      </w:tr>
    </w:tbl>
    <w:p w14:paraId="732F629D" w14:textId="2B1F9C50" w:rsidR="00C1157C" w:rsidRDefault="00C1157C" w:rsidP="00201C59">
      <w:pPr>
        <w:spacing w:after="200" w:line="276" w:lineRule="auto"/>
      </w:pPr>
    </w:p>
    <w:p w14:paraId="542DD7E6" w14:textId="1BBF743B" w:rsidR="000A695F" w:rsidRDefault="000A695F" w:rsidP="0084481C">
      <w:pPr>
        <w:tabs>
          <w:tab w:val="left" w:pos="720"/>
        </w:tabs>
        <w:ind w:right="-879"/>
        <w:jc w:val="both"/>
      </w:pPr>
      <w:r>
        <w:t>*Dokuments ir parakstīts ar drošu elektronisko parakstu</w:t>
      </w:r>
    </w:p>
    <w:sectPr w:rsidR="000A695F" w:rsidSect="008B3275">
      <w:pgSz w:w="11906" w:h="16838"/>
      <w:pgMar w:top="993" w:right="991" w:bottom="1134" w:left="180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B07F6"/>
    <w:multiLevelType w:val="multilevel"/>
    <w:tmpl w:val="7B08687C"/>
    <w:lvl w:ilvl="0">
      <w:start w:val="1"/>
      <w:numFmt w:val="decimal"/>
      <w:pStyle w:val="Justifiedcente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7A"/>
    <w:rsid w:val="000A695F"/>
    <w:rsid w:val="000B69A9"/>
    <w:rsid w:val="00127A5D"/>
    <w:rsid w:val="0015055C"/>
    <w:rsid w:val="001542F0"/>
    <w:rsid w:val="00201C59"/>
    <w:rsid w:val="0025721E"/>
    <w:rsid w:val="002A5617"/>
    <w:rsid w:val="002C7114"/>
    <w:rsid w:val="00633C7A"/>
    <w:rsid w:val="006971FB"/>
    <w:rsid w:val="006A1B5C"/>
    <w:rsid w:val="006D3D51"/>
    <w:rsid w:val="007106CF"/>
    <w:rsid w:val="0084481C"/>
    <w:rsid w:val="00AA1654"/>
    <w:rsid w:val="00B26709"/>
    <w:rsid w:val="00B57BE4"/>
    <w:rsid w:val="00B60CB3"/>
    <w:rsid w:val="00C1157C"/>
    <w:rsid w:val="00C26943"/>
    <w:rsid w:val="00C77F98"/>
    <w:rsid w:val="00CA22AD"/>
    <w:rsid w:val="00CE2DA5"/>
    <w:rsid w:val="00DD2C80"/>
    <w:rsid w:val="00E25312"/>
    <w:rsid w:val="00E25BA3"/>
    <w:rsid w:val="00FD58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633C7A"/>
    <w:pPr>
      <w:jc w:val="both"/>
    </w:pPr>
    <w:rPr>
      <w:bCs/>
    </w:rPr>
  </w:style>
  <w:style w:type="character" w:customStyle="1" w:styleId="BodyTextChar">
    <w:name w:val="Body Text Char"/>
    <w:aliases w:val="Body Text1 Char"/>
    <w:basedOn w:val="DefaultParagraphFont"/>
    <w:link w:val="BodyText"/>
    <w:rsid w:val="00633C7A"/>
    <w:rPr>
      <w:rFonts w:ascii="Times New Roman" w:eastAsia="Times New Roman" w:hAnsi="Times New Roman" w:cs="Times New Roman"/>
      <w:bCs/>
      <w:sz w:val="24"/>
      <w:szCs w:val="24"/>
      <w:lang w:eastAsia="lv-LV"/>
    </w:rPr>
  </w:style>
  <w:style w:type="paragraph" w:styleId="ListParagraph">
    <w:name w:val="List Paragraph"/>
    <w:basedOn w:val="Normal"/>
    <w:link w:val="ListParagraphChar"/>
    <w:qFormat/>
    <w:rsid w:val="00633C7A"/>
    <w:pPr>
      <w:ind w:left="720"/>
    </w:pPr>
  </w:style>
  <w:style w:type="paragraph" w:styleId="BodyTextIndent">
    <w:name w:val="Body Text Indent"/>
    <w:basedOn w:val="Normal"/>
    <w:link w:val="BodyTextIndentChar"/>
    <w:rsid w:val="00633C7A"/>
    <w:pPr>
      <w:spacing w:after="120"/>
      <w:ind w:left="283"/>
    </w:pPr>
  </w:style>
  <w:style w:type="character" w:customStyle="1" w:styleId="BodyTextIndentChar">
    <w:name w:val="Body Text Indent Char"/>
    <w:basedOn w:val="DefaultParagraphFont"/>
    <w:link w:val="BodyTextIndent"/>
    <w:rsid w:val="00633C7A"/>
    <w:rPr>
      <w:rFonts w:ascii="Times New Roman" w:eastAsia="Times New Roman" w:hAnsi="Times New Roman" w:cs="Times New Roman"/>
      <w:sz w:val="24"/>
      <w:szCs w:val="24"/>
      <w:lang w:eastAsia="lv-LV"/>
    </w:rPr>
  </w:style>
  <w:style w:type="paragraph" w:styleId="BlockText">
    <w:name w:val="Block Text"/>
    <w:basedOn w:val="Normal"/>
    <w:rsid w:val="00633C7A"/>
    <w:pPr>
      <w:spacing w:after="120"/>
      <w:ind w:left="1440" w:right="1440" w:firstLine="567"/>
    </w:pPr>
    <w:rPr>
      <w:rFonts w:eastAsia="Calibri"/>
      <w:sz w:val="20"/>
      <w:szCs w:val="20"/>
      <w:lang w:eastAsia="en-US"/>
    </w:rPr>
  </w:style>
  <w:style w:type="paragraph" w:styleId="Title">
    <w:name w:val="Title"/>
    <w:basedOn w:val="Normal"/>
    <w:link w:val="TitleChar"/>
    <w:qFormat/>
    <w:rsid w:val="00633C7A"/>
    <w:pPr>
      <w:jc w:val="center"/>
    </w:pPr>
    <w:rPr>
      <w:b/>
      <w:szCs w:val="20"/>
    </w:rPr>
  </w:style>
  <w:style w:type="character" w:customStyle="1" w:styleId="TitleChar">
    <w:name w:val="Title Char"/>
    <w:basedOn w:val="DefaultParagraphFont"/>
    <w:link w:val="Title"/>
    <w:rsid w:val="00633C7A"/>
    <w:rPr>
      <w:rFonts w:ascii="Times New Roman" w:eastAsia="Times New Roman" w:hAnsi="Times New Roman" w:cs="Times New Roman"/>
      <w:b/>
      <w:sz w:val="24"/>
      <w:szCs w:val="20"/>
      <w:lang w:eastAsia="lv-LV"/>
    </w:rPr>
  </w:style>
  <w:style w:type="paragraph" w:customStyle="1" w:styleId="Justifiedcenter">
    <w:name w:val="Justified center"/>
    <w:basedOn w:val="Normal"/>
    <w:autoRedefine/>
    <w:rsid w:val="00633C7A"/>
    <w:pPr>
      <w:numPr>
        <w:numId w:val="1"/>
      </w:numPr>
    </w:pPr>
    <w:rPr>
      <w:b/>
    </w:rPr>
  </w:style>
  <w:style w:type="character" w:customStyle="1" w:styleId="ListParagraphChar">
    <w:name w:val="List Paragraph Char"/>
    <w:link w:val="ListParagraph"/>
    <w:locked/>
    <w:rsid w:val="00633C7A"/>
    <w:rPr>
      <w:rFonts w:ascii="Times New Roman" w:eastAsia="Times New Roman" w:hAnsi="Times New Roman" w:cs="Times New Roman"/>
      <w:sz w:val="24"/>
      <w:szCs w:val="24"/>
      <w:lang w:eastAsia="lv-LV"/>
    </w:rPr>
  </w:style>
  <w:style w:type="character" w:styleId="Hyperlink">
    <w:name w:val="Hyperlink"/>
    <w:rsid w:val="00FD5884"/>
    <w:rPr>
      <w:color w:val="0000FF"/>
      <w:u w:val="single"/>
    </w:rPr>
  </w:style>
  <w:style w:type="paragraph" w:styleId="BalloonText">
    <w:name w:val="Balloon Text"/>
    <w:basedOn w:val="Normal"/>
    <w:link w:val="BalloonTextChar"/>
    <w:uiPriority w:val="99"/>
    <w:semiHidden/>
    <w:unhideWhenUsed/>
    <w:rsid w:val="006D3D51"/>
    <w:rPr>
      <w:rFonts w:ascii="Tahoma" w:hAnsi="Tahoma" w:cs="Tahoma"/>
      <w:sz w:val="16"/>
      <w:szCs w:val="16"/>
    </w:rPr>
  </w:style>
  <w:style w:type="character" w:customStyle="1" w:styleId="BalloonTextChar">
    <w:name w:val="Balloon Text Char"/>
    <w:basedOn w:val="DefaultParagraphFont"/>
    <w:link w:val="BalloonText"/>
    <w:uiPriority w:val="99"/>
    <w:semiHidden/>
    <w:rsid w:val="006D3D51"/>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25312"/>
    <w:rPr>
      <w:sz w:val="16"/>
      <w:szCs w:val="16"/>
    </w:rPr>
  </w:style>
  <w:style w:type="paragraph" w:styleId="CommentText">
    <w:name w:val="annotation text"/>
    <w:basedOn w:val="Normal"/>
    <w:link w:val="CommentTextChar"/>
    <w:uiPriority w:val="99"/>
    <w:semiHidden/>
    <w:unhideWhenUsed/>
    <w:rsid w:val="00E25312"/>
    <w:rPr>
      <w:sz w:val="20"/>
      <w:szCs w:val="20"/>
    </w:rPr>
  </w:style>
  <w:style w:type="character" w:customStyle="1" w:styleId="CommentTextChar">
    <w:name w:val="Comment Text Char"/>
    <w:basedOn w:val="DefaultParagraphFont"/>
    <w:link w:val="CommentText"/>
    <w:uiPriority w:val="99"/>
    <w:semiHidden/>
    <w:rsid w:val="00E2531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25312"/>
    <w:rPr>
      <w:b/>
      <w:bCs/>
    </w:rPr>
  </w:style>
  <w:style w:type="character" w:customStyle="1" w:styleId="CommentSubjectChar">
    <w:name w:val="Comment Subject Char"/>
    <w:basedOn w:val="CommentTextChar"/>
    <w:link w:val="CommentSubject"/>
    <w:uiPriority w:val="99"/>
    <w:semiHidden/>
    <w:rsid w:val="00E25312"/>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7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rsid w:val="00633C7A"/>
    <w:pPr>
      <w:jc w:val="both"/>
    </w:pPr>
    <w:rPr>
      <w:bCs/>
    </w:rPr>
  </w:style>
  <w:style w:type="character" w:customStyle="1" w:styleId="BodyTextChar">
    <w:name w:val="Body Text Char"/>
    <w:aliases w:val="Body Text1 Char"/>
    <w:basedOn w:val="DefaultParagraphFont"/>
    <w:link w:val="BodyText"/>
    <w:rsid w:val="00633C7A"/>
    <w:rPr>
      <w:rFonts w:ascii="Times New Roman" w:eastAsia="Times New Roman" w:hAnsi="Times New Roman" w:cs="Times New Roman"/>
      <w:bCs/>
      <w:sz w:val="24"/>
      <w:szCs w:val="24"/>
      <w:lang w:eastAsia="lv-LV"/>
    </w:rPr>
  </w:style>
  <w:style w:type="paragraph" w:styleId="ListParagraph">
    <w:name w:val="List Paragraph"/>
    <w:basedOn w:val="Normal"/>
    <w:link w:val="ListParagraphChar"/>
    <w:qFormat/>
    <w:rsid w:val="00633C7A"/>
    <w:pPr>
      <w:ind w:left="720"/>
    </w:pPr>
  </w:style>
  <w:style w:type="paragraph" w:styleId="BodyTextIndent">
    <w:name w:val="Body Text Indent"/>
    <w:basedOn w:val="Normal"/>
    <w:link w:val="BodyTextIndentChar"/>
    <w:rsid w:val="00633C7A"/>
    <w:pPr>
      <w:spacing w:after="120"/>
      <w:ind w:left="283"/>
    </w:pPr>
  </w:style>
  <w:style w:type="character" w:customStyle="1" w:styleId="BodyTextIndentChar">
    <w:name w:val="Body Text Indent Char"/>
    <w:basedOn w:val="DefaultParagraphFont"/>
    <w:link w:val="BodyTextIndent"/>
    <w:rsid w:val="00633C7A"/>
    <w:rPr>
      <w:rFonts w:ascii="Times New Roman" w:eastAsia="Times New Roman" w:hAnsi="Times New Roman" w:cs="Times New Roman"/>
      <w:sz w:val="24"/>
      <w:szCs w:val="24"/>
      <w:lang w:eastAsia="lv-LV"/>
    </w:rPr>
  </w:style>
  <w:style w:type="paragraph" w:styleId="BlockText">
    <w:name w:val="Block Text"/>
    <w:basedOn w:val="Normal"/>
    <w:rsid w:val="00633C7A"/>
    <w:pPr>
      <w:spacing w:after="120"/>
      <w:ind w:left="1440" w:right="1440" w:firstLine="567"/>
    </w:pPr>
    <w:rPr>
      <w:rFonts w:eastAsia="Calibri"/>
      <w:sz w:val="20"/>
      <w:szCs w:val="20"/>
      <w:lang w:eastAsia="en-US"/>
    </w:rPr>
  </w:style>
  <w:style w:type="paragraph" w:styleId="Title">
    <w:name w:val="Title"/>
    <w:basedOn w:val="Normal"/>
    <w:link w:val="TitleChar"/>
    <w:qFormat/>
    <w:rsid w:val="00633C7A"/>
    <w:pPr>
      <w:jc w:val="center"/>
    </w:pPr>
    <w:rPr>
      <w:b/>
      <w:szCs w:val="20"/>
    </w:rPr>
  </w:style>
  <w:style w:type="character" w:customStyle="1" w:styleId="TitleChar">
    <w:name w:val="Title Char"/>
    <w:basedOn w:val="DefaultParagraphFont"/>
    <w:link w:val="Title"/>
    <w:rsid w:val="00633C7A"/>
    <w:rPr>
      <w:rFonts w:ascii="Times New Roman" w:eastAsia="Times New Roman" w:hAnsi="Times New Roman" w:cs="Times New Roman"/>
      <w:b/>
      <w:sz w:val="24"/>
      <w:szCs w:val="20"/>
      <w:lang w:eastAsia="lv-LV"/>
    </w:rPr>
  </w:style>
  <w:style w:type="paragraph" w:customStyle="1" w:styleId="Justifiedcenter">
    <w:name w:val="Justified center"/>
    <w:basedOn w:val="Normal"/>
    <w:autoRedefine/>
    <w:rsid w:val="00633C7A"/>
    <w:pPr>
      <w:numPr>
        <w:numId w:val="1"/>
      </w:numPr>
    </w:pPr>
    <w:rPr>
      <w:b/>
    </w:rPr>
  </w:style>
  <w:style w:type="character" w:customStyle="1" w:styleId="ListParagraphChar">
    <w:name w:val="List Paragraph Char"/>
    <w:link w:val="ListParagraph"/>
    <w:locked/>
    <w:rsid w:val="00633C7A"/>
    <w:rPr>
      <w:rFonts w:ascii="Times New Roman" w:eastAsia="Times New Roman" w:hAnsi="Times New Roman" w:cs="Times New Roman"/>
      <w:sz w:val="24"/>
      <w:szCs w:val="24"/>
      <w:lang w:eastAsia="lv-LV"/>
    </w:rPr>
  </w:style>
  <w:style w:type="character" w:styleId="Hyperlink">
    <w:name w:val="Hyperlink"/>
    <w:rsid w:val="00FD5884"/>
    <w:rPr>
      <w:color w:val="0000FF"/>
      <w:u w:val="single"/>
    </w:rPr>
  </w:style>
  <w:style w:type="paragraph" w:styleId="BalloonText">
    <w:name w:val="Balloon Text"/>
    <w:basedOn w:val="Normal"/>
    <w:link w:val="BalloonTextChar"/>
    <w:uiPriority w:val="99"/>
    <w:semiHidden/>
    <w:unhideWhenUsed/>
    <w:rsid w:val="006D3D51"/>
    <w:rPr>
      <w:rFonts w:ascii="Tahoma" w:hAnsi="Tahoma" w:cs="Tahoma"/>
      <w:sz w:val="16"/>
      <w:szCs w:val="16"/>
    </w:rPr>
  </w:style>
  <w:style w:type="character" w:customStyle="1" w:styleId="BalloonTextChar">
    <w:name w:val="Balloon Text Char"/>
    <w:basedOn w:val="DefaultParagraphFont"/>
    <w:link w:val="BalloonText"/>
    <w:uiPriority w:val="99"/>
    <w:semiHidden/>
    <w:rsid w:val="006D3D51"/>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25312"/>
    <w:rPr>
      <w:sz w:val="16"/>
      <w:szCs w:val="16"/>
    </w:rPr>
  </w:style>
  <w:style w:type="paragraph" w:styleId="CommentText">
    <w:name w:val="annotation text"/>
    <w:basedOn w:val="Normal"/>
    <w:link w:val="CommentTextChar"/>
    <w:uiPriority w:val="99"/>
    <w:semiHidden/>
    <w:unhideWhenUsed/>
    <w:rsid w:val="00E25312"/>
    <w:rPr>
      <w:sz w:val="20"/>
      <w:szCs w:val="20"/>
    </w:rPr>
  </w:style>
  <w:style w:type="character" w:customStyle="1" w:styleId="CommentTextChar">
    <w:name w:val="Comment Text Char"/>
    <w:basedOn w:val="DefaultParagraphFont"/>
    <w:link w:val="CommentText"/>
    <w:uiPriority w:val="99"/>
    <w:semiHidden/>
    <w:rsid w:val="00E2531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25312"/>
    <w:rPr>
      <w:b/>
      <w:bCs/>
    </w:rPr>
  </w:style>
  <w:style w:type="character" w:customStyle="1" w:styleId="CommentSubjectChar">
    <w:name w:val="Comment Subject Char"/>
    <w:basedOn w:val="CommentTextChar"/>
    <w:link w:val="CommentSubject"/>
    <w:uiPriority w:val="99"/>
    <w:semiHidden/>
    <w:rsid w:val="00E25312"/>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k@belam.lv" TargetMode="External"/><Relationship Id="rId4" Type="http://schemas.openxmlformats.org/officeDocument/2006/relationships/numbering" Target="numbering.xml"/><Relationship Id="rId9" Type="http://schemas.openxmlformats.org/officeDocument/2006/relationships/hyperlink" Target="mailto:andris.rutkis@kase.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Props1.xml><?xml version="1.0" encoding="utf-8"?>
<ds:datastoreItem xmlns:ds="http://schemas.openxmlformats.org/officeDocument/2006/customXml" ds:itemID="{6D3BDF37-FE48-4927-9F19-DE30027AAC26}">
  <ds:schemaRefs>
    <ds:schemaRef ds:uri="http://schemas.microsoft.com/sharepoint/v3/contenttype/forms"/>
  </ds:schemaRefs>
</ds:datastoreItem>
</file>

<file path=customXml/itemProps2.xml><?xml version="1.0" encoding="utf-8"?>
<ds:datastoreItem xmlns:ds="http://schemas.openxmlformats.org/officeDocument/2006/customXml" ds:itemID="{0334730A-100D-4031-B628-DFF3888B8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8D955-BA47-4F37-A687-85B122B95DD2}">
  <ds:schemaRefs>
    <ds:schemaRef ds:uri="http://www.w3.org/XML/1998/namespace"/>
    <ds:schemaRef ds:uri="http://purl.org/dc/elements/1.1/"/>
    <ds:schemaRef ds:uri="http://schemas.microsoft.com/office/infopath/2007/PartnerControls"/>
    <ds:schemaRef ds:uri="http://purl.org/dc/terms/"/>
    <ds:schemaRef ds:uri="http://purl.org/dc/dcmitype/"/>
    <ds:schemaRef ds:uri="7048371a-c377-4617-a558-28bad1ac8a64"/>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7881</Words>
  <Characters>4493</Characters>
  <Application>Microsoft Office Word</Application>
  <DocSecurity>4</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Rutkis</dc:creator>
  <cp:lastModifiedBy>Anita Ozola</cp:lastModifiedBy>
  <cp:revision>2</cp:revision>
  <dcterms:created xsi:type="dcterms:W3CDTF">2017-11-30T10:15:00Z</dcterms:created>
  <dcterms:modified xsi:type="dcterms:W3CDTF">2017-11-30T10:15:00Z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