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610A77" w:rsidRPr="00610A77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„Genesys PureConnect programmatūras ražotāja tehniskais atbalsts”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260C9D">
        <w:rPr>
          <w:rFonts w:ascii="Times New Roman" w:hAnsi="Times New Roman"/>
          <w:b/>
          <w:bCs/>
          <w:caps/>
          <w:sz w:val="24"/>
          <w:szCs w:val="24"/>
          <w:lang w:val="lv-LV"/>
        </w:rPr>
        <w:t>7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610A77">
        <w:rPr>
          <w:rFonts w:ascii="Times New Roman" w:hAnsi="Times New Roman"/>
          <w:b/>
          <w:bCs/>
          <w:caps/>
          <w:sz w:val="24"/>
          <w:szCs w:val="24"/>
          <w:lang w:val="lv-LV"/>
        </w:rPr>
        <w:t>10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942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942EED">
              <w:rPr>
                <w:rFonts w:ascii="Times New Roman" w:hAnsi="Times New Roman"/>
                <w:sz w:val="20"/>
                <w:szCs w:val="20"/>
                <w:lang w:val="lv-LV"/>
              </w:rPr>
              <w:t>23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942EED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942EED">
              <w:rPr>
                <w:rFonts w:ascii="Times New Roman" w:hAnsi="Times New Roman"/>
                <w:sz w:val="20"/>
                <w:szCs w:val="20"/>
              </w:rPr>
              <w:t>13</w:t>
            </w:r>
            <w:r w:rsidR="009C57F8" w:rsidRPr="00903F57">
              <w:rPr>
                <w:rFonts w:ascii="Times New Roman" w:hAnsi="Times New Roman"/>
                <w:sz w:val="20"/>
                <w:szCs w:val="20"/>
              </w:rPr>
              <w:t>.</w:t>
            </w:r>
            <w:r w:rsidR="00287623" w:rsidRPr="00903F5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:rsidR="00F36F1F" w:rsidRPr="00E56EAA" w:rsidRDefault="00987E82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2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uzturēšanas daļas vadītājs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260C9D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:rsidTr="00A36045">
        <w:tc>
          <w:tcPr>
            <w:tcW w:w="4575" w:type="dxa"/>
          </w:tcPr>
          <w:p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0B4707" w:rsidRPr="00FD211B" w:rsidTr="00A36045">
        <w:tc>
          <w:tcPr>
            <w:tcW w:w="4575" w:type="dxa"/>
          </w:tcPr>
          <w:p w:rsidR="000B4707" w:rsidRPr="00FD211B" w:rsidRDefault="000B470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1434F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0B4707" w:rsidRDefault="000B470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0B4707" w:rsidRPr="00FD211B" w:rsidRDefault="000B470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 w:rsidR="002A16E4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F459D4" w:rsidRPr="00F459D4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F459D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2A16E4">
        <w:rPr>
          <w:rFonts w:ascii="Times New Roman" w:hAnsi="Times New Roman"/>
          <w:sz w:val="24"/>
          <w:szCs w:val="24"/>
          <w:lang w:val="lv-LV"/>
        </w:rPr>
        <w:t>piedāvājuma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435AA"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 w:rsidR="008435AA">
        <w:rPr>
          <w:rFonts w:ascii="Times New Roman" w:hAnsi="Times New Roman"/>
          <w:sz w:val="24"/>
          <w:szCs w:val="24"/>
          <w:lang w:val="lv-LV"/>
        </w:rPr>
        <w:t>nolikuma 7. </w:t>
      </w:r>
      <w:r w:rsidRPr="0013124A">
        <w:rPr>
          <w:rFonts w:ascii="Times New Roman" w:hAnsi="Times New Roman"/>
          <w:sz w:val="24"/>
          <w:szCs w:val="24"/>
          <w:lang w:val="lv-LV"/>
        </w:rPr>
        <w:t>punkts “Pretendentu atlases prasības, iesniedzamie pretendentu atlases dokumenti un pārbaudāmās ziņas”).</w:t>
      </w:r>
    </w:p>
    <w:p w:rsidR="0013124A" w:rsidRPr="001A47A7" w:rsidRDefault="00CA62CB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F459D4" w:rsidRPr="00F459D4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>
        <w:rPr>
          <w:rFonts w:ascii="Times New Roman" w:hAnsi="Times New Roman"/>
          <w:sz w:val="24"/>
          <w:szCs w:val="24"/>
          <w:lang w:val="lv-LV"/>
        </w:rPr>
        <w:t>piedāvājuma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435AA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norādītajām tehniskās specifikācijas prasībām (</w:t>
      </w:r>
      <w:r w:rsidR="008435AA">
        <w:rPr>
          <w:rFonts w:ascii="Times New Roman" w:hAnsi="Times New Roman"/>
          <w:sz w:val="24"/>
          <w:szCs w:val="24"/>
          <w:lang w:val="lv-LV"/>
        </w:rPr>
        <w:t>nolikuma 8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.</w:t>
      </w:r>
      <w:r w:rsidR="00930AD7">
        <w:rPr>
          <w:rFonts w:ascii="Times New Roman" w:hAnsi="Times New Roman"/>
          <w:sz w:val="24"/>
          <w:szCs w:val="24"/>
          <w:lang w:val="lv-LV"/>
        </w:rPr>
        <w:t> 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punkts “Tehniskā specifikācija” un </w:t>
      </w:r>
      <w:r w:rsidR="008435AA">
        <w:rPr>
          <w:rFonts w:ascii="Times New Roman" w:hAnsi="Times New Roman"/>
          <w:sz w:val="24"/>
          <w:szCs w:val="24"/>
          <w:lang w:val="lv-LV"/>
        </w:rPr>
        <w:t>nolikuma 1. 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pielikums „Tehniskā specifikācija”).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</w:t>
      </w:r>
      <w:r w:rsidR="0098675D">
        <w:rPr>
          <w:rFonts w:ascii="Times New Roman" w:hAnsi="Times New Roman"/>
          <w:sz w:val="24"/>
          <w:szCs w:val="24"/>
          <w:lang w:val="lv-LV"/>
        </w:rPr>
        <w:t xml:space="preserve">piedāvājuma izvēli un </w:t>
      </w:r>
      <w:r w:rsidR="00807A49">
        <w:rPr>
          <w:rFonts w:ascii="Times New Roman" w:hAnsi="Times New Roman"/>
          <w:sz w:val="24"/>
          <w:szCs w:val="24"/>
          <w:lang w:val="lv-LV"/>
        </w:rPr>
        <w:t xml:space="preserve">iespējamu </w:t>
      </w:r>
      <w:r w:rsidR="0098675D">
        <w:rPr>
          <w:rFonts w:ascii="Times New Roman" w:hAnsi="Times New Roman"/>
          <w:sz w:val="24"/>
          <w:szCs w:val="24"/>
          <w:lang w:val="lv-LV"/>
        </w:rPr>
        <w:t>iepirkuma līguma slēgšanas tiesību piešķiršanu</w:t>
      </w:r>
      <w:r w:rsidR="0098675D" w:rsidRPr="009867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8675D">
        <w:rPr>
          <w:rFonts w:ascii="Times New Roman" w:hAnsi="Times New Roman"/>
          <w:sz w:val="24"/>
          <w:szCs w:val="24"/>
          <w:lang w:val="lv-LV"/>
        </w:rPr>
        <w:t>pieņemšana.</w:t>
      </w:r>
    </w:p>
    <w:p w:rsidR="00807A49" w:rsidRPr="006A6C7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Pretendenta</w:t>
      </w:r>
      <w:r w:rsidR="00930AD7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459D4" w:rsidRPr="00F459D4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6A6C77">
        <w:rPr>
          <w:rFonts w:ascii="Times New Roman" w:hAnsi="Times New Roman"/>
          <w:sz w:val="24"/>
          <w:szCs w:val="24"/>
          <w:lang w:val="lv-LV"/>
        </w:rPr>
        <w:t>nomaksāto nodokļu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 xml:space="preserve">pārbaude piedāvājumu iesniegšanas </w:t>
      </w:r>
      <w:r w:rsidR="00FF7EC7" w:rsidRPr="006A6C77">
        <w:rPr>
          <w:rFonts w:ascii="Times New Roman" w:hAnsi="Times New Roman"/>
          <w:sz w:val="24"/>
          <w:szCs w:val="24"/>
          <w:lang w:val="lv-LV"/>
        </w:rPr>
        <w:t xml:space="preserve">termiņa </w:t>
      </w:r>
      <w:r w:rsidR="00F459D4">
        <w:rPr>
          <w:rFonts w:ascii="Times New Roman" w:hAnsi="Times New Roman"/>
          <w:sz w:val="24"/>
          <w:szCs w:val="24"/>
          <w:lang w:val="lv-LV"/>
        </w:rPr>
        <w:t>pēdējā dienā (2</w:t>
      </w:r>
      <w:r w:rsidR="00CA62CB">
        <w:rPr>
          <w:rFonts w:ascii="Times New Roman" w:hAnsi="Times New Roman"/>
          <w:sz w:val="24"/>
          <w:szCs w:val="24"/>
          <w:lang w:val="lv-LV"/>
        </w:rPr>
        <w:t>2</w:t>
      </w:r>
      <w:r w:rsidR="00F459D4">
        <w:rPr>
          <w:rFonts w:ascii="Times New Roman" w:hAnsi="Times New Roman"/>
          <w:sz w:val="24"/>
          <w:szCs w:val="24"/>
          <w:lang w:val="lv-LV"/>
        </w:rPr>
        <w:t>.11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>.2017.) un dienā, kad pieņemts lēmums par iespējamu līguma s</w:t>
      </w:r>
      <w:r w:rsidR="00F459D4">
        <w:rPr>
          <w:rFonts w:ascii="Times New Roman" w:hAnsi="Times New Roman"/>
          <w:sz w:val="24"/>
          <w:szCs w:val="24"/>
          <w:lang w:val="lv-LV"/>
        </w:rPr>
        <w:t>lēgšanas tiesību piešķiršanu (23.11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 xml:space="preserve">.2017.), kā arī 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>maksātnespējas pārbaude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 Elektronisko iepirkumu sistēmā E-izziņas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6A6C7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Lēmuma par iepirkuma rezultātiem pieņemšana.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:rsidR="00232FCE" w:rsidRDefault="00232FCE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232FCE" w:rsidRPr="0013124A" w:rsidRDefault="00232FCE" w:rsidP="00232FCE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Informācijas par iepirkuma rezultātiem nosūtīšana 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>m.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rezultātiem </w:t>
      </w:r>
      <w:r w:rsidR="002D66A1">
        <w:rPr>
          <w:rFonts w:ascii="Times New Roman" w:hAnsi="Times New Roman"/>
          <w:sz w:val="24"/>
          <w:szCs w:val="24"/>
          <w:lang w:val="lv-LV"/>
        </w:rPr>
        <w:t xml:space="preserve">nosūtīšana Birojam </w:t>
      </w:r>
      <w:r w:rsidRPr="0013124A">
        <w:rPr>
          <w:rFonts w:ascii="Times New Roman" w:hAnsi="Times New Roman"/>
          <w:sz w:val="24"/>
          <w:szCs w:val="24"/>
          <w:lang w:val="lv-LV"/>
        </w:rPr>
        <w:t>publicēšana</w:t>
      </w:r>
      <w:r w:rsidR="002D66A1">
        <w:rPr>
          <w:rFonts w:ascii="Times New Roman" w:hAnsi="Times New Roman"/>
          <w:sz w:val="24"/>
          <w:szCs w:val="24"/>
          <w:lang w:val="lv-LV"/>
        </w:rPr>
        <w:t>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 w:rsid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  <w:r w:rsidRPr="0013124A">
        <w:rPr>
          <w:rFonts w:ascii="Times New Roman" w:hAnsi="Times New Roman"/>
          <w:sz w:val="24"/>
          <w:szCs w:val="24"/>
          <w:lang w:val="lv-LV"/>
        </w:rPr>
        <w:lastRenderedPageBreak/>
        <w:t xml:space="preserve">Noslēgtā iepirkuma līguma </w:t>
      </w:r>
      <w:r w:rsidR="005F30D1">
        <w:rPr>
          <w:rFonts w:ascii="Times New Roman" w:hAnsi="Times New Roman"/>
          <w:sz w:val="24"/>
          <w:szCs w:val="24"/>
          <w:lang w:val="lv-LV"/>
        </w:rPr>
        <w:t xml:space="preserve">nosūtīšana Birojam </w:t>
      </w:r>
      <w:r w:rsidRPr="0013124A">
        <w:rPr>
          <w:rFonts w:ascii="Times New Roman" w:hAnsi="Times New Roman"/>
          <w:sz w:val="24"/>
          <w:szCs w:val="24"/>
          <w:lang w:val="lv-LV"/>
        </w:rPr>
        <w:t>publicēšana</w:t>
      </w:r>
      <w:r w:rsidR="005F30D1">
        <w:rPr>
          <w:rFonts w:ascii="Times New Roman" w:hAnsi="Times New Roman"/>
          <w:sz w:val="24"/>
          <w:szCs w:val="24"/>
          <w:lang w:val="lv-LV"/>
        </w:rPr>
        <w:t>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 w:rsidR="00324A19" w:rsidRP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Informatīva paziņojuma par noslēgto līgumu publicēšana Iepirkumu uzraudzības biroja </w:t>
      </w:r>
      <w:r w:rsid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:rsidR="00C76223" w:rsidRDefault="00C76223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521EF1" w:rsidRDefault="00521EF1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521EF1" w:rsidRDefault="00521EF1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C76223" w:rsidRDefault="00C7622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3124A" w:rsidRDefault="00E233AE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2FCD" w:rsidRPr="006F2FCD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6F2FC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piedāvājums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AE04D3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</w:t>
      </w:r>
      <w:r w:rsid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>(</w:t>
      </w:r>
      <w:r w:rsidR="00AE04D3">
        <w:rPr>
          <w:rFonts w:ascii="Times New Roman" w:hAnsi="Times New Roman"/>
          <w:sz w:val="24"/>
          <w:szCs w:val="24"/>
          <w:lang w:val="lv-LV"/>
        </w:rPr>
        <w:t>nolikuma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E04D3">
        <w:rPr>
          <w:rFonts w:ascii="Times New Roman" w:hAnsi="Times New Roman"/>
          <w:sz w:val="24"/>
          <w:szCs w:val="24"/>
          <w:lang w:val="lv-LV"/>
        </w:rPr>
        <w:t>7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:rsidR="0013124A" w:rsidRPr="0013124A" w:rsidRDefault="00E233AE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2FCD" w:rsidRPr="006F2FCD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piedāvājum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AE04D3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norādītajām tehniskās specifikā</w:t>
      </w:r>
      <w:r w:rsidR="0028286C">
        <w:rPr>
          <w:rFonts w:ascii="Times New Roman" w:hAnsi="Times New Roman"/>
          <w:sz w:val="24"/>
          <w:szCs w:val="24"/>
          <w:lang w:val="lv-LV"/>
        </w:rPr>
        <w:t>cijas prasībām (</w:t>
      </w:r>
      <w:r w:rsidR="00AE04D3">
        <w:rPr>
          <w:rFonts w:ascii="Times New Roman" w:hAnsi="Times New Roman"/>
          <w:sz w:val="24"/>
          <w:szCs w:val="24"/>
          <w:lang w:val="lv-LV"/>
        </w:rPr>
        <w:t>nolikuma 8</w:t>
      </w:r>
      <w:r w:rsidR="0028286C">
        <w:rPr>
          <w:rFonts w:ascii="Times New Roman" w:hAnsi="Times New Roman"/>
          <w:sz w:val="24"/>
          <w:szCs w:val="24"/>
          <w:lang w:val="lv-LV"/>
        </w:rPr>
        <w:t>. 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punkts “Tehniskā specifikācija” un </w:t>
      </w:r>
      <w:r w:rsidR="00AE04D3">
        <w:rPr>
          <w:rFonts w:ascii="Times New Roman" w:hAnsi="Times New Roman"/>
          <w:sz w:val="24"/>
          <w:szCs w:val="24"/>
          <w:lang w:val="lv-LV"/>
        </w:rPr>
        <w:t>nolikuma 1. 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pielikums „Tehniskā specifikācija”).</w:t>
      </w:r>
    </w:p>
    <w:p w:rsidR="005C5B35" w:rsidRDefault="005C5B35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Saskaņā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5B35">
        <w:rPr>
          <w:rFonts w:ascii="Times New Roman" w:hAnsi="Times New Roman"/>
          <w:sz w:val="24"/>
          <w:szCs w:val="24"/>
          <w:lang w:val="lv-LV"/>
        </w:rPr>
        <w:t xml:space="preserve">Publisko iepirkumu likuma 51. panta ceturto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3124A">
        <w:rPr>
          <w:rFonts w:ascii="Times New Roman" w:hAnsi="Times New Roman"/>
          <w:sz w:val="24"/>
          <w:szCs w:val="24"/>
          <w:lang w:val="lv-LV"/>
        </w:rPr>
        <w:t>iepirkum</w:t>
      </w:r>
      <w:r>
        <w:rPr>
          <w:rFonts w:ascii="Times New Roman" w:hAnsi="Times New Roman"/>
          <w:sz w:val="24"/>
          <w:szCs w:val="24"/>
          <w:lang w:val="lv-LV"/>
        </w:rPr>
        <w:t>a nolikuma 11.3</w:t>
      </w:r>
      <w:r>
        <w:rPr>
          <w:rFonts w:ascii="Times New Roman" w:hAnsi="Times New Roman"/>
          <w:sz w:val="24"/>
          <w:szCs w:val="24"/>
          <w:lang w:val="lv-LV"/>
        </w:rPr>
        <w:t>. apakš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punktu izvēlēties </w:t>
      </w: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5C5B35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piedāvājumu</w:t>
      </w:r>
      <w:r>
        <w:rPr>
          <w:rFonts w:ascii="Times New Roman" w:hAnsi="Times New Roman"/>
          <w:sz w:val="24"/>
          <w:szCs w:val="24"/>
          <w:lang w:val="lv-LV"/>
        </w:rPr>
        <w:t>, kas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atbilst iepirkuma </w:t>
      </w:r>
      <w:r>
        <w:rPr>
          <w:rFonts w:ascii="Times New Roman" w:hAnsi="Times New Roman"/>
          <w:sz w:val="24"/>
          <w:szCs w:val="24"/>
          <w:lang w:val="lv-LV"/>
        </w:rPr>
        <w:t>nolikuma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prasībām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46560">
        <w:rPr>
          <w:rFonts w:ascii="Times New Roman" w:hAnsi="Times New Roman"/>
          <w:sz w:val="24"/>
          <w:szCs w:val="24"/>
          <w:lang w:val="lv-LV"/>
        </w:rPr>
        <w:t xml:space="preserve"> un piešķirt iepirkuma līguma slēgšanas tiesības pretendentam </w:t>
      </w:r>
      <w:r w:rsidRPr="005C5B35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>
        <w:rPr>
          <w:rFonts w:ascii="Times New Roman" w:hAnsi="Times New Roman"/>
          <w:bCs/>
          <w:sz w:val="24"/>
          <w:szCs w:val="24"/>
          <w:lang w:val="lv-LV"/>
        </w:rPr>
        <w:t>(</w:t>
      </w:r>
      <w:r w:rsidR="00570532" w:rsidRPr="00570532">
        <w:rPr>
          <w:rFonts w:ascii="Times New Roman" w:hAnsi="Times New Roman"/>
          <w:bCs/>
          <w:sz w:val="24"/>
          <w:szCs w:val="24"/>
          <w:lang w:val="lv-LV"/>
        </w:rPr>
        <w:t>13 176,00</w:t>
      </w:r>
      <w:r w:rsidR="0057053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EUR bez PVN)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Tā kā iepirkuma komisija El</w:t>
      </w:r>
      <w:r w:rsidR="00170874">
        <w:rPr>
          <w:rFonts w:ascii="Times New Roman" w:hAnsi="Times New Roman"/>
          <w:sz w:val="24"/>
          <w:szCs w:val="24"/>
          <w:lang w:val="lv-LV"/>
        </w:rPr>
        <w:t>ektronisko iepirkumu sistēmā E-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izziņas pārliecinājās, ka </w:t>
      </w:r>
      <w:r w:rsidR="001A4463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="002438C4" w:rsidRPr="002438C4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="007B57B6" w:rsidRPr="00324A19">
        <w:rPr>
          <w:rFonts w:ascii="Times New Roman" w:hAnsi="Times New Roman"/>
          <w:sz w:val="24"/>
          <w:szCs w:val="24"/>
          <w:lang w:val="lv-LV"/>
        </w:rPr>
        <w:t>piedāvājumu iesni</w:t>
      </w:r>
      <w:r w:rsidR="002438C4">
        <w:rPr>
          <w:rFonts w:ascii="Times New Roman" w:hAnsi="Times New Roman"/>
          <w:sz w:val="24"/>
          <w:szCs w:val="24"/>
          <w:lang w:val="lv-LV"/>
        </w:rPr>
        <w:t>egšanas termiņa pēdējā dienā (2</w:t>
      </w:r>
      <w:r w:rsidR="008D7DD5">
        <w:rPr>
          <w:rFonts w:ascii="Times New Roman" w:hAnsi="Times New Roman"/>
          <w:sz w:val="24"/>
          <w:szCs w:val="24"/>
          <w:lang w:val="lv-LV"/>
        </w:rPr>
        <w:t>2</w:t>
      </w:r>
      <w:r w:rsidR="002438C4">
        <w:rPr>
          <w:rFonts w:ascii="Times New Roman" w:hAnsi="Times New Roman"/>
          <w:sz w:val="24"/>
          <w:szCs w:val="24"/>
          <w:lang w:val="lv-LV"/>
        </w:rPr>
        <w:t>.11</w:t>
      </w:r>
      <w:r w:rsidR="007B57B6" w:rsidRPr="00324A19">
        <w:rPr>
          <w:rFonts w:ascii="Times New Roman" w:hAnsi="Times New Roman"/>
          <w:sz w:val="24"/>
          <w:szCs w:val="24"/>
          <w:lang w:val="lv-LV"/>
        </w:rPr>
        <w:t>.2017.)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un dienā, kad pieņemts lēmums par iespējamu līguma slēgšanas tiesību piešķiršanu (</w:t>
      </w:r>
      <w:r w:rsidR="002438C4">
        <w:rPr>
          <w:rFonts w:ascii="Times New Roman" w:hAnsi="Times New Roman"/>
          <w:sz w:val="24"/>
          <w:szCs w:val="24"/>
          <w:lang w:val="lv-LV"/>
        </w:rPr>
        <w:t>23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2438C4">
        <w:rPr>
          <w:rFonts w:ascii="Times New Roman" w:hAnsi="Times New Roman"/>
          <w:sz w:val="24"/>
          <w:szCs w:val="24"/>
          <w:lang w:val="lv-LV"/>
        </w:rPr>
        <w:t>11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 w:rsidR="007B57B6">
        <w:rPr>
          <w:rFonts w:ascii="Times New Roman" w:hAnsi="Times New Roman"/>
          <w:sz w:val="24"/>
          <w:szCs w:val="24"/>
          <w:lang w:val="lv-LV"/>
        </w:rPr>
        <w:t>7.)</w:t>
      </w:r>
      <w:r w:rsidR="002438C4">
        <w:rPr>
          <w:rFonts w:ascii="Times New Roman" w:hAnsi="Times New Roman"/>
          <w:sz w:val="24"/>
          <w:szCs w:val="24"/>
          <w:lang w:val="lv-LV"/>
        </w:rPr>
        <w:t>,</w:t>
      </w:r>
      <w:r w:rsidR="007B57B6">
        <w:rPr>
          <w:rFonts w:ascii="Times New Roman" w:hAnsi="Times New Roman"/>
          <w:sz w:val="24"/>
          <w:szCs w:val="24"/>
          <w:lang w:val="lv-LV"/>
        </w:rPr>
        <w:t xml:space="preserve"> nav nodokļu parādu, tai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skaitā valsts sociālās apdrošināšanas obligāto iemaksu parādu, kas kopsummā kādā no valstīm pārsniedz 150 EUR, ka nav ierakstu par </w:t>
      </w:r>
      <w:r w:rsidR="008D7DD5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2438C4" w:rsidRPr="002438C4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maksātnespējas </w:t>
      </w:r>
      <w:r w:rsidR="00CA09BA">
        <w:rPr>
          <w:rFonts w:ascii="Times New Roman" w:hAnsi="Times New Roman"/>
          <w:sz w:val="24"/>
          <w:szCs w:val="24"/>
          <w:lang w:val="lv-LV"/>
        </w:rPr>
        <w:t>procesiem, likvidācijas procesu vai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apturētu saimniecisko darbību, tad pretendent</w:t>
      </w:r>
      <w:r w:rsidR="002A0D51">
        <w:rPr>
          <w:rFonts w:ascii="Times New Roman" w:hAnsi="Times New Roman"/>
          <w:sz w:val="24"/>
          <w:szCs w:val="24"/>
          <w:lang w:val="lv-LV"/>
        </w:rPr>
        <w:t>a</w:t>
      </w:r>
      <w:r w:rsidR="002438C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438C4" w:rsidRPr="002438C4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</w:t>
      </w:r>
      <w:r w:rsidR="00260797">
        <w:rPr>
          <w:rFonts w:ascii="Times New Roman" w:hAnsi="Times New Roman"/>
          <w:sz w:val="24"/>
          <w:szCs w:val="24"/>
          <w:lang w:val="lv-LV"/>
        </w:rPr>
        <w:t>s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7B57B6"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 w:rsidR="007B57B6">
        <w:rPr>
          <w:rFonts w:ascii="Times New Roman" w:hAnsi="Times New Roman"/>
          <w:sz w:val="24"/>
          <w:szCs w:val="24"/>
          <w:lang w:val="lv-LV"/>
        </w:rPr>
        <w:t>nolikuma 7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28286C">
        <w:rPr>
          <w:rFonts w:ascii="Times New Roman" w:hAnsi="Times New Roman"/>
          <w:sz w:val="24"/>
          <w:szCs w:val="24"/>
          <w:lang w:val="lv-LV"/>
        </w:rPr>
        <w:t> 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punkts “Pretendentu atlases prasības, iesniedzamie pretendentu atlases dokumenti un pārbaudāmās ziņas”), un iepirkuma komisija nolemj noslēgt līgumu ar pretendentu </w:t>
      </w:r>
      <w:r w:rsidR="002438C4" w:rsidRPr="002438C4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2438C4" w:rsidRPr="002438C4">
        <w:rPr>
          <w:rFonts w:ascii="Times New Roman" w:hAnsi="Times New Roman"/>
          <w:sz w:val="24"/>
          <w:szCs w:val="24"/>
          <w:lang w:val="lv-LV"/>
        </w:rPr>
        <w:t>13 176,00</w:t>
      </w:r>
      <w:r w:rsidR="002438C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EUR (bez PVN).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</w:t>
      </w:r>
      <w:r w:rsidR="007B57B6">
        <w:rPr>
          <w:rFonts w:ascii="Times New Roman" w:hAnsi="Times New Roman"/>
          <w:sz w:val="24"/>
          <w:szCs w:val="24"/>
          <w:lang w:val="lv-LV"/>
        </w:rPr>
        <w:t>tūras uzturēšanas daļas vadītāju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>
        <w:rPr>
          <w:rFonts w:ascii="Times New Roman" w:hAnsi="Times New Roman"/>
          <w:b/>
          <w:i/>
          <w:sz w:val="24"/>
          <w:szCs w:val="24"/>
          <w:lang w:val="lv-LV"/>
        </w:rPr>
        <w:t>A. Rutki</w:t>
      </w:r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</w:t>
      </w:r>
      <w:r w:rsidR="007B57B6">
        <w:rPr>
          <w:rFonts w:ascii="Times New Roman" w:hAnsi="Times New Roman"/>
          <w:sz w:val="24"/>
          <w:szCs w:val="24"/>
          <w:lang w:val="lv-LV"/>
        </w:rPr>
        <w:t>tūras uzturēšanas daļas vadītāju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 w:rsidRPr="007B57B6">
        <w:rPr>
          <w:rFonts w:ascii="Times New Roman" w:hAnsi="Times New Roman"/>
          <w:b/>
          <w:i/>
          <w:sz w:val="24"/>
          <w:szCs w:val="24"/>
          <w:lang w:val="lv-LV"/>
        </w:rPr>
        <w:t>A. Rutki</w:t>
      </w:r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4442CA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D. </w:t>
      </w:r>
      <w:r w:rsidR="004442CA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lintij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līdz 201</w:t>
      </w:r>
      <w:r w:rsidR="007B57B6">
        <w:rPr>
          <w:rFonts w:ascii="Times New Roman" w:hAnsi="Times New Roman"/>
          <w:i/>
          <w:sz w:val="24"/>
          <w:szCs w:val="24"/>
          <w:u w:val="single"/>
          <w:lang w:val="lv-LV"/>
        </w:rPr>
        <w:t>7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gada </w:t>
      </w:r>
      <w:r w:rsidR="006F4783">
        <w:rPr>
          <w:rFonts w:ascii="Times New Roman" w:hAnsi="Times New Roman"/>
          <w:i/>
          <w:sz w:val="24"/>
          <w:szCs w:val="24"/>
          <w:u w:val="single"/>
          <w:lang w:val="lv-LV"/>
        </w:rPr>
        <w:t>24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6F4783">
        <w:rPr>
          <w:rFonts w:ascii="Times New Roman" w:hAnsi="Times New Roman"/>
          <w:i/>
          <w:sz w:val="24"/>
          <w:szCs w:val="24"/>
          <w:u w:val="single"/>
          <w:lang w:val="lv-LV"/>
        </w:rPr>
        <w:t>novembrim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="000F4C7E">
        <w:rPr>
          <w:rFonts w:ascii="Times New Roman" w:hAnsi="Times New Roman"/>
          <w:sz w:val="24"/>
          <w:szCs w:val="24"/>
          <w:lang w:val="lv-LV"/>
        </w:rPr>
        <w:t>pretendentam</w:t>
      </w:r>
      <w:r w:rsidR="002438C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438C4" w:rsidRPr="002438C4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par iepirkuma rezultātiem.</w:t>
      </w:r>
    </w:p>
    <w:p w:rsidR="0013124A" w:rsidRDefault="006F4783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5F51BE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5F51BE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5F51B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4FA2">
        <w:rPr>
          <w:rFonts w:ascii="Times New Roman" w:hAnsi="Times New Roman"/>
          <w:i/>
          <w:sz w:val="24"/>
          <w:szCs w:val="24"/>
          <w:u w:val="single"/>
          <w:lang w:val="lv-LV"/>
        </w:rPr>
        <w:t>līdz 2017. gada 24</w:t>
      </w:r>
      <w:r w:rsidRPr="005F51BE">
        <w:rPr>
          <w:rFonts w:ascii="Times New Roman" w:hAnsi="Times New Roman"/>
          <w:i/>
          <w:sz w:val="24"/>
          <w:szCs w:val="24"/>
          <w:u w:val="single"/>
          <w:lang w:val="lv-LV"/>
        </w:rPr>
        <w:t>. novembrim</w:t>
      </w:r>
      <w:r w:rsidRPr="004442C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nosūtīt 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lēmumu par iepirkuma rezultātiem </w:t>
      </w:r>
      <w:r>
        <w:rPr>
          <w:rFonts w:ascii="Times New Roman" w:hAnsi="Times New Roman"/>
          <w:sz w:val="24"/>
          <w:szCs w:val="24"/>
          <w:lang w:val="lv-LV"/>
        </w:rPr>
        <w:t>Birojam publicēšanai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9" w:history="1">
        <w:r w:rsidRPr="002607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/ sadaļā “Publiskie iepirkumi”</w:t>
      </w:r>
      <w:r w:rsidR="0013124A" w:rsidRPr="00260797">
        <w:rPr>
          <w:rFonts w:ascii="Times New Roman" w:hAnsi="Times New Roman"/>
          <w:sz w:val="24"/>
          <w:szCs w:val="24"/>
          <w:lang w:val="lv-LV"/>
        </w:rPr>
        <w:t>.</w:t>
      </w:r>
    </w:p>
    <w:p w:rsidR="00260797" w:rsidRPr="00763138" w:rsidRDefault="006F4783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5335F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05335F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05335F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nosūtīt </w:t>
      </w:r>
      <w:r w:rsidRPr="00843B7C">
        <w:rPr>
          <w:rFonts w:ascii="Times New Roman" w:hAnsi="Times New Roman"/>
          <w:sz w:val="24"/>
          <w:szCs w:val="24"/>
          <w:lang w:val="lv-LV"/>
        </w:rPr>
        <w:t xml:space="preserve">iepirkuma līguma tekstu </w:t>
      </w:r>
      <w:r>
        <w:rPr>
          <w:rFonts w:ascii="Times New Roman" w:hAnsi="Times New Roman"/>
          <w:sz w:val="24"/>
          <w:szCs w:val="24"/>
          <w:lang w:val="lv-LV"/>
        </w:rPr>
        <w:t>Birojam publicēšanai</w:t>
      </w:r>
      <w:r w:rsidRPr="00843B7C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>
        <w:rPr>
          <w:rFonts w:ascii="Times New Roman" w:hAnsi="Times New Roman"/>
          <w:sz w:val="24"/>
          <w:szCs w:val="24"/>
          <w:lang w:val="lv-LV"/>
        </w:rPr>
        <w:t>tīmekļvietnes</w:t>
      </w:r>
      <w:r w:rsidRPr="00843B7C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0" w:history="1">
        <w:r w:rsidRPr="00843B7C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Pr="00843B7C">
        <w:rPr>
          <w:rFonts w:ascii="Times New Roman" w:hAnsi="Times New Roman"/>
          <w:sz w:val="24"/>
          <w:szCs w:val="24"/>
          <w:lang w:val="lv-LV"/>
        </w:rPr>
        <w:t xml:space="preserve"> sadaļā “Publiskie iepirkumi”</w:t>
      </w:r>
      <w:r w:rsidRPr="00324A1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 xml:space="preserve">10 darbdienu laikā pēc tam, kad </w:t>
      </w:r>
      <w:r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stājas spēkā</w:t>
      </w:r>
      <w:r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 xml:space="preserve"> iepirkuma līgums</w:t>
      </w:r>
      <w:r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.</w:t>
      </w:r>
    </w:p>
    <w:p w:rsidR="00763138" w:rsidRDefault="00763138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763138" w:rsidRPr="00521EF1" w:rsidRDefault="00763138" w:rsidP="00763138">
      <w:pPr>
        <w:pStyle w:val="ListParagraph"/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843B7C" w:rsidRDefault="006F4783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5335F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05335F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05335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publicēt </w:t>
      </w:r>
      <w:r w:rsidRPr="00423173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Iepirkumu uzraudzības biroja </w:t>
      </w:r>
      <w:r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11" w:history="1">
        <w:r w:rsidRPr="0042317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423173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</w:t>
      </w:r>
      <w:r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10 darbdienu laikā pēc tam, kad noslēgts iepirkuma līgums.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610A77">
        <w:rPr>
          <w:rFonts w:ascii="Times New Roman" w:hAnsi="Times New Roman"/>
          <w:sz w:val="20"/>
          <w:szCs w:val="20"/>
          <w:lang w:val="lv-LV"/>
        </w:rPr>
        <w:t>4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373D4F">
        <w:rPr>
          <w:rFonts w:ascii="Times New Roman" w:hAnsi="Times New Roman"/>
          <w:sz w:val="20"/>
          <w:szCs w:val="20"/>
          <w:lang w:val="lv-LV"/>
        </w:rPr>
        <w:t>00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423173" w:rsidRDefault="005C20BB" w:rsidP="004C2C81">
      <w:pPr>
        <w:tabs>
          <w:tab w:val="center" w:pos="4320"/>
          <w:tab w:val="right" w:pos="8640"/>
        </w:tabs>
        <w:spacing w:after="0" w:line="240" w:lineRule="auto"/>
        <w:ind w:left="1560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1. Izdruka no </w:t>
      </w:r>
      <w:r w:rsidR="00423173"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4529" w:rsidRPr="00407A2A">
        <w:rPr>
          <w:rFonts w:ascii="Times New Roman" w:hAnsi="Times New Roman"/>
          <w:sz w:val="24"/>
          <w:szCs w:val="24"/>
          <w:lang w:val="lv-LV"/>
        </w:rPr>
        <w:t>par nodokļu nomaksas statusu</w:t>
      </w:r>
      <w:r w:rsidR="00D245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>piedāvājumu iesniegšanas termiņa pē</w:t>
      </w:r>
      <w:r w:rsidR="00C36A31">
        <w:rPr>
          <w:rFonts w:ascii="Times New Roman" w:hAnsi="Times New Roman"/>
          <w:sz w:val="24"/>
          <w:szCs w:val="24"/>
          <w:lang w:val="lv-LV"/>
        </w:rPr>
        <w:t>dējo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36A31">
        <w:rPr>
          <w:rFonts w:ascii="Times New Roman" w:hAnsi="Times New Roman"/>
          <w:sz w:val="24"/>
          <w:szCs w:val="24"/>
          <w:lang w:val="lv-LV"/>
        </w:rPr>
        <w:t>dienu</w:t>
      </w:r>
      <w:r w:rsidR="006F4783">
        <w:rPr>
          <w:rFonts w:ascii="Times New Roman" w:hAnsi="Times New Roman"/>
          <w:sz w:val="24"/>
          <w:szCs w:val="24"/>
          <w:lang w:val="lv-LV"/>
        </w:rPr>
        <w:t xml:space="preserve"> (2</w:t>
      </w:r>
      <w:r w:rsidR="00521EF1">
        <w:rPr>
          <w:rFonts w:ascii="Times New Roman" w:hAnsi="Times New Roman"/>
          <w:sz w:val="24"/>
          <w:szCs w:val="24"/>
          <w:lang w:val="lv-LV"/>
        </w:rPr>
        <w:t>2</w:t>
      </w:r>
      <w:r w:rsidR="006F4783">
        <w:rPr>
          <w:rFonts w:ascii="Times New Roman" w:hAnsi="Times New Roman"/>
          <w:sz w:val="24"/>
          <w:szCs w:val="24"/>
          <w:lang w:val="lv-LV"/>
        </w:rPr>
        <w:t>.11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 xml:space="preserve">.2017.) </w:t>
      </w:r>
      <w:r w:rsidR="00423173" w:rsidRPr="00505A49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407A2A" w:rsidRPr="00407A2A">
        <w:rPr>
          <w:rFonts w:ascii="Times New Roman" w:hAnsi="Times New Roman"/>
          <w:sz w:val="24"/>
          <w:szCs w:val="24"/>
          <w:lang w:val="lv-LV"/>
        </w:rPr>
        <w:t>3</w:t>
      </w:r>
      <w:r w:rsidR="004C2C81">
        <w:rPr>
          <w:rFonts w:ascii="Times New Roman" w:hAnsi="Times New Roman"/>
          <w:sz w:val="24"/>
          <w:szCs w:val="24"/>
          <w:lang w:val="lv-LV"/>
        </w:rPr>
        <w:t> </w:t>
      </w:r>
      <w:r w:rsidR="00423173"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:rsidR="00423173" w:rsidRPr="00423173" w:rsidRDefault="00423173" w:rsidP="004C2C81">
      <w:pPr>
        <w:spacing w:after="0" w:line="240" w:lineRule="auto"/>
        <w:ind w:left="1560" w:right="12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</w:t>
      </w:r>
      <w:r w:rsidR="006F4783">
        <w:rPr>
          <w:rFonts w:ascii="Times New Roman" w:hAnsi="Times New Roman"/>
          <w:sz w:val="24"/>
          <w:szCs w:val="24"/>
          <w:lang w:val="lv-LV"/>
        </w:rPr>
        <w:t xml:space="preserve"> (23</w:t>
      </w:r>
      <w:r w:rsidRPr="00423173">
        <w:rPr>
          <w:rFonts w:ascii="Times New Roman" w:hAnsi="Times New Roman"/>
          <w:sz w:val="24"/>
          <w:szCs w:val="24"/>
          <w:lang w:val="lv-LV"/>
        </w:rPr>
        <w:t>.</w:t>
      </w:r>
      <w:r w:rsidR="006F4783">
        <w:rPr>
          <w:rFonts w:ascii="Times New Roman" w:hAnsi="Times New Roman"/>
          <w:sz w:val="24"/>
          <w:szCs w:val="24"/>
          <w:lang w:val="lv-LV"/>
        </w:rPr>
        <w:t>11</w:t>
      </w:r>
      <w:r w:rsidR="006A6C77">
        <w:rPr>
          <w:rFonts w:ascii="Times New Roman" w:hAnsi="Times New Roman"/>
          <w:sz w:val="24"/>
          <w:szCs w:val="24"/>
          <w:lang w:val="lv-LV"/>
        </w:rPr>
        <w:t>.2017</w:t>
      </w:r>
      <w:r w:rsidRPr="00423173">
        <w:rPr>
          <w:rFonts w:ascii="Times New Roman" w:hAnsi="Times New Roman"/>
          <w:sz w:val="24"/>
          <w:szCs w:val="24"/>
          <w:lang w:val="lv-LV"/>
        </w:rPr>
        <w:t>.)</w:t>
      </w:r>
      <w:r w:rsidR="006F4783">
        <w:rPr>
          <w:rFonts w:ascii="Times New Roman" w:hAnsi="Times New Roman"/>
          <w:sz w:val="24"/>
          <w:szCs w:val="24"/>
          <w:lang w:val="lv-LV"/>
        </w:rPr>
        <w:t>,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407A2A" w:rsidRPr="00407A2A">
        <w:rPr>
          <w:rFonts w:ascii="Times New Roman" w:hAnsi="Times New Roman"/>
          <w:sz w:val="24"/>
          <w:szCs w:val="24"/>
          <w:lang w:val="lv-LV"/>
        </w:rPr>
        <w:t>4</w:t>
      </w:r>
      <w:r w:rsidR="004C2C81">
        <w:rPr>
          <w:rFonts w:ascii="Times New Roman" w:hAnsi="Times New Roman"/>
          <w:sz w:val="24"/>
          <w:szCs w:val="24"/>
          <w:lang w:val="lv-LV"/>
        </w:rPr>
        <w:t> </w:t>
      </w:r>
      <w:r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7E8A" w:rsidRPr="009E2B60" w:rsidRDefault="00817E8A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4E7F77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287623" w:rsidRPr="00AE5F74" w:rsidTr="00A119AD">
        <w:trPr>
          <w:trHeight w:val="567"/>
        </w:trPr>
        <w:tc>
          <w:tcPr>
            <w:tcW w:w="2768" w:type="dxa"/>
          </w:tcPr>
          <w:p w:rsidR="00287623" w:rsidRDefault="00287623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287623" w:rsidRPr="00AE5F74" w:rsidRDefault="00287623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287623" w:rsidRDefault="0028762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ED" w:rsidRDefault="00942EED">
      <w:pPr>
        <w:spacing w:after="0" w:line="240" w:lineRule="auto"/>
      </w:pPr>
      <w:r>
        <w:separator/>
      </w:r>
    </w:p>
  </w:endnote>
  <w:endnote w:type="continuationSeparator" w:id="0">
    <w:p w:rsidR="00942EED" w:rsidRDefault="0094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F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ED" w:rsidRDefault="00942EED">
      <w:pPr>
        <w:spacing w:after="0" w:line="240" w:lineRule="auto"/>
      </w:pPr>
      <w:r>
        <w:separator/>
      </w:r>
    </w:p>
  </w:footnote>
  <w:footnote w:type="continuationSeparator" w:id="0">
    <w:p w:rsidR="00942EED" w:rsidRDefault="0094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ED"/>
    <w:rsid w:val="00006384"/>
    <w:rsid w:val="0001528C"/>
    <w:rsid w:val="00030349"/>
    <w:rsid w:val="00032059"/>
    <w:rsid w:val="00032C32"/>
    <w:rsid w:val="0003312F"/>
    <w:rsid w:val="00043437"/>
    <w:rsid w:val="00060A53"/>
    <w:rsid w:val="00075CE4"/>
    <w:rsid w:val="000818B6"/>
    <w:rsid w:val="000A72C9"/>
    <w:rsid w:val="000B3818"/>
    <w:rsid w:val="000B4707"/>
    <w:rsid w:val="000D4298"/>
    <w:rsid w:val="000E2484"/>
    <w:rsid w:val="000F4C7E"/>
    <w:rsid w:val="00100E6F"/>
    <w:rsid w:val="00111623"/>
    <w:rsid w:val="00114B49"/>
    <w:rsid w:val="00124173"/>
    <w:rsid w:val="00125FB8"/>
    <w:rsid w:val="001265BC"/>
    <w:rsid w:val="0013124A"/>
    <w:rsid w:val="0014147A"/>
    <w:rsid w:val="00142720"/>
    <w:rsid w:val="0014742E"/>
    <w:rsid w:val="00147D9F"/>
    <w:rsid w:val="00160506"/>
    <w:rsid w:val="0016247D"/>
    <w:rsid w:val="001640A9"/>
    <w:rsid w:val="001703E6"/>
    <w:rsid w:val="00170874"/>
    <w:rsid w:val="00176DCC"/>
    <w:rsid w:val="0018093F"/>
    <w:rsid w:val="0018097A"/>
    <w:rsid w:val="001820BC"/>
    <w:rsid w:val="00192CF6"/>
    <w:rsid w:val="001A4463"/>
    <w:rsid w:val="001A47A7"/>
    <w:rsid w:val="001B6C04"/>
    <w:rsid w:val="001C49BC"/>
    <w:rsid w:val="001F0120"/>
    <w:rsid w:val="002041C7"/>
    <w:rsid w:val="002066F5"/>
    <w:rsid w:val="00232FCE"/>
    <w:rsid w:val="002364B4"/>
    <w:rsid w:val="002435AA"/>
    <w:rsid w:val="002438C4"/>
    <w:rsid w:val="00245F18"/>
    <w:rsid w:val="00260797"/>
    <w:rsid w:val="00260C9D"/>
    <w:rsid w:val="0027051D"/>
    <w:rsid w:val="00275B9E"/>
    <w:rsid w:val="0028286C"/>
    <w:rsid w:val="00287623"/>
    <w:rsid w:val="0029026D"/>
    <w:rsid w:val="00290E5C"/>
    <w:rsid w:val="002A0D51"/>
    <w:rsid w:val="002A1292"/>
    <w:rsid w:val="002A16E4"/>
    <w:rsid w:val="002A4E76"/>
    <w:rsid w:val="002B1559"/>
    <w:rsid w:val="002D2682"/>
    <w:rsid w:val="002D31B1"/>
    <w:rsid w:val="002D5B9F"/>
    <w:rsid w:val="002D66A1"/>
    <w:rsid w:val="002E1474"/>
    <w:rsid w:val="002E519D"/>
    <w:rsid w:val="002E5823"/>
    <w:rsid w:val="002E5C3D"/>
    <w:rsid w:val="00324A19"/>
    <w:rsid w:val="00331FC9"/>
    <w:rsid w:val="00357D7B"/>
    <w:rsid w:val="0036212B"/>
    <w:rsid w:val="00371776"/>
    <w:rsid w:val="00372395"/>
    <w:rsid w:val="00373D4F"/>
    <w:rsid w:val="003C6A81"/>
    <w:rsid w:val="003D298E"/>
    <w:rsid w:val="003D3995"/>
    <w:rsid w:val="003E3BD6"/>
    <w:rsid w:val="003F632A"/>
    <w:rsid w:val="00402E94"/>
    <w:rsid w:val="00404710"/>
    <w:rsid w:val="00405FD8"/>
    <w:rsid w:val="00407A2A"/>
    <w:rsid w:val="004154C9"/>
    <w:rsid w:val="00423173"/>
    <w:rsid w:val="004442CA"/>
    <w:rsid w:val="00445CAC"/>
    <w:rsid w:val="0046222F"/>
    <w:rsid w:val="00464F27"/>
    <w:rsid w:val="00465660"/>
    <w:rsid w:val="00470CE3"/>
    <w:rsid w:val="00472AA6"/>
    <w:rsid w:val="00473560"/>
    <w:rsid w:val="00474D4A"/>
    <w:rsid w:val="004806FC"/>
    <w:rsid w:val="004937CF"/>
    <w:rsid w:val="004B3BCF"/>
    <w:rsid w:val="004B767B"/>
    <w:rsid w:val="004C2C81"/>
    <w:rsid w:val="004D07EE"/>
    <w:rsid w:val="004D4ECE"/>
    <w:rsid w:val="004E7F77"/>
    <w:rsid w:val="004F61D4"/>
    <w:rsid w:val="00502FF7"/>
    <w:rsid w:val="00505A49"/>
    <w:rsid w:val="0050694E"/>
    <w:rsid w:val="0051099A"/>
    <w:rsid w:val="005161AC"/>
    <w:rsid w:val="00517E09"/>
    <w:rsid w:val="00521EF1"/>
    <w:rsid w:val="0053061C"/>
    <w:rsid w:val="00535564"/>
    <w:rsid w:val="00537C41"/>
    <w:rsid w:val="00556301"/>
    <w:rsid w:val="005600C0"/>
    <w:rsid w:val="00570532"/>
    <w:rsid w:val="0057272E"/>
    <w:rsid w:val="00572ECF"/>
    <w:rsid w:val="00582C2C"/>
    <w:rsid w:val="00583E71"/>
    <w:rsid w:val="00584FB9"/>
    <w:rsid w:val="00590CAE"/>
    <w:rsid w:val="00597C78"/>
    <w:rsid w:val="005B001B"/>
    <w:rsid w:val="005B3EBE"/>
    <w:rsid w:val="005B4120"/>
    <w:rsid w:val="005C1D24"/>
    <w:rsid w:val="005C20BB"/>
    <w:rsid w:val="005C5B35"/>
    <w:rsid w:val="005D31DC"/>
    <w:rsid w:val="005F08B3"/>
    <w:rsid w:val="005F30D1"/>
    <w:rsid w:val="0060667F"/>
    <w:rsid w:val="00610A77"/>
    <w:rsid w:val="0061329A"/>
    <w:rsid w:val="00633F50"/>
    <w:rsid w:val="0064688B"/>
    <w:rsid w:val="00661ACC"/>
    <w:rsid w:val="00663C3A"/>
    <w:rsid w:val="0066721E"/>
    <w:rsid w:val="00670D09"/>
    <w:rsid w:val="006862C9"/>
    <w:rsid w:val="00692B5F"/>
    <w:rsid w:val="006A6C77"/>
    <w:rsid w:val="006B1782"/>
    <w:rsid w:val="006B3B59"/>
    <w:rsid w:val="006B4B67"/>
    <w:rsid w:val="006C561D"/>
    <w:rsid w:val="006E4A2E"/>
    <w:rsid w:val="006E63E1"/>
    <w:rsid w:val="006F2FCD"/>
    <w:rsid w:val="006F4783"/>
    <w:rsid w:val="006F7E72"/>
    <w:rsid w:val="00734A19"/>
    <w:rsid w:val="00741EAF"/>
    <w:rsid w:val="00743BFE"/>
    <w:rsid w:val="00760A9A"/>
    <w:rsid w:val="00763138"/>
    <w:rsid w:val="0078158F"/>
    <w:rsid w:val="00781D4F"/>
    <w:rsid w:val="00782164"/>
    <w:rsid w:val="0078333C"/>
    <w:rsid w:val="00792D4F"/>
    <w:rsid w:val="007A60AC"/>
    <w:rsid w:val="007B0947"/>
    <w:rsid w:val="007B175D"/>
    <w:rsid w:val="007B1B17"/>
    <w:rsid w:val="007B3BA5"/>
    <w:rsid w:val="007B57B6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07A49"/>
    <w:rsid w:val="00815277"/>
    <w:rsid w:val="00817E8A"/>
    <w:rsid w:val="00820303"/>
    <w:rsid w:val="008309B9"/>
    <w:rsid w:val="00832EC6"/>
    <w:rsid w:val="00833A22"/>
    <w:rsid w:val="0083683C"/>
    <w:rsid w:val="008435AA"/>
    <w:rsid w:val="00843B7C"/>
    <w:rsid w:val="00853379"/>
    <w:rsid w:val="00863DC7"/>
    <w:rsid w:val="00876C21"/>
    <w:rsid w:val="00883CDE"/>
    <w:rsid w:val="00884F5C"/>
    <w:rsid w:val="008A7FFD"/>
    <w:rsid w:val="008D7DD5"/>
    <w:rsid w:val="00903245"/>
    <w:rsid w:val="00903F57"/>
    <w:rsid w:val="00905BEF"/>
    <w:rsid w:val="00906894"/>
    <w:rsid w:val="00910AEF"/>
    <w:rsid w:val="00922C8D"/>
    <w:rsid w:val="00924FA2"/>
    <w:rsid w:val="00930AD7"/>
    <w:rsid w:val="00931242"/>
    <w:rsid w:val="00934E87"/>
    <w:rsid w:val="009358F1"/>
    <w:rsid w:val="00942EED"/>
    <w:rsid w:val="00947FDB"/>
    <w:rsid w:val="00955BD6"/>
    <w:rsid w:val="009568E4"/>
    <w:rsid w:val="00960C5E"/>
    <w:rsid w:val="00985B23"/>
    <w:rsid w:val="00985E35"/>
    <w:rsid w:val="00985FB4"/>
    <w:rsid w:val="0098675D"/>
    <w:rsid w:val="00987E82"/>
    <w:rsid w:val="00993639"/>
    <w:rsid w:val="009A1893"/>
    <w:rsid w:val="009C57F8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42673"/>
    <w:rsid w:val="00A474CB"/>
    <w:rsid w:val="00A73C91"/>
    <w:rsid w:val="00A744EC"/>
    <w:rsid w:val="00A7581E"/>
    <w:rsid w:val="00A81793"/>
    <w:rsid w:val="00A8277F"/>
    <w:rsid w:val="00A83359"/>
    <w:rsid w:val="00A83382"/>
    <w:rsid w:val="00A85805"/>
    <w:rsid w:val="00A95BEA"/>
    <w:rsid w:val="00AB555B"/>
    <w:rsid w:val="00AC0CE9"/>
    <w:rsid w:val="00AC689C"/>
    <w:rsid w:val="00AC6CB8"/>
    <w:rsid w:val="00AE04D3"/>
    <w:rsid w:val="00AE48CE"/>
    <w:rsid w:val="00AF1354"/>
    <w:rsid w:val="00AF3912"/>
    <w:rsid w:val="00B05014"/>
    <w:rsid w:val="00B12C26"/>
    <w:rsid w:val="00B16EBA"/>
    <w:rsid w:val="00B22FBD"/>
    <w:rsid w:val="00B402EA"/>
    <w:rsid w:val="00B44CF8"/>
    <w:rsid w:val="00B674BF"/>
    <w:rsid w:val="00B966A7"/>
    <w:rsid w:val="00B97654"/>
    <w:rsid w:val="00BA4D0B"/>
    <w:rsid w:val="00BB4560"/>
    <w:rsid w:val="00BB5439"/>
    <w:rsid w:val="00BF122E"/>
    <w:rsid w:val="00BF19FF"/>
    <w:rsid w:val="00BF28CE"/>
    <w:rsid w:val="00C00F2B"/>
    <w:rsid w:val="00C01438"/>
    <w:rsid w:val="00C06398"/>
    <w:rsid w:val="00C12B8E"/>
    <w:rsid w:val="00C14F88"/>
    <w:rsid w:val="00C1606E"/>
    <w:rsid w:val="00C177F8"/>
    <w:rsid w:val="00C22484"/>
    <w:rsid w:val="00C267E5"/>
    <w:rsid w:val="00C36A31"/>
    <w:rsid w:val="00C47F57"/>
    <w:rsid w:val="00C60C66"/>
    <w:rsid w:val="00C61F62"/>
    <w:rsid w:val="00C64964"/>
    <w:rsid w:val="00C76223"/>
    <w:rsid w:val="00C805D3"/>
    <w:rsid w:val="00C82DEC"/>
    <w:rsid w:val="00CA0181"/>
    <w:rsid w:val="00CA09BA"/>
    <w:rsid w:val="00CA62CB"/>
    <w:rsid w:val="00CB593D"/>
    <w:rsid w:val="00CC20DA"/>
    <w:rsid w:val="00CC7FAE"/>
    <w:rsid w:val="00CE133A"/>
    <w:rsid w:val="00CE56B4"/>
    <w:rsid w:val="00CF36D9"/>
    <w:rsid w:val="00D112FC"/>
    <w:rsid w:val="00D17D79"/>
    <w:rsid w:val="00D21FA6"/>
    <w:rsid w:val="00D24529"/>
    <w:rsid w:val="00D346CF"/>
    <w:rsid w:val="00D40B9F"/>
    <w:rsid w:val="00D6242E"/>
    <w:rsid w:val="00D82196"/>
    <w:rsid w:val="00D8235C"/>
    <w:rsid w:val="00D8432E"/>
    <w:rsid w:val="00D87303"/>
    <w:rsid w:val="00DA16E2"/>
    <w:rsid w:val="00DD1C99"/>
    <w:rsid w:val="00DF0F5E"/>
    <w:rsid w:val="00DF41BB"/>
    <w:rsid w:val="00E027A7"/>
    <w:rsid w:val="00E22B60"/>
    <w:rsid w:val="00E233AE"/>
    <w:rsid w:val="00E30FFA"/>
    <w:rsid w:val="00E31AA8"/>
    <w:rsid w:val="00E31DF9"/>
    <w:rsid w:val="00E365CE"/>
    <w:rsid w:val="00E37E99"/>
    <w:rsid w:val="00E50CA3"/>
    <w:rsid w:val="00E53143"/>
    <w:rsid w:val="00E5512A"/>
    <w:rsid w:val="00E645AE"/>
    <w:rsid w:val="00E647F2"/>
    <w:rsid w:val="00E714F5"/>
    <w:rsid w:val="00E72AA8"/>
    <w:rsid w:val="00E7353C"/>
    <w:rsid w:val="00E81B96"/>
    <w:rsid w:val="00E8645B"/>
    <w:rsid w:val="00E91892"/>
    <w:rsid w:val="00EA59F9"/>
    <w:rsid w:val="00EC05F8"/>
    <w:rsid w:val="00EC3062"/>
    <w:rsid w:val="00ED0032"/>
    <w:rsid w:val="00ED2A21"/>
    <w:rsid w:val="00ED2F2C"/>
    <w:rsid w:val="00EE04A1"/>
    <w:rsid w:val="00EF35D6"/>
    <w:rsid w:val="00EF6851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459D4"/>
    <w:rsid w:val="00F50D8F"/>
    <w:rsid w:val="00F51832"/>
    <w:rsid w:val="00F67680"/>
    <w:rsid w:val="00F71685"/>
    <w:rsid w:val="00F73E3B"/>
    <w:rsid w:val="00F74721"/>
    <w:rsid w:val="00F861FF"/>
    <w:rsid w:val="00F93641"/>
    <w:rsid w:val="00F95A74"/>
    <w:rsid w:val="00FC658E"/>
    <w:rsid w:val="00FD2611"/>
    <w:rsid w:val="00FF7E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7\VK-2017-10%20Genesys%20programm%20tehn%20atbalsts\VK-2017-05%20prot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6C04-62B4-4816-AB6D-80A66F6B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VK-2017-05 prot 4</Template>
  <TotalTime>134</TotalTime>
  <Pages>3</Pages>
  <Words>3450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152</cp:revision>
  <cp:lastPrinted>2017-11-23T13:09:00Z</cp:lastPrinted>
  <dcterms:created xsi:type="dcterms:W3CDTF">2017-11-23T09:41:00Z</dcterms:created>
  <dcterms:modified xsi:type="dcterms:W3CDTF">2017-11-23T13:21:00Z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