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26" w:rsidRPr="00371726" w:rsidRDefault="00371726" w:rsidP="00371726">
      <w:pPr>
        <w:pStyle w:val="Heading1"/>
        <w:rPr>
          <w:rFonts w:ascii="Times New Roman" w:hAnsi="Times New Roman" w:cs="Times New Roman"/>
        </w:rPr>
      </w:pPr>
      <w:r>
        <w:rPr>
          <w:rFonts w:ascii="Times New Roman" w:hAnsi="Times New Roman" w:cs="Times New Roman"/>
        </w:rPr>
        <w:t>Minimālo</w:t>
      </w:r>
      <w:r w:rsidRPr="00371726">
        <w:rPr>
          <w:rFonts w:ascii="Times New Roman" w:hAnsi="Times New Roman" w:cs="Times New Roman"/>
        </w:rPr>
        <w:t xml:space="preserve"> valsts sociālās apdrošināšanas </w:t>
      </w:r>
      <w:r>
        <w:rPr>
          <w:rFonts w:ascii="Times New Roman" w:hAnsi="Times New Roman" w:cs="Times New Roman"/>
        </w:rPr>
        <w:t>obligāto iemaksu</w:t>
      </w:r>
      <w:r w:rsidRPr="00371726">
        <w:rPr>
          <w:rFonts w:ascii="Times New Roman" w:hAnsi="Times New Roman" w:cs="Times New Roman"/>
        </w:rPr>
        <w:t xml:space="preserve"> (minimālās iemaksas) korekcijas </w:t>
      </w:r>
      <w:r>
        <w:rPr>
          <w:rFonts w:ascii="Times New Roman" w:hAnsi="Times New Roman" w:cs="Times New Roman"/>
        </w:rPr>
        <w:t xml:space="preserve">uzskaite </w:t>
      </w:r>
    </w:p>
    <w:p w:rsidR="0012251F" w:rsidRDefault="0012251F" w:rsidP="0012251F">
      <w:pPr>
        <w:pStyle w:val="NormalWeb"/>
        <w:spacing w:before="0" w:beforeAutospacing="0" w:after="120" w:afterAutospacing="0"/>
        <w:jc w:val="both"/>
        <w:rPr>
          <w:color w:val="000000"/>
        </w:rPr>
      </w:pPr>
    </w:p>
    <w:p w:rsidR="00371726" w:rsidRPr="0012251F" w:rsidRDefault="00371726" w:rsidP="0012251F">
      <w:pPr>
        <w:pStyle w:val="NormalWeb"/>
        <w:spacing w:before="0" w:beforeAutospacing="0" w:after="120" w:afterAutospacing="0"/>
        <w:jc w:val="both"/>
        <w:rPr>
          <w:color w:val="000000"/>
        </w:rPr>
      </w:pPr>
      <w:r w:rsidRPr="0012251F">
        <w:rPr>
          <w:color w:val="000000"/>
        </w:rPr>
        <w:t>Saskaņā ar likumā “Par valsts sociālo apdrošināšanu” un uz tā pamata izdotajos normatīvajos aktos noteikto Valsts sociālās apdrošināšanas aģentūra katrai konkrētai apdrošināmajai personai triju mēnešu laikā pēc attiecīgā ceturkšņa beigām aprēķina minimālās iemaksas, kas papildus jāveic darba devējam par darba ņēmējiem, un līdz trešā mēneša 20.datumam paziņo to Valsts ieņēmumu dienestam (VID).</w:t>
      </w:r>
    </w:p>
    <w:p w:rsidR="00371726" w:rsidRPr="0012251F" w:rsidRDefault="00371726" w:rsidP="0012251F">
      <w:pPr>
        <w:pStyle w:val="NormalWeb"/>
        <w:spacing w:before="0" w:beforeAutospacing="0" w:after="120" w:afterAutospacing="0"/>
        <w:jc w:val="both"/>
        <w:rPr>
          <w:color w:val="000000"/>
        </w:rPr>
      </w:pPr>
      <w:r w:rsidRPr="0012251F">
        <w:rPr>
          <w:color w:val="000000"/>
        </w:rPr>
        <w:t>Darba devējs VID Elektroniskās deklarēšanas sistēmā (EDS) vienas darba dienas laikā saņem informāciju par aprēķinātajām minimālajām iemaksām.</w:t>
      </w:r>
    </w:p>
    <w:p w:rsidR="00371726" w:rsidRPr="0012251F" w:rsidRDefault="00594DA0" w:rsidP="0012251F">
      <w:pPr>
        <w:pStyle w:val="NormalWeb"/>
        <w:spacing w:before="0" w:beforeAutospacing="0" w:after="120" w:afterAutospacing="0"/>
        <w:jc w:val="both"/>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margin">
                  <wp:posOffset>3535743</wp:posOffset>
                </wp:positionH>
                <wp:positionV relativeFrom="paragraph">
                  <wp:posOffset>585929</wp:posOffset>
                </wp:positionV>
                <wp:extent cx="2171700" cy="2141220"/>
                <wp:effectExtent l="0" t="0" r="19050" b="11430"/>
                <wp:wrapSquare wrapText="bothSides"/>
                <wp:docPr id="1" name="Rectangle 1"/>
                <wp:cNvGraphicFramePr/>
                <a:graphic xmlns:a="http://schemas.openxmlformats.org/drawingml/2006/main">
                  <a:graphicData uri="http://schemas.microsoft.com/office/word/2010/wordprocessingShape">
                    <wps:wsp>
                      <wps:cNvSpPr/>
                      <wps:spPr>
                        <a:xfrm>
                          <a:off x="0" y="0"/>
                          <a:ext cx="2171700" cy="2141220"/>
                        </a:xfrm>
                        <a:prstGeom prst="rect">
                          <a:avLst/>
                        </a:prstGeom>
                      </wps:spPr>
                      <wps:style>
                        <a:lnRef idx="2">
                          <a:schemeClr val="accent5"/>
                        </a:lnRef>
                        <a:fillRef idx="1">
                          <a:schemeClr val="lt1"/>
                        </a:fillRef>
                        <a:effectRef idx="0">
                          <a:schemeClr val="accent5"/>
                        </a:effectRef>
                        <a:fontRef idx="minor">
                          <a:schemeClr val="dk1"/>
                        </a:fontRef>
                      </wps:style>
                      <wps:txbx>
                        <w:txbxContent>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28. Saistības ir budžeta iestādes pašreizējs pienākums, kurš radies pagātnes notikumu rezultātā un kura izpildei ir nepieciešams resursu izlietojums.</w:t>
                            </w:r>
                          </w:p>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29. Pagātnes notikums, kura dēļ izveidojas pašreizējs pienākums, rodas, ja:</w:t>
                            </w:r>
                          </w:p>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29.1. pienākuma izpildi paredzēts nodrošināt tiesību aktos noteiktajā kārtībā;</w:t>
                            </w:r>
                          </w:p>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29.2. notikums (kas var būt budžeta iestādes darbība) ir devis citām personām pamatotu iemeslu sagaidīt, ka budžeta iestāde izpildīs attiecīgo pienākumu.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78.4pt;margin-top:46.15pt;width:171pt;height:16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" fillcolor="white [3201]" strokecolor="#4472c4 [3208]" strokeweight="1pt">
                <v:textbox>
                  <w:txbxContent>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28. Saistības ir budžeta iestādes pašreizējs pienākums, kurš radies pagātnes notikumu rezultātā un kura izpildei ir nepieciešams resursu izlietojums.</w:t>
                      </w:r>
                    </w:p>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29. Pagātnes notikums, kura dēļ izveidojas pašreizējs pienākums, rodas, ja:</w:t>
                      </w:r>
                    </w:p>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29.1. pienākuma izpildi paredzēts nodrošināt tiesību aktos noteiktajā kārtībā;</w:t>
                      </w:r>
                    </w:p>
                    <w:p w:rsidR="008A0DA1" w:rsidRPr="008A0DA1" w:rsidRDefault="008A0DA1" w:rsidP="008A0DA1">
                      <w:pPr>
                        <w:rPr>
                          <w:rFonts w:ascii="Times New Roman" w:hAnsi="Times New Roman" w:cs="Times New Roman"/>
                          <w:sz w:val="18"/>
                          <w:szCs w:val="18"/>
                        </w:rPr>
                      </w:pPr>
                      <w:r w:rsidRPr="008A0DA1">
                        <w:rPr>
                          <w:rFonts w:ascii="Times New Roman" w:hAnsi="Times New Roman" w:cs="Times New Roman"/>
                          <w:sz w:val="18"/>
                          <w:szCs w:val="18"/>
                        </w:rPr>
                        <w:t>29.2. notikums (kas var būt budžeta iestādes darbība) ir devis citām personām pamatotu iemeslu sagaidīt, ka budžeta iestāde izpildīs attiecīgo pienākumu.</w:t>
                      </w:r>
                    </w:p>
                  </w:txbxContent>
                </v:textbox>
                <w10:wrap type="square" anchorx="margin"/>
              </v:rect>
            </w:pict>
          </mc:Fallback>
        </mc:AlternateContent>
      </w:r>
      <w:r w:rsidR="00371726" w:rsidRPr="0012251F">
        <w:rPr>
          <w:color w:val="000000"/>
        </w:rPr>
        <w:t>Darba devējam ir pienākums līdz trešā mēneša 23. datumam no paziņojuma saņemšanas no saviem līdzekļiem veikt minimālās iemaksas.</w:t>
      </w:r>
      <w:r w:rsidR="00371726" w:rsidRPr="0012251F">
        <w:rPr>
          <w:color w:val="000000"/>
        </w:rPr>
        <w:cr/>
      </w:r>
    </w:p>
    <w:p w:rsidR="00371726" w:rsidRDefault="00371726" w:rsidP="0012251F">
      <w:pPr>
        <w:pStyle w:val="NormalWeb"/>
        <w:spacing w:before="0" w:beforeAutospacing="0" w:after="120" w:afterAutospacing="0"/>
        <w:jc w:val="both"/>
        <w:rPr>
          <w:color w:val="000000"/>
        </w:rPr>
      </w:pPr>
      <w:r w:rsidRPr="0012251F">
        <w:rPr>
          <w:color w:val="000000"/>
        </w:rPr>
        <w:t xml:space="preserve">Budžeta iestādes grāmatvedības uzskaitē </w:t>
      </w:r>
      <w:r w:rsidR="0012251F" w:rsidRPr="0012251F">
        <w:rPr>
          <w:color w:val="000000"/>
        </w:rPr>
        <w:t xml:space="preserve">atbilstoši saņemtajai informācijai VID EDS sistēmā par minimālajām iemaksām </w:t>
      </w:r>
      <w:r w:rsidRPr="0012251F">
        <w:rPr>
          <w:color w:val="000000"/>
        </w:rPr>
        <w:t>atzīst pamatdarbības izdevumus un saistības</w:t>
      </w:r>
      <w:r w:rsidR="0070682E" w:rsidRPr="0012251F">
        <w:rPr>
          <w:color w:val="000000"/>
        </w:rPr>
        <w:t xml:space="preserve">. </w:t>
      </w:r>
      <w:r w:rsidR="0012251F">
        <w:rPr>
          <w:color w:val="000000"/>
        </w:rPr>
        <w:t>Saskaņā ar Ministru kabineta 2018. gada 13. </w:t>
      </w:r>
      <w:r w:rsidRPr="0012251F">
        <w:rPr>
          <w:color w:val="000000"/>
        </w:rPr>
        <w:t>februāra noteikum</w:t>
      </w:r>
      <w:r w:rsidR="0012251F">
        <w:rPr>
          <w:color w:val="000000"/>
        </w:rPr>
        <w:t>iem Nr. </w:t>
      </w:r>
      <w:r w:rsidRPr="0012251F">
        <w:rPr>
          <w:color w:val="000000"/>
        </w:rPr>
        <w:t xml:space="preserve">87 “Grāmatvedības uzskaites kārtība budžeta iestādēs” (turpmāk – MK Nr.87) </w:t>
      </w:r>
      <w:r w:rsidR="0012251F">
        <w:rPr>
          <w:color w:val="000000"/>
        </w:rPr>
        <w:t xml:space="preserve">budžeta iestādēm informācijas saņemšanas datumā rodas pašreizējs pienākums norēķināties par minimālajām iemaksām, kas aprēķinātas, pamatojoties uz darbinieka gūtajiem ienākumiem un veiktajām </w:t>
      </w:r>
      <w:r w:rsidR="0012251F" w:rsidRPr="0012251F">
        <w:rPr>
          <w:color w:val="000000"/>
        </w:rPr>
        <w:t xml:space="preserve">valsts sociālās apdrošināšanas </w:t>
      </w:r>
      <w:r w:rsidR="0012251F">
        <w:rPr>
          <w:color w:val="000000"/>
        </w:rPr>
        <w:t>obligātajām iemaksām noteiktā laika periodā,</w:t>
      </w:r>
      <w:r w:rsidR="0012251F" w:rsidRPr="0012251F">
        <w:rPr>
          <w:color w:val="000000"/>
        </w:rPr>
        <w:t xml:space="preserve"> </w:t>
      </w:r>
      <w:r w:rsidR="0012251F">
        <w:rPr>
          <w:color w:val="000000"/>
        </w:rPr>
        <w:t>tai skaitā iepriekšējā pārskata gadā.</w:t>
      </w:r>
    </w:p>
    <w:p w:rsidR="008A0DA1" w:rsidRDefault="008A0DA1" w:rsidP="0012251F">
      <w:pPr>
        <w:pStyle w:val="NormalWeb"/>
        <w:spacing w:before="0" w:beforeAutospacing="0" w:after="120" w:afterAutospacing="0"/>
        <w:jc w:val="both"/>
        <w:rPr>
          <w:color w:val="000000"/>
        </w:rPr>
      </w:pPr>
    </w:p>
    <w:p w:rsidR="0012251F" w:rsidRPr="00D0728C" w:rsidRDefault="00D0728C" w:rsidP="0012251F">
      <w:pPr>
        <w:pStyle w:val="NormalWeb"/>
        <w:spacing w:before="0" w:beforeAutospacing="0" w:after="120" w:afterAutospacing="0"/>
        <w:jc w:val="both"/>
        <w:rPr>
          <w:color w:val="000000"/>
        </w:rPr>
      </w:pPr>
      <w:r w:rsidRPr="00D0728C">
        <w:rPr>
          <w:color w:val="000000"/>
        </w:rPr>
        <w:t>Attiecīgi budžeta iestādes izdevumus un saistības par minimālajām iemaksām atzīst pārskata periodā, kurā saņ</w:t>
      </w:r>
      <w:r w:rsidR="00962B2F">
        <w:rPr>
          <w:color w:val="000000"/>
        </w:rPr>
        <w:t>emts paziņojums VID EDS sistēmā:</w:t>
      </w:r>
    </w:p>
    <w:tbl>
      <w:tblPr>
        <w:tblStyle w:val="TableGrid"/>
        <w:tblW w:w="8359" w:type="dxa"/>
        <w:tblLook w:val="04A0" w:firstRow="1" w:lastRow="0" w:firstColumn="1" w:lastColumn="0" w:noHBand="0" w:noVBand="1"/>
      </w:tblPr>
      <w:tblGrid>
        <w:gridCol w:w="1555"/>
        <w:gridCol w:w="3402"/>
        <w:gridCol w:w="3402"/>
      </w:tblGrid>
      <w:tr w:rsidR="00962B2F" w:rsidRPr="00962B2F" w:rsidTr="00962B2F">
        <w:tc>
          <w:tcPr>
            <w:tcW w:w="1555" w:type="dxa"/>
            <w:vMerge w:val="restart"/>
            <w:vAlign w:val="center"/>
          </w:tcPr>
          <w:p w:rsidR="00962B2F" w:rsidRPr="00962B2F" w:rsidRDefault="00962B2F" w:rsidP="00962B2F">
            <w:pPr>
              <w:jc w:val="center"/>
              <w:rPr>
                <w:rFonts w:ascii="Times New Roman" w:hAnsi="Times New Roman" w:cs="Times New Roman"/>
              </w:rPr>
            </w:pPr>
            <w:r w:rsidRPr="00962B2F">
              <w:rPr>
                <w:rFonts w:ascii="Times New Roman" w:hAnsi="Times New Roman" w:cs="Times New Roman"/>
              </w:rPr>
              <w:t>Periods</w:t>
            </w:r>
          </w:p>
        </w:tc>
        <w:tc>
          <w:tcPr>
            <w:tcW w:w="6804" w:type="dxa"/>
            <w:gridSpan w:val="2"/>
            <w:vAlign w:val="center"/>
          </w:tcPr>
          <w:p w:rsidR="00962B2F" w:rsidRPr="00962B2F" w:rsidRDefault="00962B2F" w:rsidP="00962B2F">
            <w:pPr>
              <w:jc w:val="center"/>
              <w:rPr>
                <w:rFonts w:ascii="Times New Roman" w:hAnsi="Times New Roman" w:cs="Times New Roman"/>
              </w:rPr>
            </w:pPr>
            <w:r w:rsidRPr="00962B2F">
              <w:rPr>
                <w:rFonts w:ascii="Times New Roman" w:hAnsi="Times New Roman" w:cs="Times New Roman"/>
              </w:rPr>
              <w:t>Datums</w:t>
            </w:r>
          </w:p>
        </w:tc>
      </w:tr>
      <w:tr w:rsidR="00962B2F" w:rsidRPr="00962B2F" w:rsidTr="00962B2F">
        <w:tc>
          <w:tcPr>
            <w:tcW w:w="1555" w:type="dxa"/>
            <w:vMerge/>
            <w:vAlign w:val="center"/>
          </w:tcPr>
          <w:p w:rsidR="00962B2F" w:rsidRPr="00962B2F" w:rsidRDefault="00962B2F" w:rsidP="00962B2F">
            <w:pPr>
              <w:jc w:val="center"/>
              <w:rPr>
                <w:rFonts w:ascii="Times New Roman" w:hAnsi="Times New Roman" w:cs="Times New Roman"/>
              </w:rPr>
            </w:pPr>
          </w:p>
        </w:tc>
        <w:tc>
          <w:tcPr>
            <w:tcW w:w="3402" w:type="dxa"/>
            <w:vAlign w:val="center"/>
          </w:tcPr>
          <w:p w:rsidR="00962B2F" w:rsidRPr="00962B2F" w:rsidRDefault="00962B2F" w:rsidP="00962B2F">
            <w:pPr>
              <w:jc w:val="center"/>
              <w:rPr>
                <w:rFonts w:ascii="Times New Roman" w:hAnsi="Times New Roman" w:cs="Times New Roman"/>
              </w:rPr>
            </w:pPr>
            <w:r w:rsidRPr="00962B2F">
              <w:rPr>
                <w:rFonts w:ascii="Times New Roman" w:hAnsi="Times New Roman" w:cs="Times New Roman"/>
              </w:rPr>
              <w:t>Saņem paziņojumu EDS</w:t>
            </w:r>
          </w:p>
        </w:tc>
        <w:tc>
          <w:tcPr>
            <w:tcW w:w="3402" w:type="dxa"/>
            <w:vAlign w:val="center"/>
          </w:tcPr>
          <w:p w:rsidR="00962B2F" w:rsidRPr="00962B2F" w:rsidRDefault="00962B2F" w:rsidP="00962B2F">
            <w:pPr>
              <w:jc w:val="center"/>
              <w:rPr>
                <w:rFonts w:ascii="Times New Roman" w:hAnsi="Times New Roman" w:cs="Times New Roman"/>
              </w:rPr>
            </w:pPr>
            <w:r w:rsidRPr="00962B2F">
              <w:rPr>
                <w:rFonts w:ascii="Times New Roman" w:hAnsi="Times New Roman" w:cs="Times New Roman"/>
              </w:rPr>
              <w:t>Attiecina izdevumus grāmatvedībā</w:t>
            </w:r>
          </w:p>
        </w:tc>
      </w:tr>
      <w:tr w:rsidR="00962B2F" w:rsidRPr="00962B2F" w:rsidTr="00B33369">
        <w:tc>
          <w:tcPr>
            <w:tcW w:w="1555" w:type="dxa"/>
          </w:tcPr>
          <w:p w:rsidR="00962B2F" w:rsidRPr="00962B2F" w:rsidRDefault="00962B2F" w:rsidP="00962B2F">
            <w:pPr>
              <w:rPr>
                <w:rFonts w:ascii="Times New Roman" w:hAnsi="Times New Roman" w:cs="Times New Roman"/>
              </w:rPr>
            </w:pPr>
            <w:r w:rsidRPr="00962B2F">
              <w:rPr>
                <w:rFonts w:ascii="Times New Roman" w:hAnsi="Times New Roman" w:cs="Times New Roman"/>
              </w:rPr>
              <w:t xml:space="preserve">I ceturksnis </w:t>
            </w:r>
          </w:p>
          <w:p w:rsidR="00962B2F" w:rsidRPr="00962B2F" w:rsidRDefault="00962B2F" w:rsidP="00962B2F">
            <w:pPr>
              <w:rPr>
                <w:rFonts w:ascii="Times New Roman" w:hAnsi="Times New Roman" w:cs="Times New Roman"/>
              </w:rPr>
            </w:pPr>
            <w:r w:rsidRPr="00962B2F">
              <w:rPr>
                <w:rFonts w:ascii="Times New Roman" w:hAnsi="Times New Roman" w:cs="Times New Roman"/>
              </w:rPr>
              <w:t>(01.01.gggg.-</w:t>
            </w:r>
          </w:p>
          <w:p w:rsidR="00962B2F" w:rsidRPr="00962B2F" w:rsidRDefault="00962B2F" w:rsidP="00962B2F">
            <w:pPr>
              <w:rPr>
                <w:rFonts w:ascii="Times New Roman" w:hAnsi="Times New Roman" w:cs="Times New Roman"/>
              </w:rPr>
            </w:pPr>
            <w:r w:rsidRPr="00962B2F">
              <w:rPr>
                <w:rFonts w:ascii="Times New Roman" w:hAnsi="Times New Roman" w:cs="Times New Roman"/>
              </w:rPr>
              <w:t>31.03.gggg.)</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21.06.gggg</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21.06.gggg</w:t>
            </w:r>
          </w:p>
        </w:tc>
      </w:tr>
      <w:tr w:rsidR="00962B2F" w:rsidRPr="00962B2F" w:rsidTr="00B33369">
        <w:tc>
          <w:tcPr>
            <w:tcW w:w="1555" w:type="dxa"/>
          </w:tcPr>
          <w:p w:rsidR="00962B2F" w:rsidRPr="00962B2F" w:rsidRDefault="00962B2F" w:rsidP="00962B2F">
            <w:pPr>
              <w:rPr>
                <w:rFonts w:ascii="Times New Roman" w:hAnsi="Times New Roman" w:cs="Times New Roman"/>
              </w:rPr>
            </w:pPr>
            <w:r w:rsidRPr="00962B2F">
              <w:rPr>
                <w:rFonts w:ascii="Times New Roman" w:hAnsi="Times New Roman" w:cs="Times New Roman"/>
              </w:rPr>
              <w:t xml:space="preserve">II ceturksnis </w:t>
            </w:r>
          </w:p>
          <w:p w:rsidR="00962B2F" w:rsidRPr="00962B2F" w:rsidRDefault="00962B2F" w:rsidP="00962B2F">
            <w:pPr>
              <w:rPr>
                <w:rFonts w:ascii="Times New Roman" w:hAnsi="Times New Roman" w:cs="Times New Roman"/>
              </w:rPr>
            </w:pPr>
            <w:r w:rsidRPr="00962B2F">
              <w:rPr>
                <w:rFonts w:ascii="Times New Roman" w:hAnsi="Times New Roman" w:cs="Times New Roman"/>
              </w:rPr>
              <w:t>(01.04.gggg.–</w:t>
            </w:r>
          </w:p>
          <w:p w:rsidR="00962B2F" w:rsidRPr="00962B2F" w:rsidRDefault="00962B2F" w:rsidP="00962B2F">
            <w:pPr>
              <w:rPr>
                <w:rFonts w:ascii="Times New Roman" w:hAnsi="Times New Roman" w:cs="Times New Roman"/>
              </w:rPr>
            </w:pPr>
            <w:r w:rsidRPr="00962B2F">
              <w:rPr>
                <w:rFonts w:ascii="Times New Roman" w:hAnsi="Times New Roman" w:cs="Times New Roman"/>
              </w:rPr>
              <w:t>30.06.gggg</w:t>
            </w:r>
            <w:r>
              <w:rPr>
                <w:rFonts w:ascii="Times New Roman" w:hAnsi="Times New Roman" w:cs="Times New Roman"/>
              </w:rPr>
              <w:t>.)</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21.09.gggg.</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21.09.gggg.</w:t>
            </w:r>
          </w:p>
        </w:tc>
      </w:tr>
      <w:tr w:rsidR="00962B2F" w:rsidRPr="00962B2F" w:rsidTr="00B33369">
        <w:tc>
          <w:tcPr>
            <w:tcW w:w="1555" w:type="dxa"/>
          </w:tcPr>
          <w:p w:rsidR="00962B2F" w:rsidRPr="00962B2F" w:rsidRDefault="00962B2F" w:rsidP="00962B2F">
            <w:pPr>
              <w:rPr>
                <w:rFonts w:ascii="Times New Roman" w:hAnsi="Times New Roman" w:cs="Times New Roman"/>
              </w:rPr>
            </w:pPr>
            <w:r w:rsidRPr="00962B2F">
              <w:rPr>
                <w:rFonts w:ascii="Times New Roman" w:hAnsi="Times New Roman" w:cs="Times New Roman"/>
              </w:rPr>
              <w:t>III ceturksnis</w:t>
            </w:r>
          </w:p>
          <w:p w:rsidR="00962B2F" w:rsidRPr="00962B2F" w:rsidRDefault="00962B2F" w:rsidP="00962B2F">
            <w:pPr>
              <w:rPr>
                <w:rFonts w:ascii="Times New Roman" w:hAnsi="Times New Roman" w:cs="Times New Roman"/>
              </w:rPr>
            </w:pPr>
            <w:r w:rsidRPr="00962B2F">
              <w:rPr>
                <w:rFonts w:ascii="Times New Roman" w:hAnsi="Times New Roman" w:cs="Times New Roman"/>
              </w:rPr>
              <w:t>(01.07.gggg. –</w:t>
            </w:r>
          </w:p>
          <w:p w:rsidR="00962B2F" w:rsidRPr="00962B2F" w:rsidRDefault="00962B2F" w:rsidP="00962B2F">
            <w:pPr>
              <w:rPr>
                <w:rFonts w:ascii="Times New Roman" w:hAnsi="Times New Roman" w:cs="Times New Roman"/>
              </w:rPr>
            </w:pPr>
            <w:r w:rsidRPr="00962B2F">
              <w:rPr>
                <w:rFonts w:ascii="Times New Roman" w:hAnsi="Times New Roman" w:cs="Times New Roman"/>
              </w:rPr>
              <w:t>30.09.gggg.)</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21.12.gggg.</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21.12.gggg.</w:t>
            </w:r>
          </w:p>
        </w:tc>
      </w:tr>
      <w:tr w:rsidR="00962B2F" w:rsidRPr="00962B2F" w:rsidTr="00B33369">
        <w:tc>
          <w:tcPr>
            <w:tcW w:w="1555" w:type="dxa"/>
          </w:tcPr>
          <w:p w:rsidR="00962B2F" w:rsidRPr="00962B2F" w:rsidRDefault="00962B2F" w:rsidP="00962B2F">
            <w:pPr>
              <w:rPr>
                <w:rFonts w:ascii="Times New Roman" w:hAnsi="Times New Roman" w:cs="Times New Roman"/>
              </w:rPr>
            </w:pPr>
            <w:r w:rsidRPr="00962B2F">
              <w:rPr>
                <w:rFonts w:ascii="Times New Roman" w:hAnsi="Times New Roman" w:cs="Times New Roman"/>
              </w:rPr>
              <w:t xml:space="preserve">IV ceturksnis </w:t>
            </w:r>
          </w:p>
          <w:p w:rsidR="00962B2F" w:rsidRPr="00962B2F" w:rsidRDefault="00962B2F" w:rsidP="00962B2F">
            <w:pPr>
              <w:rPr>
                <w:rFonts w:ascii="Times New Roman" w:hAnsi="Times New Roman" w:cs="Times New Roman"/>
              </w:rPr>
            </w:pPr>
            <w:r w:rsidRPr="00962B2F">
              <w:rPr>
                <w:rFonts w:ascii="Times New Roman" w:hAnsi="Times New Roman" w:cs="Times New Roman"/>
              </w:rPr>
              <w:t>(01.10.gggg. –</w:t>
            </w:r>
          </w:p>
          <w:p w:rsidR="00962B2F" w:rsidRPr="00962B2F" w:rsidRDefault="00962B2F" w:rsidP="00962B2F">
            <w:pPr>
              <w:rPr>
                <w:rFonts w:ascii="Times New Roman" w:hAnsi="Times New Roman" w:cs="Times New Roman"/>
              </w:rPr>
            </w:pPr>
            <w:r w:rsidRPr="00962B2F">
              <w:rPr>
                <w:rFonts w:ascii="Times New Roman" w:hAnsi="Times New Roman" w:cs="Times New Roman"/>
              </w:rPr>
              <w:t>31.12.gggg</w:t>
            </w:r>
            <w:r>
              <w:rPr>
                <w:rFonts w:ascii="Times New Roman" w:hAnsi="Times New Roman" w:cs="Times New Roman"/>
              </w:rPr>
              <w:t>.)</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21.03.gggg+1.</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21.03.gggg+1.</w:t>
            </w:r>
          </w:p>
        </w:tc>
      </w:tr>
      <w:tr w:rsidR="00962B2F" w:rsidRPr="00962B2F" w:rsidTr="00B33369">
        <w:tc>
          <w:tcPr>
            <w:tcW w:w="1555" w:type="dxa"/>
          </w:tcPr>
          <w:p w:rsidR="00962B2F" w:rsidRPr="00962B2F" w:rsidRDefault="00962B2F" w:rsidP="00962B2F">
            <w:pPr>
              <w:rPr>
                <w:rFonts w:ascii="Times New Roman" w:hAnsi="Times New Roman" w:cs="Times New Roman"/>
              </w:rPr>
            </w:pPr>
            <w:r w:rsidRPr="00962B2F">
              <w:rPr>
                <w:rFonts w:ascii="Times New Roman" w:hAnsi="Times New Roman" w:cs="Times New Roman"/>
              </w:rPr>
              <w:t xml:space="preserve">Par </w:t>
            </w:r>
            <w:proofErr w:type="spellStart"/>
            <w:r w:rsidRPr="00962B2F">
              <w:rPr>
                <w:rFonts w:ascii="Times New Roman" w:hAnsi="Times New Roman" w:cs="Times New Roman"/>
              </w:rPr>
              <w:t>gggg</w:t>
            </w:r>
            <w:proofErr w:type="spellEnd"/>
            <w:r w:rsidRPr="00962B2F">
              <w:rPr>
                <w:rFonts w:ascii="Times New Roman" w:hAnsi="Times New Roman" w:cs="Times New Roman"/>
              </w:rPr>
              <w:t>. gadu</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31.03.gggg+1.</w:t>
            </w:r>
          </w:p>
        </w:tc>
        <w:tc>
          <w:tcPr>
            <w:tcW w:w="3402" w:type="dxa"/>
            <w:vAlign w:val="center"/>
          </w:tcPr>
          <w:p w:rsidR="00962B2F" w:rsidRPr="00962B2F" w:rsidRDefault="00962B2F" w:rsidP="00B33369">
            <w:pPr>
              <w:ind w:right="885"/>
              <w:jc w:val="center"/>
              <w:rPr>
                <w:rFonts w:ascii="Times New Roman" w:hAnsi="Times New Roman" w:cs="Times New Roman"/>
              </w:rPr>
            </w:pPr>
            <w:r w:rsidRPr="00962B2F">
              <w:rPr>
                <w:rFonts w:ascii="Times New Roman" w:hAnsi="Times New Roman" w:cs="Times New Roman"/>
              </w:rPr>
              <w:t>31.03.gggg+1.</w:t>
            </w:r>
          </w:p>
        </w:tc>
      </w:tr>
    </w:tbl>
    <w:p w:rsidR="004710AA" w:rsidRDefault="004710AA"/>
    <w:p w:rsidR="00D3376F" w:rsidRPr="00D3376F" w:rsidRDefault="00D3376F" w:rsidP="00B859AF">
      <w:pPr>
        <w:jc w:val="both"/>
        <w:rPr>
          <w:rFonts w:ascii="Times New Roman" w:eastAsia="Times New Roman" w:hAnsi="Times New Roman" w:cs="Times New Roman"/>
          <w:color w:val="000000"/>
          <w:sz w:val="24"/>
          <w:szCs w:val="24"/>
          <w:lang w:eastAsia="lv-LV"/>
        </w:rPr>
      </w:pPr>
      <w:r w:rsidRPr="00D3376F">
        <w:rPr>
          <w:rFonts w:ascii="Times New Roman" w:eastAsia="Times New Roman" w:hAnsi="Times New Roman" w:cs="Times New Roman"/>
          <w:color w:val="000000"/>
          <w:sz w:val="24"/>
          <w:szCs w:val="24"/>
          <w:lang w:eastAsia="lv-LV"/>
        </w:rPr>
        <w:t>Valsts ieņēmumu dienests atzīst prasības un ieņēmumus</w:t>
      </w:r>
      <w:r w:rsidR="00B33369">
        <w:rPr>
          <w:rFonts w:ascii="Times New Roman" w:eastAsia="Times New Roman" w:hAnsi="Times New Roman" w:cs="Times New Roman"/>
          <w:color w:val="000000"/>
          <w:sz w:val="24"/>
          <w:szCs w:val="24"/>
          <w:lang w:eastAsia="lv-LV"/>
        </w:rPr>
        <w:t xml:space="preserve"> pārskata periodā, kurā saņem</w:t>
      </w:r>
      <w:r w:rsidRPr="00D3376F">
        <w:rPr>
          <w:rFonts w:ascii="Times New Roman" w:eastAsia="Times New Roman" w:hAnsi="Times New Roman" w:cs="Times New Roman"/>
          <w:color w:val="000000"/>
          <w:sz w:val="24"/>
          <w:szCs w:val="24"/>
          <w:lang w:eastAsia="lv-LV"/>
        </w:rPr>
        <w:t xml:space="preserve"> inf</w:t>
      </w:r>
      <w:bookmarkStart w:id="0" w:name="_GoBack"/>
      <w:bookmarkEnd w:id="0"/>
      <w:r w:rsidRPr="00D3376F">
        <w:rPr>
          <w:rFonts w:ascii="Times New Roman" w:eastAsia="Times New Roman" w:hAnsi="Times New Roman" w:cs="Times New Roman"/>
          <w:color w:val="000000"/>
          <w:sz w:val="24"/>
          <w:szCs w:val="24"/>
          <w:lang w:eastAsia="lv-LV"/>
        </w:rPr>
        <w:t>ormāciju no VSAA un informē darba devēju.</w:t>
      </w:r>
    </w:p>
    <w:sectPr w:rsidR="00D3376F" w:rsidRPr="00D3376F" w:rsidSect="00594DA0">
      <w:footerReference w:type="default" r:id="rId6"/>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7F" w:rsidRDefault="00FD017F" w:rsidP="00FD017F">
      <w:pPr>
        <w:spacing w:after="0" w:line="240" w:lineRule="auto"/>
      </w:pPr>
      <w:r>
        <w:separator/>
      </w:r>
    </w:p>
  </w:endnote>
  <w:endnote w:type="continuationSeparator" w:id="0">
    <w:p w:rsidR="00FD017F" w:rsidRDefault="00FD017F" w:rsidP="00FD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7F" w:rsidRPr="00FD017F" w:rsidRDefault="00FD017F">
    <w:pPr>
      <w:pStyle w:val="Footer"/>
      <w:rPr>
        <w:rFonts w:ascii="Times New Roman" w:hAnsi="Times New Roman" w:cs="Times New Roman"/>
        <w:color w:val="2E74B5" w:themeColor="accent1" w:themeShade="BF"/>
        <w:sz w:val="20"/>
        <w:szCs w:val="20"/>
      </w:rPr>
    </w:pPr>
    <w:hyperlink r:id="rId1" w:history="1">
      <w:r w:rsidRPr="00FD017F">
        <w:rPr>
          <w:rStyle w:val="Hyperlink"/>
          <w:rFonts w:ascii="Times New Roman" w:hAnsi="Times New Roman" w:cs="Times New Roman"/>
          <w:color w:val="2E74B5" w:themeColor="accent1" w:themeShade="BF"/>
          <w:sz w:val="20"/>
          <w:szCs w:val="20"/>
        </w:rPr>
        <w:t>https://www.kase.gov.lv/metodika/gramatv</w:t>
      </w:r>
      <w:r w:rsidRPr="00FD017F">
        <w:rPr>
          <w:rStyle w:val="Hyperlink"/>
          <w:rFonts w:ascii="Times New Roman" w:hAnsi="Times New Roman" w:cs="Times New Roman"/>
          <w:color w:val="2E74B5" w:themeColor="accent1" w:themeShade="BF"/>
          <w:sz w:val="20"/>
          <w:szCs w:val="20"/>
        </w:rPr>
        <w:t>e</w:t>
      </w:r>
      <w:r w:rsidRPr="00FD017F">
        <w:rPr>
          <w:rStyle w:val="Hyperlink"/>
          <w:rFonts w:ascii="Times New Roman" w:hAnsi="Times New Roman" w:cs="Times New Roman"/>
          <w:color w:val="2E74B5" w:themeColor="accent1" w:themeShade="BF"/>
          <w:sz w:val="20"/>
          <w:szCs w:val="20"/>
        </w:rPr>
        <w:t>dibas-uzskaite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7F" w:rsidRDefault="00FD017F" w:rsidP="00FD017F">
      <w:pPr>
        <w:spacing w:after="0" w:line="240" w:lineRule="auto"/>
      </w:pPr>
      <w:r>
        <w:separator/>
      </w:r>
    </w:p>
  </w:footnote>
  <w:footnote w:type="continuationSeparator" w:id="0">
    <w:p w:rsidR="00FD017F" w:rsidRDefault="00FD017F" w:rsidP="00FD0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26"/>
    <w:rsid w:val="0012251F"/>
    <w:rsid w:val="00371726"/>
    <w:rsid w:val="004710AA"/>
    <w:rsid w:val="00594DA0"/>
    <w:rsid w:val="0070682E"/>
    <w:rsid w:val="008A0DA1"/>
    <w:rsid w:val="00962B2F"/>
    <w:rsid w:val="009F5F1F"/>
    <w:rsid w:val="00B33369"/>
    <w:rsid w:val="00B859AF"/>
    <w:rsid w:val="00D0728C"/>
    <w:rsid w:val="00D3376F"/>
    <w:rsid w:val="00FD01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EA2B8-79FF-46AA-AEE6-2BD75A52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7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7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37172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F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1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017F"/>
  </w:style>
  <w:style w:type="paragraph" w:styleId="Footer">
    <w:name w:val="footer"/>
    <w:basedOn w:val="Normal"/>
    <w:link w:val="FooterChar"/>
    <w:uiPriority w:val="99"/>
    <w:unhideWhenUsed/>
    <w:rsid w:val="00FD01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017F"/>
  </w:style>
  <w:style w:type="character" w:styleId="Hyperlink">
    <w:name w:val="Hyperlink"/>
    <w:basedOn w:val="DefaultParagraphFont"/>
    <w:uiPriority w:val="99"/>
    <w:unhideWhenUsed/>
    <w:rsid w:val="00FD017F"/>
    <w:rPr>
      <w:color w:val="0563C1" w:themeColor="hyperlink"/>
      <w:u w:val="single"/>
    </w:rPr>
  </w:style>
  <w:style w:type="character" w:styleId="FollowedHyperlink">
    <w:name w:val="FollowedHyperlink"/>
    <w:basedOn w:val="DefaultParagraphFont"/>
    <w:uiPriority w:val="99"/>
    <w:semiHidden/>
    <w:unhideWhenUsed/>
    <w:rsid w:val="00FD0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kase.gov.lv/metodika/gramatvedibas-uzska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1297</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Sirbu</dc:creator>
  <cp:keywords/>
  <dc:description/>
  <cp:lastModifiedBy>Inese Sirbu</cp:lastModifiedBy>
  <cp:revision>8</cp:revision>
  <dcterms:created xsi:type="dcterms:W3CDTF">2023-06-06T10:13:00Z</dcterms:created>
  <dcterms:modified xsi:type="dcterms:W3CDTF">2023-06-08T11:23:00Z</dcterms:modified>
</cp:coreProperties>
</file>