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07354" w14:textId="77777777" w:rsidR="00115EDF" w:rsidRPr="0088226C" w:rsidRDefault="00115EDF" w:rsidP="00DB65A1">
      <w:pPr>
        <w:spacing w:after="0"/>
        <w:jc w:val="both"/>
        <w:rPr>
          <w:rFonts w:ascii="Times New Roman" w:eastAsiaTheme="majorEastAsia" w:hAnsi="Times New Roman"/>
          <w:noProof/>
          <w:color w:val="012169"/>
          <w:sz w:val="32"/>
          <w:szCs w:val="56"/>
          <w:lang w:val="lv-LV"/>
          <w14:shadow w14:blurRad="38100" w14:dist="19050" w14:dir="2700000" w14:sx="1000" w14:sy="1000" w14:kx="0" w14:ky="0" w14:algn="tl">
            <w14:schemeClr w14:val="dk1"/>
          </w14:shadow>
          <w14:textOutline w14:w="9525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88226C">
        <w:rPr>
          <w:rFonts w:ascii="Times New Roman" w:eastAsiaTheme="majorEastAsia" w:hAnsi="Times New Roman"/>
          <w:noProof/>
          <w:color w:val="012169"/>
          <w:sz w:val="32"/>
          <w:szCs w:val="56"/>
          <w:lang w:val="lv-LV"/>
          <w14:shadow w14:blurRad="38100" w14:dist="19050" w14:dir="2700000" w14:sx="1000" w14:sy="1000" w14:kx="0" w14:ky="0" w14:algn="tl">
            <w14:schemeClr w14:val="dk1"/>
          </w14:shadow>
          <w14:textOutline w14:w="9525" w14:cap="flat" w14:cmpd="sng" w14:algn="ctr">
            <w14:noFill/>
            <w14:prstDash w14:val="solid"/>
            <w14:round/>
          </w14:textOutline>
        </w:rPr>
        <w:t>Nolietojuma aprēķins Eiropas Savienības fondu līdzfinansēto projektu ietvaros izveidotajiem ilgtermiņa aktīviem un korekcijas 2022. gada pārskata sagatavošanas ietvaros</w:t>
      </w:r>
    </w:p>
    <w:p w14:paraId="3DF55C38" w14:textId="77777777" w:rsidR="00115EDF" w:rsidRPr="0088226C" w:rsidRDefault="00115EDF" w:rsidP="00DB65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</w:p>
    <w:p w14:paraId="7F43AEEE" w14:textId="4B792F2F" w:rsidR="00E20DE5" w:rsidRPr="0088226C" w:rsidRDefault="00E20DE5" w:rsidP="00DB65A1">
      <w:pPr>
        <w:spacing w:after="0"/>
        <w:jc w:val="both"/>
        <w:rPr>
          <w:rFonts w:ascii="Times New Roman" w:eastAsiaTheme="minorHAnsi" w:hAnsi="Times New Roman"/>
          <w:sz w:val="24"/>
          <w:szCs w:val="24"/>
          <w:lang w:val="lv-LV"/>
        </w:rPr>
      </w:pPr>
      <w:r w:rsidRPr="0088226C">
        <w:rPr>
          <w:rFonts w:ascii="Times New Roman" w:eastAsiaTheme="minorHAnsi" w:hAnsi="Times New Roman"/>
          <w:sz w:val="24"/>
          <w:szCs w:val="24"/>
          <w:lang w:val="lv-LV"/>
        </w:rPr>
        <w:t xml:space="preserve">Skaidrojums izstrādāts </w:t>
      </w:r>
      <w:r w:rsidR="007D5E78" w:rsidRPr="0088226C">
        <w:rPr>
          <w:rFonts w:ascii="Times New Roman" w:eastAsiaTheme="minorHAnsi" w:hAnsi="Times New Roman"/>
          <w:sz w:val="24"/>
          <w:szCs w:val="24"/>
          <w:lang w:val="lv-LV"/>
        </w:rPr>
        <w:t>budžeta iestādēm</w:t>
      </w:r>
      <w:r w:rsidR="0088226C" w:rsidRPr="0088226C">
        <w:rPr>
          <w:rStyle w:val="FootnoteReference"/>
          <w:rFonts w:ascii="Times New Roman" w:eastAsiaTheme="minorHAnsi" w:hAnsi="Times New Roman"/>
          <w:sz w:val="24"/>
          <w:szCs w:val="24"/>
          <w:lang w:val="lv-LV"/>
        </w:rPr>
        <w:footnoteReference w:id="1"/>
      </w:r>
      <w:r w:rsidR="007D5E78" w:rsidRPr="0088226C">
        <w:rPr>
          <w:rFonts w:ascii="Times New Roman" w:eastAsiaTheme="minorHAnsi" w:hAnsi="Times New Roman"/>
          <w:sz w:val="24"/>
          <w:szCs w:val="24"/>
          <w:lang w:val="lv-LV"/>
        </w:rPr>
        <w:t xml:space="preserve"> </w:t>
      </w:r>
      <w:r w:rsidRPr="0088226C">
        <w:rPr>
          <w:rFonts w:ascii="Times New Roman" w:eastAsiaTheme="minorHAnsi" w:hAnsi="Times New Roman"/>
          <w:sz w:val="24"/>
          <w:szCs w:val="24"/>
          <w:lang w:val="lv-LV"/>
        </w:rPr>
        <w:t xml:space="preserve">pēc Valsts kases iniciatīvas sadarbībā ar </w:t>
      </w:r>
      <w:r w:rsidR="00827AEE" w:rsidRPr="0088226C">
        <w:rPr>
          <w:rFonts w:ascii="Times New Roman" w:eastAsiaTheme="minorHAnsi" w:hAnsi="Times New Roman"/>
          <w:sz w:val="24"/>
          <w:szCs w:val="24"/>
          <w:lang w:val="lv-LV"/>
        </w:rPr>
        <w:t>Centrālo finanšu un līgumu aģentūru</w:t>
      </w:r>
      <w:r w:rsidRPr="0088226C">
        <w:rPr>
          <w:rFonts w:ascii="Times New Roman" w:eastAsiaTheme="minorHAnsi" w:hAnsi="Times New Roman"/>
          <w:sz w:val="24"/>
          <w:szCs w:val="24"/>
          <w:lang w:val="lv-LV"/>
        </w:rPr>
        <w:t xml:space="preserve"> un </w:t>
      </w:r>
      <w:r w:rsidR="00827AEE" w:rsidRPr="0088226C">
        <w:rPr>
          <w:rFonts w:ascii="Times New Roman" w:eastAsiaTheme="minorHAnsi" w:hAnsi="Times New Roman"/>
          <w:sz w:val="24"/>
          <w:szCs w:val="24"/>
          <w:lang w:val="lv-LV"/>
        </w:rPr>
        <w:t>Vides aizsardzības un reģionālās attīstības ministriju.</w:t>
      </w:r>
    </w:p>
    <w:p w14:paraId="6742B29D" w14:textId="77777777" w:rsidR="00E20DE5" w:rsidRPr="0088226C" w:rsidRDefault="00E20DE5" w:rsidP="00DB65A1">
      <w:pPr>
        <w:spacing w:after="0"/>
        <w:jc w:val="both"/>
        <w:rPr>
          <w:rFonts w:ascii="Times New Roman" w:eastAsiaTheme="minorHAnsi" w:hAnsi="Times New Roman"/>
          <w:sz w:val="24"/>
          <w:szCs w:val="24"/>
          <w:lang w:val="lv-LV"/>
        </w:rPr>
      </w:pPr>
    </w:p>
    <w:p w14:paraId="22758B2D" w14:textId="79617FA1" w:rsidR="002431DE" w:rsidRPr="0088226C" w:rsidRDefault="00517809" w:rsidP="00DB65A1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88226C">
        <w:rPr>
          <w:rFonts w:ascii="Times New Roman" w:hAnsi="Times New Roman"/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A257A" wp14:editId="27CE30E4">
                <wp:simplePos x="0" y="0"/>
                <wp:positionH relativeFrom="margin">
                  <wp:align>right</wp:align>
                </wp:positionH>
                <wp:positionV relativeFrom="paragraph">
                  <wp:posOffset>211744</wp:posOffset>
                </wp:positionV>
                <wp:extent cx="1454150" cy="943200"/>
                <wp:effectExtent l="0" t="0" r="12700" b="28575"/>
                <wp:wrapThrough wrapText="bothSides">
                  <wp:wrapPolygon edited="0">
                    <wp:start x="0" y="0"/>
                    <wp:lineTo x="0" y="21818"/>
                    <wp:lineTo x="21506" y="21818"/>
                    <wp:lineTo x="21506" y="0"/>
                    <wp:lineTo x="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0" cy="943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61699" w14:textId="08A5090A" w:rsidR="00517809" w:rsidRPr="003B7A06" w:rsidRDefault="00517809" w:rsidP="001520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lv-LV"/>
                              </w:rPr>
                            </w:pPr>
                            <w:r w:rsidRPr="003B7A06">
                              <w:rPr>
                                <w:rFonts w:ascii="Times New Roman" w:hAnsi="Times New Roman"/>
                                <w:sz w:val="24"/>
                                <w:lang w:val="lv-LV"/>
                              </w:rPr>
                              <w:t xml:space="preserve">Nolietojuma normas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lv-LV"/>
                              </w:rPr>
                              <w:t>noteiktas MK noteikumos Nr. 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A257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3.3pt;margin-top:16.65pt;width:114.5pt;height:74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" fillcolor="white [3201]" strokecolor="#5b9bd5 [3204]" strokeweight="1pt">
                <v:textbox>
                  <w:txbxContent>
                    <w:p w14:paraId="17261699" w14:textId="08A5090A" w:rsidR="00517809" w:rsidRPr="003B7A06" w:rsidRDefault="00517809" w:rsidP="001520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lang w:val="lv-LV"/>
                        </w:rPr>
                      </w:pPr>
                      <w:r w:rsidRPr="003B7A06">
                        <w:rPr>
                          <w:rFonts w:ascii="Times New Roman" w:hAnsi="Times New Roman"/>
                          <w:sz w:val="24"/>
                          <w:lang w:val="lv-LV"/>
                        </w:rPr>
                        <w:t xml:space="preserve">Nolietojuma normas </w:t>
                      </w:r>
                      <w:r>
                        <w:rPr>
                          <w:rFonts w:ascii="Times New Roman" w:hAnsi="Times New Roman"/>
                          <w:sz w:val="24"/>
                          <w:lang w:val="lv-LV"/>
                        </w:rPr>
                        <w:t>noteiktas MK noteikumos Nr. 87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A40EF" w:rsidRPr="0088226C">
        <w:rPr>
          <w:rFonts w:ascii="Times New Roman" w:eastAsiaTheme="minorHAnsi" w:hAnsi="Times New Roman"/>
          <w:sz w:val="24"/>
          <w:szCs w:val="24"/>
          <w:lang w:val="lv-LV"/>
        </w:rPr>
        <w:t xml:space="preserve">Eiropas Savienības </w:t>
      </w:r>
      <w:r w:rsidR="00DB65A1" w:rsidRPr="0088226C">
        <w:rPr>
          <w:rFonts w:ascii="Times New Roman" w:eastAsiaTheme="minorHAnsi" w:hAnsi="Times New Roman"/>
          <w:sz w:val="24"/>
          <w:szCs w:val="24"/>
          <w:lang w:val="lv-LV"/>
        </w:rPr>
        <w:t xml:space="preserve">(turpmāk – ES) </w:t>
      </w:r>
      <w:r w:rsidR="009A40EF" w:rsidRPr="0088226C">
        <w:rPr>
          <w:rFonts w:ascii="Times New Roman" w:eastAsiaTheme="minorHAnsi" w:hAnsi="Times New Roman"/>
          <w:sz w:val="24"/>
          <w:szCs w:val="24"/>
          <w:lang w:val="lv-LV"/>
        </w:rPr>
        <w:t xml:space="preserve">fondu līdzfinansēto projektu ietvaros izveidotajiem ilgtermiņa aktīviem, </w:t>
      </w:r>
      <w:r w:rsidR="00ED59E8" w:rsidRPr="0088226C">
        <w:rPr>
          <w:rFonts w:ascii="Times New Roman" w:eastAsiaTheme="minorHAnsi" w:hAnsi="Times New Roman"/>
          <w:sz w:val="24"/>
          <w:szCs w:val="24"/>
          <w:lang w:val="lv-LV"/>
        </w:rPr>
        <w:t>tai skaitā</w:t>
      </w:r>
      <w:r w:rsidR="009A40EF" w:rsidRPr="0088226C">
        <w:rPr>
          <w:rFonts w:ascii="Times New Roman" w:eastAsiaTheme="minorHAnsi" w:hAnsi="Times New Roman"/>
          <w:sz w:val="24"/>
          <w:szCs w:val="24"/>
          <w:lang w:val="lv-LV"/>
        </w:rPr>
        <w:t xml:space="preserve"> izbūvētajām inženierbūvēm,  piemēro nolietojuma normas atbilstoši M</w:t>
      </w:r>
      <w:r w:rsidR="0089013A" w:rsidRPr="0088226C">
        <w:rPr>
          <w:rFonts w:ascii="Times New Roman" w:eastAsiaTheme="minorHAnsi" w:hAnsi="Times New Roman"/>
          <w:sz w:val="24"/>
          <w:szCs w:val="24"/>
          <w:lang w:val="lv-LV"/>
        </w:rPr>
        <w:t xml:space="preserve">inistru </w:t>
      </w:r>
      <w:r w:rsidR="000D36F3" w:rsidRPr="0088226C">
        <w:rPr>
          <w:rFonts w:ascii="Times New Roman" w:eastAsiaTheme="minorHAnsi" w:hAnsi="Times New Roman"/>
          <w:sz w:val="24"/>
          <w:szCs w:val="24"/>
          <w:lang w:val="lv-LV"/>
        </w:rPr>
        <w:t>k</w:t>
      </w:r>
      <w:r w:rsidR="0089013A" w:rsidRPr="0088226C">
        <w:rPr>
          <w:rFonts w:ascii="Times New Roman" w:eastAsiaTheme="minorHAnsi" w:hAnsi="Times New Roman"/>
          <w:sz w:val="24"/>
          <w:szCs w:val="24"/>
          <w:lang w:val="lv-LV"/>
        </w:rPr>
        <w:t>abineta</w:t>
      </w:r>
      <w:r w:rsidR="009A40EF" w:rsidRPr="0088226C">
        <w:rPr>
          <w:rFonts w:ascii="Times New Roman" w:eastAsiaTheme="minorHAnsi" w:hAnsi="Times New Roman"/>
          <w:sz w:val="24"/>
          <w:szCs w:val="24"/>
          <w:lang w:val="lv-LV"/>
        </w:rPr>
        <w:t xml:space="preserve"> 2018. gada 13. februāra noteikum</w:t>
      </w:r>
      <w:r w:rsidR="0089013A" w:rsidRPr="0088226C">
        <w:rPr>
          <w:rFonts w:ascii="Times New Roman" w:eastAsiaTheme="minorHAnsi" w:hAnsi="Times New Roman"/>
          <w:sz w:val="24"/>
          <w:szCs w:val="24"/>
          <w:lang w:val="lv-LV"/>
        </w:rPr>
        <w:t>u</w:t>
      </w:r>
      <w:r w:rsidR="009A40EF" w:rsidRPr="0088226C">
        <w:rPr>
          <w:rFonts w:ascii="Times New Roman" w:eastAsiaTheme="minorHAnsi" w:hAnsi="Times New Roman"/>
          <w:sz w:val="24"/>
          <w:szCs w:val="24"/>
          <w:lang w:val="lv-LV"/>
        </w:rPr>
        <w:t xml:space="preserve"> Nr. 87 “Grāmatvedības uzskaites kārtība budžeta iestādēs”</w:t>
      </w:r>
      <w:r w:rsidR="00DB65A1" w:rsidRPr="0088226C">
        <w:rPr>
          <w:rFonts w:ascii="Times New Roman" w:eastAsiaTheme="minorHAnsi" w:hAnsi="Times New Roman"/>
          <w:sz w:val="24"/>
          <w:szCs w:val="24"/>
          <w:lang w:val="lv-LV"/>
        </w:rPr>
        <w:t xml:space="preserve"> (turpmāk – MK Nr.87)</w:t>
      </w:r>
      <w:r w:rsidR="009A40EF" w:rsidRPr="0088226C">
        <w:rPr>
          <w:rFonts w:ascii="Times New Roman" w:eastAsiaTheme="minorHAnsi" w:hAnsi="Times New Roman"/>
          <w:sz w:val="24"/>
          <w:szCs w:val="24"/>
          <w:lang w:val="lv-LV"/>
        </w:rPr>
        <w:t xml:space="preserve"> 2. pielikumā “Pamatlīdzekļu kategorijas, grupas un apakšgrupas nolietojuma normu noteikšanai” noteiktajam</w:t>
      </w:r>
      <w:r w:rsidR="00A238CF" w:rsidRPr="0088226C">
        <w:rPr>
          <w:rFonts w:ascii="Times New Roman" w:eastAsiaTheme="minorHAnsi" w:hAnsi="Times New Roman"/>
          <w:sz w:val="24"/>
          <w:szCs w:val="24"/>
          <w:lang w:val="lv-LV"/>
        </w:rPr>
        <w:t>.</w:t>
      </w:r>
      <w:r w:rsidR="002431DE" w:rsidRPr="0088226C">
        <w:rPr>
          <w:rFonts w:ascii="Times New Roman" w:eastAsiaTheme="minorHAnsi" w:hAnsi="Times New Roman"/>
          <w:sz w:val="24"/>
          <w:szCs w:val="24"/>
          <w:lang w:val="lv-LV"/>
        </w:rPr>
        <w:t xml:space="preserve"> MK Nr.87  nolietojuma normas g</w:t>
      </w:r>
      <w:r w:rsidR="002431DE" w:rsidRPr="0088226C">
        <w:rPr>
          <w:rFonts w:ascii="Times New Roman" w:hAnsi="Times New Roman"/>
          <w:sz w:val="24"/>
          <w:szCs w:val="24"/>
          <w:lang w:val="lv-LV"/>
        </w:rPr>
        <w:t>rāmatvedības uzskaites vajadzībām ir izstrādātas nosakot vidējos rādītājus līdzīgu aktīvu grupām.</w:t>
      </w:r>
      <w:r w:rsidR="00C53C87" w:rsidRPr="0088226C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08769467" w14:textId="6DA1F10A" w:rsidR="00A238CF" w:rsidRPr="0088226C" w:rsidRDefault="00A238CF" w:rsidP="00DB65A1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6245B3D" w14:textId="7235D878" w:rsidR="002C6986" w:rsidRPr="0088226C" w:rsidRDefault="007275AB" w:rsidP="00DB65A1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88226C">
        <w:rPr>
          <w:rFonts w:ascii="Times New Roman" w:hAnsi="Times New Roman"/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10ADA" wp14:editId="30DF74FF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453515" cy="942975"/>
                <wp:effectExtent l="0" t="0" r="13335" b="28575"/>
                <wp:wrapThrough wrapText="bothSides">
                  <wp:wrapPolygon edited="0">
                    <wp:start x="0" y="0"/>
                    <wp:lineTo x="0" y="21818"/>
                    <wp:lineTo x="21515" y="21818"/>
                    <wp:lineTo x="21515" y="0"/>
                    <wp:lineTo x="0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3515" cy="942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C7253" w14:textId="5059E18D" w:rsidR="003B7A06" w:rsidRPr="003B7A06" w:rsidRDefault="003B7A06" w:rsidP="001520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lv-LV"/>
                              </w:rPr>
                            </w:pPr>
                            <w:r w:rsidRPr="003B7A06">
                              <w:rPr>
                                <w:rFonts w:ascii="Times New Roman" w:hAnsi="Times New Roman"/>
                                <w:sz w:val="24"/>
                                <w:lang w:val="lv-LV"/>
                              </w:rPr>
                              <w:t xml:space="preserve">Nolietojuma normas </w:t>
                            </w:r>
                            <w:r w:rsidR="00517809">
                              <w:rPr>
                                <w:rFonts w:ascii="Times New Roman" w:hAnsi="Times New Roman"/>
                                <w:sz w:val="24"/>
                                <w:lang w:val="lv-LV"/>
                              </w:rPr>
                              <w:t xml:space="preserve">nav </w:t>
                            </w:r>
                            <w:r w:rsidRPr="003B7A06">
                              <w:rPr>
                                <w:rFonts w:ascii="Times New Roman" w:hAnsi="Times New Roman"/>
                                <w:sz w:val="24"/>
                                <w:lang w:val="lv-LV"/>
                              </w:rPr>
                              <w:t>atkarīg</w:t>
                            </w:r>
                            <w:r w:rsidR="00517809">
                              <w:rPr>
                                <w:rFonts w:ascii="Times New Roman" w:hAnsi="Times New Roman"/>
                                <w:sz w:val="24"/>
                                <w:lang w:val="lv-LV"/>
                              </w:rPr>
                              <w:t>as</w:t>
                            </w:r>
                            <w:r w:rsidRPr="003B7A06">
                              <w:rPr>
                                <w:rFonts w:ascii="Times New Roman" w:hAnsi="Times New Roman"/>
                                <w:sz w:val="24"/>
                                <w:lang w:val="lv-LV"/>
                              </w:rPr>
                              <w:t xml:space="preserve"> no finansēšanas avota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10ADA" id="Text Box 2" o:spid="_x0000_s1027" type="#_x0000_t202" style="position:absolute;left:0;text-align:left;margin-left:63.25pt;margin-top:.65pt;width:114.45pt;height:7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" fillcolor="white [3201]" strokecolor="#5b9bd5 [3204]" strokeweight="1pt">
                <v:textbox>
                  <w:txbxContent>
                    <w:p w14:paraId="500C7253" w14:textId="5059E18D" w:rsidR="003B7A06" w:rsidRPr="003B7A06" w:rsidRDefault="003B7A06" w:rsidP="001520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lang w:val="lv-LV"/>
                        </w:rPr>
                      </w:pPr>
                      <w:r w:rsidRPr="003B7A06">
                        <w:rPr>
                          <w:rFonts w:ascii="Times New Roman" w:hAnsi="Times New Roman"/>
                          <w:sz w:val="24"/>
                          <w:lang w:val="lv-LV"/>
                        </w:rPr>
                        <w:t xml:space="preserve">Nolietojuma normas </w:t>
                      </w:r>
                      <w:r w:rsidR="00517809">
                        <w:rPr>
                          <w:rFonts w:ascii="Times New Roman" w:hAnsi="Times New Roman"/>
                          <w:sz w:val="24"/>
                          <w:lang w:val="lv-LV"/>
                        </w:rPr>
                        <w:t xml:space="preserve">nav </w:t>
                      </w:r>
                      <w:r w:rsidRPr="003B7A06">
                        <w:rPr>
                          <w:rFonts w:ascii="Times New Roman" w:hAnsi="Times New Roman"/>
                          <w:sz w:val="24"/>
                          <w:lang w:val="lv-LV"/>
                        </w:rPr>
                        <w:t>atkarīg</w:t>
                      </w:r>
                      <w:r w:rsidR="00517809">
                        <w:rPr>
                          <w:rFonts w:ascii="Times New Roman" w:hAnsi="Times New Roman"/>
                          <w:sz w:val="24"/>
                          <w:lang w:val="lv-LV"/>
                        </w:rPr>
                        <w:t>as</w:t>
                      </w:r>
                      <w:r w:rsidRPr="003B7A06">
                        <w:rPr>
                          <w:rFonts w:ascii="Times New Roman" w:hAnsi="Times New Roman"/>
                          <w:sz w:val="24"/>
                          <w:lang w:val="lv-LV"/>
                        </w:rPr>
                        <w:t xml:space="preserve"> no finansēšanas avota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A40EF" w:rsidRPr="0088226C">
        <w:rPr>
          <w:rFonts w:ascii="Times New Roman" w:hAnsi="Times New Roman"/>
          <w:sz w:val="24"/>
          <w:szCs w:val="24"/>
          <w:lang w:val="lv-LV"/>
        </w:rPr>
        <w:t>Vienai pamatlīdzekļu grupai piemēro vienādas nolietojuma normas</w:t>
      </w:r>
      <w:r w:rsidR="002431DE" w:rsidRPr="0088226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A40EF" w:rsidRPr="0088226C">
        <w:rPr>
          <w:rFonts w:ascii="Times New Roman" w:hAnsi="Times New Roman"/>
          <w:b/>
          <w:sz w:val="24"/>
          <w:szCs w:val="24"/>
          <w:lang w:val="lv-LV"/>
        </w:rPr>
        <w:t>neatkarīgi no finansēšanas avota</w:t>
      </w:r>
      <w:r w:rsidR="005C1D10" w:rsidRPr="0088226C">
        <w:rPr>
          <w:rFonts w:ascii="Times New Roman" w:hAnsi="Times New Roman"/>
          <w:sz w:val="24"/>
          <w:szCs w:val="24"/>
          <w:lang w:val="lv-LV"/>
        </w:rPr>
        <w:t>, tādējādi</w:t>
      </w:r>
      <w:r w:rsidR="000D36F3" w:rsidRPr="0088226C">
        <w:rPr>
          <w:rFonts w:ascii="Times New Roman" w:hAnsi="Times New Roman"/>
          <w:sz w:val="24"/>
          <w:szCs w:val="24"/>
          <w:lang w:val="lv-LV"/>
        </w:rPr>
        <w:t>,</w:t>
      </w:r>
      <w:r w:rsidR="005C1D10" w:rsidRPr="0088226C">
        <w:rPr>
          <w:rFonts w:ascii="Times New Roman" w:hAnsi="Times New Roman"/>
          <w:sz w:val="24"/>
          <w:szCs w:val="24"/>
          <w:lang w:val="lv-LV"/>
        </w:rPr>
        <w:t xml:space="preserve"> pielietojot vienot</w:t>
      </w:r>
      <w:r w:rsidR="002431DE" w:rsidRPr="0088226C">
        <w:rPr>
          <w:rFonts w:ascii="Times New Roman" w:hAnsi="Times New Roman"/>
          <w:sz w:val="24"/>
          <w:szCs w:val="24"/>
          <w:lang w:val="lv-LV"/>
        </w:rPr>
        <w:t>u grāmatvedības uzskaites kārtību</w:t>
      </w:r>
      <w:r w:rsidR="000D36F3" w:rsidRPr="0088226C">
        <w:rPr>
          <w:rFonts w:ascii="Times New Roman" w:hAnsi="Times New Roman"/>
          <w:sz w:val="24"/>
          <w:szCs w:val="24"/>
          <w:lang w:val="lv-LV"/>
        </w:rPr>
        <w:t>,</w:t>
      </w:r>
      <w:r w:rsidR="002431DE" w:rsidRPr="0088226C">
        <w:rPr>
          <w:rFonts w:ascii="Times New Roman" w:hAnsi="Times New Roman"/>
          <w:sz w:val="24"/>
          <w:szCs w:val="24"/>
          <w:lang w:val="lv-LV"/>
        </w:rPr>
        <w:t xml:space="preserve"> nosaka lietderīgās</w:t>
      </w:r>
      <w:r w:rsidR="005C1D10" w:rsidRPr="0088226C">
        <w:rPr>
          <w:rFonts w:ascii="Times New Roman" w:hAnsi="Times New Roman"/>
          <w:sz w:val="24"/>
          <w:szCs w:val="24"/>
          <w:lang w:val="lv-LV"/>
        </w:rPr>
        <w:t xml:space="preserve"> lietošanas laiku</w:t>
      </w:r>
      <w:r w:rsidR="002C6986" w:rsidRPr="0088226C">
        <w:rPr>
          <w:rFonts w:ascii="Times New Roman" w:hAnsi="Times New Roman"/>
          <w:sz w:val="24"/>
          <w:szCs w:val="24"/>
          <w:lang w:val="lv-LV"/>
        </w:rPr>
        <w:t xml:space="preserve"> ilgtermiņa nefinanšu aktīviem arī tajos gadījumos, kad </w:t>
      </w:r>
      <w:r w:rsidR="002431DE" w:rsidRPr="0088226C">
        <w:rPr>
          <w:rFonts w:ascii="Times New Roman" w:hAnsi="Times New Roman"/>
          <w:sz w:val="24"/>
          <w:szCs w:val="24"/>
          <w:lang w:val="lv-LV"/>
        </w:rPr>
        <w:t>ī</w:t>
      </w:r>
      <w:r w:rsidR="002C6986" w:rsidRPr="0088226C">
        <w:rPr>
          <w:rFonts w:ascii="Times New Roman" w:hAnsi="Times New Roman"/>
          <w:sz w:val="24"/>
          <w:szCs w:val="24"/>
          <w:lang w:val="lv-LV"/>
        </w:rPr>
        <w:t>steno</w:t>
      </w:r>
      <w:r w:rsidR="002431DE" w:rsidRPr="0088226C">
        <w:rPr>
          <w:rFonts w:ascii="Times New Roman" w:hAnsi="Times New Roman"/>
          <w:sz w:val="24"/>
          <w:szCs w:val="24"/>
          <w:lang w:val="lv-LV"/>
        </w:rPr>
        <w:t xml:space="preserve"> projektus</w:t>
      </w:r>
      <w:r w:rsidR="002C6986" w:rsidRPr="0088226C">
        <w:rPr>
          <w:rFonts w:ascii="Times New Roman" w:hAnsi="Times New Roman"/>
          <w:sz w:val="24"/>
          <w:szCs w:val="24"/>
          <w:lang w:val="lv-LV"/>
        </w:rPr>
        <w:t xml:space="preserve"> ar Eiropas Savienības līdzfinansējumu. </w:t>
      </w:r>
    </w:p>
    <w:p w14:paraId="185D6BD4" w14:textId="52FE5C49" w:rsidR="005C1D10" w:rsidRPr="0088226C" w:rsidRDefault="005C1D10" w:rsidP="00DB65A1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8E908DC" w14:textId="1311B128" w:rsidR="002C6986" w:rsidRPr="0088226C" w:rsidRDefault="002C6986" w:rsidP="00DB65A1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88226C">
        <w:rPr>
          <w:rFonts w:ascii="Times New Roman" w:hAnsi="Times New Roman"/>
          <w:sz w:val="24"/>
          <w:szCs w:val="24"/>
          <w:lang w:val="lv-LV"/>
        </w:rPr>
        <w:t>Eiropas Ko</w:t>
      </w:r>
      <w:r w:rsidR="00ED59E8" w:rsidRPr="0088226C">
        <w:rPr>
          <w:rFonts w:ascii="Times New Roman" w:hAnsi="Times New Roman"/>
          <w:sz w:val="24"/>
          <w:szCs w:val="24"/>
          <w:lang w:val="lv-LV"/>
        </w:rPr>
        <w:t xml:space="preserve">misijas </w:t>
      </w:r>
      <w:r w:rsidRPr="0088226C">
        <w:rPr>
          <w:rFonts w:ascii="Times New Roman" w:hAnsi="Times New Roman"/>
          <w:sz w:val="24"/>
          <w:szCs w:val="24"/>
          <w:lang w:val="lv-LV"/>
        </w:rPr>
        <w:t xml:space="preserve">2014. gada 3. marta </w:t>
      </w:r>
      <w:r w:rsidRPr="0088226C">
        <w:rPr>
          <w:rFonts w:ascii="Times New Roman" w:hAnsi="Times New Roman"/>
          <w:b/>
          <w:sz w:val="24"/>
          <w:szCs w:val="24"/>
          <w:lang w:val="lv-LV"/>
        </w:rPr>
        <w:t>Regulas Nr. 480/2014</w:t>
      </w:r>
      <w:r w:rsidR="00ED59E8" w:rsidRPr="0088226C">
        <w:rPr>
          <w:rFonts w:ascii="Times New Roman" w:hAnsi="Times New Roman"/>
          <w:sz w:val="24"/>
          <w:szCs w:val="24"/>
          <w:lang w:val="lv-LV"/>
        </w:rPr>
        <w:t xml:space="preserve"> (turpmāk – EK Regula)</w:t>
      </w:r>
      <w:r w:rsidRPr="0088226C">
        <w:rPr>
          <w:rFonts w:ascii="Times New Roman" w:hAnsi="Times New Roman"/>
          <w:sz w:val="24"/>
          <w:szCs w:val="24"/>
          <w:lang w:val="lv-LV"/>
        </w:rPr>
        <w:t xml:space="preserve">, ar kuru papildina Eiropas Parlamenta un Padomes Regulu (ES) Nr. 1303/2013, </w:t>
      </w:r>
      <w:r w:rsidR="0089013A" w:rsidRPr="0088226C">
        <w:rPr>
          <w:rFonts w:ascii="Times New Roman" w:hAnsi="Times New Roman"/>
          <w:b/>
          <w:sz w:val="24"/>
          <w:szCs w:val="24"/>
          <w:lang w:val="lv-LV"/>
        </w:rPr>
        <w:t>1.</w:t>
      </w:r>
      <w:r w:rsidR="002431DE" w:rsidRPr="0088226C">
        <w:rPr>
          <w:rFonts w:ascii="Times New Roman" w:hAnsi="Times New Roman"/>
          <w:b/>
          <w:sz w:val="24"/>
          <w:szCs w:val="24"/>
          <w:lang w:val="lv-LV"/>
        </w:rPr>
        <w:t>pielikumu</w:t>
      </w:r>
      <w:r w:rsidR="002431DE" w:rsidRPr="0088226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431DE" w:rsidRPr="0088226C">
        <w:rPr>
          <w:rFonts w:ascii="Times New Roman" w:hAnsi="Times New Roman"/>
          <w:b/>
          <w:sz w:val="24"/>
          <w:szCs w:val="24"/>
          <w:lang w:val="lv-LV"/>
        </w:rPr>
        <w:t xml:space="preserve">pielieto projekta </w:t>
      </w:r>
      <w:r w:rsidRPr="0088226C">
        <w:rPr>
          <w:rFonts w:ascii="Times New Roman" w:hAnsi="Times New Roman"/>
          <w:b/>
          <w:sz w:val="24"/>
          <w:szCs w:val="24"/>
          <w:lang w:val="lv-LV"/>
        </w:rPr>
        <w:t>izmaksu un ieguvumu analīz</w:t>
      </w:r>
      <w:r w:rsidR="00ED59E8" w:rsidRPr="0088226C">
        <w:rPr>
          <w:rFonts w:ascii="Times New Roman" w:hAnsi="Times New Roman"/>
          <w:b/>
          <w:sz w:val="24"/>
          <w:szCs w:val="24"/>
          <w:lang w:val="lv-LV"/>
        </w:rPr>
        <w:t>e</w:t>
      </w:r>
      <w:r w:rsidRPr="0088226C">
        <w:rPr>
          <w:rFonts w:ascii="Times New Roman" w:hAnsi="Times New Roman"/>
          <w:b/>
          <w:sz w:val="24"/>
          <w:szCs w:val="24"/>
          <w:lang w:val="lv-LV"/>
        </w:rPr>
        <w:t>i</w:t>
      </w:r>
      <w:r w:rsidRPr="0088226C">
        <w:rPr>
          <w:rFonts w:ascii="Times New Roman" w:hAnsi="Times New Roman"/>
          <w:sz w:val="24"/>
          <w:szCs w:val="24"/>
          <w:lang w:val="lv-LV"/>
        </w:rPr>
        <w:t xml:space="preserve"> (finanšu analīz</w:t>
      </w:r>
      <w:r w:rsidR="00ED59E8" w:rsidRPr="0088226C">
        <w:rPr>
          <w:rFonts w:ascii="Times New Roman" w:hAnsi="Times New Roman"/>
          <w:sz w:val="24"/>
          <w:szCs w:val="24"/>
          <w:lang w:val="lv-LV"/>
        </w:rPr>
        <w:t>ei un ekonomiskai</w:t>
      </w:r>
      <w:r w:rsidRPr="0088226C">
        <w:rPr>
          <w:rFonts w:ascii="Times New Roman" w:hAnsi="Times New Roman"/>
          <w:sz w:val="24"/>
          <w:szCs w:val="24"/>
          <w:lang w:val="lv-LV"/>
        </w:rPr>
        <w:t xml:space="preserve"> analīz</w:t>
      </w:r>
      <w:r w:rsidR="00ED59E8" w:rsidRPr="0088226C">
        <w:rPr>
          <w:rFonts w:ascii="Times New Roman" w:hAnsi="Times New Roman"/>
          <w:sz w:val="24"/>
          <w:szCs w:val="24"/>
          <w:lang w:val="lv-LV"/>
        </w:rPr>
        <w:t>e</w:t>
      </w:r>
      <w:r w:rsidRPr="0088226C">
        <w:rPr>
          <w:rFonts w:ascii="Times New Roman" w:hAnsi="Times New Roman"/>
          <w:sz w:val="24"/>
          <w:szCs w:val="24"/>
          <w:lang w:val="lv-LV"/>
        </w:rPr>
        <w:t>i</w:t>
      </w:r>
      <w:r w:rsidR="000246A1" w:rsidRPr="0088226C">
        <w:rPr>
          <w:rFonts w:ascii="Times New Roman" w:hAnsi="Times New Roman"/>
          <w:sz w:val="24"/>
          <w:szCs w:val="24"/>
          <w:lang w:val="lv-LV"/>
        </w:rPr>
        <w:t>).</w:t>
      </w:r>
    </w:p>
    <w:p w14:paraId="54961E22" w14:textId="65580390" w:rsidR="00ED59E8" w:rsidRPr="0088226C" w:rsidRDefault="00DB65A1" w:rsidP="00DB65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88226C">
        <w:rPr>
          <w:noProof/>
          <w:lang w:val="lv-LV" w:eastAsia="lv-LV"/>
        </w:rPr>
        <w:drawing>
          <wp:anchor distT="0" distB="0" distL="114300" distR="114300" simplePos="0" relativeHeight="251658240" behindDoc="0" locked="0" layoutInCell="1" allowOverlap="1" wp14:anchorId="7D01C987" wp14:editId="2D98941A">
            <wp:simplePos x="0" y="0"/>
            <wp:positionH relativeFrom="margin">
              <wp:align>left</wp:align>
            </wp:positionH>
            <wp:positionV relativeFrom="paragraph">
              <wp:posOffset>143510</wp:posOffset>
            </wp:positionV>
            <wp:extent cx="320675" cy="320675"/>
            <wp:effectExtent l="0" t="0" r="3175" b="3175"/>
            <wp:wrapSquare wrapText="bothSides"/>
            <wp:docPr id="1" name="Picture 1" descr="Exclamation Mark PNG Transparent Images | PNG 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clamation Mark PNG Transparent Images | PNG 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83D927" w14:textId="3ADDAD8E" w:rsidR="002431DE" w:rsidRPr="0088226C" w:rsidRDefault="00DB65A1" w:rsidP="00DB65A1">
      <w:pPr>
        <w:spacing w:after="0"/>
        <w:jc w:val="both"/>
        <w:rPr>
          <w:rFonts w:ascii="Times New Roman" w:eastAsiaTheme="majorEastAsia" w:hAnsi="Times New Roman"/>
          <w:noProof/>
          <w:color w:val="012169"/>
          <w:sz w:val="32"/>
          <w:szCs w:val="56"/>
          <w:lang w:val="lv-LV"/>
          <w14:shadow w14:blurRad="38100" w14:dist="19050" w14:dir="2700000" w14:sx="1000" w14:sy="1000" w14:kx="0" w14:ky="0" w14:algn="tl">
            <w14:schemeClr w14:val="dk1"/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88226C">
        <w:rPr>
          <w:rFonts w:ascii="Times New Roman" w:eastAsiaTheme="majorEastAsia" w:hAnsi="Times New Roman"/>
          <w:noProof/>
          <w:color w:val="012169"/>
          <w:sz w:val="32"/>
          <w:szCs w:val="56"/>
          <w:lang w:val="lv-LV"/>
          <w14:shadow w14:blurRad="38100" w14:dist="19050" w14:dir="2700000" w14:sx="1000" w14:sy="1000" w14:kx="0" w14:ky="0" w14:algn="tl">
            <w14:schemeClr w14:val="dk1"/>
          </w14:shadow>
          <w14:textOutline w14:w="9525" w14:cap="flat" w14:cmpd="sng" w14:algn="ctr">
            <w14:noFill/>
            <w14:prstDash w14:val="solid"/>
            <w14:round/>
          </w14:textOutline>
        </w:rPr>
        <w:t>Ja</w:t>
      </w:r>
      <w:r w:rsidR="002431DE" w:rsidRPr="0088226C">
        <w:rPr>
          <w:rFonts w:ascii="Times New Roman" w:eastAsiaTheme="majorEastAsia" w:hAnsi="Times New Roman"/>
          <w:noProof/>
          <w:color w:val="012169"/>
          <w:sz w:val="32"/>
          <w:szCs w:val="56"/>
          <w:lang w:val="lv-LV"/>
          <w14:shadow w14:blurRad="38100" w14:dist="19050" w14:dir="2700000" w14:sx="1000" w14:sy="1000" w14:kx="0" w14:ky="0" w14:algn="tl">
            <w14:schemeClr w14:val="dk1"/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pielietotas citas nolietojuma normas</w:t>
      </w:r>
    </w:p>
    <w:p w14:paraId="41B95803" w14:textId="37357C2B" w:rsidR="002431DE" w:rsidRPr="0088226C" w:rsidRDefault="002431DE" w:rsidP="00DB65A1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8D7E332" w14:textId="0FCE07D1" w:rsidR="00A238CF" w:rsidRPr="0088226C" w:rsidRDefault="00A238CF" w:rsidP="00DB65A1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88226C">
        <w:rPr>
          <w:rFonts w:ascii="Times New Roman" w:hAnsi="Times New Roman"/>
          <w:sz w:val="24"/>
          <w:szCs w:val="24"/>
          <w:lang w:val="lv-LV"/>
        </w:rPr>
        <w:t xml:space="preserve">Ja </w:t>
      </w:r>
      <w:r w:rsidR="002431DE" w:rsidRPr="0088226C">
        <w:rPr>
          <w:rFonts w:ascii="Times New Roman" w:hAnsi="Times New Roman"/>
          <w:sz w:val="24"/>
          <w:szCs w:val="24"/>
          <w:lang w:val="lv-LV"/>
        </w:rPr>
        <w:t xml:space="preserve">grāmatvedības uzskaitē </w:t>
      </w:r>
      <w:r w:rsidR="00DB65A1" w:rsidRPr="0088226C">
        <w:rPr>
          <w:rFonts w:ascii="Times New Roman" w:hAnsi="Times New Roman"/>
          <w:sz w:val="24"/>
          <w:szCs w:val="24"/>
          <w:lang w:val="lv-LV"/>
        </w:rPr>
        <w:t>ES</w:t>
      </w:r>
      <w:r w:rsidR="002431DE" w:rsidRPr="0088226C">
        <w:rPr>
          <w:rFonts w:ascii="Times New Roman" w:hAnsi="Times New Roman"/>
          <w:sz w:val="24"/>
          <w:szCs w:val="24"/>
          <w:lang w:val="lv-LV"/>
        </w:rPr>
        <w:t xml:space="preserve"> līdzfinansēto projektu ietvaros izveidotiem </w:t>
      </w:r>
      <w:r w:rsidRPr="0088226C">
        <w:rPr>
          <w:rFonts w:ascii="Times New Roman" w:hAnsi="Times New Roman"/>
          <w:sz w:val="24"/>
          <w:szCs w:val="24"/>
          <w:lang w:val="lv-LV"/>
        </w:rPr>
        <w:t>pamatlīdzekļiem noliet</w:t>
      </w:r>
      <w:r w:rsidR="00ED59E8" w:rsidRPr="0088226C">
        <w:rPr>
          <w:rFonts w:ascii="Times New Roman" w:hAnsi="Times New Roman"/>
          <w:sz w:val="24"/>
          <w:szCs w:val="24"/>
          <w:lang w:val="lv-LV"/>
        </w:rPr>
        <w:t>ojums aprēķināts saskaņā ar EK R</w:t>
      </w:r>
      <w:r w:rsidRPr="0088226C">
        <w:rPr>
          <w:rFonts w:ascii="Times New Roman" w:hAnsi="Times New Roman"/>
          <w:sz w:val="24"/>
          <w:szCs w:val="24"/>
          <w:lang w:val="lv-LV"/>
        </w:rPr>
        <w:t>egulā noteikto projekta dzīves cikla normu</w:t>
      </w:r>
      <w:r w:rsidR="002431DE" w:rsidRPr="0088226C">
        <w:rPr>
          <w:rFonts w:ascii="Times New Roman" w:hAnsi="Times New Roman"/>
          <w:sz w:val="24"/>
          <w:szCs w:val="24"/>
          <w:lang w:val="lv-LV"/>
        </w:rPr>
        <w:t xml:space="preserve"> (atšķiras no MK Nr.87 paredzētajām nolietojuma normām)</w:t>
      </w:r>
      <w:r w:rsidRPr="0088226C">
        <w:rPr>
          <w:rFonts w:ascii="Times New Roman" w:hAnsi="Times New Roman"/>
          <w:sz w:val="24"/>
          <w:szCs w:val="24"/>
          <w:lang w:val="lv-LV"/>
        </w:rPr>
        <w:t xml:space="preserve">, uzskatāms, ka </w:t>
      </w:r>
      <w:r w:rsidR="002431DE" w:rsidRPr="0088226C">
        <w:rPr>
          <w:rFonts w:ascii="Times New Roman" w:hAnsi="Times New Roman"/>
          <w:sz w:val="24"/>
          <w:szCs w:val="24"/>
          <w:lang w:val="lv-LV"/>
        </w:rPr>
        <w:t xml:space="preserve">ir piemēroti atšķirīgi </w:t>
      </w:r>
      <w:r w:rsidRPr="0088226C">
        <w:rPr>
          <w:rFonts w:ascii="Times New Roman" w:hAnsi="Times New Roman"/>
          <w:sz w:val="24"/>
          <w:szCs w:val="24"/>
          <w:lang w:val="lv-LV"/>
        </w:rPr>
        <w:t>grāmatvedības uzskaites pamatprincipi un nepieciešams veikt kļūdas labojumu.</w:t>
      </w:r>
    </w:p>
    <w:p w14:paraId="2D33AE1C" w14:textId="77777777" w:rsidR="00A238CF" w:rsidRPr="0088226C" w:rsidRDefault="00A238CF" w:rsidP="00DB65A1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4E0D649" w14:textId="64578F3D" w:rsidR="00E20DE5" w:rsidRPr="0088226C" w:rsidRDefault="00A238CF" w:rsidP="00DB65A1">
      <w:pPr>
        <w:spacing w:after="0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88226C">
        <w:rPr>
          <w:rFonts w:ascii="Times New Roman" w:hAnsi="Times New Roman"/>
          <w:sz w:val="24"/>
          <w:szCs w:val="24"/>
          <w:lang w:val="lv-LV"/>
        </w:rPr>
        <w:t xml:space="preserve">Budžeta iestādes </w:t>
      </w:r>
      <w:r w:rsidR="00E6258B" w:rsidRPr="0088226C">
        <w:rPr>
          <w:rFonts w:ascii="Times New Roman" w:hAnsi="Times New Roman"/>
          <w:b/>
          <w:sz w:val="24"/>
          <w:szCs w:val="24"/>
          <w:lang w:val="lv-LV"/>
        </w:rPr>
        <w:t xml:space="preserve">2022. gada pārskata </w:t>
      </w:r>
      <w:r w:rsidR="00E20DE5" w:rsidRPr="0088226C">
        <w:rPr>
          <w:rFonts w:ascii="Times New Roman" w:hAnsi="Times New Roman"/>
          <w:b/>
          <w:sz w:val="24"/>
          <w:szCs w:val="24"/>
          <w:lang w:val="lv-LV"/>
        </w:rPr>
        <w:t>sagatavošanas ietvaros:</w:t>
      </w:r>
    </w:p>
    <w:p w14:paraId="520800CA" w14:textId="19DC55F0" w:rsidR="002E41D3" w:rsidRPr="0088226C" w:rsidRDefault="002E41D3" w:rsidP="00DB65A1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lv-LV"/>
        </w:rPr>
      </w:pPr>
      <w:r w:rsidRPr="0088226C">
        <w:rPr>
          <w:rFonts w:ascii="Times New Roman" w:hAnsi="Times New Roman"/>
          <w:b/>
          <w:sz w:val="24"/>
          <w:szCs w:val="24"/>
          <w:lang w:val="lv-LV"/>
        </w:rPr>
        <w:t>pārbauda</w:t>
      </w:r>
      <w:r w:rsidRPr="0088226C">
        <w:rPr>
          <w:rFonts w:ascii="Times New Roman" w:hAnsi="Times New Roman"/>
          <w:sz w:val="24"/>
          <w:szCs w:val="24"/>
          <w:lang w:val="lv-LV"/>
        </w:rPr>
        <w:t xml:space="preserve"> aktīvu atbilstību klasifikācijai </w:t>
      </w:r>
      <w:r w:rsidR="00CB55A9" w:rsidRPr="0088226C">
        <w:rPr>
          <w:rFonts w:ascii="Times New Roman" w:hAnsi="Times New Roman"/>
          <w:sz w:val="24"/>
          <w:szCs w:val="24"/>
          <w:lang w:val="lv-LV"/>
        </w:rPr>
        <w:t xml:space="preserve">un </w:t>
      </w:r>
      <w:r w:rsidRPr="0088226C">
        <w:rPr>
          <w:rFonts w:ascii="Times New Roman" w:hAnsi="Times New Roman"/>
          <w:sz w:val="24"/>
          <w:szCs w:val="24"/>
          <w:lang w:val="lv-LV"/>
        </w:rPr>
        <w:t>grāmatvedības uzskaites kritērijiem pamatlīdzekļu un krājumu sastāvā;</w:t>
      </w:r>
    </w:p>
    <w:p w14:paraId="54DF555C" w14:textId="6A98A299" w:rsidR="00E20DE5" w:rsidRPr="0088226C" w:rsidRDefault="00E20DE5" w:rsidP="000246A1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lv-LV"/>
        </w:rPr>
      </w:pPr>
      <w:r w:rsidRPr="0088226C">
        <w:rPr>
          <w:rFonts w:ascii="Times New Roman" w:hAnsi="Times New Roman"/>
          <w:b/>
          <w:sz w:val="24"/>
          <w:szCs w:val="24"/>
          <w:lang w:val="lv-LV"/>
        </w:rPr>
        <w:t>pārbauda</w:t>
      </w:r>
      <w:r w:rsidRPr="0088226C">
        <w:rPr>
          <w:rFonts w:ascii="Times New Roman" w:hAnsi="Times New Roman"/>
          <w:sz w:val="24"/>
          <w:szCs w:val="24"/>
          <w:lang w:val="lv-LV"/>
        </w:rPr>
        <w:t xml:space="preserve"> pamatlīdzekļiem piemērotās nolietojuma normas</w:t>
      </w:r>
      <w:r w:rsidR="00CA5E90" w:rsidRPr="0088226C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0246A1" w:rsidRPr="0088226C">
        <w:rPr>
          <w:rFonts w:ascii="Times New Roman" w:hAnsi="Times New Roman"/>
          <w:sz w:val="24"/>
          <w:szCs w:val="24"/>
          <w:lang w:val="lv-LV"/>
        </w:rPr>
        <w:t>izvērtējot ES līdzfinansēto projektu ietvaros izveidotos pamatlīdzekļus.</w:t>
      </w:r>
      <w:r w:rsidR="000246A1" w:rsidRPr="0088226C" w:rsidDel="000246A1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5E2CE8AF" w14:textId="20C83BC2" w:rsidR="00CA5E90" w:rsidRPr="0088226C" w:rsidRDefault="00CA5E90" w:rsidP="00DB65A1">
      <w:pPr>
        <w:spacing w:before="60" w:after="60"/>
        <w:ind w:left="357"/>
        <w:jc w:val="both"/>
        <w:rPr>
          <w:rFonts w:ascii="Times New Roman" w:hAnsi="Times New Roman"/>
          <w:sz w:val="24"/>
          <w:szCs w:val="24"/>
          <w:lang w:val="lv-LV"/>
        </w:rPr>
      </w:pPr>
      <w:r w:rsidRPr="0088226C">
        <w:rPr>
          <w:rFonts w:ascii="Times New Roman" w:hAnsi="Times New Roman"/>
          <w:sz w:val="24"/>
          <w:szCs w:val="24"/>
          <w:lang w:val="lv-LV"/>
        </w:rPr>
        <w:t>Izvērtējumā ietver tikai tos pamatlīdzekļus, kuru atlikusī vērtība pārskata perioda sākumā (0</w:t>
      </w:r>
      <w:r w:rsidR="00DB65A1" w:rsidRPr="0088226C">
        <w:rPr>
          <w:rFonts w:ascii="Times New Roman" w:hAnsi="Times New Roman"/>
          <w:sz w:val="24"/>
          <w:szCs w:val="24"/>
          <w:lang w:val="lv-LV"/>
        </w:rPr>
        <w:t>1.01.2022) ir lielāka par nulli;</w:t>
      </w:r>
      <w:r w:rsidRPr="0088226C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7CB66508" w14:textId="77777777" w:rsidR="005B3157" w:rsidRPr="0088226C" w:rsidRDefault="00E20DE5" w:rsidP="005B3157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lv-LV"/>
        </w:rPr>
      </w:pPr>
      <w:r w:rsidRPr="0088226C">
        <w:rPr>
          <w:rFonts w:ascii="Times New Roman" w:hAnsi="Times New Roman"/>
          <w:sz w:val="24"/>
          <w:szCs w:val="24"/>
          <w:lang w:val="lv-LV"/>
        </w:rPr>
        <w:lastRenderedPageBreak/>
        <w:t>ja ir konstatēta atšķirība piemērotajām nolietojuma normām,</w:t>
      </w:r>
      <w:r w:rsidRPr="0088226C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Pr="0088226C">
        <w:rPr>
          <w:rFonts w:ascii="Times New Roman" w:hAnsi="Times New Roman"/>
          <w:sz w:val="24"/>
          <w:szCs w:val="24"/>
          <w:lang w:val="lv-LV"/>
        </w:rPr>
        <w:t xml:space="preserve">piemēro MK noteikumos Nr. 87 noteikto normu un </w:t>
      </w:r>
      <w:r w:rsidR="00A238CF" w:rsidRPr="0088226C">
        <w:rPr>
          <w:rFonts w:ascii="Times New Roman" w:hAnsi="Times New Roman"/>
          <w:sz w:val="24"/>
          <w:szCs w:val="24"/>
          <w:lang w:val="lv-LV"/>
        </w:rPr>
        <w:t>veic</w:t>
      </w:r>
      <w:r w:rsidR="00115EDF" w:rsidRPr="0088226C">
        <w:rPr>
          <w:rFonts w:ascii="Times New Roman" w:hAnsi="Times New Roman"/>
          <w:sz w:val="24"/>
          <w:szCs w:val="24"/>
          <w:lang w:val="lv-LV"/>
        </w:rPr>
        <w:t xml:space="preserve"> iepriekšējos pārskata periodos</w:t>
      </w:r>
      <w:r w:rsidRPr="0088226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238CF" w:rsidRPr="0088226C">
        <w:rPr>
          <w:rFonts w:ascii="Times New Roman" w:hAnsi="Times New Roman"/>
          <w:sz w:val="24"/>
          <w:szCs w:val="24"/>
          <w:lang w:val="lv-LV"/>
        </w:rPr>
        <w:t>a</w:t>
      </w:r>
      <w:r w:rsidR="00DB65A1" w:rsidRPr="0088226C">
        <w:rPr>
          <w:rFonts w:ascii="Times New Roman" w:hAnsi="Times New Roman"/>
          <w:sz w:val="24"/>
          <w:szCs w:val="24"/>
          <w:lang w:val="lv-LV"/>
        </w:rPr>
        <w:t>prēķinātā nolietojuma pārrēķinu;</w:t>
      </w:r>
    </w:p>
    <w:p w14:paraId="14C74578" w14:textId="5A68ACB4" w:rsidR="00DB65A1" w:rsidRPr="0088226C" w:rsidRDefault="00A238CF" w:rsidP="005B3157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lv-LV"/>
        </w:rPr>
      </w:pPr>
      <w:r w:rsidRPr="0088226C">
        <w:rPr>
          <w:rFonts w:ascii="Times New Roman" w:hAnsi="Times New Roman"/>
          <w:sz w:val="24"/>
          <w:szCs w:val="24"/>
          <w:lang w:val="lv-LV"/>
        </w:rPr>
        <w:t>izvērtē kļūdas būtiskumu</w:t>
      </w:r>
      <w:r w:rsidR="00115EDF" w:rsidRPr="0088226C">
        <w:rPr>
          <w:rFonts w:ascii="Times New Roman" w:hAnsi="Times New Roman"/>
          <w:sz w:val="24"/>
          <w:szCs w:val="24"/>
          <w:lang w:val="lv-LV"/>
        </w:rPr>
        <w:t xml:space="preserve">, apvienojot vienveidīgus </w:t>
      </w:r>
      <w:r w:rsidR="00E20DE5" w:rsidRPr="0088226C">
        <w:rPr>
          <w:rFonts w:ascii="Times New Roman" w:hAnsi="Times New Roman"/>
          <w:sz w:val="24"/>
          <w:szCs w:val="24"/>
          <w:lang w:val="lv-LV"/>
        </w:rPr>
        <w:t xml:space="preserve">nolietojuma aprēķina </w:t>
      </w:r>
      <w:r w:rsidR="00115EDF" w:rsidRPr="0088226C">
        <w:rPr>
          <w:rFonts w:ascii="Times New Roman" w:hAnsi="Times New Roman"/>
          <w:sz w:val="24"/>
          <w:szCs w:val="24"/>
          <w:lang w:val="lv-LV"/>
        </w:rPr>
        <w:t>kļūdu labojumus</w:t>
      </w:r>
      <w:r w:rsidR="00DB65A1" w:rsidRPr="0088226C">
        <w:rPr>
          <w:rFonts w:ascii="Times New Roman" w:hAnsi="Times New Roman"/>
          <w:sz w:val="24"/>
          <w:szCs w:val="24"/>
          <w:lang w:val="lv-LV"/>
        </w:rPr>
        <w:t>:</w:t>
      </w:r>
    </w:p>
    <w:p w14:paraId="6F553BA8" w14:textId="373559EA" w:rsidR="00A238CF" w:rsidRPr="0088226C" w:rsidRDefault="00A238CF" w:rsidP="005B3157">
      <w:pPr>
        <w:pStyle w:val="ListParagraph"/>
        <w:numPr>
          <w:ilvl w:val="0"/>
          <w:numId w:val="1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lv-LV"/>
        </w:rPr>
      </w:pPr>
      <w:r w:rsidRPr="0088226C">
        <w:rPr>
          <w:rFonts w:ascii="Times New Roman" w:hAnsi="Times New Roman"/>
          <w:sz w:val="24"/>
          <w:szCs w:val="24"/>
          <w:lang w:val="lv-LV"/>
        </w:rPr>
        <w:t>Atlikušās vērtības palielinājums</w:t>
      </w:r>
      <w:r w:rsidR="00115EDF" w:rsidRPr="0088226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15EDF" w:rsidRPr="0088226C">
        <w:rPr>
          <w:rFonts w:ascii="Times New Roman" w:hAnsi="Times New Roman"/>
          <w:sz w:val="24"/>
          <w:szCs w:val="24"/>
          <w:lang w:val="lv-LV"/>
        </w:rPr>
        <w:softHyphen/>
        <w:t>– nolietojuma samazinājums</w:t>
      </w:r>
      <w:r w:rsidR="00ED59E8" w:rsidRPr="0088226C">
        <w:rPr>
          <w:rFonts w:ascii="Times New Roman" w:hAnsi="Times New Roman"/>
          <w:sz w:val="24"/>
          <w:szCs w:val="24"/>
          <w:lang w:val="lv-LV"/>
        </w:rPr>
        <w:t>,</w:t>
      </w:r>
    </w:p>
    <w:p w14:paraId="33DE859B" w14:textId="3B7736BD" w:rsidR="00A238CF" w:rsidRPr="0088226C" w:rsidRDefault="00A238CF" w:rsidP="005B3157">
      <w:pPr>
        <w:pStyle w:val="ListParagraph"/>
        <w:numPr>
          <w:ilvl w:val="0"/>
          <w:numId w:val="1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lv-LV"/>
        </w:rPr>
      </w:pPr>
      <w:r w:rsidRPr="0088226C">
        <w:rPr>
          <w:rFonts w:ascii="Times New Roman" w:hAnsi="Times New Roman"/>
          <w:sz w:val="24"/>
          <w:szCs w:val="24"/>
          <w:lang w:val="lv-LV"/>
        </w:rPr>
        <w:t>Atlikušās vērtības samazinājums</w:t>
      </w:r>
      <w:r w:rsidR="00115EDF" w:rsidRPr="0088226C">
        <w:rPr>
          <w:rFonts w:ascii="Times New Roman" w:hAnsi="Times New Roman"/>
          <w:sz w:val="24"/>
          <w:szCs w:val="24"/>
          <w:lang w:val="lv-LV"/>
        </w:rPr>
        <w:t xml:space="preserve"> – nolietojuma palielinājums</w:t>
      </w:r>
      <w:r w:rsidR="00ED59E8" w:rsidRPr="0088226C">
        <w:rPr>
          <w:rFonts w:ascii="Times New Roman" w:hAnsi="Times New Roman"/>
          <w:sz w:val="24"/>
          <w:szCs w:val="24"/>
          <w:lang w:val="lv-LV"/>
        </w:rPr>
        <w:t>.</w:t>
      </w:r>
    </w:p>
    <w:p w14:paraId="7AB86299" w14:textId="77777777" w:rsidR="00115EDF" w:rsidRPr="0088226C" w:rsidRDefault="00115EDF" w:rsidP="00DB65A1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EAB78E0" w14:textId="77777777" w:rsidR="00A238CF" w:rsidRPr="0088226C" w:rsidRDefault="00A238CF" w:rsidP="00DB65A1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88226C">
        <w:rPr>
          <w:rFonts w:ascii="Times New Roman" w:hAnsi="Times New Roman"/>
          <w:sz w:val="24"/>
          <w:szCs w:val="24"/>
          <w:lang w:val="lv-LV"/>
        </w:rPr>
        <w:t>Ja</w:t>
      </w:r>
      <w:r w:rsidR="00115EDF" w:rsidRPr="0088226C">
        <w:rPr>
          <w:rFonts w:ascii="Times New Roman" w:hAnsi="Times New Roman"/>
          <w:sz w:val="24"/>
          <w:szCs w:val="24"/>
          <w:lang w:val="lv-LV"/>
        </w:rPr>
        <w:t xml:space="preserve"> iepriekšējo pārskata periodu</w:t>
      </w:r>
      <w:r w:rsidRPr="0088226C">
        <w:rPr>
          <w:rFonts w:ascii="Times New Roman" w:hAnsi="Times New Roman"/>
          <w:sz w:val="24"/>
          <w:szCs w:val="24"/>
          <w:lang w:val="lv-LV"/>
        </w:rPr>
        <w:t xml:space="preserve"> kļūda ir </w:t>
      </w:r>
      <w:r w:rsidRPr="0088226C">
        <w:rPr>
          <w:rFonts w:ascii="Times New Roman" w:hAnsi="Times New Roman"/>
          <w:b/>
          <w:sz w:val="24"/>
          <w:szCs w:val="24"/>
          <w:lang w:val="lv-LV"/>
        </w:rPr>
        <w:t>būtiska</w:t>
      </w:r>
      <w:r w:rsidRPr="0088226C">
        <w:rPr>
          <w:rFonts w:ascii="Times New Roman" w:hAnsi="Times New Roman"/>
          <w:sz w:val="24"/>
          <w:szCs w:val="24"/>
          <w:lang w:val="lv-LV"/>
        </w:rPr>
        <w:t>, veic korekciju, grāmatojot:</w:t>
      </w:r>
    </w:p>
    <w:p w14:paraId="6348F56D" w14:textId="77777777" w:rsidR="00115EDF" w:rsidRPr="0088226C" w:rsidRDefault="00115EDF" w:rsidP="00DB65A1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0FC3E74" w14:textId="36D8A594" w:rsidR="00115EDF" w:rsidRPr="0088226C" w:rsidRDefault="00115EDF" w:rsidP="00DB65A1">
      <w:pPr>
        <w:pStyle w:val="ListParagraph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  <w:lang w:val="lv-LV"/>
        </w:rPr>
      </w:pPr>
      <w:r w:rsidRPr="0088226C">
        <w:rPr>
          <w:rFonts w:ascii="Times New Roman" w:hAnsi="Times New Roman"/>
          <w:sz w:val="24"/>
          <w:szCs w:val="24"/>
          <w:lang w:val="lv-LV"/>
        </w:rPr>
        <w:t xml:space="preserve">Atlikušās vērtības palielinājums </w:t>
      </w:r>
      <w:r w:rsidRPr="0088226C">
        <w:rPr>
          <w:rFonts w:ascii="Times New Roman" w:hAnsi="Times New Roman"/>
          <w:sz w:val="24"/>
          <w:szCs w:val="24"/>
          <w:lang w:val="lv-LV"/>
        </w:rPr>
        <w:softHyphen/>
        <w:t>– nolietojuma samazinājums</w:t>
      </w:r>
      <w:r w:rsidR="0089013A" w:rsidRPr="0088226C">
        <w:rPr>
          <w:rFonts w:ascii="Times New Roman" w:hAnsi="Times New Roman"/>
          <w:sz w:val="24"/>
          <w:szCs w:val="24"/>
          <w:lang w:val="lv-LV"/>
        </w:rPr>
        <w:t>:</w:t>
      </w:r>
    </w:p>
    <w:p w14:paraId="2C989E5E" w14:textId="77777777" w:rsidR="00115EDF" w:rsidRPr="0088226C" w:rsidRDefault="00115EDF" w:rsidP="00DB65A1">
      <w:pPr>
        <w:pStyle w:val="ListParagraph"/>
        <w:spacing w:after="0"/>
        <w:ind w:left="709"/>
        <w:contextualSpacing w:val="0"/>
        <w:jc w:val="both"/>
        <w:rPr>
          <w:rFonts w:ascii="Times New Roman" w:hAnsi="Times New Roman"/>
          <w:sz w:val="24"/>
          <w:szCs w:val="24"/>
          <w:lang w:val="lv-LV"/>
        </w:rPr>
      </w:pPr>
      <w:r w:rsidRPr="0088226C">
        <w:rPr>
          <w:rFonts w:ascii="Times New Roman" w:hAnsi="Times New Roman"/>
          <w:sz w:val="24"/>
          <w:szCs w:val="24"/>
          <w:lang w:val="lv-LV"/>
        </w:rPr>
        <w:t xml:space="preserve">D 1290 </w:t>
      </w:r>
      <w:r w:rsidR="00CE161A" w:rsidRPr="0088226C">
        <w:rPr>
          <w:rFonts w:ascii="Times New Roman" w:hAnsi="Times New Roman"/>
          <w:sz w:val="24"/>
          <w:szCs w:val="24"/>
          <w:lang w:val="lv-LV"/>
        </w:rPr>
        <w:t>Pamatlīdzekļu uzkrātais nolietojums un vērtības samazinājums</w:t>
      </w:r>
    </w:p>
    <w:p w14:paraId="76004F2A" w14:textId="77777777" w:rsidR="00115EDF" w:rsidRPr="0088226C" w:rsidRDefault="00115EDF" w:rsidP="00DB65A1">
      <w:pPr>
        <w:pStyle w:val="ListParagraph"/>
        <w:spacing w:after="0"/>
        <w:ind w:left="709"/>
        <w:contextualSpacing w:val="0"/>
        <w:jc w:val="both"/>
        <w:rPr>
          <w:rFonts w:ascii="Times New Roman" w:hAnsi="Times New Roman"/>
          <w:sz w:val="24"/>
          <w:szCs w:val="24"/>
          <w:lang w:val="lv-LV"/>
        </w:rPr>
      </w:pPr>
      <w:r w:rsidRPr="0088226C">
        <w:rPr>
          <w:rFonts w:ascii="Times New Roman" w:hAnsi="Times New Roman"/>
          <w:sz w:val="24"/>
          <w:szCs w:val="24"/>
          <w:lang w:val="lv-LV"/>
        </w:rPr>
        <w:t>K 3510</w:t>
      </w:r>
      <w:r w:rsidR="00CE161A" w:rsidRPr="0088226C">
        <w:rPr>
          <w:rFonts w:ascii="Times New Roman" w:hAnsi="Times New Roman"/>
          <w:sz w:val="24"/>
          <w:szCs w:val="24"/>
          <w:lang w:val="lv-LV"/>
        </w:rPr>
        <w:t xml:space="preserve"> Iepriekšējo pārskata gadu budžeta izpildes rezultāts</w:t>
      </w:r>
    </w:p>
    <w:p w14:paraId="04EA085B" w14:textId="77777777" w:rsidR="00115EDF" w:rsidRPr="0088226C" w:rsidRDefault="00115EDF" w:rsidP="00DB65A1">
      <w:pPr>
        <w:pStyle w:val="ListParagraph"/>
        <w:spacing w:after="0"/>
        <w:ind w:left="784"/>
        <w:contextualSpacing w:val="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14F358C" w14:textId="3054F6F5" w:rsidR="00115EDF" w:rsidRPr="0088226C" w:rsidRDefault="00115EDF" w:rsidP="00DB65A1">
      <w:pPr>
        <w:pStyle w:val="ListParagraph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  <w:lang w:val="lv-LV"/>
        </w:rPr>
      </w:pPr>
      <w:r w:rsidRPr="0088226C">
        <w:rPr>
          <w:rFonts w:ascii="Times New Roman" w:hAnsi="Times New Roman"/>
          <w:sz w:val="24"/>
          <w:szCs w:val="24"/>
          <w:lang w:val="lv-LV"/>
        </w:rPr>
        <w:t>Atlikušās vērtības samazinājums – nolietojuma palielinājums</w:t>
      </w:r>
      <w:r w:rsidR="0089013A" w:rsidRPr="0088226C">
        <w:rPr>
          <w:rFonts w:ascii="Times New Roman" w:hAnsi="Times New Roman"/>
          <w:sz w:val="24"/>
          <w:szCs w:val="24"/>
          <w:lang w:val="lv-LV"/>
        </w:rPr>
        <w:t>:</w:t>
      </w:r>
    </w:p>
    <w:p w14:paraId="226D2890" w14:textId="77777777" w:rsidR="00CE161A" w:rsidRPr="0088226C" w:rsidRDefault="00115EDF" w:rsidP="00DB65A1">
      <w:pPr>
        <w:pStyle w:val="ListParagraph"/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lv-LV"/>
        </w:rPr>
      </w:pPr>
      <w:r w:rsidRPr="0088226C">
        <w:rPr>
          <w:rFonts w:ascii="Times New Roman" w:hAnsi="Times New Roman"/>
          <w:sz w:val="24"/>
          <w:szCs w:val="24"/>
          <w:lang w:val="lv-LV"/>
        </w:rPr>
        <w:t>D 3510</w:t>
      </w:r>
      <w:r w:rsidR="00CE161A" w:rsidRPr="0088226C">
        <w:rPr>
          <w:rFonts w:ascii="Times New Roman" w:hAnsi="Times New Roman"/>
          <w:sz w:val="24"/>
          <w:szCs w:val="24"/>
          <w:lang w:val="lv-LV"/>
        </w:rPr>
        <w:t xml:space="preserve"> Iepriekšējo pārskata gadu budžeta izpildes rezultāts</w:t>
      </w:r>
    </w:p>
    <w:p w14:paraId="50B9E405" w14:textId="77777777" w:rsidR="00CE161A" w:rsidRPr="0088226C" w:rsidRDefault="00115EDF" w:rsidP="00DB65A1">
      <w:pPr>
        <w:pStyle w:val="ListParagraph"/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lv-LV"/>
        </w:rPr>
      </w:pPr>
      <w:r w:rsidRPr="0088226C">
        <w:rPr>
          <w:rFonts w:ascii="Times New Roman" w:hAnsi="Times New Roman"/>
          <w:sz w:val="24"/>
          <w:szCs w:val="24"/>
          <w:lang w:val="lv-LV"/>
        </w:rPr>
        <w:t>K 1290</w:t>
      </w:r>
      <w:r w:rsidR="00CE161A" w:rsidRPr="0088226C">
        <w:rPr>
          <w:rFonts w:ascii="Times New Roman" w:hAnsi="Times New Roman"/>
          <w:sz w:val="24"/>
          <w:szCs w:val="24"/>
          <w:lang w:val="lv-LV"/>
        </w:rPr>
        <w:t xml:space="preserve"> Pamatlīdzekļu uzkrātais nolietojums un vērtības samazinājums</w:t>
      </w:r>
    </w:p>
    <w:p w14:paraId="5C0D6435" w14:textId="77777777" w:rsidR="00E20DE5" w:rsidRPr="0088226C" w:rsidRDefault="00E20DE5" w:rsidP="00DB65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E1A82F5" w14:textId="44F09192" w:rsidR="00115EDF" w:rsidRPr="0088226C" w:rsidRDefault="00115EDF" w:rsidP="00DB65A1">
      <w:pPr>
        <w:spacing w:after="8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88226C">
        <w:rPr>
          <w:rFonts w:ascii="Times New Roman" w:hAnsi="Times New Roman"/>
          <w:sz w:val="24"/>
          <w:szCs w:val="24"/>
          <w:lang w:val="lv-LV"/>
        </w:rPr>
        <w:t xml:space="preserve">Būtiskus iepriekšējo pārskata periodu kļūdu </w:t>
      </w:r>
      <w:r w:rsidR="001311DA" w:rsidRPr="0088226C">
        <w:rPr>
          <w:rFonts w:ascii="Times New Roman" w:hAnsi="Times New Roman"/>
          <w:sz w:val="24"/>
          <w:szCs w:val="24"/>
          <w:lang w:val="lv-LV"/>
        </w:rPr>
        <w:t xml:space="preserve">labojumus gada pārskatā uzrāda: </w:t>
      </w:r>
    </w:p>
    <w:p w14:paraId="16845E3E" w14:textId="551AF0C8" w:rsidR="00D15532" w:rsidRPr="0088226C" w:rsidRDefault="00D15532" w:rsidP="00405C35">
      <w:pPr>
        <w:pStyle w:val="ListParagraph"/>
        <w:numPr>
          <w:ilvl w:val="0"/>
          <w:numId w:val="10"/>
        </w:numPr>
        <w:spacing w:after="0"/>
        <w:ind w:left="782" w:hanging="357"/>
        <w:contextualSpacing w:val="0"/>
        <w:jc w:val="both"/>
        <w:rPr>
          <w:rFonts w:ascii="Times New Roman" w:hAnsi="Times New Roman"/>
          <w:sz w:val="24"/>
          <w:szCs w:val="24"/>
          <w:lang w:val="lv-LV"/>
        </w:rPr>
      </w:pPr>
      <w:r w:rsidRPr="0088226C">
        <w:rPr>
          <w:rFonts w:ascii="Times New Roman" w:hAnsi="Times New Roman"/>
          <w:sz w:val="24"/>
          <w:szCs w:val="24"/>
          <w:lang w:val="lv-LV"/>
        </w:rPr>
        <w:t>koriģē</w:t>
      </w:r>
      <w:r w:rsidR="001311DA" w:rsidRPr="0088226C">
        <w:rPr>
          <w:rFonts w:ascii="Times New Roman" w:hAnsi="Times New Roman"/>
          <w:sz w:val="24"/>
          <w:szCs w:val="24"/>
          <w:lang w:val="lv-LV"/>
        </w:rPr>
        <w:t>jot</w:t>
      </w:r>
      <w:r w:rsidRPr="0088226C">
        <w:rPr>
          <w:rFonts w:ascii="Times New Roman" w:hAnsi="Times New Roman"/>
          <w:sz w:val="24"/>
          <w:szCs w:val="24"/>
          <w:lang w:val="lv-LV"/>
        </w:rPr>
        <w:t xml:space="preserve"> bilancē </w:t>
      </w:r>
      <w:r w:rsidR="00963816" w:rsidRPr="0088226C">
        <w:rPr>
          <w:rFonts w:ascii="Times New Roman" w:hAnsi="Times New Roman"/>
          <w:sz w:val="24"/>
          <w:szCs w:val="24"/>
          <w:lang w:val="lv-LV"/>
        </w:rPr>
        <w:t xml:space="preserve">un pašu kapitāla pārskatā </w:t>
      </w:r>
      <w:r w:rsidRPr="0088226C">
        <w:rPr>
          <w:rFonts w:ascii="Times New Roman" w:hAnsi="Times New Roman"/>
          <w:sz w:val="24"/>
          <w:szCs w:val="24"/>
          <w:lang w:val="lv-LV"/>
        </w:rPr>
        <w:t xml:space="preserve">salīdzināmos datus par iepriekšējo pārskata periodu, </w:t>
      </w:r>
    </w:p>
    <w:p w14:paraId="6F203BC0" w14:textId="04EE9D75" w:rsidR="00D15532" w:rsidRPr="0088226C" w:rsidRDefault="00D15532" w:rsidP="00405C35">
      <w:pPr>
        <w:pStyle w:val="ListParagraph"/>
        <w:numPr>
          <w:ilvl w:val="0"/>
          <w:numId w:val="10"/>
        </w:numPr>
        <w:spacing w:after="0"/>
        <w:ind w:left="782" w:hanging="357"/>
        <w:contextualSpacing w:val="0"/>
        <w:jc w:val="both"/>
        <w:rPr>
          <w:rFonts w:ascii="Times New Roman" w:hAnsi="Times New Roman"/>
          <w:sz w:val="24"/>
          <w:szCs w:val="24"/>
          <w:lang w:val="lv-LV"/>
        </w:rPr>
      </w:pPr>
      <w:r w:rsidRPr="0088226C">
        <w:rPr>
          <w:rFonts w:ascii="Times New Roman" w:hAnsi="Times New Roman"/>
          <w:sz w:val="24"/>
          <w:szCs w:val="24"/>
          <w:lang w:val="lv-LV"/>
        </w:rPr>
        <w:t>koriģē</w:t>
      </w:r>
      <w:r w:rsidR="001311DA" w:rsidRPr="0088226C">
        <w:rPr>
          <w:rFonts w:ascii="Times New Roman" w:hAnsi="Times New Roman"/>
          <w:sz w:val="24"/>
          <w:szCs w:val="24"/>
          <w:lang w:val="lv-LV"/>
        </w:rPr>
        <w:t>jot</w:t>
      </w:r>
      <w:r w:rsidRPr="0088226C">
        <w:rPr>
          <w:rFonts w:ascii="Times New Roman" w:hAnsi="Times New Roman"/>
          <w:sz w:val="24"/>
          <w:szCs w:val="24"/>
          <w:lang w:val="lv-LV"/>
        </w:rPr>
        <w:t xml:space="preserve"> finanšu pārskatā par darbības finansiālajiem rezultātiem salīdzināmās summas iepriekšējā pārskata periodā</w:t>
      </w:r>
      <w:r w:rsidR="00454491" w:rsidRPr="0088226C">
        <w:rPr>
          <w:rFonts w:ascii="Times New Roman" w:hAnsi="Times New Roman"/>
          <w:sz w:val="24"/>
          <w:szCs w:val="24"/>
          <w:lang w:val="lv-LV"/>
        </w:rPr>
        <w:t>,</w:t>
      </w:r>
      <w:r w:rsidRPr="0088226C">
        <w:rPr>
          <w:rFonts w:ascii="Times New Roman" w:hAnsi="Times New Roman"/>
          <w:sz w:val="24"/>
          <w:szCs w:val="24"/>
          <w:lang w:val="lv-LV"/>
        </w:rPr>
        <w:t xml:space="preserve"> norādot kļūdas labojuma ietekmi,</w:t>
      </w:r>
    </w:p>
    <w:p w14:paraId="770BAA27" w14:textId="29D0DCF9" w:rsidR="00CA5E90" w:rsidRPr="0088226C" w:rsidRDefault="00D15532" w:rsidP="00405C35">
      <w:pPr>
        <w:pStyle w:val="ListParagraph"/>
        <w:numPr>
          <w:ilvl w:val="0"/>
          <w:numId w:val="10"/>
        </w:numPr>
        <w:spacing w:after="0"/>
        <w:ind w:left="782" w:hanging="357"/>
        <w:contextualSpacing w:val="0"/>
        <w:jc w:val="both"/>
        <w:rPr>
          <w:rFonts w:ascii="Times New Roman" w:hAnsi="Times New Roman"/>
          <w:sz w:val="24"/>
          <w:szCs w:val="24"/>
          <w:lang w:val="lv-LV"/>
        </w:rPr>
      </w:pPr>
      <w:r w:rsidRPr="0088226C">
        <w:rPr>
          <w:rFonts w:ascii="Times New Roman" w:hAnsi="Times New Roman"/>
          <w:sz w:val="24"/>
          <w:szCs w:val="24"/>
          <w:lang w:val="lv-LV"/>
        </w:rPr>
        <w:t xml:space="preserve">finanšu pārskata pielikumā </w:t>
      </w:r>
      <w:r w:rsidR="00E77F1F" w:rsidRPr="0088226C">
        <w:rPr>
          <w:rFonts w:ascii="Times New Roman" w:hAnsi="Times New Roman"/>
          <w:sz w:val="24"/>
          <w:szCs w:val="24"/>
          <w:lang w:val="lv-LV"/>
        </w:rPr>
        <w:t>V12.INFO</w:t>
      </w:r>
      <w:r w:rsidR="00454491" w:rsidRPr="0088226C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8226C">
        <w:rPr>
          <w:rFonts w:ascii="Times New Roman" w:hAnsi="Times New Roman"/>
          <w:sz w:val="24"/>
          <w:szCs w:val="24"/>
          <w:lang w:val="lv-LV"/>
        </w:rPr>
        <w:t xml:space="preserve">sniedz informāciju par konstatēto kļūdu labojumiem, </w:t>
      </w:r>
    </w:p>
    <w:p w14:paraId="5F701FBF" w14:textId="1A7CD14C" w:rsidR="00D15532" w:rsidRPr="0088226C" w:rsidRDefault="00D15532" w:rsidP="00405C35">
      <w:pPr>
        <w:pStyle w:val="ListParagraph"/>
        <w:numPr>
          <w:ilvl w:val="0"/>
          <w:numId w:val="10"/>
        </w:numPr>
        <w:spacing w:after="0"/>
        <w:ind w:left="782" w:hanging="357"/>
        <w:contextualSpacing w:val="0"/>
        <w:jc w:val="both"/>
        <w:rPr>
          <w:rFonts w:ascii="Times New Roman" w:hAnsi="Times New Roman"/>
          <w:sz w:val="24"/>
          <w:szCs w:val="24"/>
          <w:lang w:val="lv-LV"/>
        </w:rPr>
      </w:pPr>
      <w:r w:rsidRPr="0088226C">
        <w:rPr>
          <w:rFonts w:ascii="Times New Roman" w:hAnsi="Times New Roman"/>
          <w:sz w:val="24"/>
          <w:szCs w:val="24"/>
          <w:lang w:val="lv-LV"/>
        </w:rPr>
        <w:t>precizē</w:t>
      </w:r>
      <w:r w:rsidR="00CA5E90" w:rsidRPr="0088226C">
        <w:rPr>
          <w:rFonts w:ascii="Times New Roman" w:hAnsi="Times New Roman"/>
          <w:sz w:val="24"/>
          <w:szCs w:val="24"/>
          <w:lang w:val="lv-LV"/>
        </w:rPr>
        <w:t>jot</w:t>
      </w:r>
      <w:r w:rsidRPr="0088226C">
        <w:rPr>
          <w:rFonts w:ascii="Times New Roman" w:hAnsi="Times New Roman"/>
          <w:sz w:val="24"/>
          <w:szCs w:val="24"/>
          <w:lang w:val="lv-LV"/>
        </w:rPr>
        <w:t xml:space="preserve"> salīdzināmo informāciju ar </w:t>
      </w:r>
      <w:r w:rsidR="00CA5E90" w:rsidRPr="0088226C">
        <w:rPr>
          <w:rFonts w:ascii="Times New Roman" w:hAnsi="Times New Roman"/>
          <w:sz w:val="24"/>
          <w:szCs w:val="24"/>
          <w:lang w:val="lv-LV"/>
        </w:rPr>
        <w:t xml:space="preserve">koriģētajiem </w:t>
      </w:r>
      <w:r w:rsidRPr="0088226C">
        <w:rPr>
          <w:rFonts w:ascii="Times New Roman" w:hAnsi="Times New Roman"/>
          <w:sz w:val="24"/>
          <w:szCs w:val="24"/>
          <w:lang w:val="lv-LV"/>
        </w:rPr>
        <w:t>finanšu pārskatu posteņiem saistītajās piezīmēs</w:t>
      </w:r>
      <w:r w:rsidR="001311DA" w:rsidRPr="0088226C">
        <w:rPr>
          <w:rFonts w:ascii="Times New Roman" w:hAnsi="Times New Roman"/>
          <w:sz w:val="24"/>
          <w:szCs w:val="24"/>
          <w:lang w:val="lv-LV"/>
        </w:rPr>
        <w:t>.</w:t>
      </w:r>
    </w:p>
    <w:p w14:paraId="6B7ECC8F" w14:textId="77777777" w:rsidR="00115EDF" w:rsidRPr="0088226C" w:rsidRDefault="00115EDF" w:rsidP="00DB65A1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A7A728C" w14:textId="792B9D2C" w:rsidR="009A40EF" w:rsidRPr="0088226C" w:rsidRDefault="00115EDF" w:rsidP="00DB65A1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88226C">
        <w:rPr>
          <w:rFonts w:ascii="Times New Roman" w:hAnsi="Times New Roman"/>
          <w:sz w:val="24"/>
          <w:szCs w:val="24"/>
          <w:lang w:val="lv-LV"/>
        </w:rPr>
        <w:t xml:space="preserve">Ja iepriekšējo pārskata periodu kļūda </w:t>
      </w:r>
      <w:r w:rsidRPr="0088226C">
        <w:rPr>
          <w:rFonts w:ascii="Times New Roman" w:hAnsi="Times New Roman"/>
          <w:b/>
          <w:sz w:val="24"/>
          <w:szCs w:val="24"/>
          <w:lang w:val="lv-LV"/>
        </w:rPr>
        <w:t>nav būtiska</w:t>
      </w:r>
      <w:r w:rsidR="00F37D97" w:rsidRPr="0088226C">
        <w:rPr>
          <w:rFonts w:ascii="Times New Roman" w:hAnsi="Times New Roman"/>
          <w:sz w:val="24"/>
          <w:szCs w:val="24"/>
          <w:lang w:val="lv-LV"/>
        </w:rPr>
        <w:t>, veic korekciju, grāmatojot</w:t>
      </w:r>
    </w:p>
    <w:p w14:paraId="2ADDAF09" w14:textId="77777777" w:rsidR="00CA5E90" w:rsidRPr="0088226C" w:rsidRDefault="00CA5E90" w:rsidP="00DB65A1">
      <w:pPr>
        <w:spacing w:after="0"/>
        <w:jc w:val="both"/>
        <w:rPr>
          <w:rFonts w:ascii="Times New Roman" w:hAnsi="Times New Roman"/>
          <w:szCs w:val="24"/>
          <w:lang w:val="lv-LV"/>
        </w:rPr>
      </w:pPr>
    </w:p>
    <w:p w14:paraId="1D7E8503" w14:textId="19399128" w:rsidR="00115EDF" w:rsidRPr="0088226C" w:rsidRDefault="00115EDF" w:rsidP="005B3157">
      <w:pPr>
        <w:pStyle w:val="ListParagraph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  <w:lang w:val="lv-LV"/>
        </w:rPr>
      </w:pPr>
      <w:r w:rsidRPr="0088226C">
        <w:rPr>
          <w:rFonts w:ascii="Times New Roman" w:hAnsi="Times New Roman"/>
          <w:sz w:val="24"/>
          <w:szCs w:val="24"/>
          <w:lang w:val="lv-LV"/>
        </w:rPr>
        <w:t xml:space="preserve">Atlikušās vērtības palielinājums </w:t>
      </w:r>
      <w:r w:rsidRPr="0088226C">
        <w:rPr>
          <w:rFonts w:ascii="Times New Roman" w:hAnsi="Times New Roman"/>
          <w:sz w:val="24"/>
          <w:szCs w:val="24"/>
          <w:lang w:val="lv-LV"/>
        </w:rPr>
        <w:softHyphen/>
        <w:t>– nolietojuma samazinājums</w:t>
      </w:r>
      <w:r w:rsidR="00F37D97" w:rsidRPr="0088226C">
        <w:rPr>
          <w:rFonts w:ascii="Times New Roman" w:hAnsi="Times New Roman"/>
          <w:sz w:val="24"/>
          <w:szCs w:val="24"/>
          <w:lang w:val="lv-LV"/>
        </w:rPr>
        <w:t>:</w:t>
      </w:r>
    </w:p>
    <w:p w14:paraId="19C1965D" w14:textId="6274F441" w:rsidR="00115EDF" w:rsidRPr="0088226C" w:rsidRDefault="00115EDF" w:rsidP="00DB65A1">
      <w:pPr>
        <w:pStyle w:val="ListParagraph"/>
        <w:spacing w:after="0"/>
        <w:ind w:left="784"/>
        <w:contextualSpacing w:val="0"/>
        <w:jc w:val="both"/>
        <w:rPr>
          <w:rFonts w:ascii="Times New Roman" w:hAnsi="Times New Roman"/>
          <w:sz w:val="24"/>
          <w:szCs w:val="24"/>
          <w:lang w:val="lv-LV"/>
        </w:rPr>
      </w:pPr>
      <w:r w:rsidRPr="0088226C">
        <w:rPr>
          <w:rFonts w:ascii="Times New Roman" w:hAnsi="Times New Roman"/>
          <w:sz w:val="24"/>
          <w:szCs w:val="24"/>
          <w:lang w:val="lv-LV"/>
        </w:rPr>
        <w:t xml:space="preserve">D 1290 </w:t>
      </w:r>
      <w:r w:rsidR="001311DA" w:rsidRPr="0088226C">
        <w:rPr>
          <w:rFonts w:ascii="Times New Roman" w:hAnsi="Times New Roman"/>
          <w:sz w:val="24"/>
          <w:szCs w:val="24"/>
          <w:lang w:val="lv-LV"/>
        </w:rPr>
        <w:t>Pamatlīdzekļu uzkrātais nolietojums un vērtības samazinājums</w:t>
      </w:r>
    </w:p>
    <w:p w14:paraId="32B23232" w14:textId="77777777" w:rsidR="00115EDF" w:rsidRPr="0088226C" w:rsidRDefault="00115EDF" w:rsidP="00DB65A1">
      <w:pPr>
        <w:pStyle w:val="ListParagraph"/>
        <w:spacing w:after="0"/>
        <w:ind w:left="784"/>
        <w:contextualSpacing w:val="0"/>
        <w:jc w:val="both"/>
        <w:rPr>
          <w:rFonts w:ascii="Times New Roman" w:hAnsi="Times New Roman"/>
          <w:sz w:val="24"/>
          <w:szCs w:val="24"/>
          <w:lang w:val="lv-LV"/>
        </w:rPr>
      </w:pPr>
      <w:r w:rsidRPr="0088226C">
        <w:rPr>
          <w:rFonts w:ascii="Times New Roman" w:hAnsi="Times New Roman"/>
          <w:sz w:val="24"/>
          <w:szCs w:val="24"/>
          <w:lang w:val="lv-LV"/>
        </w:rPr>
        <w:t xml:space="preserve">K 8751 </w:t>
      </w:r>
      <w:r w:rsidR="001311DA" w:rsidRPr="0088226C">
        <w:rPr>
          <w:rFonts w:ascii="Times New Roman" w:hAnsi="Times New Roman"/>
          <w:sz w:val="24"/>
          <w:szCs w:val="24"/>
          <w:lang w:val="lv-LV"/>
        </w:rPr>
        <w:t>Iepriekšējo gadu kļūdas</w:t>
      </w:r>
    </w:p>
    <w:p w14:paraId="793C7BC8" w14:textId="77777777" w:rsidR="00115EDF" w:rsidRPr="0088226C" w:rsidRDefault="00115EDF" w:rsidP="00DB65A1">
      <w:pPr>
        <w:pStyle w:val="ListParagraph"/>
        <w:spacing w:after="0"/>
        <w:ind w:left="784"/>
        <w:contextualSpacing w:val="0"/>
        <w:jc w:val="both"/>
        <w:rPr>
          <w:rFonts w:ascii="Times New Roman" w:hAnsi="Times New Roman"/>
          <w:szCs w:val="24"/>
          <w:lang w:val="lv-LV"/>
        </w:rPr>
      </w:pPr>
    </w:p>
    <w:p w14:paraId="20659CC5" w14:textId="50825BDC" w:rsidR="00115EDF" w:rsidRPr="0088226C" w:rsidRDefault="00115EDF" w:rsidP="005B3157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  <w:lang w:val="lv-LV"/>
        </w:rPr>
      </w:pPr>
      <w:r w:rsidRPr="0088226C">
        <w:rPr>
          <w:rFonts w:ascii="Times New Roman" w:hAnsi="Times New Roman"/>
          <w:sz w:val="24"/>
          <w:szCs w:val="24"/>
          <w:lang w:val="lv-LV"/>
        </w:rPr>
        <w:t>Atlikušās vērtības samazinājums – nolietojuma palielinājums</w:t>
      </w:r>
      <w:r w:rsidR="00F37D97" w:rsidRPr="0088226C">
        <w:rPr>
          <w:rFonts w:ascii="Times New Roman" w:hAnsi="Times New Roman"/>
          <w:sz w:val="24"/>
          <w:szCs w:val="24"/>
          <w:lang w:val="lv-LV"/>
        </w:rPr>
        <w:t>:</w:t>
      </w:r>
    </w:p>
    <w:p w14:paraId="753C07CE" w14:textId="6FB9EE54" w:rsidR="00115EDF" w:rsidRPr="0088226C" w:rsidRDefault="00725561" w:rsidP="00DB65A1">
      <w:pPr>
        <w:pStyle w:val="ListParagraph"/>
        <w:spacing w:after="0"/>
        <w:ind w:left="784"/>
        <w:contextualSpacing w:val="0"/>
        <w:jc w:val="both"/>
        <w:rPr>
          <w:rFonts w:ascii="Times New Roman" w:hAnsi="Times New Roman"/>
          <w:sz w:val="24"/>
          <w:szCs w:val="24"/>
          <w:lang w:val="lv-LV"/>
        </w:rPr>
      </w:pPr>
      <w:r w:rsidRPr="0088226C">
        <w:rPr>
          <w:rFonts w:ascii="Times New Roman" w:hAnsi="Times New Roman"/>
          <w:sz w:val="24"/>
          <w:szCs w:val="24"/>
          <w:lang w:val="lv-LV"/>
        </w:rPr>
        <w:t>D 876</w:t>
      </w:r>
      <w:r w:rsidR="00115EDF" w:rsidRPr="0088226C">
        <w:rPr>
          <w:rFonts w:ascii="Times New Roman" w:hAnsi="Times New Roman"/>
          <w:sz w:val="24"/>
          <w:szCs w:val="24"/>
          <w:lang w:val="lv-LV"/>
        </w:rPr>
        <w:t>1</w:t>
      </w:r>
      <w:r w:rsidR="001311DA" w:rsidRPr="0088226C">
        <w:rPr>
          <w:rFonts w:ascii="Times New Roman" w:hAnsi="Times New Roman"/>
          <w:sz w:val="24"/>
          <w:szCs w:val="24"/>
          <w:lang w:val="lv-LV"/>
        </w:rPr>
        <w:t xml:space="preserve"> Iepriekšējo gadu kļūdas</w:t>
      </w:r>
    </w:p>
    <w:p w14:paraId="1B046CAA" w14:textId="024E4ABF" w:rsidR="00115EDF" w:rsidRPr="0088226C" w:rsidRDefault="00115EDF" w:rsidP="00DB65A1">
      <w:pPr>
        <w:pStyle w:val="ListParagraph"/>
        <w:spacing w:after="0"/>
        <w:ind w:left="784"/>
        <w:contextualSpacing w:val="0"/>
        <w:jc w:val="both"/>
        <w:rPr>
          <w:rFonts w:ascii="Times New Roman" w:hAnsi="Times New Roman"/>
          <w:sz w:val="24"/>
          <w:szCs w:val="24"/>
          <w:lang w:val="lv-LV"/>
        </w:rPr>
      </w:pPr>
      <w:r w:rsidRPr="0088226C">
        <w:rPr>
          <w:rFonts w:ascii="Times New Roman" w:hAnsi="Times New Roman"/>
          <w:sz w:val="24"/>
          <w:szCs w:val="24"/>
          <w:lang w:val="lv-LV"/>
        </w:rPr>
        <w:t>K 1290</w:t>
      </w:r>
      <w:r w:rsidR="001311DA" w:rsidRPr="0088226C">
        <w:rPr>
          <w:rFonts w:ascii="Times New Roman" w:hAnsi="Times New Roman"/>
          <w:sz w:val="24"/>
          <w:szCs w:val="24"/>
          <w:lang w:val="lv-LV"/>
        </w:rPr>
        <w:t xml:space="preserve"> Pamatlīdzekļu uzkrātais nolietojums un vērtības samazinājums</w:t>
      </w:r>
    </w:p>
    <w:p w14:paraId="1096232F" w14:textId="6AD0727A" w:rsidR="00CA5E90" w:rsidRPr="0088226C" w:rsidRDefault="00CA5E90" w:rsidP="00DB65A1">
      <w:pPr>
        <w:pStyle w:val="ListParagraph"/>
        <w:spacing w:after="0"/>
        <w:ind w:left="784"/>
        <w:contextualSpacing w:val="0"/>
        <w:jc w:val="both"/>
        <w:rPr>
          <w:rFonts w:ascii="Times New Roman" w:hAnsi="Times New Roman"/>
          <w:szCs w:val="24"/>
          <w:lang w:val="lv-LV"/>
        </w:rPr>
      </w:pPr>
    </w:p>
    <w:p w14:paraId="3469158A" w14:textId="77777777" w:rsidR="00CA5E90" w:rsidRPr="0088226C" w:rsidRDefault="00CA5E90" w:rsidP="00DB65A1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88226C">
        <w:rPr>
          <w:rFonts w:ascii="Times New Roman" w:hAnsi="Times New Roman"/>
          <w:sz w:val="24"/>
          <w:szCs w:val="24"/>
          <w:lang w:val="lv-LV"/>
        </w:rPr>
        <w:t>Ja nepieciešams, koriģē arī pārskata periodā aprēķināto nolietojumu.</w:t>
      </w:r>
    </w:p>
    <w:p w14:paraId="3FFBA801" w14:textId="77777777" w:rsidR="00CA5E90" w:rsidRPr="0088226C" w:rsidRDefault="00CA5E90" w:rsidP="00DB65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E5A4CBA" w14:textId="77FC0CC7" w:rsidR="001311DA" w:rsidRPr="0088226C" w:rsidRDefault="00115EDF" w:rsidP="007D5E78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88226C">
        <w:rPr>
          <w:rFonts w:ascii="Times New Roman" w:hAnsi="Times New Roman"/>
          <w:sz w:val="24"/>
          <w:szCs w:val="24"/>
          <w:lang w:val="lv-LV"/>
        </w:rPr>
        <w:t>Iepriekšējo pārskata periodu kļūdu labojumus, kas nav būtiski, gada pārskatā uzrāda</w:t>
      </w:r>
      <w:r w:rsidR="00CA5E90" w:rsidRPr="0088226C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8226C">
        <w:rPr>
          <w:rFonts w:ascii="Times New Roman" w:hAnsi="Times New Roman"/>
          <w:sz w:val="24"/>
          <w:szCs w:val="24"/>
          <w:lang w:val="lv-LV"/>
        </w:rPr>
        <w:t>kā pārskata gada darījumu</w:t>
      </w:r>
      <w:r w:rsidR="00CA5E90" w:rsidRPr="0088226C">
        <w:rPr>
          <w:rFonts w:ascii="Times New Roman" w:hAnsi="Times New Roman"/>
          <w:sz w:val="24"/>
          <w:szCs w:val="24"/>
          <w:lang w:val="lv-LV"/>
        </w:rPr>
        <w:t>.</w:t>
      </w:r>
    </w:p>
    <w:p w14:paraId="1B832821" w14:textId="100C9D36" w:rsidR="00C321DE" w:rsidRPr="0088226C" w:rsidRDefault="00C321DE" w:rsidP="007D5E78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C321DE" w:rsidRPr="0088226C" w:rsidSect="00F7660F">
      <w:footerReference w:type="default" r:id="rId9"/>
      <w:pgSz w:w="11906" w:h="16838"/>
      <w:pgMar w:top="1560" w:right="991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72C95" w14:textId="77777777" w:rsidR="009B1A7B" w:rsidRDefault="009B1A7B" w:rsidP="00CE161A">
      <w:pPr>
        <w:spacing w:after="0" w:line="240" w:lineRule="auto"/>
      </w:pPr>
      <w:r>
        <w:separator/>
      </w:r>
    </w:p>
  </w:endnote>
  <w:endnote w:type="continuationSeparator" w:id="0">
    <w:p w14:paraId="67F74A68" w14:textId="77777777" w:rsidR="009B1A7B" w:rsidRDefault="009B1A7B" w:rsidP="00CE1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64CBB" w14:textId="4C401C4D" w:rsidR="00837D98" w:rsidRPr="005B07CD" w:rsidRDefault="004D1BAB">
    <w:pPr>
      <w:pStyle w:val="Footer"/>
      <w:rPr>
        <w:rFonts w:ascii="Times New Roman" w:hAnsi="Times New Roman"/>
        <w:lang w:val="lv-LV"/>
      </w:rPr>
    </w:pPr>
    <w:hyperlink r:id="rId1" w:history="1">
      <w:r w:rsidR="002D46E3" w:rsidRPr="002D46E3">
        <w:rPr>
          <w:rStyle w:val="Hyperlink"/>
          <w:rFonts w:ascii="Times New Roman" w:hAnsi="Times New Roman"/>
          <w:lang w:val="lv-LV"/>
        </w:rPr>
        <w:t>www.kase.gov.lv/Metodika/Grāmatvedības uzskaite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A7C1D" w14:textId="77777777" w:rsidR="009B1A7B" w:rsidRDefault="009B1A7B" w:rsidP="00CE161A">
      <w:pPr>
        <w:spacing w:after="0" w:line="240" w:lineRule="auto"/>
      </w:pPr>
      <w:r>
        <w:separator/>
      </w:r>
    </w:p>
  </w:footnote>
  <w:footnote w:type="continuationSeparator" w:id="0">
    <w:p w14:paraId="4D69106B" w14:textId="77777777" w:rsidR="009B1A7B" w:rsidRDefault="009B1A7B" w:rsidP="00CE161A">
      <w:pPr>
        <w:spacing w:after="0" w:line="240" w:lineRule="auto"/>
      </w:pPr>
      <w:r>
        <w:continuationSeparator/>
      </w:r>
    </w:p>
  </w:footnote>
  <w:footnote w:id="1">
    <w:p w14:paraId="0313FF1C" w14:textId="1DD1164D" w:rsidR="0088226C" w:rsidRPr="0088226C" w:rsidRDefault="0088226C" w:rsidP="0088226C">
      <w:pPr>
        <w:pStyle w:val="FootnoteText"/>
        <w:jc w:val="both"/>
        <w:rPr>
          <w:lang w:val="lv-LV"/>
        </w:rPr>
      </w:pPr>
      <w:r w:rsidRPr="0088226C">
        <w:rPr>
          <w:rStyle w:val="FootnoteReference"/>
          <w:lang w:val="lv-LV"/>
        </w:rPr>
        <w:footnoteRef/>
      </w:r>
      <w:r w:rsidRPr="0088226C">
        <w:rPr>
          <w:lang w:val="lv-LV"/>
        </w:rPr>
        <w:t xml:space="preserve"> </w:t>
      </w:r>
      <w:r w:rsidRPr="0088226C">
        <w:rPr>
          <w:rFonts w:ascii="Times New Roman" w:hAnsi="Times New Roman"/>
          <w:lang w:val="lv-LV"/>
        </w:rPr>
        <w:t xml:space="preserve">Saskaņā ar </w:t>
      </w:r>
      <w:hyperlink r:id="rId1" w:anchor="p2" w:history="1">
        <w:r w:rsidRPr="0088226C">
          <w:rPr>
            <w:rStyle w:val="Hyperlink"/>
            <w:rFonts w:ascii="Times New Roman" w:hAnsi="Times New Roman"/>
            <w:szCs w:val="24"/>
            <w:lang w:val="lv-LV"/>
          </w:rPr>
          <w:t>Ministru kabineta 2018. gada 13. februāra noteikumu Nr. 87 “Grāmatvedības uzskaites kārtība budžeta iestādēs”</w:t>
        </w:r>
      </w:hyperlink>
      <w:r w:rsidRPr="0088226C">
        <w:rPr>
          <w:rFonts w:ascii="Times New Roman" w:hAnsi="Times New Roman"/>
          <w:szCs w:val="24"/>
          <w:lang w:val="lv-LV"/>
        </w:rPr>
        <w:t xml:space="preserve"> 2.punktu.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900"/>
    <w:multiLevelType w:val="hybridMultilevel"/>
    <w:tmpl w:val="7338C4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6358"/>
    <w:multiLevelType w:val="hybridMultilevel"/>
    <w:tmpl w:val="FC84DBBC"/>
    <w:lvl w:ilvl="0" w:tplc="0426000B">
      <w:start w:val="1"/>
      <w:numFmt w:val="bullet"/>
      <w:lvlText w:val=""/>
      <w:lvlJc w:val="left"/>
      <w:pPr>
        <w:ind w:left="137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2" w15:restartNumberingAfterBreak="0">
    <w:nsid w:val="0ED11937"/>
    <w:multiLevelType w:val="hybridMultilevel"/>
    <w:tmpl w:val="F886D654"/>
    <w:lvl w:ilvl="0" w:tplc="0426000B">
      <w:start w:val="1"/>
      <w:numFmt w:val="bullet"/>
      <w:lvlText w:val=""/>
      <w:lvlJc w:val="left"/>
      <w:pPr>
        <w:ind w:left="114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 w15:restartNumberingAfterBreak="0">
    <w:nsid w:val="15A45BAE"/>
    <w:multiLevelType w:val="hybridMultilevel"/>
    <w:tmpl w:val="DCB6B1BE"/>
    <w:lvl w:ilvl="0" w:tplc="0426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185367D4"/>
    <w:multiLevelType w:val="hybridMultilevel"/>
    <w:tmpl w:val="E6E68784"/>
    <w:lvl w:ilvl="0" w:tplc="0426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5" w15:restartNumberingAfterBreak="0">
    <w:nsid w:val="25F143F4"/>
    <w:multiLevelType w:val="hybridMultilevel"/>
    <w:tmpl w:val="7C0E9C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12041"/>
    <w:multiLevelType w:val="hybridMultilevel"/>
    <w:tmpl w:val="236A06DE"/>
    <w:lvl w:ilvl="0" w:tplc="04260009">
      <w:start w:val="1"/>
      <w:numFmt w:val="bullet"/>
      <w:lvlText w:val=""/>
      <w:lvlJc w:val="left"/>
      <w:pPr>
        <w:ind w:left="1502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7" w15:restartNumberingAfterBreak="0">
    <w:nsid w:val="53E0738C"/>
    <w:multiLevelType w:val="hybridMultilevel"/>
    <w:tmpl w:val="420AE496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D79C0"/>
    <w:multiLevelType w:val="hybridMultilevel"/>
    <w:tmpl w:val="06CABB74"/>
    <w:lvl w:ilvl="0" w:tplc="04260009">
      <w:start w:val="1"/>
      <w:numFmt w:val="bullet"/>
      <w:lvlText w:val=""/>
      <w:lvlJc w:val="left"/>
      <w:pPr>
        <w:ind w:left="1502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9" w15:restartNumberingAfterBreak="0">
    <w:nsid w:val="657C1A90"/>
    <w:multiLevelType w:val="hybridMultilevel"/>
    <w:tmpl w:val="6D469C34"/>
    <w:lvl w:ilvl="0" w:tplc="042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 w15:restartNumberingAfterBreak="0">
    <w:nsid w:val="6B600E00"/>
    <w:multiLevelType w:val="hybridMultilevel"/>
    <w:tmpl w:val="9FD09B3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13765"/>
    <w:multiLevelType w:val="hybridMultilevel"/>
    <w:tmpl w:val="D2F6BCC4"/>
    <w:lvl w:ilvl="0" w:tplc="0426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7"/>
  </w:num>
  <w:num w:numId="8">
    <w:abstractNumId w:val="6"/>
  </w:num>
  <w:num w:numId="9">
    <w:abstractNumId w:val="4"/>
  </w:num>
  <w:num w:numId="10">
    <w:abstractNumId w:val="1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674"/>
    <w:rsid w:val="000246A1"/>
    <w:rsid w:val="00054613"/>
    <w:rsid w:val="00091B08"/>
    <w:rsid w:val="000B4F05"/>
    <w:rsid w:val="000D36F3"/>
    <w:rsid w:val="00112BBD"/>
    <w:rsid w:val="00115AD8"/>
    <w:rsid w:val="00115EDF"/>
    <w:rsid w:val="001311DA"/>
    <w:rsid w:val="001520B8"/>
    <w:rsid w:val="001B0C07"/>
    <w:rsid w:val="00204547"/>
    <w:rsid w:val="002431DE"/>
    <w:rsid w:val="00260E9E"/>
    <w:rsid w:val="002C6986"/>
    <w:rsid w:val="002D46E3"/>
    <w:rsid w:val="002E41D3"/>
    <w:rsid w:val="003064C4"/>
    <w:rsid w:val="00326C68"/>
    <w:rsid w:val="00360D54"/>
    <w:rsid w:val="003B5294"/>
    <w:rsid w:val="003B7A06"/>
    <w:rsid w:val="003E7A5A"/>
    <w:rsid w:val="00405C35"/>
    <w:rsid w:val="00454491"/>
    <w:rsid w:val="004D1BAB"/>
    <w:rsid w:val="0051492D"/>
    <w:rsid w:val="00517809"/>
    <w:rsid w:val="005B07CD"/>
    <w:rsid w:val="005B3157"/>
    <w:rsid w:val="005C1D10"/>
    <w:rsid w:val="005E4325"/>
    <w:rsid w:val="00604590"/>
    <w:rsid w:val="00635EDB"/>
    <w:rsid w:val="00667573"/>
    <w:rsid w:val="00693F8A"/>
    <w:rsid w:val="006E4988"/>
    <w:rsid w:val="00725561"/>
    <w:rsid w:val="007275AB"/>
    <w:rsid w:val="00737008"/>
    <w:rsid w:val="007D5E78"/>
    <w:rsid w:val="00827AEE"/>
    <w:rsid w:val="00837D98"/>
    <w:rsid w:val="00877689"/>
    <w:rsid w:val="0088226C"/>
    <w:rsid w:val="0089013A"/>
    <w:rsid w:val="00896674"/>
    <w:rsid w:val="008E6E53"/>
    <w:rsid w:val="00963816"/>
    <w:rsid w:val="009943E1"/>
    <w:rsid w:val="009A40EF"/>
    <w:rsid w:val="009B1A7B"/>
    <w:rsid w:val="009C23A2"/>
    <w:rsid w:val="00A238CF"/>
    <w:rsid w:val="00A84433"/>
    <w:rsid w:val="00AA7754"/>
    <w:rsid w:val="00AF71A8"/>
    <w:rsid w:val="00B02A78"/>
    <w:rsid w:val="00B43895"/>
    <w:rsid w:val="00BB0F90"/>
    <w:rsid w:val="00BD1154"/>
    <w:rsid w:val="00C151A7"/>
    <w:rsid w:val="00C16210"/>
    <w:rsid w:val="00C321DE"/>
    <w:rsid w:val="00C53C87"/>
    <w:rsid w:val="00CA5E90"/>
    <w:rsid w:val="00CB55A9"/>
    <w:rsid w:val="00CD27F2"/>
    <w:rsid w:val="00CE161A"/>
    <w:rsid w:val="00D15532"/>
    <w:rsid w:val="00DB65A1"/>
    <w:rsid w:val="00DD4F52"/>
    <w:rsid w:val="00DD7264"/>
    <w:rsid w:val="00E20DE5"/>
    <w:rsid w:val="00E6258B"/>
    <w:rsid w:val="00E77F1F"/>
    <w:rsid w:val="00E81EC4"/>
    <w:rsid w:val="00ED59E8"/>
    <w:rsid w:val="00F37D97"/>
    <w:rsid w:val="00F7660F"/>
    <w:rsid w:val="00FA52BE"/>
    <w:rsid w:val="00FE08FB"/>
    <w:rsid w:val="00F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C9AFF"/>
  <w15:chartTrackingRefBased/>
  <w15:docId w15:val="{CB43859C-9CEB-4D47-85DF-52C92BD4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0EF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0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3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38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8CF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8CF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CF"/>
    <w:rPr>
      <w:rFonts w:ascii="Segoe UI" w:eastAsia="Calibr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E16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61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E16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61A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15532"/>
    <w:pPr>
      <w:widowControl/>
      <w:spacing w:after="0" w:line="240" w:lineRule="auto"/>
    </w:pPr>
    <w:rPr>
      <w:rFonts w:eastAsiaTheme="minorHAnsi" w:cs="Calibri"/>
      <w:lang w:val="lv-LV"/>
    </w:rPr>
  </w:style>
  <w:style w:type="character" w:customStyle="1" w:styleId="PlainTextChar">
    <w:name w:val="Plain Text Char"/>
    <w:basedOn w:val="DefaultParagraphFont"/>
    <w:link w:val="PlainText"/>
    <w:uiPriority w:val="99"/>
    <w:rsid w:val="00D15532"/>
    <w:rPr>
      <w:rFonts w:ascii="Calibri" w:hAnsi="Calibri" w:cs="Calibri"/>
    </w:rPr>
  </w:style>
  <w:style w:type="character" w:styleId="Hyperlink">
    <w:name w:val="Hyperlink"/>
    <w:uiPriority w:val="99"/>
    <w:unhideWhenUsed/>
    <w:rsid w:val="001311DA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226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8226C"/>
    <w:rPr>
      <w:rFonts w:ascii="Calibri" w:eastAsia="Calibri" w:hAnsi="Calibri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8226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22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226C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8226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822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se.gov.lv/Metodika/Gr&#257;matved&#299;bas%20uzskaite%20%20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ikumi.lv/ta/id/297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A6298-CDFF-4258-A513-C9D1C27D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2699</Words>
  <Characters>1539</Characters>
  <Application>Microsoft Office Word</Application>
  <DocSecurity>4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Zimba</dc:creator>
  <cp:keywords/>
  <dc:description/>
  <cp:lastModifiedBy>Sandija Krūmiņa-Pēkšena</cp:lastModifiedBy>
  <cp:revision>2</cp:revision>
  <cp:lastPrinted>2022-09-14T07:00:00Z</cp:lastPrinted>
  <dcterms:created xsi:type="dcterms:W3CDTF">2022-09-14T08:19:00Z</dcterms:created>
  <dcterms:modified xsi:type="dcterms:W3CDTF">2022-09-14T08:19:00Z</dcterms:modified>
</cp:coreProperties>
</file>