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6E" w:rsidRPr="00274634" w:rsidRDefault="00D71F6E" w:rsidP="00D7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34">
        <w:rPr>
          <w:rFonts w:ascii="Times New Roman" w:hAnsi="Times New Roman" w:cs="Times New Roman"/>
          <w:b/>
          <w:sz w:val="24"/>
          <w:szCs w:val="24"/>
          <w:highlight w:val="lightGray"/>
        </w:rPr>
        <w:t>Mežaudžu uzskaite saskaņā ar gada slēguma inventarizācijas rezultātiem</w:t>
      </w:r>
    </w:p>
    <w:p w:rsidR="00D71F6E" w:rsidRPr="00274634" w:rsidRDefault="00D71F6E" w:rsidP="006E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F6E" w:rsidRPr="00274634" w:rsidRDefault="00D71F6E" w:rsidP="00D71F6E">
      <w:p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Veicot </w:t>
      </w:r>
      <w:r w:rsidRPr="00274634">
        <w:rPr>
          <w:rFonts w:ascii="Times New Roman" w:hAnsi="Times New Roman" w:cs="Times New Roman"/>
          <w:b/>
          <w:sz w:val="24"/>
          <w:szCs w:val="24"/>
        </w:rPr>
        <w:t>gada slēguma inventarizāciju</w:t>
      </w:r>
      <w:r w:rsidRPr="00274634">
        <w:rPr>
          <w:rFonts w:ascii="Times New Roman" w:hAnsi="Times New Roman" w:cs="Times New Roman"/>
          <w:sz w:val="24"/>
          <w:szCs w:val="24"/>
        </w:rPr>
        <w:t>, bud</w:t>
      </w:r>
      <w:bookmarkStart w:id="0" w:name="_GoBack"/>
      <w:bookmarkEnd w:id="0"/>
      <w:r w:rsidRPr="00274634">
        <w:rPr>
          <w:rFonts w:ascii="Times New Roman" w:hAnsi="Times New Roman" w:cs="Times New Roman"/>
          <w:sz w:val="24"/>
          <w:szCs w:val="24"/>
        </w:rPr>
        <w:t>žeta iestāde:</w:t>
      </w:r>
    </w:p>
    <w:p w:rsidR="00D71F6E" w:rsidRPr="00274634" w:rsidRDefault="00D71F6E" w:rsidP="00D71F6E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konstatē aktīva stāvokli un citus rādītājus;</w:t>
      </w:r>
    </w:p>
    <w:p w:rsidR="00D71F6E" w:rsidRDefault="00D71F6E" w:rsidP="00D71F6E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salīdzina grāmatvedības uzskaites datus ar valsts reģistriem par katras mežaudzes platību – datus par mežaudzēm pēc to sākotnējās inventarizācijas salīdzina ar </w:t>
      </w:r>
      <w:r w:rsidR="001B3F5E" w:rsidRPr="001B3F5E">
        <w:rPr>
          <w:rFonts w:ascii="Times New Roman" w:hAnsi="Times New Roman" w:cs="Times New Roman"/>
          <w:sz w:val="24"/>
          <w:szCs w:val="24"/>
        </w:rPr>
        <w:t xml:space="preserve">Meža valsts </w:t>
      </w:r>
      <w:r w:rsidRPr="00274634">
        <w:rPr>
          <w:rFonts w:ascii="Times New Roman" w:hAnsi="Times New Roman" w:cs="Times New Roman"/>
          <w:sz w:val="24"/>
          <w:szCs w:val="24"/>
        </w:rPr>
        <w:t xml:space="preserve">reģistru, par mežaudzēm līdz to sākotnējai inventarizācijai – ar Nekustamā īpašuma valsts kadastra informācijas sistēmu. </w:t>
      </w:r>
    </w:p>
    <w:p w:rsidR="00D71F6E" w:rsidRPr="00274634" w:rsidRDefault="00D71F6E" w:rsidP="00D71F6E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 bilances postenī “Rezerves” ietvertās mežaudžu sākotnējās vērtības pamatojumu.</w:t>
      </w:r>
    </w:p>
    <w:p w:rsidR="00D71F6E" w:rsidRPr="00274634" w:rsidRDefault="00D71F6E" w:rsidP="00D71F6E">
      <w:p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Inventarizācijas komisija pēc datu salīdzināšanas ar valsts reģistru konstatē:</w:t>
      </w:r>
    </w:p>
    <w:p w:rsidR="00D71F6E" w:rsidRPr="00274634" w:rsidRDefault="00FD1F89" w:rsidP="00D71F6E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mežaudzes </w:t>
      </w:r>
      <w:r w:rsidR="00D71F6E" w:rsidRPr="00274634">
        <w:rPr>
          <w:rFonts w:ascii="Times New Roman" w:hAnsi="Times New Roman" w:cs="Times New Roman"/>
          <w:b/>
          <w:sz w:val="24"/>
          <w:szCs w:val="24"/>
        </w:rPr>
        <w:t xml:space="preserve">platība </w:t>
      </w:r>
      <w:r w:rsidR="00D71F6E">
        <w:rPr>
          <w:rFonts w:ascii="Times New Roman" w:hAnsi="Times New Roman" w:cs="Times New Roman"/>
          <w:b/>
          <w:sz w:val="24"/>
          <w:szCs w:val="24"/>
        </w:rPr>
        <w:t>atbilst</w:t>
      </w:r>
      <w:r w:rsidR="00D71F6E" w:rsidRPr="00274634">
        <w:rPr>
          <w:rFonts w:ascii="Times New Roman" w:hAnsi="Times New Roman" w:cs="Times New Roman"/>
          <w:sz w:val="24"/>
          <w:szCs w:val="24"/>
        </w:rPr>
        <w:t xml:space="preserve"> – grāmatvedības uzskaitē izmaiņas na</w:t>
      </w:r>
      <w:r>
        <w:rPr>
          <w:rFonts w:ascii="Times New Roman" w:hAnsi="Times New Roman" w:cs="Times New Roman"/>
          <w:sz w:val="24"/>
          <w:szCs w:val="24"/>
        </w:rPr>
        <w:t>v jāveic;</w:t>
      </w:r>
    </w:p>
    <w:p w:rsidR="00D71F6E" w:rsidRPr="00274634" w:rsidRDefault="00411776" w:rsidP="00D71F6E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mežaudzes</w:t>
      </w:r>
      <w:r w:rsidR="00FD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6E" w:rsidRPr="00274634">
        <w:rPr>
          <w:rFonts w:ascii="Times New Roman" w:hAnsi="Times New Roman" w:cs="Times New Roman"/>
          <w:b/>
          <w:sz w:val="24"/>
          <w:szCs w:val="24"/>
        </w:rPr>
        <w:t>platība atšķiras</w:t>
      </w:r>
      <w:r w:rsidR="00D71F6E" w:rsidRPr="00274634">
        <w:rPr>
          <w:rFonts w:ascii="Times New Roman" w:hAnsi="Times New Roman" w:cs="Times New Roman"/>
          <w:sz w:val="24"/>
          <w:szCs w:val="24"/>
        </w:rPr>
        <w:t>:</w:t>
      </w:r>
    </w:p>
    <w:p w:rsidR="00D71F6E" w:rsidRPr="00274634" w:rsidRDefault="00411776" w:rsidP="00D71F6E">
      <w:pPr>
        <w:pStyle w:val="ListParagraph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776">
        <w:rPr>
          <w:rFonts w:ascii="Times New Roman" w:hAnsi="Times New Roman" w:cs="Times New Roman"/>
          <w:sz w:val="24"/>
          <w:szCs w:val="24"/>
        </w:rPr>
        <w:t xml:space="preserve">ja budžeta iestāde pārskata gadā </w:t>
      </w:r>
      <w:r w:rsidRPr="00411776">
        <w:rPr>
          <w:rFonts w:ascii="Times New Roman" w:hAnsi="Times New Roman" w:cs="Times New Roman"/>
          <w:b/>
          <w:sz w:val="24"/>
          <w:szCs w:val="24"/>
        </w:rPr>
        <w:t>nav veikusi saimnieciskās darbības</w:t>
      </w:r>
      <w:r w:rsidRPr="00411776">
        <w:rPr>
          <w:rFonts w:ascii="Times New Roman" w:hAnsi="Times New Roman" w:cs="Times New Roman"/>
          <w:sz w:val="24"/>
          <w:szCs w:val="24"/>
        </w:rPr>
        <w:t xml:space="preserve">, izvērtē izmaiņu pamatojumu, grāmatvedības uzskaitē saglabā esošo uzskaites vērtību (ja sākotnējā inventarizācija ir veikta) </w:t>
      </w:r>
      <w:r w:rsidR="002A69C6">
        <w:rPr>
          <w:rFonts w:ascii="Times New Roman" w:hAnsi="Times New Roman" w:cs="Times New Roman"/>
          <w:sz w:val="24"/>
          <w:szCs w:val="24"/>
        </w:rPr>
        <w:t xml:space="preserve">un analītisko informāciju </w:t>
      </w:r>
      <w:r w:rsidRPr="00411776">
        <w:rPr>
          <w:rFonts w:ascii="Times New Roman" w:hAnsi="Times New Roman" w:cs="Times New Roman"/>
          <w:sz w:val="24"/>
          <w:szCs w:val="24"/>
        </w:rPr>
        <w:t xml:space="preserve">vai </w:t>
      </w:r>
      <w:r w:rsidR="002A69C6">
        <w:rPr>
          <w:rFonts w:ascii="Times New Roman" w:hAnsi="Times New Roman" w:cs="Times New Roman"/>
          <w:sz w:val="24"/>
          <w:szCs w:val="24"/>
        </w:rPr>
        <w:t>mežaudzi</w:t>
      </w:r>
      <w:r w:rsidR="002A69C6" w:rsidRPr="00411776">
        <w:rPr>
          <w:rFonts w:ascii="Times New Roman" w:hAnsi="Times New Roman" w:cs="Times New Roman"/>
          <w:sz w:val="24"/>
          <w:szCs w:val="24"/>
        </w:rPr>
        <w:t xml:space="preserve"> </w:t>
      </w:r>
      <w:r w:rsidRPr="00411776">
        <w:rPr>
          <w:rFonts w:ascii="Times New Roman" w:hAnsi="Times New Roman" w:cs="Times New Roman"/>
          <w:sz w:val="24"/>
          <w:szCs w:val="24"/>
        </w:rPr>
        <w:t>uzskaita tikai daudzuma vienībās (ja sākotnējā inventarizācija nav veikta)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F6E" w:rsidRPr="00274634" w:rsidRDefault="00D71F6E" w:rsidP="006E0E0E">
      <w:pPr>
        <w:pStyle w:val="ListParagraph"/>
        <w:numPr>
          <w:ilvl w:val="1"/>
          <w:numId w:val="9"/>
        </w:numPr>
        <w:spacing w:after="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ja budžeta iestāde pārskata gadā </w:t>
      </w:r>
      <w:r w:rsidRPr="00274634">
        <w:rPr>
          <w:rFonts w:ascii="Times New Roman" w:hAnsi="Times New Roman" w:cs="Times New Roman"/>
          <w:b/>
          <w:sz w:val="24"/>
          <w:szCs w:val="24"/>
        </w:rPr>
        <w:t>ir veikusi saimnieciskās darbības</w:t>
      </w:r>
      <w:r w:rsidR="0041177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064D">
        <w:rPr>
          <w:rFonts w:ascii="Times New Roman" w:hAnsi="Times New Roman" w:cs="Times New Roman"/>
          <w:b/>
          <w:sz w:val="24"/>
          <w:szCs w:val="24"/>
        </w:rPr>
        <w:t>izņemot mežsaimnieciskās darbības</w:t>
      </w:r>
      <w:r w:rsidR="00411776">
        <w:rPr>
          <w:rFonts w:ascii="Times New Roman" w:hAnsi="Times New Roman" w:cs="Times New Roman"/>
          <w:b/>
          <w:sz w:val="24"/>
          <w:szCs w:val="24"/>
        </w:rPr>
        <w:t>)</w:t>
      </w:r>
      <w:r w:rsidRPr="00274634">
        <w:rPr>
          <w:rFonts w:ascii="Times New Roman" w:hAnsi="Times New Roman" w:cs="Times New Roman"/>
          <w:sz w:val="24"/>
          <w:szCs w:val="24"/>
        </w:rPr>
        <w:t xml:space="preserve">, </w:t>
      </w:r>
      <w:r w:rsidR="00A0064D">
        <w:rPr>
          <w:rFonts w:ascii="Times New Roman" w:hAnsi="Times New Roman" w:cs="Times New Roman"/>
          <w:sz w:val="24"/>
          <w:szCs w:val="24"/>
        </w:rPr>
        <w:t xml:space="preserve">kā rezultātā apvienotas vai sadalītas mežaudzes, </w:t>
      </w:r>
      <w:r w:rsidRPr="00274634">
        <w:rPr>
          <w:rFonts w:ascii="Times New Roman" w:hAnsi="Times New Roman" w:cs="Times New Roman"/>
          <w:sz w:val="24"/>
          <w:szCs w:val="24"/>
        </w:rPr>
        <w:t xml:space="preserve">esošo mežaudzi izslēdz no uzskaites un sākotnēji atzīst jaunu mežaudzi ar </w:t>
      </w:r>
      <w:r w:rsidRPr="00274634">
        <w:rPr>
          <w:rFonts w:ascii="Times New Roman" w:hAnsi="Times New Roman" w:cs="Times New Roman"/>
          <w:b/>
          <w:sz w:val="24"/>
          <w:szCs w:val="24"/>
        </w:rPr>
        <w:t>aktuālo platību un aktuālo</w:t>
      </w:r>
      <w:r w:rsidRPr="00274634">
        <w:rPr>
          <w:rFonts w:ascii="Times New Roman" w:hAnsi="Times New Roman" w:cs="Times New Roman"/>
          <w:sz w:val="24"/>
          <w:szCs w:val="24"/>
        </w:rPr>
        <w:t xml:space="preserve"> Meža valsts reģistrā norādīto pilno </w:t>
      </w:r>
      <w:r w:rsidRPr="00274634">
        <w:rPr>
          <w:rFonts w:ascii="Times New Roman" w:hAnsi="Times New Roman" w:cs="Times New Roman"/>
          <w:b/>
          <w:sz w:val="24"/>
          <w:szCs w:val="24"/>
        </w:rPr>
        <w:t>vērtību</w:t>
      </w:r>
      <w:r w:rsidRPr="00274634">
        <w:rPr>
          <w:rFonts w:ascii="Times New Roman" w:hAnsi="Times New Roman" w:cs="Times New Roman"/>
          <w:sz w:val="24"/>
          <w:szCs w:val="24"/>
        </w:rPr>
        <w:t>:</w:t>
      </w:r>
    </w:p>
    <w:p w:rsidR="006E0E0E" w:rsidRDefault="006E0E0E" w:rsidP="006E0E0E">
      <w:pPr>
        <w:pStyle w:val="ListParagraph"/>
        <w:numPr>
          <w:ilvl w:val="2"/>
          <w:numId w:val="10"/>
        </w:numPr>
        <w:ind w:left="215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izslēdz</w:t>
      </w:r>
      <w:r>
        <w:rPr>
          <w:rFonts w:ascii="Times New Roman" w:hAnsi="Times New Roman" w:cs="Times New Roman"/>
          <w:sz w:val="24"/>
          <w:szCs w:val="24"/>
        </w:rPr>
        <w:tab/>
      </w:r>
      <w:r w:rsidR="00D71F6E" w:rsidRPr="00274634">
        <w:rPr>
          <w:rFonts w:ascii="Times New Roman" w:hAnsi="Times New Roman" w:cs="Times New Roman"/>
          <w:sz w:val="24"/>
          <w:szCs w:val="24"/>
        </w:rPr>
        <w:t xml:space="preserve">D 8611 </w:t>
      </w:r>
    </w:p>
    <w:p w:rsidR="00D71F6E" w:rsidRPr="00274634" w:rsidRDefault="00D71F6E" w:rsidP="006E0E0E">
      <w:pPr>
        <w:pStyle w:val="ListParagraph"/>
        <w:ind w:left="216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1263</w:t>
      </w:r>
    </w:p>
    <w:p w:rsidR="006E0E0E" w:rsidRDefault="00D71F6E" w:rsidP="006E0E0E">
      <w:pPr>
        <w:pStyle w:val="ListParagraph"/>
        <w:numPr>
          <w:ilvl w:val="2"/>
          <w:numId w:val="10"/>
        </w:numPr>
        <w:ind w:left="2154" w:hanging="357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atzīst 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1263 </w:t>
      </w:r>
    </w:p>
    <w:p w:rsidR="00D71F6E" w:rsidRPr="00274634" w:rsidRDefault="00D71F6E" w:rsidP="006E0E0E">
      <w:pPr>
        <w:pStyle w:val="ListParagraph"/>
        <w:ind w:left="216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8581</w:t>
      </w:r>
    </w:p>
    <w:p w:rsidR="00411776" w:rsidRPr="00217D76" w:rsidRDefault="00217D76" w:rsidP="0021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11776" w:rsidRPr="00217D76">
        <w:rPr>
          <w:rFonts w:ascii="Times New Roman" w:hAnsi="Times New Roman" w:cs="Times New Roman"/>
          <w:sz w:val="24"/>
          <w:szCs w:val="24"/>
        </w:rPr>
        <w:t xml:space="preserve">a budžeta iestāde pārskata gadā </w:t>
      </w:r>
      <w:r w:rsidR="00411776" w:rsidRPr="00217D76">
        <w:rPr>
          <w:rFonts w:ascii="Times New Roman" w:hAnsi="Times New Roman" w:cs="Times New Roman"/>
          <w:b/>
          <w:sz w:val="24"/>
          <w:szCs w:val="24"/>
        </w:rPr>
        <w:t xml:space="preserve">ir veikusi </w:t>
      </w:r>
      <w:r w:rsidR="00A0064D" w:rsidRPr="00217D76">
        <w:rPr>
          <w:rFonts w:ascii="Times New Roman" w:hAnsi="Times New Roman" w:cs="Times New Roman"/>
          <w:b/>
          <w:sz w:val="24"/>
          <w:szCs w:val="24"/>
        </w:rPr>
        <w:t>mežsaimniecisk</w:t>
      </w:r>
      <w:r w:rsidRPr="00217D76">
        <w:rPr>
          <w:rFonts w:ascii="Times New Roman" w:hAnsi="Times New Roman" w:cs="Times New Roman"/>
          <w:b/>
          <w:sz w:val="24"/>
          <w:szCs w:val="24"/>
        </w:rPr>
        <w:t>ās</w:t>
      </w:r>
      <w:r w:rsidR="00A0064D" w:rsidRPr="00217D76">
        <w:rPr>
          <w:rFonts w:ascii="Times New Roman" w:hAnsi="Times New Roman" w:cs="Times New Roman"/>
          <w:b/>
          <w:sz w:val="24"/>
          <w:szCs w:val="24"/>
        </w:rPr>
        <w:t xml:space="preserve"> darbīb</w:t>
      </w:r>
      <w:r w:rsidRPr="00217D76">
        <w:rPr>
          <w:rFonts w:ascii="Times New Roman" w:hAnsi="Times New Roman" w:cs="Times New Roman"/>
          <w:b/>
          <w:sz w:val="24"/>
          <w:szCs w:val="24"/>
        </w:rPr>
        <w:t>as</w:t>
      </w:r>
      <w:r w:rsidR="00411776" w:rsidRPr="00217D76">
        <w:rPr>
          <w:rFonts w:ascii="Times New Roman" w:hAnsi="Times New Roman" w:cs="Times New Roman"/>
          <w:sz w:val="24"/>
          <w:szCs w:val="24"/>
        </w:rPr>
        <w:t>, kā rezultātā mežaudze ir izcirsta</w:t>
      </w:r>
      <w:r w:rsidR="00A0064D" w:rsidRPr="00217D76">
        <w:rPr>
          <w:rFonts w:ascii="Times New Roman" w:hAnsi="Times New Roman" w:cs="Times New Roman"/>
          <w:sz w:val="24"/>
          <w:szCs w:val="24"/>
        </w:rPr>
        <w:t xml:space="preserve"> visā atļautajā platībā</w:t>
      </w:r>
      <w:r w:rsidR="00411776" w:rsidRPr="00217D76">
        <w:rPr>
          <w:rFonts w:ascii="Times New Roman" w:hAnsi="Times New Roman" w:cs="Times New Roman"/>
          <w:sz w:val="24"/>
          <w:szCs w:val="24"/>
        </w:rPr>
        <w:t>, to izslēdz no uzskaites:</w:t>
      </w:r>
    </w:p>
    <w:p w:rsidR="00411776" w:rsidRDefault="00411776" w:rsidP="00217D76">
      <w:pPr>
        <w:pStyle w:val="ListParagraph"/>
        <w:numPr>
          <w:ilvl w:val="2"/>
          <w:numId w:val="9"/>
        </w:numPr>
        <w:spacing w:after="0"/>
        <w:ind w:left="2154" w:hanging="357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D 8611 </w:t>
      </w:r>
    </w:p>
    <w:p w:rsidR="00411776" w:rsidRPr="00411776" w:rsidRDefault="00411776" w:rsidP="00217D76">
      <w:pPr>
        <w:ind w:left="143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11776">
        <w:rPr>
          <w:rFonts w:ascii="Times New Roman" w:hAnsi="Times New Roman" w:cs="Times New Roman"/>
          <w:sz w:val="24"/>
          <w:szCs w:val="24"/>
        </w:rPr>
        <w:t xml:space="preserve"> 1263</w:t>
      </w:r>
    </w:p>
    <w:p w:rsidR="00F625FC" w:rsidRDefault="00F625FC" w:rsidP="0041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Izslēdzot mežaudzi no uzskaites, vienlaicīgi izslēdz arī pārējās rezervēs uzskaitīto mežaudzes sākotnējo vērtību:</w:t>
      </w:r>
    </w:p>
    <w:p w:rsidR="003D4892" w:rsidRDefault="00F625FC" w:rsidP="003D489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892">
        <w:rPr>
          <w:rFonts w:ascii="Times New Roman" w:hAnsi="Times New Roman" w:cs="Times New Roman"/>
          <w:sz w:val="24"/>
          <w:szCs w:val="24"/>
        </w:rPr>
        <w:t xml:space="preserve">D 3360 </w:t>
      </w:r>
    </w:p>
    <w:p w:rsidR="00F625FC" w:rsidRPr="003D4892" w:rsidRDefault="00F625FC" w:rsidP="003D4892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D4892">
        <w:rPr>
          <w:rFonts w:ascii="Times New Roman" w:hAnsi="Times New Roman" w:cs="Times New Roman"/>
          <w:sz w:val="24"/>
          <w:szCs w:val="24"/>
        </w:rPr>
        <w:t>K 8</w:t>
      </w:r>
      <w:r w:rsidR="00A0064D" w:rsidRPr="003D4892">
        <w:rPr>
          <w:rFonts w:ascii="Times New Roman" w:hAnsi="Times New Roman" w:cs="Times New Roman"/>
          <w:sz w:val="24"/>
          <w:szCs w:val="24"/>
        </w:rPr>
        <w:t>599</w:t>
      </w:r>
      <w:r w:rsidRPr="003D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76" w:rsidRDefault="00217D76" w:rsidP="0041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6E" w:rsidRPr="00411776" w:rsidRDefault="00411776" w:rsidP="0041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1F6E" w:rsidRPr="00411776">
        <w:rPr>
          <w:rFonts w:ascii="Times New Roman" w:hAnsi="Times New Roman" w:cs="Times New Roman"/>
          <w:sz w:val="24"/>
          <w:szCs w:val="24"/>
        </w:rPr>
        <w:t>ēc Meža likumā noteiktās mežaudzes</w:t>
      </w:r>
      <w:r w:rsidR="00D71F6E" w:rsidRPr="00411776">
        <w:rPr>
          <w:rFonts w:ascii="Times New Roman" w:hAnsi="Times New Roman" w:cs="Times New Roman"/>
          <w:b/>
          <w:sz w:val="24"/>
          <w:szCs w:val="24"/>
        </w:rPr>
        <w:t xml:space="preserve"> sākotnējās inventarizācijas</w:t>
      </w:r>
      <w:r w:rsidR="00D71F6E" w:rsidRPr="00411776">
        <w:rPr>
          <w:rFonts w:ascii="Times New Roman" w:hAnsi="Times New Roman" w:cs="Times New Roman"/>
          <w:sz w:val="24"/>
          <w:szCs w:val="24"/>
        </w:rPr>
        <w:t xml:space="preserve"> to atzīst uzskaitē atbilstoši izziņā par mežaudzes novērtēšanu norādītai informācijai:</w:t>
      </w:r>
    </w:p>
    <w:p w:rsidR="006E0E0E" w:rsidRDefault="00D71F6E" w:rsidP="00217D76">
      <w:pPr>
        <w:pStyle w:val="ListParagraph"/>
        <w:numPr>
          <w:ilvl w:val="2"/>
          <w:numId w:val="11"/>
        </w:numPr>
        <w:spacing w:after="0"/>
        <w:ind w:left="2154" w:hanging="357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atzīst 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1263 </w:t>
      </w:r>
    </w:p>
    <w:p w:rsidR="00D71F6E" w:rsidRDefault="00D71F6E" w:rsidP="006E0E0E">
      <w:pPr>
        <w:pStyle w:val="ListParagraph"/>
        <w:ind w:left="216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8581</w:t>
      </w:r>
    </w:p>
    <w:p w:rsidR="00D71F6E" w:rsidRPr="00274634" w:rsidRDefault="00D71F6E" w:rsidP="006E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lastRenderedPageBreak/>
        <w:t xml:space="preserve">Veicot mežaudzes </w:t>
      </w:r>
      <w:r w:rsidRPr="00274634">
        <w:rPr>
          <w:rFonts w:ascii="Times New Roman" w:hAnsi="Times New Roman" w:cs="Times New Roman"/>
          <w:b/>
          <w:sz w:val="24"/>
          <w:szCs w:val="24"/>
        </w:rPr>
        <w:t>atkārtotu inventarizāciju</w:t>
      </w:r>
      <w:r w:rsidRPr="00274634">
        <w:rPr>
          <w:rFonts w:ascii="Times New Roman" w:hAnsi="Times New Roman" w:cs="Times New Roman"/>
          <w:sz w:val="24"/>
          <w:szCs w:val="24"/>
        </w:rPr>
        <w:t xml:space="preserve"> saskaņā ar Meža likumu, mežaudzes uzskaites vērtību aktualizē:</w:t>
      </w:r>
    </w:p>
    <w:p w:rsidR="006E0E0E" w:rsidRDefault="00D71F6E" w:rsidP="006E0E0E">
      <w:pPr>
        <w:pStyle w:val="ListParagraph"/>
        <w:numPr>
          <w:ilvl w:val="0"/>
          <w:numId w:val="12"/>
        </w:numPr>
        <w:ind w:left="2154" w:hanging="357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palielinājums 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1263 </w:t>
      </w:r>
    </w:p>
    <w:p w:rsidR="00D71F6E" w:rsidRPr="00274634" w:rsidRDefault="00D71F6E" w:rsidP="006E0E0E">
      <w:pPr>
        <w:pStyle w:val="ListParagraph"/>
        <w:ind w:left="288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8591</w:t>
      </w:r>
    </w:p>
    <w:p w:rsidR="006E0E0E" w:rsidRDefault="00D71F6E" w:rsidP="006E0E0E">
      <w:pPr>
        <w:pStyle w:val="ListParagraph"/>
        <w:numPr>
          <w:ilvl w:val="0"/>
          <w:numId w:val="12"/>
        </w:numPr>
        <w:spacing w:after="0"/>
        <w:ind w:left="2154" w:hanging="357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samazinājums 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8699 </w:t>
      </w:r>
    </w:p>
    <w:p w:rsidR="00D71F6E" w:rsidRPr="006E0E0E" w:rsidRDefault="00D71F6E" w:rsidP="006E0E0E">
      <w:pPr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6E0E0E">
        <w:rPr>
          <w:rFonts w:ascii="Times New Roman" w:hAnsi="Times New Roman" w:cs="Times New Roman"/>
          <w:sz w:val="24"/>
          <w:szCs w:val="24"/>
        </w:rPr>
        <w:t>K 1263</w:t>
      </w:r>
    </w:p>
    <w:p w:rsidR="00D71F6E" w:rsidRPr="00274634" w:rsidRDefault="00D71F6E" w:rsidP="00D71F6E">
      <w:pPr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Gada pārskatā attiecīgā bilances posteņa skaidrojumā atklāj informāciju par būtiskiem darījumiem, kā arī kļūdu labojumiem.</w:t>
      </w:r>
    </w:p>
    <w:p w:rsidR="00D71F6E" w:rsidRDefault="00D71F6E" w:rsidP="00043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43390" w:rsidRPr="00274634" w:rsidRDefault="000E7A8C" w:rsidP="00043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4634">
        <w:rPr>
          <w:rFonts w:ascii="Times New Roman" w:hAnsi="Times New Roman" w:cs="Times New Roman"/>
          <w:b/>
          <w:sz w:val="24"/>
          <w:szCs w:val="24"/>
          <w:highlight w:val="lightGray"/>
        </w:rPr>
        <w:t>Z</w:t>
      </w:r>
      <w:r w:rsidR="002E2BC9" w:rsidRPr="0027463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emes </w:t>
      </w:r>
      <w:r w:rsidR="00F04D4C" w:rsidRPr="00274634">
        <w:rPr>
          <w:rFonts w:ascii="Times New Roman" w:hAnsi="Times New Roman" w:cs="Times New Roman"/>
          <w:b/>
          <w:sz w:val="24"/>
          <w:szCs w:val="24"/>
          <w:highlight w:val="lightGray"/>
        </w:rPr>
        <w:t>uzskaite pārskata gadā un saskaņā ar gada slēguma inventarizācijas rezultātiem</w:t>
      </w:r>
    </w:p>
    <w:p w:rsidR="00E034CB" w:rsidRPr="00274634" w:rsidRDefault="002E2BC9" w:rsidP="00043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3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2017.gadā un 2018.gadā</w:t>
      </w:r>
    </w:p>
    <w:p w:rsidR="00F04D4C" w:rsidRPr="00274634" w:rsidRDefault="00F04D4C" w:rsidP="00F04D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Budžeta iestādes </w:t>
      </w:r>
      <w:r w:rsidR="00F44328" w:rsidRPr="00274634">
        <w:rPr>
          <w:rFonts w:ascii="Times New Roman" w:hAnsi="Times New Roman" w:cs="Times New Roman"/>
          <w:sz w:val="24"/>
          <w:szCs w:val="24"/>
        </w:rPr>
        <w:t>iekšējos normatīvos aktos</w:t>
      </w:r>
      <w:r w:rsidRPr="00274634">
        <w:rPr>
          <w:rFonts w:ascii="Times New Roman" w:hAnsi="Times New Roman" w:cs="Times New Roman"/>
          <w:sz w:val="24"/>
          <w:szCs w:val="24"/>
        </w:rPr>
        <w:t xml:space="preserve"> nosaka:</w:t>
      </w:r>
    </w:p>
    <w:p w:rsidR="00F44328" w:rsidRPr="00274634" w:rsidRDefault="00F44328" w:rsidP="00F44328">
      <w:pPr>
        <w:spacing w:after="12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74634">
        <w:rPr>
          <w:rFonts w:ascii="Times New Roman" w:hAnsi="Times New Roman" w:cs="Times New Roman"/>
          <w:i/>
          <w:sz w:val="24"/>
          <w:szCs w:val="24"/>
        </w:rPr>
        <w:t>Inventarizācijas kārtību:</w:t>
      </w:r>
    </w:p>
    <w:p w:rsidR="00F04D4C" w:rsidRPr="00274634" w:rsidRDefault="00D21C19" w:rsidP="00F04D4C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i</w:t>
      </w:r>
      <w:r w:rsidR="00F04D4C" w:rsidRPr="00274634">
        <w:rPr>
          <w:rFonts w:ascii="Times New Roman" w:hAnsi="Times New Roman" w:cs="Times New Roman"/>
          <w:sz w:val="24"/>
          <w:szCs w:val="24"/>
        </w:rPr>
        <w:t>nventarizācijas termiņu un komisijas sastāvu</w:t>
      </w:r>
      <w:r w:rsidR="00274634">
        <w:rPr>
          <w:rFonts w:ascii="Times New Roman" w:hAnsi="Times New Roman" w:cs="Times New Roman"/>
          <w:sz w:val="24"/>
          <w:szCs w:val="24"/>
        </w:rPr>
        <w:t>,</w:t>
      </w:r>
    </w:p>
    <w:p w:rsidR="00F04D4C" w:rsidRPr="00274634" w:rsidRDefault="00F04D4C" w:rsidP="00F04D4C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inventarizācijas komisijas veicamās </w:t>
      </w:r>
      <w:r w:rsidRPr="00274634">
        <w:rPr>
          <w:rFonts w:ascii="Times New Roman" w:hAnsi="Times New Roman" w:cs="Times New Roman"/>
          <w:b/>
          <w:sz w:val="24"/>
          <w:szCs w:val="24"/>
        </w:rPr>
        <w:t>pārbaudes</w:t>
      </w:r>
      <w:r w:rsidRPr="00274634">
        <w:rPr>
          <w:rFonts w:ascii="Times New Roman" w:hAnsi="Times New Roman" w:cs="Times New Roman"/>
          <w:sz w:val="24"/>
          <w:szCs w:val="24"/>
        </w:rPr>
        <w:t xml:space="preserve"> (kadastra </w:t>
      </w:r>
      <w:r w:rsidR="00B12834">
        <w:rPr>
          <w:rFonts w:ascii="Times New Roman" w:hAnsi="Times New Roman" w:cs="Times New Roman"/>
          <w:sz w:val="24"/>
          <w:szCs w:val="24"/>
        </w:rPr>
        <w:t>apz</w:t>
      </w:r>
      <w:r w:rsidR="00640CF4">
        <w:rPr>
          <w:rFonts w:ascii="Times New Roman" w:hAnsi="Times New Roman" w:cs="Times New Roman"/>
          <w:sz w:val="24"/>
          <w:szCs w:val="24"/>
        </w:rPr>
        <w:t>ī</w:t>
      </w:r>
      <w:r w:rsidR="00B12834">
        <w:rPr>
          <w:rFonts w:ascii="Times New Roman" w:hAnsi="Times New Roman" w:cs="Times New Roman"/>
          <w:sz w:val="24"/>
          <w:szCs w:val="24"/>
        </w:rPr>
        <w:t>mējums</w:t>
      </w:r>
      <w:r w:rsidRPr="00274634">
        <w:rPr>
          <w:rFonts w:ascii="Times New Roman" w:hAnsi="Times New Roman" w:cs="Times New Roman"/>
          <w:sz w:val="24"/>
          <w:szCs w:val="24"/>
        </w:rPr>
        <w:t>, platība, citi dati pēc nepieciešamības).</w:t>
      </w:r>
    </w:p>
    <w:p w:rsidR="00F44328" w:rsidRPr="00274634" w:rsidRDefault="00F44328" w:rsidP="00F44328">
      <w:pPr>
        <w:spacing w:after="12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74634">
        <w:rPr>
          <w:rFonts w:ascii="Times New Roman" w:hAnsi="Times New Roman" w:cs="Times New Roman"/>
          <w:i/>
          <w:sz w:val="24"/>
          <w:szCs w:val="24"/>
        </w:rPr>
        <w:t>Grāmatvedības uzskaites kārtību:</w:t>
      </w:r>
    </w:p>
    <w:p w:rsidR="00F04D4C" w:rsidRPr="00274634" w:rsidRDefault="00F04D4C" w:rsidP="0027463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b/>
          <w:sz w:val="24"/>
          <w:szCs w:val="24"/>
        </w:rPr>
        <w:t>būtiskuma līmeni</w:t>
      </w:r>
      <w:r w:rsidRPr="00274634">
        <w:rPr>
          <w:rFonts w:ascii="Times New Roman" w:hAnsi="Times New Roman" w:cs="Times New Roman"/>
          <w:sz w:val="24"/>
          <w:szCs w:val="24"/>
        </w:rPr>
        <w:t xml:space="preserve"> korekciju veikšanai, ja inventarizācijas komisija konstatē zemes vienību platības atšķirības</w:t>
      </w:r>
      <w:r w:rsidR="00677CD1" w:rsidRPr="00274634">
        <w:rPr>
          <w:rFonts w:ascii="Times New Roman" w:hAnsi="Times New Roman" w:cs="Times New Roman"/>
          <w:sz w:val="24"/>
          <w:szCs w:val="24"/>
        </w:rPr>
        <w:t xml:space="preserve"> grāmatvedības uzskaitē un Nekustamā īpašuma valsts kadastra informācijas sistēmā</w:t>
      </w:r>
      <w:r w:rsidRPr="00274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D4C" w:rsidRPr="00274634" w:rsidRDefault="00F04D4C" w:rsidP="00F04D4C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Būtiskuma līmeni var noteikt</w:t>
      </w:r>
      <w:r w:rsidR="00677CD1" w:rsidRPr="00274634">
        <w:rPr>
          <w:rFonts w:ascii="Times New Roman" w:hAnsi="Times New Roman" w:cs="Times New Roman"/>
          <w:sz w:val="24"/>
          <w:szCs w:val="24"/>
        </w:rPr>
        <w:t>, izvēloties vienu kritēriju vai vairāku kritēriju kombināciju</w:t>
      </w:r>
      <w:r w:rsidRPr="00274634">
        <w:rPr>
          <w:rFonts w:ascii="Times New Roman" w:hAnsi="Times New Roman" w:cs="Times New Roman"/>
          <w:sz w:val="24"/>
          <w:szCs w:val="24"/>
        </w:rPr>
        <w:t>:</w:t>
      </w:r>
    </w:p>
    <w:p w:rsidR="00EF53AA" w:rsidRDefault="00217D76" w:rsidP="00217D76">
      <w:pPr>
        <w:numPr>
          <w:ilvl w:val="1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F53AA" w:rsidRPr="00274634">
        <w:rPr>
          <w:rFonts w:ascii="Times New Roman" w:hAnsi="Times New Roman" w:cs="Times New Roman"/>
          <w:sz w:val="24"/>
          <w:szCs w:val="24"/>
        </w:rPr>
        <w:t>ūtiskuma līmeni var noteikt “0” apmērā – koriģē vi</w:t>
      </w:r>
      <w:r w:rsidR="00EF53AA">
        <w:rPr>
          <w:rFonts w:ascii="Times New Roman" w:hAnsi="Times New Roman" w:cs="Times New Roman"/>
          <w:sz w:val="24"/>
          <w:szCs w:val="24"/>
        </w:rPr>
        <w:t>sas atšķirības;</w:t>
      </w:r>
    </w:p>
    <w:p w:rsidR="00F04D4C" w:rsidRPr="00274634" w:rsidRDefault="00F44328" w:rsidP="00217D76">
      <w:pPr>
        <w:numPr>
          <w:ilvl w:val="1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p</w:t>
      </w:r>
      <w:r w:rsidR="00677CD1" w:rsidRPr="00274634">
        <w:rPr>
          <w:rFonts w:ascii="Times New Roman" w:hAnsi="Times New Roman" w:cs="Times New Roman"/>
          <w:sz w:val="24"/>
          <w:szCs w:val="24"/>
        </w:rPr>
        <w:t>latības atšķirības</w:t>
      </w:r>
      <w:r w:rsidR="00F04D4C" w:rsidRPr="00274634">
        <w:rPr>
          <w:rFonts w:ascii="Times New Roman" w:hAnsi="Times New Roman" w:cs="Times New Roman"/>
          <w:sz w:val="24"/>
          <w:szCs w:val="24"/>
        </w:rPr>
        <w:t xml:space="preserve"> – katrai zemes vienībai atsevišķi vai visu kadastrālā vērtībā atzītu zemes vienību kopsummai;</w:t>
      </w:r>
    </w:p>
    <w:p w:rsidR="00F04D4C" w:rsidRPr="00274634" w:rsidRDefault="00F44328" w:rsidP="00217D76">
      <w:pPr>
        <w:numPr>
          <w:ilvl w:val="1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</w:t>
      </w:r>
      <w:r w:rsidR="00677CD1" w:rsidRPr="00274634">
        <w:rPr>
          <w:rFonts w:ascii="Times New Roman" w:hAnsi="Times New Roman" w:cs="Times New Roman"/>
          <w:sz w:val="24"/>
          <w:szCs w:val="24"/>
        </w:rPr>
        <w:t>adastrālās vērtības atšķirības</w:t>
      </w:r>
      <w:r w:rsidR="00F04D4C" w:rsidRPr="00274634">
        <w:rPr>
          <w:rFonts w:ascii="Times New Roman" w:hAnsi="Times New Roman" w:cs="Times New Roman"/>
          <w:sz w:val="24"/>
          <w:szCs w:val="24"/>
        </w:rPr>
        <w:t xml:space="preserve"> – katrai zemes vienībai atsevišķi vai visu kadastrālā vērtībā atzītu zemes vienību kopsummai.</w:t>
      </w:r>
      <w:r w:rsidR="00677CD1" w:rsidRPr="00274634">
        <w:rPr>
          <w:rFonts w:ascii="Times New Roman" w:hAnsi="Times New Roman" w:cs="Times New Roman"/>
          <w:sz w:val="24"/>
          <w:szCs w:val="24"/>
        </w:rPr>
        <w:t xml:space="preserve"> Šo kritēriju piemēro tikai tad, ja inventarizācijā konsta</w:t>
      </w:r>
      <w:r w:rsidR="00217D76">
        <w:rPr>
          <w:rFonts w:ascii="Times New Roman" w:hAnsi="Times New Roman" w:cs="Times New Roman"/>
          <w:sz w:val="24"/>
          <w:szCs w:val="24"/>
        </w:rPr>
        <w:t>tētas zemes platības atšķirības;</w:t>
      </w:r>
    </w:p>
    <w:p w:rsidR="00F04D4C" w:rsidRPr="00274634" w:rsidRDefault="00217D76" w:rsidP="00F04D4C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grāmatojumus;</w:t>
      </w:r>
    </w:p>
    <w:p w:rsidR="00F04D4C" w:rsidRDefault="00F04D4C" w:rsidP="00F04D4C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attaisnojuma dokumentus.</w:t>
      </w:r>
    </w:p>
    <w:p w:rsidR="002A69C6" w:rsidRDefault="002A69C6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40CF4" w:rsidRDefault="00640CF4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40CF4" w:rsidRDefault="00640CF4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40CF4" w:rsidRDefault="00640CF4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40CF4" w:rsidRDefault="00640CF4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40CF4" w:rsidRDefault="00640CF4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40CF4" w:rsidRPr="00274634" w:rsidRDefault="00640CF4" w:rsidP="00217D7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E277CF" w:rsidRPr="00274634" w:rsidRDefault="00E277CF">
      <w:p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noProof/>
          <w:sz w:val="24"/>
          <w:szCs w:val="24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BB6B" wp14:editId="2425E80A">
                <wp:simplePos x="0" y="0"/>
                <wp:positionH relativeFrom="column">
                  <wp:posOffset>549910</wp:posOffset>
                </wp:positionH>
                <wp:positionV relativeFrom="paragraph">
                  <wp:posOffset>52705</wp:posOffset>
                </wp:positionV>
                <wp:extent cx="4337685" cy="548640"/>
                <wp:effectExtent l="0" t="0" r="2476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685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8C" w:rsidRDefault="000E7A8C" w:rsidP="000E7A8C">
                            <w:pPr>
                              <w:jc w:val="center"/>
                            </w:pPr>
                            <w:r>
                              <w:t xml:space="preserve">Izmaiņas grāmatvedības uzskaitē atbilstoši </w:t>
                            </w:r>
                            <w:r w:rsidR="00E277CF">
                              <w:t>zemes sākotnējās atzīšanas vērtības veidam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3pt;margin-top:4.15pt;width:341.55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" fillcolor="white [3201]" strokecolor="#4f81bd [3204]" strokeweight="2pt">
                <v:textbox>
                  <w:txbxContent>
                    <w:p w:rsidR="000E7A8C" w:rsidRDefault="000E7A8C" w:rsidP="000E7A8C">
                      <w:pPr>
                        <w:jc w:val="center"/>
                      </w:pPr>
                      <w:r>
                        <w:t xml:space="preserve">Izmaiņas grāmatvedības uzskaitē atbilstoši </w:t>
                      </w:r>
                      <w:r w:rsidR="00E277CF">
                        <w:t>zemes sākotnējās atzīšanas vērtības veidam</w:t>
                      </w:r>
                    </w:p>
                  </w:txbxContent>
                </v:textbox>
              </v:rect>
            </w:pict>
          </mc:Fallback>
        </mc:AlternateContent>
      </w:r>
    </w:p>
    <w:p w:rsidR="00E277CF" w:rsidRPr="00274634" w:rsidRDefault="00E277CF">
      <w:pPr>
        <w:rPr>
          <w:rFonts w:ascii="Times New Roman" w:hAnsi="Times New Roman" w:cs="Times New Roman"/>
          <w:sz w:val="24"/>
          <w:szCs w:val="24"/>
        </w:rPr>
      </w:pPr>
    </w:p>
    <w:p w:rsidR="000E7A8C" w:rsidRPr="00274634" w:rsidRDefault="000E7A8C" w:rsidP="000E7A8C">
      <w:pPr>
        <w:keepNext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D439E53" wp14:editId="061DB610">
            <wp:extent cx="5486400" cy="1484986"/>
            <wp:effectExtent l="38100" t="38100" r="76200" b="774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277CF" w:rsidRPr="00274634" w:rsidRDefault="00E277CF">
      <w:pPr>
        <w:rPr>
          <w:rFonts w:ascii="Times New Roman" w:hAnsi="Times New Roman" w:cs="Times New Roman"/>
          <w:b/>
          <w:sz w:val="24"/>
          <w:szCs w:val="24"/>
        </w:rPr>
      </w:pPr>
      <w:r w:rsidRPr="00274634">
        <w:rPr>
          <w:rFonts w:ascii="Times New Roman" w:hAnsi="Times New Roman" w:cs="Times New Roman"/>
          <w:b/>
          <w:sz w:val="24"/>
          <w:szCs w:val="24"/>
        </w:rPr>
        <w:t xml:space="preserve">Kadastrālā vērtībā sākotnēji atzītas </w:t>
      </w:r>
      <w:r w:rsidRPr="00274634">
        <w:rPr>
          <w:rFonts w:ascii="Times New Roman" w:hAnsi="Times New Roman" w:cs="Times New Roman"/>
          <w:b/>
          <w:sz w:val="24"/>
          <w:szCs w:val="24"/>
          <w:u w:val="single"/>
        </w:rPr>
        <w:t>zemes</w:t>
      </w:r>
      <w:r w:rsidRPr="00274634">
        <w:rPr>
          <w:rFonts w:ascii="Times New Roman" w:hAnsi="Times New Roman" w:cs="Times New Roman"/>
          <w:b/>
          <w:sz w:val="24"/>
          <w:szCs w:val="24"/>
        </w:rPr>
        <w:t xml:space="preserve"> uzskaite</w:t>
      </w:r>
    </w:p>
    <w:p w:rsidR="00F44328" w:rsidRPr="00274634" w:rsidRDefault="00F04D4C" w:rsidP="00F04D4C">
      <w:p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Veicot </w:t>
      </w:r>
      <w:r w:rsidRPr="00274634">
        <w:rPr>
          <w:rFonts w:ascii="Times New Roman" w:hAnsi="Times New Roman" w:cs="Times New Roman"/>
          <w:b/>
          <w:sz w:val="24"/>
          <w:szCs w:val="24"/>
        </w:rPr>
        <w:t>gada slēguma inventarizāciju</w:t>
      </w:r>
      <w:r w:rsidRPr="00274634">
        <w:rPr>
          <w:rFonts w:ascii="Times New Roman" w:hAnsi="Times New Roman" w:cs="Times New Roman"/>
          <w:sz w:val="24"/>
          <w:szCs w:val="24"/>
        </w:rPr>
        <w:t>, budžeta iestāde</w:t>
      </w:r>
      <w:r w:rsidR="00F44328" w:rsidRPr="00274634">
        <w:rPr>
          <w:rFonts w:ascii="Times New Roman" w:hAnsi="Times New Roman" w:cs="Times New Roman"/>
          <w:sz w:val="24"/>
          <w:szCs w:val="24"/>
        </w:rPr>
        <w:t>:</w:t>
      </w:r>
    </w:p>
    <w:p w:rsidR="00F44328" w:rsidRPr="00274634" w:rsidRDefault="00F44328" w:rsidP="00F44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konstatē aktīva stāvokli un citus rādītājus.</w:t>
      </w:r>
      <w:r w:rsidR="00677CD1" w:rsidRPr="00274634">
        <w:rPr>
          <w:rFonts w:ascii="Times New Roman" w:hAnsi="Times New Roman" w:cs="Times New Roman"/>
          <w:sz w:val="24"/>
          <w:szCs w:val="24"/>
        </w:rPr>
        <w:t xml:space="preserve"> Pārbaudi veic dokumentāli</w:t>
      </w:r>
      <w:r w:rsidR="0073188E" w:rsidRPr="00274634">
        <w:rPr>
          <w:rFonts w:ascii="Times New Roman" w:hAnsi="Times New Roman" w:cs="Times New Roman"/>
          <w:sz w:val="24"/>
          <w:szCs w:val="24"/>
        </w:rPr>
        <w:t>;</w:t>
      </w:r>
    </w:p>
    <w:p w:rsidR="00F04D4C" w:rsidRPr="00274634" w:rsidRDefault="00F04D4C" w:rsidP="00217D7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salīdzina grāmatvedības uzskaites datus ar Nekustamā īpašuma valsts kadastra informācijas sistēmas </w:t>
      </w:r>
      <w:r w:rsidR="00F44328" w:rsidRPr="00274634">
        <w:rPr>
          <w:rFonts w:ascii="Times New Roman" w:hAnsi="Times New Roman" w:cs="Times New Roman"/>
          <w:sz w:val="24"/>
          <w:szCs w:val="24"/>
        </w:rPr>
        <w:t xml:space="preserve">(turpmāk – valsts reģistrs) </w:t>
      </w:r>
      <w:r w:rsidRPr="00274634">
        <w:rPr>
          <w:rFonts w:ascii="Times New Roman" w:hAnsi="Times New Roman" w:cs="Times New Roman"/>
          <w:sz w:val="24"/>
          <w:szCs w:val="24"/>
        </w:rPr>
        <w:t xml:space="preserve">datiem </w:t>
      </w:r>
      <w:r w:rsidRPr="00274634">
        <w:rPr>
          <w:rFonts w:ascii="Times New Roman" w:hAnsi="Times New Roman" w:cs="Times New Roman"/>
          <w:sz w:val="24"/>
          <w:szCs w:val="24"/>
          <w:u w:val="single"/>
        </w:rPr>
        <w:t>par katras zemes vienības platību</w:t>
      </w:r>
      <w:r w:rsidRPr="00274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390" w:rsidRPr="00274634" w:rsidRDefault="00043390">
      <w:pPr>
        <w:rPr>
          <w:rFonts w:ascii="Times New Roman" w:hAnsi="Times New Roman" w:cs="Times New Roman"/>
          <w:sz w:val="24"/>
          <w:szCs w:val="24"/>
        </w:rPr>
      </w:pPr>
    </w:p>
    <w:p w:rsidR="002E2BC9" w:rsidRPr="00274634" w:rsidRDefault="002E71B7">
      <w:p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Inventarizācijas komisija</w:t>
      </w:r>
      <w:r w:rsidR="00F44328" w:rsidRPr="00274634">
        <w:rPr>
          <w:rFonts w:ascii="Times New Roman" w:hAnsi="Times New Roman" w:cs="Times New Roman"/>
          <w:sz w:val="24"/>
          <w:szCs w:val="24"/>
        </w:rPr>
        <w:t xml:space="preserve"> pēc datu salīdzināšanas ar valsts reģistru</w:t>
      </w:r>
      <w:r w:rsidRPr="00274634">
        <w:rPr>
          <w:rFonts w:ascii="Times New Roman" w:hAnsi="Times New Roman" w:cs="Times New Roman"/>
          <w:sz w:val="24"/>
          <w:szCs w:val="24"/>
        </w:rPr>
        <w:t xml:space="preserve"> konstatē:</w:t>
      </w:r>
    </w:p>
    <w:p w:rsidR="002E2BC9" w:rsidRPr="00274634" w:rsidRDefault="002E71B7" w:rsidP="001912D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platība </w:t>
      </w:r>
      <w:r w:rsidR="00274634">
        <w:rPr>
          <w:rFonts w:ascii="Times New Roman" w:hAnsi="Times New Roman" w:cs="Times New Roman"/>
          <w:sz w:val="24"/>
          <w:szCs w:val="24"/>
        </w:rPr>
        <w:t>atbilst</w:t>
      </w:r>
      <w:r w:rsidRPr="00274634">
        <w:rPr>
          <w:rFonts w:ascii="Times New Roman" w:hAnsi="Times New Roman" w:cs="Times New Roman"/>
          <w:sz w:val="24"/>
          <w:szCs w:val="24"/>
        </w:rPr>
        <w:t xml:space="preserve"> – grāmatvedīb</w:t>
      </w:r>
      <w:r w:rsidR="00217D76">
        <w:rPr>
          <w:rFonts w:ascii="Times New Roman" w:hAnsi="Times New Roman" w:cs="Times New Roman"/>
          <w:sz w:val="24"/>
          <w:szCs w:val="24"/>
        </w:rPr>
        <w:t>as uzskaitē izmaiņas nav jāveic;</w:t>
      </w:r>
    </w:p>
    <w:p w:rsidR="002E2BC9" w:rsidRPr="00274634" w:rsidRDefault="002E2BC9" w:rsidP="00217D76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b/>
          <w:sz w:val="24"/>
          <w:szCs w:val="24"/>
        </w:rPr>
        <w:t xml:space="preserve">platība </w:t>
      </w:r>
      <w:r w:rsidR="002E71B7" w:rsidRPr="00274634">
        <w:rPr>
          <w:rFonts w:ascii="Times New Roman" w:hAnsi="Times New Roman" w:cs="Times New Roman"/>
          <w:b/>
          <w:sz w:val="24"/>
          <w:szCs w:val="24"/>
        </w:rPr>
        <w:t>atšķiras</w:t>
      </w:r>
      <w:r w:rsidR="002E71B7" w:rsidRPr="00274634">
        <w:rPr>
          <w:rFonts w:ascii="Times New Roman" w:hAnsi="Times New Roman" w:cs="Times New Roman"/>
          <w:sz w:val="24"/>
          <w:szCs w:val="24"/>
        </w:rPr>
        <w:t xml:space="preserve"> – grāmatvedības uzskaitē veic izmaiņas atbilstoši budžeta iestādes </w:t>
      </w:r>
      <w:r w:rsidR="002E71B7" w:rsidRPr="00217D76">
        <w:rPr>
          <w:rFonts w:ascii="Times New Roman" w:hAnsi="Times New Roman" w:cs="Times New Roman"/>
          <w:sz w:val="24"/>
          <w:szCs w:val="24"/>
        </w:rPr>
        <w:t xml:space="preserve">grāmatvedības uzskaites </w:t>
      </w:r>
      <w:r w:rsidR="001912D2" w:rsidRPr="00217D76">
        <w:rPr>
          <w:rFonts w:ascii="Times New Roman" w:hAnsi="Times New Roman" w:cs="Times New Roman"/>
          <w:sz w:val="24"/>
          <w:szCs w:val="24"/>
        </w:rPr>
        <w:t>kārtībā noteiktajam</w:t>
      </w:r>
      <w:r w:rsidR="001912D2" w:rsidRPr="00274634">
        <w:rPr>
          <w:rFonts w:ascii="Times New Roman" w:hAnsi="Times New Roman" w:cs="Times New Roman"/>
          <w:sz w:val="24"/>
          <w:szCs w:val="24"/>
        </w:rPr>
        <w:t>:</w:t>
      </w:r>
    </w:p>
    <w:p w:rsidR="001912D2" w:rsidRPr="00274634" w:rsidRDefault="001912D2" w:rsidP="00217D76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ja izmaiņas jāveic, zemes vienības uzskaites vērtību </w:t>
      </w:r>
      <w:r w:rsidRPr="00274634">
        <w:rPr>
          <w:rFonts w:ascii="Times New Roman" w:hAnsi="Times New Roman" w:cs="Times New Roman"/>
          <w:b/>
          <w:sz w:val="24"/>
          <w:szCs w:val="24"/>
        </w:rPr>
        <w:t>palielina vai samazina</w:t>
      </w:r>
      <w:r w:rsidRPr="00274634">
        <w:rPr>
          <w:rFonts w:ascii="Times New Roman" w:hAnsi="Times New Roman" w:cs="Times New Roman"/>
          <w:sz w:val="24"/>
          <w:szCs w:val="24"/>
        </w:rPr>
        <w:t xml:space="preserve"> atbilstoši </w:t>
      </w:r>
      <w:r w:rsidRPr="00274634">
        <w:rPr>
          <w:rFonts w:ascii="Times New Roman" w:hAnsi="Times New Roman" w:cs="Times New Roman"/>
          <w:b/>
          <w:sz w:val="24"/>
          <w:szCs w:val="24"/>
        </w:rPr>
        <w:t>aktuālai kadastrālai vērtībai</w:t>
      </w:r>
      <w:r w:rsidRPr="00274634">
        <w:rPr>
          <w:rFonts w:ascii="Times New Roman" w:hAnsi="Times New Roman" w:cs="Times New Roman"/>
          <w:sz w:val="24"/>
          <w:szCs w:val="24"/>
        </w:rPr>
        <w:t xml:space="preserve"> un precizē analītisko informāciju – platību:</w:t>
      </w:r>
    </w:p>
    <w:p w:rsidR="00D71F6E" w:rsidRDefault="001912D2" w:rsidP="00844E1B">
      <w:pPr>
        <w:pStyle w:val="ListParagraph"/>
        <w:numPr>
          <w:ilvl w:val="0"/>
          <w:numId w:val="2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samazinājums</w:t>
      </w:r>
      <w:r w:rsidR="00D71F6E">
        <w:rPr>
          <w:rFonts w:ascii="Times New Roman" w:hAnsi="Times New Roman" w:cs="Times New Roman"/>
          <w:sz w:val="24"/>
          <w:szCs w:val="24"/>
        </w:rPr>
        <w:tab/>
      </w:r>
      <w:r w:rsidR="00D71F6E" w:rsidRPr="00D71F6E">
        <w:rPr>
          <w:rFonts w:ascii="Times New Roman" w:hAnsi="Times New Roman" w:cs="Times New Roman"/>
          <w:sz w:val="24"/>
          <w:szCs w:val="24"/>
        </w:rPr>
        <w:t xml:space="preserve">D 8699 </w:t>
      </w:r>
    </w:p>
    <w:p w:rsidR="001912D2" w:rsidRPr="00844E1B" w:rsidRDefault="00217D76" w:rsidP="00844E1B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1214/ 1215/ 1216/ 1217</w:t>
      </w:r>
    </w:p>
    <w:p w:rsidR="00D71F6E" w:rsidRDefault="001912D2" w:rsidP="00844E1B">
      <w:pPr>
        <w:pStyle w:val="ListParagraph"/>
        <w:numPr>
          <w:ilvl w:val="0"/>
          <w:numId w:val="2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palielinājums </w:t>
      </w:r>
      <w:r w:rsidR="00D71F6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1214/ 1215/ 1216/ 1217 </w:t>
      </w:r>
      <w:r w:rsidR="002746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12D2" w:rsidRPr="00844E1B" w:rsidRDefault="001912D2" w:rsidP="00844E1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44E1B">
        <w:rPr>
          <w:rFonts w:ascii="Times New Roman" w:hAnsi="Times New Roman" w:cs="Times New Roman"/>
          <w:sz w:val="24"/>
          <w:szCs w:val="24"/>
        </w:rPr>
        <w:t xml:space="preserve">K </w:t>
      </w:r>
      <w:r w:rsidR="000E7A8C" w:rsidRPr="00844E1B">
        <w:rPr>
          <w:rFonts w:ascii="Times New Roman" w:hAnsi="Times New Roman" w:cs="Times New Roman"/>
          <w:sz w:val="24"/>
          <w:szCs w:val="24"/>
        </w:rPr>
        <w:t>8599</w:t>
      </w:r>
    </w:p>
    <w:p w:rsidR="001912D2" w:rsidRPr="00274634" w:rsidRDefault="001912D2" w:rsidP="001912D2">
      <w:pPr>
        <w:pStyle w:val="ListParagraph"/>
        <w:numPr>
          <w:ilvl w:val="0"/>
          <w:numId w:val="3"/>
        </w:numPr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ja izmaiņas nav jāveic, grāmatvedības uzskaitē saglabā pēdējo noteikt</w:t>
      </w:r>
      <w:r w:rsidR="00217D76">
        <w:rPr>
          <w:rFonts w:ascii="Times New Roman" w:hAnsi="Times New Roman" w:cs="Times New Roman"/>
          <w:sz w:val="24"/>
          <w:szCs w:val="24"/>
        </w:rPr>
        <w:t>o kadastrālo vērtību un platību;</w:t>
      </w:r>
    </w:p>
    <w:p w:rsidR="001912D2" w:rsidRPr="00274634" w:rsidRDefault="001912D2" w:rsidP="005E17B5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zemes vienība </w:t>
      </w:r>
      <w:r w:rsidRPr="00274634">
        <w:rPr>
          <w:rFonts w:ascii="Times New Roman" w:hAnsi="Times New Roman" w:cs="Times New Roman"/>
          <w:b/>
          <w:sz w:val="24"/>
          <w:szCs w:val="24"/>
        </w:rPr>
        <w:t>nav atzīta</w:t>
      </w:r>
      <w:r w:rsidRPr="00274634">
        <w:rPr>
          <w:rFonts w:ascii="Times New Roman" w:hAnsi="Times New Roman" w:cs="Times New Roman"/>
          <w:sz w:val="24"/>
          <w:szCs w:val="24"/>
        </w:rPr>
        <w:t xml:space="preserve"> grāmatvedības uzskaitē</w:t>
      </w:r>
      <w:r w:rsidR="0024182A" w:rsidRPr="00274634">
        <w:rPr>
          <w:rFonts w:ascii="Times New Roman" w:hAnsi="Times New Roman" w:cs="Times New Roman"/>
          <w:sz w:val="24"/>
          <w:szCs w:val="24"/>
        </w:rPr>
        <w:t>, bet valsts reģistrā uzrādīta kā piekrītoša budžeta iestādei</w:t>
      </w:r>
      <w:r w:rsidRPr="00274634">
        <w:rPr>
          <w:rFonts w:ascii="Times New Roman" w:hAnsi="Times New Roman" w:cs="Times New Roman"/>
          <w:sz w:val="24"/>
          <w:szCs w:val="24"/>
        </w:rPr>
        <w:t xml:space="preserve"> – izvērtē apstākļus, vai šādai zemes vienībai ir jābūt budžeta iestādes grāmatvedības uzskaitē</w:t>
      </w:r>
      <w:r w:rsidR="0073188E" w:rsidRPr="00274634">
        <w:rPr>
          <w:rFonts w:ascii="Times New Roman" w:hAnsi="Times New Roman" w:cs="Times New Roman"/>
          <w:sz w:val="24"/>
          <w:szCs w:val="24"/>
        </w:rPr>
        <w:t>, izmantojot budžeta iestādes rīcībā esošo informāciju.</w:t>
      </w:r>
      <w:r w:rsidRPr="00274634">
        <w:rPr>
          <w:rFonts w:ascii="Times New Roman" w:hAnsi="Times New Roman" w:cs="Times New Roman"/>
          <w:sz w:val="24"/>
          <w:szCs w:val="24"/>
        </w:rPr>
        <w:t xml:space="preserve"> </w:t>
      </w:r>
      <w:r w:rsidR="0073188E" w:rsidRPr="00274634">
        <w:rPr>
          <w:rFonts w:ascii="Times New Roman" w:hAnsi="Times New Roman" w:cs="Times New Roman"/>
          <w:sz w:val="24"/>
          <w:szCs w:val="24"/>
        </w:rPr>
        <w:t>J</w:t>
      </w:r>
      <w:r w:rsidR="00E277CF" w:rsidRPr="00274634">
        <w:rPr>
          <w:rFonts w:ascii="Times New Roman" w:hAnsi="Times New Roman" w:cs="Times New Roman"/>
          <w:sz w:val="24"/>
          <w:szCs w:val="24"/>
        </w:rPr>
        <w:t xml:space="preserve">a nepieciešams, </w:t>
      </w:r>
      <w:r w:rsidR="0024182A" w:rsidRPr="00274634">
        <w:rPr>
          <w:rFonts w:ascii="Times New Roman" w:hAnsi="Times New Roman" w:cs="Times New Roman"/>
          <w:sz w:val="24"/>
          <w:szCs w:val="24"/>
        </w:rPr>
        <w:t xml:space="preserve">veic darbības valsts reģistra datu precizēšanai vai </w:t>
      </w:r>
      <w:r w:rsidR="00E277CF" w:rsidRPr="00274634">
        <w:rPr>
          <w:rFonts w:ascii="Times New Roman" w:hAnsi="Times New Roman" w:cs="Times New Roman"/>
          <w:sz w:val="24"/>
          <w:szCs w:val="24"/>
        </w:rPr>
        <w:t xml:space="preserve">atzīst uzskaitē ar </w:t>
      </w:r>
      <w:r w:rsidR="00E277CF" w:rsidRPr="00274634">
        <w:rPr>
          <w:rFonts w:ascii="Times New Roman" w:hAnsi="Times New Roman" w:cs="Times New Roman"/>
          <w:b/>
          <w:sz w:val="24"/>
          <w:szCs w:val="24"/>
        </w:rPr>
        <w:t>aktuālo platību</w:t>
      </w:r>
      <w:r w:rsidR="00E277CF" w:rsidRPr="00274634">
        <w:rPr>
          <w:rFonts w:ascii="Times New Roman" w:hAnsi="Times New Roman" w:cs="Times New Roman"/>
          <w:sz w:val="24"/>
          <w:szCs w:val="24"/>
        </w:rPr>
        <w:t xml:space="preserve"> un </w:t>
      </w:r>
      <w:r w:rsidR="00E277CF" w:rsidRPr="00274634">
        <w:rPr>
          <w:rFonts w:ascii="Times New Roman" w:hAnsi="Times New Roman" w:cs="Times New Roman"/>
          <w:b/>
          <w:sz w:val="24"/>
          <w:szCs w:val="24"/>
        </w:rPr>
        <w:t>aktuālo kadastrālo vērtību</w:t>
      </w:r>
      <w:r w:rsidR="00E277CF" w:rsidRPr="00274634">
        <w:rPr>
          <w:rFonts w:ascii="Times New Roman" w:hAnsi="Times New Roman" w:cs="Times New Roman"/>
          <w:sz w:val="24"/>
          <w:szCs w:val="24"/>
        </w:rPr>
        <w:t>:</w:t>
      </w:r>
    </w:p>
    <w:p w:rsidR="006E0E0E" w:rsidRDefault="00E277CF" w:rsidP="006E0E0E">
      <w:pPr>
        <w:pStyle w:val="ListParagraph"/>
        <w:numPr>
          <w:ilvl w:val="1"/>
          <w:numId w:val="1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lastRenderedPageBreak/>
        <w:t xml:space="preserve">D 1214/ 1215/ 1216/ 1217 </w:t>
      </w:r>
    </w:p>
    <w:p w:rsidR="00E277CF" w:rsidRPr="00274634" w:rsidRDefault="00E277CF" w:rsidP="006E0E0E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8581</w:t>
      </w:r>
    </w:p>
    <w:p w:rsidR="00E277CF" w:rsidRPr="00274634" w:rsidRDefault="00E277CF" w:rsidP="005E17B5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zemes vienība saskaņā ar Nekustamā īpašuma valsts kadastra informācijas sistēmas datiem </w:t>
      </w:r>
      <w:r w:rsidRPr="00274634">
        <w:rPr>
          <w:rFonts w:ascii="Times New Roman" w:hAnsi="Times New Roman" w:cs="Times New Roman"/>
          <w:b/>
          <w:sz w:val="24"/>
          <w:szCs w:val="24"/>
        </w:rPr>
        <w:t>nav budžeta iestādes īpašumā (nepiekrīt)</w:t>
      </w:r>
      <w:r w:rsidRPr="00274634">
        <w:rPr>
          <w:rFonts w:ascii="Times New Roman" w:hAnsi="Times New Roman" w:cs="Times New Roman"/>
          <w:sz w:val="24"/>
          <w:szCs w:val="24"/>
        </w:rPr>
        <w:t xml:space="preserve"> </w:t>
      </w:r>
      <w:r w:rsidR="005E17B5">
        <w:rPr>
          <w:rFonts w:ascii="Times New Roman" w:hAnsi="Times New Roman" w:cs="Times New Roman"/>
          <w:sz w:val="24"/>
          <w:szCs w:val="24"/>
        </w:rPr>
        <w:t>–</w:t>
      </w:r>
      <w:r w:rsidRPr="00274634">
        <w:rPr>
          <w:rFonts w:ascii="Times New Roman" w:hAnsi="Times New Roman" w:cs="Times New Roman"/>
          <w:sz w:val="24"/>
          <w:szCs w:val="24"/>
        </w:rPr>
        <w:t xml:space="preserve"> izvērtē apstākļus, vai šādai zemes vienībai ir jābūt budžeta iestādes grāmatvedības uzskaitē</w:t>
      </w:r>
      <w:r w:rsidR="0073188E" w:rsidRPr="00274634">
        <w:rPr>
          <w:rFonts w:ascii="Times New Roman" w:hAnsi="Times New Roman" w:cs="Times New Roman"/>
          <w:sz w:val="24"/>
          <w:szCs w:val="24"/>
        </w:rPr>
        <w:t>,</w:t>
      </w:r>
      <w:r w:rsidRPr="00274634">
        <w:rPr>
          <w:rFonts w:ascii="Times New Roman" w:hAnsi="Times New Roman" w:cs="Times New Roman"/>
          <w:sz w:val="24"/>
          <w:szCs w:val="24"/>
        </w:rPr>
        <w:t xml:space="preserve"> </w:t>
      </w:r>
      <w:r w:rsidR="0073188E" w:rsidRPr="00274634">
        <w:rPr>
          <w:rFonts w:ascii="Times New Roman" w:hAnsi="Times New Roman" w:cs="Times New Roman"/>
          <w:sz w:val="24"/>
          <w:szCs w:val="24"/>
        </w:rPr>
        <w:t>izmantojot budžeta iestādes rīcībā esošo informāciju. J</w:t>
      </w:r>
      <w:r w:rsidRPr="00274634">
        <w:rPr>
          <w:rFonts w:ascii="Times New Roman" w:hAnsi="Times New Roman" w:cs="Times New Roman"/>
          <w:sz w:val="24"/>
          <w:szCs w:val="24"/>
        </w:rPr>
        <w:t>a nepieciešams,</w:t>
      </w:r>
      <w:r w:rsidR="0024182A" w:rsidRPr="00274634">
        <w:rPr>
          <w:rFonts w:ascii="Times New Roman" w:hAnsi="Times New Roman" w:cs="Times New Roman"/>
          <w:sz w:val="24"/>
          <w:szCs w:val="24"/>
        </w:rPr>
        <w:t xml:space="preserve"> veic darbības valsts reģistra datu precizēšanai vai</w:t>
      </w:r>
      <w:r w:rsidRPr="00274634">
        <w:rPr>
          <w:rFonts w:ascii="Times New Roman" w:hAnsi="Times New Roman" w:cs="Times New Roman"/>
          <w:sz w:val="24"/>
          <w:szCs w:val="24"/>
        </w:rPr>
        <w:t xml:space="preserve"> izslēdz</w:t>
      </w:r>
      <w:r w:rsidR="0024182A" w:rsidRPr="00274634">
        <w:rPr>
          <w:rFonts w:ascii="Times New Roman" w:hAnsi="Times New Roman" w:cs="Times New Roman"/>
          <w:sz w:val="24"/>
          <w:szCs w:val="24"/>
        </w:rPr>
        <w:t xml:space="preserve"> zemes vienību</w:t>
      </w:r>
      <w:r w:rsidRPr="00274634">
        <w:rPr>
          <w:rFonts w:ascii="Times New Roman" w:hAnsi="Times New Roman" w:cs="Times New Roman"/>
          <w:sz w:val="24"/>
          <w:szCs w:val="24"/>
        </w:rPr>
        <w:t xml:space="preserve"> no uzskaites:</w:t>
      </w:r>
    </w:p>
    <w:p w:rsidR="006E0E0E" w:rsidRDefault="0029317A" w:rsidP="006E0E0E">
      <w:pPr>
        <w:pStyle w:val="ListParagraph"/>
        <w:numPr>
          <w:ilvl w:val="1"/>
          <w:numId w:val="1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D 8611 </w:t>
      </w:r>
    </w:p>
    <w:p w:rsidR="00E277CF" w:rsidRPr="00274634" w:rsidRDefault="0029317A" w:rsidP="006E0E0E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1214/ 1215/ 1216/ 1217</w:t>
      </w:r>
    </w:p>
    <w:p w:rsidR="00324A5B" w:rsidRPr="00274634" w:rsidRDefault="00D71F6E" w:rsidP="0032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74634">
        <w:rPr>
          <w:rFonts w:ascii="Times New Roman" w:hAnsi="Times New Roman" w:cs="Times New Roman"/>
          <w:sz w:val="24"/>
          <w:szCs w:val="24"/>
        </w:rPr>
        <w:t xml:space="preserve">nventarizācijas aktā norāda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4A5B" w:rsidRPr="00274634">
        <w:rPr>
          <w:rFonts w:ascii="Times New Roman" w:hAnsi="Times New Roman" w:cs="Times New Roman"/>
          <w:sz w:val="24"/>
          <w:szCs w:val="24"/>
        </w:rPr>
        <w:t>nventarizācijas komisijas lēmumu</w:t>
      </w:r>
      <w:r>
        <w:rPr>
          <w:rFonts w:ascii="Times New Roman" w:hAnsi="Times New Roman" w:cs="Times New Roman"/>
          <w:sz w:val="24"/>
          <w:szCs w:val="24"/>
        </w:rPr>
        <w:t xml:space="preserve"> un i</w:t>
      </w:r>
      <w:r w:rsidR="005E17B5">
        <w:rPr>
          <w:rFonts w:ascii="Times New Roman" w:hAnsi="Times New Roman" w:cs="Times New Roman"/>
          <w:sz w:val="24"/>
          <w:szCs w:val="24"/>
        </w:rPr>
        <w:t>estādes vadītāj</w:t>
      </w:r>
      <w:r>
        <w:rPr>
          <w:rFonts w:ascii="Times New Roman" w:hAnsi="Times New Roman" w:cs="Times New Roman"/>
          <w:sz w:val="24"/>
          <w:szCs w:val="24"/>
        </w:rPr>
        <w:t>a norādījumus veicamām darbībām grāmatvedības uzskaitē.</w:t>
      </w:r>
    </w:p>
    <w:p w:rsidR="00F04D4C" w:rsidRPr="00274634" w:rsidRDefault="00F04D4C" w:rsidP="00217D7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Ja </w:t>
      </w:r>
      <w:r w:rsidRPr="00274634">
        <w:rPr>
          <w:rFonts w:ascii="Times New Roman" w:hAnsi="Times New Roman" w:cs="Times New Roman"/>
          <w:b/>
          <w:sz w:val="24"/>
          <w:szCs w:val="24"/>
        </w:rPr>
        <w:t>pārskata gadā</w:t>
      </w:r>
      <w:r w:rsidRPr="00274634">
        <w:rPr>
          <w:rFonts w:ascii="Times New Roman" w:hAnsi="Times New Roman" w:cs="Times New Roman"/>
          <w:sz w:val="24"/>
          <w:szCs w:val="24"/>
        </w:rPr>
        <w:t xml:space="preserve"> zemes vienība </w:t>
      </w:r>
      <w:r w:rsidRPr="00274634">
        <w:rPr>
          <w:rFonts w:ascii="Times New Roman" w:hAnsi="Times New Roman" w:cs="Times New Roman"/>
          <w:b/>
          <w:sz w:val="24"/>
          <w:szCs w:val="24"/>
        </w:rPr>
        <w:t>sadalīta vai apvienota</w:t>
      </w:r>
      <w:r w:rsidRPr="00274634">
        <w:rPr>
          <w:rFonts w:ascii="Times New Roman" w:hAnsi="Times New Roman" w:cs="Times New Roman"/>
          <w:sz w:val="24"/>
          <w:szCs w:val="24"/>
        </w:rPr>
        <w:t xml:space="preserve"> – izslēdz no uzskaites esošo zemes vienību un atzīst sākotnēji jaunu zemes vienību ar </w:t>
      </w:r>
      <w:r w:rsidRPr="00274634">
        <w:rPr>
          <w:rFonts w:ascii="Times New Roman" w:hAnsi="Times New Roman" w:cs="Times New Roman"/>
          <w:b/>
          <w:sz w:val="24"/>
          <w:szCs w:val="24"/>
        </w:rPr>
        <w:t>aktuālo platību</w:t>
      </w:r>
      <w:r w:rsidRPr="00274634">
        <w:rPr>
          <w:rFonts w:ascii="Times New Roman" w:hAnsi="Times New Roman" w:cs="Times New Roman"/>
          <w:sz w:val="24"/>
          <w:szCs w:val="24"/>
        </w:rPr>
        <w:t xml:space="preserve"> un </w:t>
      </w:r>
      <w:r w:rsidRPr="00274634">
        <w:rPr>
          <w:rFonts w:ascii="Times New Roman" w:hAnsi="Times New Roman" w:cs="Times New Roman"/>
          <w:b/>
          <w:sz w:val="24"/>
          <w:szCs w:val="24"/>
        </w:rPr>
        <w:t>aktuālo kadastrālo vērtību</w:t>
      </w:r>
      <w:r w:rsidRPr="00274634">
        <w:rPr>
          <w:rFonts w:ascii="Times New Roman" w:hAnsi="Times New Roman" w:cs="Times New Roman"/>
          <w:sz w:val="24"/>
          <w:szCs w:val="24"/>
        </w:rPr>
        <w:t>:</w:t>
      </w:r>
    </w:p>
    <w:p w:rsidR="006E0E0E" w:rsidRDefault="006E0E0E" w:rsidP="00217D76">
      <w:pPr>
        <w:pStyle w:val="ListParagraph"/>
        <w:numPr>
          <w:ilvl w:val="0"/>
          <w:numId w:val="2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60445" w:rsidRPr="00274634">
        <w:rPr>
          <w:rFonts w:ascii="Times New Roman" w:hAnsi="Times New Roman" w:cs="Times New Roman"/>
          <w:sz w:val="24"/>
          <w:szCs w:val="24"/>
        </w:rPr>
        <w:t>zslēdz</w:t>
      </w:r>
      <w:r>
        <w:rPr>
          <w:rFonts w:ascii="Times New Roman" w:hAnsi="Times New Roman" w:cs="Times New Roman"/>
          <w:sz w:val="24"/>
          <w:szCs w:val="24"/>
        </w:rPr>
        <w:tab/>
      </w:r>
      <w:r w:rsidR="00F04D4C" w:rsidRPr="00274634">
        <w:rPr>
          <w:rFonts w:ascii="Times New Roman" w:hAnsi="Times New Roman" w:cs="Times New Roman"/>
          <w:sz w:val="24"/>
          <w:szCs w:val="24"/>
        </w:rPr>
        <w:t xml:space="preserve">D 8611 </w:t>
      </w:r>
    </w:p>
    <w:p w:rsidR="00F04D4C" w:rsidRPr="00274634" w:rsidRDefault="00F04D4C" w:rsidP="006E0E0E">
      <w:pPr>
        <w:pStyle w:val="ListParagraph"/>
        <w:ind w:left="144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1214/ 1215/ 1216/ 1217</w:t>
      </w:r>
    </w:p>
    <w:p w:rsidR="006E0E0E" w:rsidRDefault="00460445" w:rsidP="006E0E0E">
      <w:pPr>
        <w:pStyle w:val="ListParagraph"/>
        <w:numPr>
          <w:ilvl w:val="0"/>
          <w:numId w:val="2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atzīst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="00F04D4C" w:rsidRPr="00274634">
        <w:rPr>
          <w:rFonts w:ascii="Times New Roman" w:hAnsi="Times New Roman" w:cs="Times New Roman"/>
          <w:sz w:val="24"/>
          <w:szCs w:val="24"/>
        </w:rPr>
        <w:t xml:space="preserve">D 1214/ 1215/ 1216/ 1217 </w:t>
      </w:r>
    </w:p>
    <w:p w:rsidR="00F04D4C" w:rsidRPr="00274634" w:rsidRDefault="00F04D4C" w:rsidP="006E0E0E">
      <w:pPr>
        <w:pStyle w:val="ListParagraph"/>
        <w:ind w:left="144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8581</w:t>
      </w:r>
    </w:p>
    <w:p w:rsidR="00324A5B" w:rsidRPr="00274634" w:rsidRDefault="00324A5B" w:rsidP="00021F1C">
      <w:pPr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Ja</w:t>
      </w:r>
      <w:r w:rsidR="00F04D4C" w:rsidRPr="00274634">
        <w:rPr>
          <w:rFonts w:ascii="Times New Roman" w:hAnsi="Times New Roman" w:cs="Times New Roman"/>
          <w:sz w:val="24"/>
          <w:szCs w:val="24"/>
        </w:rPr>
        <w:t xml:space="preserve"> pārskata gada laikā vai inventarizācijas ietvaros</w:t>
      </w:r>
      <w:r w:rsidRPr="00274634">
        <w:rPr>
          <w:rFonts w:ascii="Times New Roman" w:hAnsi="Times New Roman" w:cs="Times New Roman"/>
          <w:sz w:val="24"/>
          <w:szCs w:val="24"/>
        </w:rPr>
        <w:t xml:space="preserve"> </w:t>
      </w:r>
      <w:r w:rsidRPr="00274634">
        <w:rPr>
          <w:rFonts w:ascii="Times New Roman" w:hAnsi="Times New Roman" w:cs="Times New Roman"/>
          <w:b/>
          <w:sz w:val="24"/>
          <w:szCs w:val="24"/>
        </w:rPr>
        <w:t>veicot auditu</w:t>
      </w:r>
      <w:r w:rsidRPr="00274634">
        <w:rPr>
          <w:rFonts w:ascii="Times New Roman" w:hAnsi="Times New Roman" w:cs="Times New Roman"/>
          <w:sz w:val="24"/>
          <w:szCs w:val="24"/>
        </w:rPr>
        <w:t xml:space="preserve"> konstatē iepriekšējo periodu kļūdu, </w:t>
      </w:r>
      <w:r w:rsidR="00021F1C" w:rsidRPr="00274634">
        <w:rPr>
          <w:rFonts w:ascii="Times New Roman" w:hAnsi="Times New Roman" w:cs="Times New Roman"/>
          <w:b/>
          <w:sz w:val="24"/>
          <w:szCs w:val="24"/>
        </w:rPr>
        <w:t>kļūdas labojumu</w:t>
      </w:r>
      <w:r w:rsidR="00021F1C" w:rsidRPr="00274634">
        <w:rPr>
          <w:rFonts w:ascii="Times New Roman" w:hAnsi="Times New Roman" w:cs="Times New Roman"/>
          <w:sz w:val="24"/>
          <w:szCs w:val="24"/>
        </w:rPr>
        <w:t xml:space="preserve"> veic </w:t>
      </w:r>
      <w:r w:rsidRPr="00274634">
        <w:rPr>
          <w:rFonts w:ascii="Times New Roman" w:hAnsi="Times New Roman" w:cs="Times New Roman"/>
          <w:sz w:val="24"/>
          <w:szCs w:val="24"/>
        </w:rPr>
        <w:t>pārskata gadā:</w:t>
      </w:r>
    </w:p>
    <w:p w:rsidR="0029317A" w:rsidRPr="00274634" w:rsidRDefault="00324A5B" w:rsidP="00F04D4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ja sākotnēji noteiktā kadastrālā vērtība nav korekta, z</w:t>
      </w:r>
      <w:r w:rsidR="0029317A" w:rsidRPr="00274634">
        <w:rPr>
          <w:rFonts w:ascii="Times New Roman" w:hAnsi="Times New Roman" w:cs="Times New Roman"/>
          <w:sz w:val="24"/>
          <w:szCs w:val="24"/>
        </w:rPr>
        <w:t xml:space="preserve">emes vienības uzskaites vērtību palielina vai samazina atbilstoši </w:t>
      </w:r>
      <w:r w:rsidR="0029317A" w:rsidRPr="00274634">
        <w:rPr>
          <w:rFonts w:ascii="Times New Roman" w:hAnsi="Times New Roman" w:cs="Times New Roman"/>
          <w:b/>
          <w:sz w:val="24"/>
          <w:szCs w:val="24"/>
        </w:rPr>
        <w:t>kadastrālai vērtībai sākotnējās atzīšanas dienā</w:t>
      </w:r>
      <w:r w:rsidR="0029317A" w:rsidRPr="00274634">
        <w:rPr>
          <w:rFonts w:ascii="Times New Roman" w:hAnsi="Times New Roman" w:cs="Times New Roman"/>
          <w:sz w:val="24"/>
          <w:szCs w:val="24"/>
        </w:rPr>
        <w:t xml:space="preserve"> un analītiski precizē platību, ja  nepieciešams:</w:t>
      </w:r>
    </w:p>
    <w:p w:rsidR="006E0E0E" w:rsidRDefault="0029317A" w:rsidP="006E0E0E">
      <w:pPr>
        <w:pStyle w:val="ListParagraph"/>
        <w:numPr>
          <w:ilvl w:val="0"/>
          <w:numId w:val="2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samazinājums 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8699 </w:t>
      </w:r>
    </w:p>
    <w:p w:rsidR="0029317A" w:rsidRPr="006E0E0E" w:rsidRDefault="0029317A" w:rsidP="006E0E0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E0E0E">
        <w:rPr>
          <w:rFonts w:ascii="Times New Roman" w:hAnsi="Times New Roman" w:cs="Times New Roman"/>
          <w:sz w:val="24"/>
          <w:szCs w:val="24"/>
        </w:rPr>
        <w:t>K 1214/ 1215/ 1216/ 1217</w:t>
      </w:r>
    </w:p>
    <w:p w:rsidR="006E0E0E" w:rsidRDefault="0029317A" w:rsidP="006E0E0E">
      <w:pPr>
        <w:pStyle w:val="ListParagraph"/>
        <w:numPr>
          <w:ilvl w:val="0"/>
          <w:numId w:val="2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palielinājums </w:t>
      </w:r>
      <w:r w:rsidR="006E0E0E">
        <w:rPr>
          <w:rFonts w:ascii="Times New Roman" w:hAnsi="Times New Roman" w:cs="Times New Roman"/>
          <w:sz w:val="24"/>
          <w:szCs w:val="24"/>
        </w:rPr>
        <w:tab/>
      </w:r>
      <w:r w:rsidRPr="00274634">
        <w:rPr>
          <w:rFonts w:ascii="Times New Roman" w:hAnsi="Times New Roman" w:cs="Times New Roman"/>
          <w:sz w:val="24"/>
          <w:szCs w:val="24"/>
        </w:rPr>
        <w:t xml:space="preserve">D 1214/ 1215/ 1216/ 1217 </w:t>
      </w:r>
    </w:p>
    <w:p w:rsidR="0029317A" w:rsidRPr="00274634" w:rsidRDefault="0029317A" w:rsidP="006E0E0E">
      <w:pPr>
        <w:pStyle w:val="ListParagraph"/>
        <w:ind w:left="216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8599</w:t>
      </w:r>
    </w:p>
    <w:p w:rsidR="00021F1C" w:rsidRPr="00274634" w:rsidRDefault="00021F1C" w:rsidP="00F04D4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ja zemes vienība nebija izslēgta no uzskaites, to izslēdz</w:t>
      </w:r>
      <w:r w:rsidR="00043390" w:rsidRPr="00274634">
        <w:rPr>
          <w:rFonts w:ascii="Times New Roman" w:hAnsi="Times New Roman" w:cs="Times New Roman"/>
          <w:sz w:val="24"/>
          <w:szCs w:val="24"/>
        </w:rPr>
        <w:t>:</w:t>
      </w:r>
    </w:p>
    <w:p w:rsidR="006E0E0E" w:rsidRDefault="00021F1C" w:rsidP="006E0E0E">
      <w:pPr>
        <w:pStyle w:val="ListParagraph"/>
        <w:numPr>
          <w:ilvl w:val="1"/>
          <w:numId w:val="5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 xml:space="preserve">D 8611 </w:t>
      </w:r>
    </w:p>
    <w:p w:rsidR="0029317A" w:rsidRPr="00274634" w:rsidRDefault="00021F1C" w:rsidP="006E0E0E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K 1214/ 1215/ 1216/ 1217</w:t>
      </w:r>
    </w:p>
    <w:p w:rsidR="00EF53AA" w:rsidRDefault="00EF53AA" w:rsidP="00EF53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93BE3" w:rsidRPr="00274634" w:rsidRDefault="00F93BE3" w:rsidP="005E17B5">
      <w:pPr>
        <w:jc w:val="both"/>
        <w:rPr>
          <w:rFonts w:ascii="Times New Roman" w:hAnsi="Times New Roman" w:cs="Times New Roman"/>
          <w:sz w:val="24"/>
          <w:szCs w:val="24"/>
        </w:rPr>
      </w:pPr>
      <w:r w:rsidRPr="00274634">
        <w:rPr>
          <w:rFonts w:ascii="Times New Roman" w:hAnsi="Times New Roman" w:cs="Times New Roman"/>
          <w:sz w:val="24"/>
          <w:szCs w:val="24"/>
        </w:rPr>
        <w:t>Gada pārskatā grāmatvedības uzskaites pamatprincipu aprakstā sniedz informāciju par darījumu uzskaitē piemēroto būtiskuma līmeni un attiecīgā bilances posteņa skaidrojumā atklāj infor</w:t>
      </w:r>
      <w:r w:rsidR="0073188E" w:rsidRPr="00274634">
        <w:rPr>
          <w:rFonts w:ascii="Times New Roman" w:hAnsi="Times New Roman" w:cs="Times New Roman"/>
          <w:sz w:val="24"/>
          <w:szCs w:val="24"/>
        </w:rPr>
        <w:t>māciju par būtiskiem darījumiem, kā arī kļūdu labojumiem.</w:t>
      </w:r>
    </w:p>
    <w:sectPr w:rsidR="00F93BE3" w:rsidRPr="00274634" w:rsidSect="006E0E0E">
      <w:footerReference w:type="default" r:id="rId13"/>
      <w:type w:val="continuous"/>
      <w:pgSz w:w="11920" w:h="16840" w:code="9"/>
      <w:pgMar w:top="1134" w:right="851" w:bottom="1276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8C" w:rsidRDefault="00AA7E8C" w:rsidP="004277DB">
      <w:pPr>
        <w:spacing w:after="0" w:line="240" w:lineRule="auto"/>
      </w:pPr>
      <w:r>
        <w:separator/>
      </w:r>
    </w:p>
  </w:endnote>
  <w:endnote w:type="continuationSeparator" w:id="0">
    <w:p w:rsidR="00AA7E8C" w:rsidRDefault="00AA7E8C" w:rsidP="0042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566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7DB" w:rsidRDefault="004277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7DB" w:rsidRDefault="00427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8C" w:rsidRDefault="00AA7E8C" w:rsidP="004277DB">
      <w:pPr>
        <w:spacing w:after="0" w:line="240" w:lineRule="auto"/>
      </w:pPr>
      <w:r>
        <w:separator/>
      </w:r>
    </w:p>
  </w:footnote>
  <w:footnote w:type="continuationSeparator" w:id="0">
    <w:p w:rsidR="00AA7E8C" w:rsidRDefault="00AA7E8C" w:rsidP="0042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673"/>
    <w:multiLevelType w:val="hybridMultilevel"/>
    <w:tmpl w:val="025240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407D"/>
    <w:multiLevelType w:val="hybridMultilevel"/>
    <w:tmpl w:val="92729C32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B76B85"/>
    <w:multiLevelType w:val="hybridMultilevel"/>
    <w:tmpl w:val="9CA049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179A"/>
    <w:multiLevelType w:val="hybridMultilevel"/>
    <w:tmpl w:val="031C9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28B2"/>
    <w:multiLevelType w:val="hybridMultilevel"/>
    <w:tmpl w:val="2BC0E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4920"/>
    <w:multiLevelType w:val="hybridMultilevel"/>
    <w:tmpl w:val="09706D36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817D5A"/>
    <w:multiLevelType w:val="hybridMultilevel"/>
    <w:tmpl w:val="10F623E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0803D8"/>
    <w:multiLevelType w:val="hybridMultilevel"/>
    <w:tmpl w:val="4D0649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92084"/>
    <w:multiLevelType w:val="hybridMultilevel"/>
    <w:tmpl w:val="4AEEE97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55638"/>
    <w:multiLevelType w:val="hybridMultilevel"/>
    <w:tmpl w:val="84A64E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D16B3"/>
    <w:multiLevelType w:val="hybridMultilevel"/>
    <w:tmpl w:val="3D20746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585E"/>
    <w:multiLevelType w:val="hybridMultilevel"/>
    <w:tmpl w:val="92403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576DB"/>
    <w:multiLevelType w:val="hybridMultilevel"/>
    <w:tmpl w:val="CE0E910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F7AC0"/>
    <w:multiLevelType w:val="hybridMultilevel"/>
    <w:tmpl w:val="BF14D24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9"/>
    <w:rsid w:val="00021F1C"/>
    <w:rsid w:val="00043390"/>
    <w:rsid w:val="000E7A8C"/>
    <w:rsid w:val="00173DAC"/>
    <w:rsid w:val="001912D2"/>
    <w:rsid w:val="001B3F5E"/>
    <w:rsid w:val="00217D76"/>
    <w:rsid w:val="0024182A"/>
    <w:rsid w:val="00274634"/>
    <w:rsid w:val="0029317A"/>
    <w:rsid w:val="002A69C6"/>
    <w:rsid w:val="002E2BC9"/>
    <w:rsid w:val="002E71B7"/>
    <w:rsid w:val="00324A5B"/>
    <w:rsid w:val="00387028"/>
    <w:rsid w:val="003D4892"/>
    <w:rsid w:val="003F0F6B"/>
    <w:rsid w:val="003F4902"/>
    <w:rsid w:val="00411776"/>
    <w:rsid w:val="004277DB"/>
    <w:rsid w:val="00437F33"/>
    <w:rsid w:val="00460445"/>
    <w:rsid w:val="005E17B5"/>
    <w:rsid w:val="00640CF4"/>
    <w:rsid w:val="00640D2D"/>
    <w:rsid w:val="00677CD1"/>
    <w:rsid w:val="006E0E0E"/>
    <w:rsid w:val="007308A7"/>
    <w:rsid w:val="0073188E"/>
    <w:rsid w:val="00844E1B"/>
    <w:rsid w:val="008944C9"/>
    <w:rsid w:val="009F3D66"/>
    <w:rsid w:val="00A0064D"/>
    <w:rsid w:val="00AA7E8C"/>
    <w:rsid w:val="00B12834"/>
    <w:rsid w:val="00BF3D1F"/>
    <w:rsid w:val="00D21C19"/>
    <w:rsid w:val="00D71F6E"/>
    <w:rsid w:val="00E034CB"/>
    <w:rsid w:val="00E277CF"/>
    <w:rsid w:val="00E90DD4"/>
    <w:rsid w:val="00ED5172"/>
    <w:rsid w:val="00EE00B4"/>
    <w:rsid w:val="00EF1075"/>
    <w:rsid w:val="00EF53AA"/>
    <w:rsid w:val="00F04D4C"/>
    <w:rsid w:val="00F44328"/>
    <w:rsid w:val="00F625FC"/>
    <w:rsid w:val="00F93BE3"/>
    <w:rsid w:val="00FA4EAD"/>
    <w:rsid w:val="00FB71DE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8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E7A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DB"/>
  </w:style>
  <w:style w:type="paragraph" w:styleId="Footer">
    <w:name w:val="footer"/>
    <w:basedOn w:val="Normal"/>
    <w:link w:val="FooterChar"/>
    <w:uiPriority w:val="99"/>
    <w:unhideWhenUsed/>
    <w:rsid w:val="0042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DB"/>
  </w:style>
  <w:style w:type="character" w:styleId="CommentReference">
    <w:name w:val="annotation reference"/>
    <w:basedOn w:val="DefaultParagraphFont"/>
    <w:uiPriority w:val="99"/>
    <w:semiHidden/>
    <w:unhideWhenUsed/>
    <w:rsid w:val="00F4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32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46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8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E7A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DB"/>
  </w:style>
  <w:style w:type="paragraph" w:styleId="Footer">
    <w:name w:val="footer"/>
    <w:basedOn w:val="Normal"/>
    <w:link w:val="FooterChar"/>
    <w:uiPriority w:val="99"/>
    <w:unhideWhenUsed/>
    <w:rsid w:val="0042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DB"/>
  </w:style>
  <w:style w:type="character" w:styleId="CommentReference">
    <w:name w:val="annotation reference"/>
    <w:basedOn w:val="DefaultParagraphFont"/>
    <w:uiPriority w:val="99"/>
    <w:semiHidden/>
    <w:unhideWhenUsed/>
    <w:rsid w:val="00F4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32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55D67E-2B87-444E-B9B7-DF958D1A8C3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93DEFBC5-4DD0-4932-8C6B-222AADF5A9F4}">
      <dgm:prSet phldrT="[Text]" custT="1"/>
      <dgm:spPr/>
      <dgm:t>
        <a:bodyPr/>
        <a:lstStyle/>
        <a:p>
          <a:r>
            <a:rPr lang="lv-LV" sz="1200"/>
            <a:t>Iegādes izmaksu vērtība</a:t>
          </a:r>
        </a:p>
      </dgm:t>
    </dgm:pt>
    <dgm:pt modelId="{19C22DD3-B0D1-444B-B5C1-4E633E207671}" type="parTrans" cxnId="{4D11B3C5-C561-456F-B07F-623B89E2759D}">
      <dgm:prSet/>
      <dgm:spPr/>
      <dgm:t>
        <a:bodyPr/>
        <a:lstStyle/>
        <a:p>
          <a:endParaRPr lang="lv-LV" sz="1200"/>
        </a:p>
      </dgm:t>
    </dgm:pt>
    <dgm:pt modelId="{C16FF6E6-DA48-4388-8545-85D6FE0B08B0}" type="sibTrans" cxnId="{4D11B3C5-C561-456F-B07F-623B89E2759D}">
      <dgm:prSet/>
      <dgm:spPr/>
      <dgm:t>
        <a:bodyPr/>
        <a:lstStyle/>
        <a:p>
          <a:endParaRPr lang="lv-LV" sz="1200"/>
        </a:p>
      </dgm:t>
    </dgm:pt>
    <dgm:pt modelId="{3169146B-B8BE-46B2-A371-5A5929E29C5A}">
      <dgm:prSet phldrT="[Text]" custT="1"/>
      <dgm:spPr/>
      <dgm:t>
        <a:bodyPr/>
        <a:lstStyle/>
        <a:p>
          <a:r>
            <a:rPr lang="lv-LV" sz="1200"/>
            <a:t>platību precizē</a:t>
          </a:r>
        </a:p>
      </dgm:t>
    </dgm:pt>
    <dgm:pt modelId="{8311925E-2494-405B-AEA9-B372C0B3274F}" type="parTrans" cxnId="{5464C277-44D0-46EB-8E5D-B5D353F3CF1B}">
      <dgm:prSet/>
      <dgm:spPr/>
      <dgm:t>
        <a:bodyPr/>
        <a:lstStyle/>
        <a:p>
          <a:endParaRPr lang="lv-LV" sz="1200"/>
        </a:p>
      </dgm:t>
    </dgm:pt>
    <dgm:pt modelId="{C6D97D9E-A053-462D-BCA5-248741A76A80}" type="sibTrans" cxnId="{5464C277-44D0-46EB-8E5D-B5D353F3CF1B}">
      <dgm:prSet/>
      <dgm:spPr/>
      <dgm:t>
        <a:bodyPr/>
        <a:lstStyle/>
        <a:p>
          <a:endParaRPr lang="lv-LV" sz="1200"/>
        </a:p>
      </dgm:t>
    </dgm:pt>
    <dgm:pt modelId="{73A801F4-8846-48AF-A860-0F50F2CCBFFB}">
      <dgm:prSet phldrT="[Text]" custT="1"/>
      <dgm:spPr/>
      <dgm:t>
        <a:bodyPr/>
        <a:lstStyle/>
        <a:p>
          <a:r>
            <a:rPr lang="lv-LV" sz="1200"/>
            <a:t>vērtību nemaina</a:t>
          </a:r>
        </a:p>
      </dgm:t>
    </dgm:pt>
    <dgm:pt modelId="{6F9688C2-094E-48BE-96CB-33776A9B636E}" type="parTrans" cxnId="{000A5EBF-2D01-42D3-9FE6-E0C274F80B29}">
      <dgm:prSet/>
      <dgm:spPr/>
      <dgm:t>
        <a:bodyPr/>
        <a:lstStyle/>
        <a:p>
          <a:endParaRPr lang="lv-LV" sz="1200"/>
        </a:p>
      </dgm:t>
    </dgm:pt>
    <dgm:pt modelId="{86B2E816-B524-473D-AE54-87216367A782}" type="sibTrans" cxnId="{000A5EBF-2D01-42D3-9FE6-E0C274F80B29}">
      <dgm:prSet/>
      <dgm:spPr/>
      <dgm:t>
        <a:bodyPr/>
        <a:lstStyle/>
        <a:p>
          <a:endParaRPr lang="lv-LV" sz="1200"/>
        </a:p>
      </dgm:t>
    </dgm:pt>
    <dgm:pt modelId="{CA392DBD-CA09-4BCE-B4DB-36CE19B02B13}">
      <dgm:prSet phldrT="[Text]" custT="1"/>
      <dgm:spPr/>
      <dgm:t>
        <a:bodyPr/>
        <a:lstStyle/>
        <a:p>
          <a:r>
            <a:rPr lang="lv-LV" sz="1200"/>
            <a:t>Patiesā vērtība</a:t>
          </a:r>
        </a:p>
      </dgm:t>
    </dgm:pt>
    <dgm:pt modelId="{932A9E35-A0ED-4D07-808D-54B13E815065}" type="parTrans" cxnId="{5E76E47B-B44C-4CAE-AA79-D2AB2C571E37}">
      <dgm:prSet/>
      <dgm:spPr/>
      <dgm:t>
        <a:bodyPr/>
        <a:lstStyle/>
        <a:p>
          <a:endParaRPr lang="lv-LV" sz="1200"/>
        </a:p>
      </dgm:t>
    </dgm:pt>
    <dgm:pt modelId="{63CEE496-EF2C-4E7D-9810-BD6E4BD938F4}" type="sibTrans" cxnId="{5E76E47B-B44C-4CAE-AA79-D2AB2C571E37}">
      <dgm:prSet/>
      <dgm:spPr/>
      <dgm:t>
        <a:bodyPr/>
        <a:lstStyle/>
        <a:p>
          <a:endParaRPr lang="lv-LV" sz="1200"/>
        </a:p>
      </dgm:t>
    </dgm:pt>
    <dgm:pt modelId="{82C4F8A2-CBB0-40C3-8DE6-9050AFA70AAA}">
      <dgm:prSet phldrT="[Text]" custT="1"/>
      <dgm:spPr/>
      <dgm:t>
        <a:bodyPr/>
        <a:lstStyle/>
        <a:p>
          <a:r>
            <a:rPr lang="lv-LV" sz="1200"/>
            <a:t>platību precizē</a:t>
          </a:r>
        </a:p>
      </dgm:t>
    </dgm:pt>
    <dgm:pt modelId="{90D1ADB2-1398-4A7B-9235-B4A7A8EF9EC3}" type="parTrans" cxnId="{4ADA5FE4-9602-42E4-8D3B-DFEB212F8588}">
      <dgm:prSet/>
      <dgm:spPr/>
      <dgm:t>
        <a:bodyPr/>
        <a:lstStyle/>
        <a:p>
          <a:endParaRPr lang="lv-LV" sz="1200"/>
        </a:p>
      </dgm:t>
    </dgm:pt>
    <dgm:pt modelId="{397CAF72-F76C-4AF4-A8A5-B676674DDD77}" type="sibTrans" cxnId="{4ADA5FE4-9602-42E4-8D3B-DFEB212F8588}">
      <dgm:prSet/>
      <dgm:spPr/>
      <dgm:t>
        <a:bodyPr/>
        <a:lstStyle/>
        <a:p>
          <a:endParaRPr lang="lv-LV" sz="1200"/>
        </a:p>
      </dgm:t>
    </dgm:pt>
    <dgm:pt modelId="{49177E86-679D-45E3-9B2D-26C8865C0018}">
      <dgm:prSet phldrT="[Text]" custT="1"/>
      <dgm:spPr/>
      <dgm:t>
        <a:bodyPr/>
        <a:lstStyle/>
        <a:p>
          <a:r>
            <a:rPr lang="lv-LV" sz="1200"/>
            <a:t>vērtību nemaina</a:t>
          </a:r>
        </a:p>
      </dgm:t>
    </dgm:pt>
    <dgm:pt modelId="{B4219388-6616-43F0-965E-201475430206}" type="parTrans" cxnId="{C5A0E546-56AD-4FB5-A9D1-FA4E252B1822}">
      <dgm:prSet/>
      <dgm:spPr/>
      <dgm:t>
        <a:bodyPr/>
        <a:lstStyle/>
        <a:p>
          <a:endParaRPr lang="lv-LV" sz="1200"/>
        </a:p>
      </dgm:t>
    </dgm:pt>
    <dgm:pt modelId="{239841FD-36BC-411F-BE09-A8B45D17B5F0}" type="sibTrans" cxnId="{C5A0E546-56AD-4FB5-A9D1-FA4E252B1822}">
      <dgm:prSet/>
      <dgm:spPr/>
      <dgm:t>
        <a:bodyPr/>
        <a:lstStyle/>
        <a:p>
          <a:endParaRPr lang="lv-LV" sz="1200"/>
        </a:p>
      </dgm:t>
    </dgm:pt>
    <dgm:pt modelId="{8428C667-7CC3-46F6-A78C-0AAEB3FAD140}">
      <dgm:prSet phldrT="[Text]" custT="1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lv-LV" sz="1200"/>
            <a:t>Kadastrālā vērtība</a:t>
          </a:r>
        </a:p>
      </dgm:t>
    </dgm:pt>
    <dgm:pt modelId="{CD45E0ED-AD8E-442A-8321-440F31770F84}" type="parTrans" cxnId="{1DCFFCE7-141E-4038-92B0-4B6958442FC2}">
      <dgm:prSet/>
      <dgm:spPr/>
      <dgm:t>
        <a:bodyPr/>
        <a:lstStyle/>
        <a:p>
          <a:endParaRPr lang="lv-LV" sz="1200"/>
        </a:p>
      </dgm:t>
    </dgm:pt>
    <dgm:pt modelId="{B2F62FF4-9987-427E-896F-36F501851E7F}" type="sibTrans" cxnId="{1DCFFCE7-141E-4038-92B0-4B6958442FC2}">
      <dgm:prSet/>
      <dgm:spPr/>
      <dgm:t>
        <a:bodyPr/>
        <a:lstStyle/>
        <a:p>
          <a:endParaRPr lang="lv-LV" sz="1200"/>
        </a:p>
      </dgm:t>
    </dgm:pt>
    <dgm:pt modelId="{B0DABDD3-C78E-4857-9527-F9835C22AF0D}">
      <dgm:prSet phldrT="[Text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lv-LV" sz="1200"/>
            <a:t>platību precizē</a:t>
          </a:r>
        </a:p>
      </dgm:t>
    </dgm:pt>
    <dgm:pt modelId="{38EA6D54-F117-4EEF-9BCC-10695A3B55B8}" type="parTrans" cxnId="{6A079451-CD3E-4704-AD4A-72ABA3FDA009}">
      <dgm:prSet/>
      <dgm:spPr/>
      <dgm:t>
        <a:bodyPr/>
        <a:lstStyle/>
        <a:p>
          <a:endParaRPr lang="lv-LV" sz="1200"/>
        </a:p>
      </dgm:t>
    </dgm:pt>
    <dgm:pt modelId="{38820C90-EE2E-4294-A9CF-EDE11224319D}" type="sibTrans" cxnId="{6A079451-CD3E-4704-AD4A-72ABA3FDA009}">
      <dgm:prSet/>
      <dgm:spPr/>
      <dgm:t>
        <a:bodyPr/>
        <a:lstStyle/>
        <a:p>
          <a:endParaRPr lang="lv-LV" sz="1200"/>
        </a:p>
      </dgm:t>
    </dgm:pt>
    <dgm:pt modelId="{63741855-5B67-4CC4-B13C-3F095E96DF41}">
      <dgm:prSet phldrT="[Text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lv-LV" sz="1200"/>
            <a:t>vērtību aktualizē</a:t>
          </a:r>
        </a:p>
      </dgm:t>
    </dgm:pt>
    <dgm:pt modelId="{26410094-368A-4D3B-842C-7198D7984D28}" type="parTrans" cxnId="{33AE3594-D829-4F6D-8076-E579F204036B}">
      <dgm:prSet/>
      <dgm:spPr/>
      <dgm:t>
        <a:bodyPr/>
        <a:lstStyle/>
        <a:p>
          <a:endParaRPr lang="lv-LV" sz="1200"/>
        </a:p>
      </dgm:t>
    </dgm:pt>
    <dgm:pt modelId="{0C61B7E1-FB97-4EF2-A395-5A80DB96F318}" type="sibTrans" cxnId="{33AE3594-D829-4F6D-8076-E579F204036B}">
      <dgm:prSet/>
      <dgm:spPr/>
      <dgm:t>
        <a:bodyPr/>
        <a:lstStyle/>
        <a:p>
          <a:endParaRPr lang="lv-LV" sz="1200"/>
        </a:p>
      </dgm:t>
    </dgm:pt>
    <dgm:pt modelId="{D6208C47-1932-4F8C-B937-4CDA9F67ECFE}" type="pres">
      <dgm:prSet presAssocID="{D755D67E-2B87-444E-B9B7-DF958D1A8C3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v-LV"/>
        </a:p>
      </dgm:t>
    </dgm:pt>
    <dgm:pt modelId="{6991E3BE-9637-4114-B793-375F61AB9CB1}" type="pres">
      <dgm:prSet presAssocID="{93DEFBC5-4DD0-4932-8C6B-222AADF5A9F4}" presName="composite" presStyleCnt="0"/>
      <dgm:spPr/>
    </dgm:pt>
    <dgm:pt modelId="{B2E41173-A336-4E1D-BFAB-7F028CDA3D14}" type="pres">
      <dgm:prSet presAssocID="{93DEFBC5-4DD0-4932-8C6B-222AADF5A9F4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8ACB6794-2B8A-489B-85C9-6C65428289BE}" type="pres">
      <dgm:prSet presAssocID="{93DEFBC5-4DD0-4932-8C6B-222AADF5A9F4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D6B243FD-FC0D-4A98-A534-199396EF3A03}" type="pres">
      <dgm:prSet presAssocID="{C16FF6E6-DA48-4388-8545-85D6FE0B08B0}" presName="space" presStyleCnt="0"/>
      <dgm:spPr/>
    </dgm:pt>
    <dgm:pt modelId="{B4314DA8-360E-4DED-AEE5-147AA7DB8620}" type="pres">
      <dgm:prSet presAssocID="{CA392DBD-CA09-4BCE-B4DB-36CE19B02B13}" presName="composite" presStyleCnt="0"/>
      <dgm:spPr/>
    </dgm:pt>
    <dgm:pt modelId="{6091626E-23A2-4100-9578-4151609457AB}" type="pres">
      <dgm:prSet presAssocID="{CA392DBD-CA09-4BCE-B4DB-36CE19B02B1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B2B01158-27E4-48E4-A6A5-9D52B5515BC1}" type="pres">
      <dgm:prSet presAssocID="{CA392DBD-CA09-4BCE-B4DB-36CE19B02B13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471B85B7-B507-40F5-8636-179699731D99}" type="pres">
      <dgm:prSet presAssocID="{63CEE496-EF2C-4E7D-9810-BD6E4BD938F4}" presName="space" presStyleCnt="0"/>
      <dgm:spPr/>
    </dgm:pt>
    <dgm:pt modelId="{A7D24D96-9202-4284-9B2E-94C2F7BFD09E}" type="pres">
      <dgm:prSet presAssocID="{8428C667-7CC3-46F6-A78C-0AAEB3FAD140}" presName="composite" presStyleCnt="0"/>
      <dgm:spPr/>
    </dgm:pt>
    <dgm:pt modelId="{9BD0C5F5-BB00-4CCB-AF59-F34D4FA6EF4D}" type="pres">
      <dgm:prSet presAssocID="{8428C667-7CC3-46F6-A78C-0AAEB3FAD14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E7EDCF97-82B2-4458-AC05-3B726CA27A10}" type="pres">
      <dgm:prSet presAssocID="{8428C667-7CC3-46F6-A78C-0AAEB3FAD140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</dgm:ptLst>
  <dgm:cxnLst>
    <dgm:cxn modelId="{000A5EBF-2D01-42D3-9FE6-E0C274F80B29}" srcId="{93DEFBC5-4DD0-4932-8C6B-222AADF5A9F4}" destId="{73A801F4-8846-48AF-A860-0F50F2CCBFFB}" srcOrd="1" destOrd="0" parTransId="{6F9688C2-094E-48BE-96CB-33776A9B636E}" sibTransId="{86B2E816-B524-473D-AE54-87216367A782}"/>
    <dgm:cxn modelId="{C5A0E546-56AD-4FB5-A9D1-FA4E252B1822}" srcId="{CA392DBD-CA09-4BCE-B4DB-36CE19B02B13}" destId="{49177E86-679D-45E3-9B2D-26C8865C0018}" srcOrd="1" destOrd="0" parTransId="{B4219388-6616-43F0-965E-201475430206}" sibTransId="{239841FD-36BC-411F-BE09-A8B45D17B5F0}"/>
    <dgm:cxn modelId="{4549F041-4DD4-4288-A799-8186955F34F4}" type="presOf" srcId="{8428C667-7CC3-46F6-A78C-0AAEB3FAD140}" destId="{9BD0C5F5-BB00-4CCB-AF59-F34D4FA6EF4D}" srcOrd="0" destOrd="0" presId="urn:microsoft.com/office/officeart/2005/8/layout/hList1"/>
    <dgm:cxn modelId="{4ADA5FE4-9602-42E4-8D3B-DFEB212F8588}" srcId="{CA392DBD-CA09-4BCE-B4DB-36CE19B02B13}" destId="{82C4F8A2-CBB0-40C3-8DE6-9050AFA70AAA}" srcOrd="0" destOrd="0" parTransId="{90D1ADB2-1398-4A7B-9235-B4A7A8EF9EC3}" sibTransId="{397CAF72-F76C-4AF4-A8A5-B676674DDD77}"/>
    <dgm:cxn modelId="{220BEDCC-9745-48AB-A3C4-5394E36267C1}" type="presOf" srcId="{63741855-5B67-4CC4-B13C-3F095E96DF41}" destId="{E7EDCF97-82B2-4458-AC05-3B726CA27A10}" srcOrd="0" destOrd="1" presId="urn:microsoft.com/office/officeart/2005/8/layout/hList1"/>
    <dgm:cxn modelId="{5464C277-44D0-46EB-8E5D-B5D353F3CF1B}" srcId="{93DEFBC5-4DD0-4932-8C6B-222AADF5A9F4}" destId="{3169146B-B8BE-46B2-A371-5A5929E29C5A}" srcOrd="0" destOrd="0" parTransId="{8311925E-2494-405B-AEA9-B372C0B3274F}" sibTransId="{C6D97D9E-A053-462D-BCA5-248741A76A80}"/>
    <dgm:cxn modelId="{ECB691B2-B409-4555-88A1-6484AB9680C3}" type="presOf" srcId="{82C4F8A2-CBB0-40C3-8DE6-9050AFA70AAA}" destId="{B2B01158-27E4-48E4-A6A5-9D52B5515BC1}" srcOrd="0" destOrd="0" presId="urn:microsoft.com/office/officeart/2005/8/layout/hList1"/>
    <dgm:cxn modelId="{4D11B3C5-C561-456F-B07F-623B89E2759D}" srcId="{D755D67E-2B87-444E-B9B7-DF958D1A8C31}" destId="{93DEFBC5-4DD0-4932-8C6B-222AADF5A9F4}" srcOrd="0" destOrd="0" parTransId="{19C22DD3-B0D1-444B-B5C1-4E633E207671}" sibTransId="{C16FF6E6-DA48-4388-8545-85D6FE0B08B0}"/>
    <dgm:cxn modelId="{1DCFFCE7-141E-4038-92B0-4B6958442FC2}" srcId="{D755D67E-2B87-444E-B9B7-DF958D1A8C31}" destId="{8428C667-7CC3-46F6-A78C-0AAEB3FAD140}" srcOrd="2" destOrd="0" parTransId="{CD45E0ED-AD8E-442A-8321-440F31770F84}" sibTransId="{B2F62FF4-9987-427E-896F-36F501851E7F}"/>
    <dgm:cxn modelId="{B2C50D2A-EE8B-463D-B2E7-BBA079F04BD4}" type="presOf" srcId="{B0DABDD3-C78E-4857-9527-F9835C22AF0D}" destId="{E7EDCF97-82B2-4458-AC05-3B726CA27A10}" srcOrd="0" destOrd="0" presId="urn:microsoft.com/office/officeart/2005/8/layout/hList1"/>
    <dgm:cxn modelId="{BBC148A4-48D8-43DB-B3F4-BAE8C6F17472}" type="presOf" srcId="{93DEFBC5-4DD0-4932-8C6B-222AADF5A9F4}" destId="{B2E41173-A336-4E1D-BFAB-7F028CDA3D14}" srcOrd="0" destOrd="0" presId="urn:microsoft.com/office/officeart/2005/8/layout/hList1"/>
    <dgm:cxn modelId="{570B50EE-6663-40BF-ACAF-64AFDB9C4234}" type="presOf" srcId="{CA392DBD-CA09-4BCE-B4DB-36CE19B02B13}" destId="{6091626E-23A2-4100-9578-4151609457AB}" srcOrd="0" destOrd="0" presId="urn:microsoft.com/office/officeart/2005/8/layout/hList1"/>
    <dgm:cxn modelId="{33AE3594-D829-4F6D-8076-E579F204036B}" srcId="{8428C667-7CC3-46F6-A78C-0AAEB3FAD140}" destId="{63741855-5B67-4CC4-B13C-3F095E96DF41}" srcOrd="1" destOrd="0" parTransId="{26410094-368A-4D3B-842C-7198D7984D28}" sibTransId="{0C61B7E1-FB97-4EF2-A395-5A80DB96F318}"/>
    <dgm:cxn modelId="{5E76E47B-B44C-4CAE-AA79-D2AB2C571E37}" srcId="{D755D67E-2B87-444E-B9B7-DF958D1A8C31}" destId="{CA392DBD-CA09-4BCE-B4DB-36CE19B02B13}" srcOrd="1" destOrd="0" parTransId="{932A9E35-A0ED-4D07-808D-54B13E815065}" sibTransId="{63CEE496-EF2C-4E7D-9810-BD6E4BD938F4}"/>
    <dgm:cxn modelId="{164E9340-408E-4F2E-89A3-304C276BFC38}" type="presOf" srcId="{49177E86-679D-45E3-9B2D-26C8865C0018}" destId="{B2B01158-27E4-48E4-A6A5-9D52B5515BC1}" srcOrd="0" destOrd="1" presId="urn:microsoft.com/office/officeart/2005/8/layout/hList1"/>
    <dgm:cxn modelId="{203C3040-5157-49C6-903C-A586C1ACE0BE}" type="presOf" srcId="{73A801F4-8846-48AF-A860-0F50F2CCBFFB}" destId="{8ACB6794-2B8A-489B-85C9-6C65428289BE}" srcOrd="0" destOrd="1" presId="urn:microsoft.com/office/officeart/2005/8/layout/hList1"/>
    <dgm:cxn modelId="{6A079451-CD3E-4704-AD4A-72ABA3FDA009}" srcId="{8428C667-7CC3-46F6-A78C-0AAEB3FAD140}" destId="{B0DABDD3-C78E-4857-9527-F9835C22AF0D}" srcOrd="0" destOrd="0" parTransId="{38EA6D54-F117-4EEF-9BCC-10695A3B55B8}" sibTransId="{38820C90-EE2E-4294-A9CF-EDE11224319D}"/>
    <dgm:cxn modelId="{736EC83C-75D1-44B2-98C7-F78495C200B8}" type="presOf" srcId="{3169146B-B8BE-46B2-A371-5A5929E29C5A}" destId="{8ACB6794-2B8A-489B-85C9-6C65428289BE}" srcOrd="0" destOrd="0" presId="urn:microsoft.com/office/officeart/2005/8/layout/hList1"/>
    <dgm:cxn modelId="{389D7432-66D1-424D-B02B-605EE3D1E8E4}" type="presOf" srcId="{D755D67E-2B87-444E-B9B7-DF958D1A8C31}" destId="{D6208C47-1932-4F8C-B937-4CDA9F67ECFE}" srcOrd="0" destOrd="0" presId="urn:microsoft.com/office/officeart/2005/8/layout/hList1"/>
    <dgm:cxn modelId="{AFAAA3E5-9351-4C46-925C-019138CD8C4B}" type="presParOf" srcId="{D6208C47-1932-4F8C-B937-4CDA9F67ECFE}" destId="{6991E3BE-9637-4114-B793-375F61AB9CB1}" srcOrd="0" destOrd="0" presId="urn:microsoft.com/office/officeart/2005/8/layout/hList1"/>
    <dgm:cxn modelId="{A60FF613-7C9F-4CB2-A13C-0F3BF1F642A9}" type="presParOf" srcId="{6991E3BE-9637-4114-B793-375F61AB9CB1}" destId="{B2E41173-A336-4E1D-BFAB-7F028CDA3D14}" srcOrd="0" destOrd="0" presId="urn:microsoft.com/office/officeart/2005/8/layout/hList1"/>
    <dgm:cxn modelId="{ABC8F1F2-7357-4AA0-9643-82598A5CE00C}" type="presParOf" srcId="{6991E3BE-9637-4114-B793-375F61AB9CB1}" destId="{8ACB6794-2B8A-489B-85C9-6C65428289BE}" srcOrd="1" destOrd="0" presId="urn:microsoft.com/office/officeart/2005/8/layout/hList1"/>
    <dgm:cxn modelId="{AC48E950-09FB-47ED-A219-BDD04077436B}" type="presParOf" srcId="{D6208C47-1932-4F8C-B937-4CDA9F67ECFE}" destId="{D6B243FD-FC0D-4A98-A534-199396EF3A03}" srcOrd="1" destOrd="0" presId="urn:microsoft.com/office/officeart/2005/8/layout/hList1"/>
    <dgm:cxn modelId="{243CA0F5-6EB9-4956-BAC5-0A610BFDB122}" type="presParOf" srcId="{D6208C47-1932-4F8C-B937-4CDA9F67ECFE}" destId="{B4314DA8-360E-4DED-AEE5-147AA7DB8620}" srcOrd="2" destOrd="0" presId="urn:microsoft.com/office/officeart/2005/8/layout/hList1"/>
    <dgm:cxn modelId="{C58CEC8D-9DDF-44B7-8E1B-15ED52766CB8}" type="presParOf" srcId="{B4314DA8-360E-4DED-AEE5-147AA7DB8620}" destId="{6091626E-23A2-4100-9578-4151609457AB}" srcOrd="0" destOrd="0" presId="urn:microsoft.com/office/officeart/2005/8/layout/hList1"/>
    <dgm:cxn modelId="{9913C5BF-966F-424C-822F-6B6DFB391E70}" type="presParOf" srcId="{B4314DA8-360E-4DED-AEE5-147AA7DB8620}" destId="{B2B01158-27E4-48E4-A6A5-9D52B5515BC1}" srcOrd="1" destOrd="0" presId="urn:microsoft.com/office/officeart/2005/8/layout/hList1"/>
    <dgm:cxn modelId="{235F4A82-7B46-4AF1-99C7-2A2D3420DE73}" type="presParOf" srcId="{D6208C47-1932-4F8C-B937-4CDA9F67ECFE}" destId="{471B85B7-B507-40F5-8636-179699731D99}" srcOrd="3" destOrd="0" presId="urn:microsoft.com/office/officeart/2005/8/layout/hList1"/>
    <dgm:cxn modelId="{E2B798CB-0112-4766-BE6B-3160DBB020F4}" type="presParOf" srcId="{D6208C47-1932-4F8C-B937-4CDA9F67ECFE}" destId="{A7D24D96-9202-4284-9B2E-94C2F7BFD09E}" srcOrd="4" destOrd="0" presId="urn:microsoft.com/office/officeart/2005/8/layout/hList1"/>
    <dgm:cxn modelId="{7ABC79FE-0DB0-4331-9465-A09B3703D541}" type="presParOf" srcId="{A7D24D96-9202-4284-9B2E-94C2F7BFD09E}" destId="{9BD0C5F5-BB00-4CCB-AF59-F34D4FA6EF4D}" srcOrd="0" destOrd="0" presId="urn:microsoft.com/office/officeart/2005/8/layout/hList1"/>
    <dgm:cxn modelId="{CF745A82-C37D-4FDC-92CF-01B0FDEA42D7}" type="presParOf" srcId="{A7D24D96-9202-4284-9B2E-94C2F7BFD09E}" destId="{E7EDCF97-82B2-4458-AC05-3B726CA27A1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E41173-A336-4E1D-BFAB-7F028CDA3D14}">
      <dsp:nvSpPr>
        <dsp:cNvPr id="0" name=""/>
        <dsp:cNvSpPr/>
      </dsp:nvSpPr>
      <dsp:spPr>
        <a:xfrm>
          <a:off x="1714" y="15292"/>
          <a:ext cx="1671637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Iegādes izmaksu vērtība</a:t>
          </a:r>
        </a:p>
      </dsp:txBody>
      <dsp:txXfrm>
        <a:off x="1714" y="15292"/>
        <a:ext cx="1671637" cy="576000"/>
      </dsp:txXfrm>
    </dsp:sp>
    <dsp:sp modelId="{8ACB6794-2B8A-489B-85C9-6C65428289BE}">
      <dsp:nvSpPr>
        <dsp:cNvPr id="0" name=""/>
        <dsp:cNvSpPr/>
      </dsp:nvSpPr>
      <dsp:spPr>
        <a:xfrm>
          <a:off x="1714" y="591293"/>
          <a:ext cx="1671637" cy="878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200" kern="1200"/>
            <a:t>platību precizē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200" kern="1200"/>
            <a:t>vērtību nemaina</a:t>
          </a:r>
        </a:p>
      </dsp:txBody>
      <dsp:txXfrm>
        <a:off x="1714" y="591293"/>
        <a:ext cx="1671637" cy="878400"/>
      </dsp:txXfrm>
    </dsp:sp>
    <dsp:sp modelId="{6091626E-23A2-4100-9578-4151609457AB}">
      <dsp:nvSpPr>
        <dsp:cNvPr id="0" name=""/>
        <dsp:cNvSpPr/>
      </dsp:nvSpPr>
      <dsp:spPr>
        <a:xfrm>
          <a:off x="1907381" y="15292"/>
          <a:ext cx="1671637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Patiesā vērtība</a:t>
          </a:r>
        </a:p>
      </dsp:txBody>
      <dsp:txXfrm>
        <a:off x="1907381" y="15292"/>
        <a:ext cx="1671637" cy="576000"/>
      </dsp:txXfrm>
    </dsp:sp>
    <dsp:sp modelId="{B2B01158-27E4-48E4-A6A5-9D52B5515BC1}">
      <dsp:nvSpPr>
        <dsp:cNvPr id="0" name=""/>
        <dsp:cNvSpPr/>
      </dsp:nvSpPr>
      <dsp:spPr>
        <a:xfrm>
          <a:off x="1907381" y="591293"/>
          <a:ext cx="1671637" cy="878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200" kern="1200"/>
            <a:t>platību precizē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200" kern="1200"/>
            <a:t>vērtību nemaina</a:t>
          </a:r>
        </a:p>
      </dsp:txBody>
      <dsp:txXfrm>
        <a:off x="1907381" y="591293"/>
        <a:ext cx="1671637" cy="878400"/>
      </dsp:txXfrm>
    </dsp:sp>
    <dsp:sp modelId="{9BD0C5F5-BB00-4CCB-AF59-F34D4FA6EF4D}">
      <dsp:nvSpPr>
        <dsp:cNvPr id="0" name=""/>
        <dsp:cNvSpPr/>
      </dsp:nvSpPr>
      <dsp:spPr>
        <a:xfrm>
          <a:off x="3813048" y="15292"/>
          <a:ext cx="1671637" cy="576000"/>
        </a:xfrm>
        <a:prstGeom prst="rect">
          <a:avLst/>
        </a:prstGeom>
        <a:solidFill>
          <a:schemeClr val="accent3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3"/>
        </a:fillRef>
        <a:effectRef idx="1">
          <a:schemeClr val="accent3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Kadastrālā vērtība</a:t>
          </a:r>
        </a:p>
      </dsp:txBody>
      <dsp:txXfrm>
        <a:off x="3813048" y="15292"/>
        <a:ext cx="1671637" cy="576000"/>
      </dsp:txXfrm>
    </dsp:sp>
    <dsp:sp modelId="{E7EDCF97-82B2-4458-AC05-3B726CA27A10}">
      <dsp:nvSpPr>
        <dsp:cNvPr id="0" name=""/>
        <dsp:cNvSpPr/>
      </dsp:nvSpPr>
      <dsp:spPr>
        <a:xfrm>
          <a:off x="3813048" y="591293"/>
          <a:ext cx="1671637" cy="878400"/>
        </a:xfrm>
        <a:prstGeom prst="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200" kern="1200"/>
            <a:t>platību precizē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200" kern="1200"/>
            <a:t>vērtību aktualizē</a:t>
          </a:r>
        </a:p>
      </dsp:txBody>
      <dsp:txXfrm>
        <a:off x="3813048" y="591293"/>
        <a:ext cx="1671637" cy="878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3994</Words>
  <Characters>2278</Characters>
  <Application>Microsoft Office Word</Application>
  <DocSecurity>4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Sirbu</dc:creator>
  <cp:lastModifiedBy>Sandija Krūmiņa-Pēkšena</cp:lastModifiedBy>
  <cp:revision>2</cp:revision>
  <cp:lastPrinted>2017-11-21T10:49:00Z</cp:lastPrinted>
  <dcterms:created xsi:type="dcterms:W3CDTF">2017-12-05T11:54:00Z</dcterms:created>
  <dcterms:modified xsi:type="dcterms:W3CDTF">2017-12-05T11:54:00Z</dcterms:modified>
</cp:coreProperties>
</file>