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00A74" w14:textId="31766872" w:rsidR="00CE3495" w:rsidRPr="002569F6" w:rsidRDefault="00FA4916" w:rsidP="00CE3495">
      <w:pPr>
        <w:rPr>
          <w:b/>
          <w:i/>
          <w:color w:val="012169"/>
          <w:lang w:val="lv-LV"/>
        </w:rPr>
      </w:pPr>
      <w:bookmarkStart w:id="0" w:name="_GoBack"/>
      <w:bookmarkEnd w:id="0"/>
      <w:r w:rsidRPr="002569F6">
        <w:rPr>
          <w:b/>
          <w:i/>
          <w:color w:val="012169"/>
          <w:lang w:val="lv-LV"/>
        </w:rPr>
        <w:t>Skaidrojums p</w:t>
      </w:r>
      <w:r w:rsidR="00CE3495" w:rsidRPr="002569F6">
        <w:rPr>
          <w:b/>
          <w:i/>
          <w:color w:val="012169"/>
          <w:lang w:val="lv-LV"/>
        </w:rPr>
        <w:t xml:space="preserve">ar naudas līdzekļu atlikumiem </w:t>
      </w:r>
    </w:p>
    <w:p w14:paraId="4BFDD6A3" w14:textId="77777777" w:rsidR="00CE3495" w:rsidRPr="002569F6" w:rsidRDefault="00CE3495" w:rsidP="00CE3495">
      <w:pPr>
        <w:rPr>
          <w:b/>
          <w:i/>
          <w:color w:val="012169"/>
          <w:lang w:val="lv-LV"/>
        </w:rPr>
      </w:pPr>
      <w:r w:rsidRPr="002569F6">
        <w:rPr>
          <w:b/>
          <w:i/>
          <w:color w:val="012169"/>
          <w:lang w:val="lv-LV"/>
        </w:rPr>
        <w:t>AS "PNB Banka"</w:t>
      </w:r>
    </w:p>
    <w:p w14:paraId="3B5A9CAA" w14:textId="77777777" w:rsidR="00CE3495" w:rsidRPr="004B1213" w:rsidRDefault="00CE3495" w:rsidP="00CE3495">
      <w:pPr>
        <w:rPr>
          <w:lang w:val="lv-LV"/>
        </w:rPr>
      </w:pPr>
    </w:p>
    <w:p w14:paraId="1E38F5A2" w14:textId="2653D359" w:rsidR="00CE3495" w:rsidRPr="004B1213" w:rsidRDefault="00CE3495" w:rsidP="00CE3495">
      <w:pPr>
        <w:spacing w:line="276" w:lineRule="auto"/>
        <w:ind w:firstLine="335"/>
        <w:jc w:val="both"/>
        <w:rPr>
          <w:lang w:val="lv-LV"/>
        </w:rPr>
      </w:pPr>
      <w:r w:rsidRPr="004B1213">
        <w:rPr>
          <w:color w:val="000000" w:themeColor="text1"/>
          <w:lang w:val="lv-LV"/>
        </w:rPr>
        <w:t xml:space="preserve">Valsts kase sniedz informāciju par valsts un pašvaldību budžeta iestāžu (turpmāk – budžeta iestādes) atlikumu norēķinu kontos AS "PNB Banka" grāmatvedības uzskaiti  atbilstoši Finanšu un kapitāla tirgus komisijas padomes 2019.gada 15.augusta lēmumam noteikt "PNB bankai" aizliegumu sniegt finanšu pakalpojumus, kā arī ar AS “PNB banka” paziņojumam, ka ar Rīgas pilsētas Vidzemes priekšpilsētas tiesas 2019. gada 12. septembra spriedumu civillietā Nr. C30710019 AS "PNB Banka", reģistrācijas Nr. 40003072918, ir pasludināta par maksātnespējīgu, nosakot, ka maksātnespēja iestājās 2019. gada 12. </w:t>
      </w:r>
      <w:r w:rsidR="00610A14" w:rsidRPr="004B1213">
        <w:rPr>
          <w:color w:val="000000" w:themeColor="text1"/>
          <w:lang w:val="lv-LV"/>
        </w:rPr>
        <w:t>s</w:t>
      </w:r>
      <w:r w:rsidRPr="004B1213">
        <w:rPr>
          <w:color w:val="000000" w:themeColor="text1"/>
          <w:lang w:val="lv-LV"/>
        </w:rPr>
        <w:t>eptembrī</w:t>
      </w:r>
      <w:r w:rsidRPr="004B1213">
        <w:rPr>
          <w:lang w:val="lv-LV"/>
        </w:rPr>
        <w:t>.</w:t>
      </w:r>
    </w:p>
    <w:p w14:paraId="0A341375" w14:textId="77777777" w:rsidR="00CE3495" w:rsidRPr="004B1213" w:rsidRDefault="00CE3495" w:rsidP="00CE3495">
      <w:pPr>
        <w:spacing w:line="276" w:lineRule="auto"/>
        <w:ind w:firstLine="335"/>
        <w:jc w:val="both"/>
        <w:rPr>
          <w:lang w:val="lv-LV"/>
        </w:rPr>
      </w:pPr>
    </w:p>
    <w:p w14:paraId="0ADB2D8C" w14:textId="5841CDDA" w:rsidR="00CE3495" w:rsidRPr="004B1213" w:rsidRDefault="00CE3495" w:rsidP="00CE3495">
      <w:pPr>
        <w:spacing w:line="276" w:lineRule="auto"/>
        <w:ind w:firstLine="335"/>
        <w:jc w:val="both"/>
        <w:rPr>
          <w:u w:val="single"/>
          <w:lang w:val="lv-LV"/>
        </w:rPr>
      </w:pPr>
      <w:r w:rsidRPr="004B1213">
        <w:rPr>
          <w:u w:val="single"/>
          <w:lang w:val="lv-LV"/>
        </w:rPr>
        <w:t>Grāmatvedības uzskaitē</w:t>
      </w:r>
      <w:r w:rsidR="0098590B" w:rsidRPr="004B1213">
        <w:rPr>
          <w:u w:val="single"/>
          <w:lang w:val="lv-LV"/>
        </w:rPr>
        <w:t xml:space="preserve"> (pēc kreditora prasījuma iesniegšanas) līdz 2019.gada 31.dece</w:t>
      </w:r>
      <w:r w:rsidR="000C7C4C">
        <w:rPr>
          <w:u w:val="single"/>
          <w:lang w:val="lv-LV"/>
        </w:rPr>
        <w:t>m</w:t>
      </w:r>
      <w:r w:rsidR="0098590B" w:rsidRPr="004B1213">
        <w:rPr>
          <w:u w:val="single"/>
          <w:lang w:val="lv-LV"/>
        </w:rPr>
        <w:t xml:space="preserve">brim </w:t>
      </w:r>
      <w:r w:rsidRPr="004B1213">
        <w:rPr>
          <w:u w:val="single"/>
          <w:lang w:val="lv-LV"/>
        </w:rPr>
        <w:t xml:space="preserve"> veic šādus grāmatojumus</w:t>
      </w:r>
      <w:r w:rsidR="007879F6">
        <w:rPr>
          <w:u w:val="single"/>
          <w:lang w:val="lv-LV"/>
        </w:rPr>
        <w:t xml:space="preserve"> un darbības</w:t>
      </w:r>
      <w:r w:rsidRPr="004B1213">
        <w:rPr>
          <w:u w:val="single"/>
          <w:lang w:val="lv-LV"/>
        </w:rPr>
        <w:t>:</w:t>
      </w:r>
    </w:p>
    <w:p w14:paraId="156F16A0" w14:textId="21676E08" w:rsidR="00CE3495" w:rsidRPr="004B1213" w:rsidRDefault="000D6CC3" w:rsidP="00CE3495">
      <w:pPr>
        <w:numPr>
          <w:ilvl w:val="0"/>
          <w:numId w:val="1"/>
        </w:numPr>
        <w:spacing w:line="276" w:lineRule="auto"/>
        <w:jc w:val="both"/>
        <w:rPr>
          <w:lang w:val="lv-LV"/>
        </w:rPr>
      </w:pPr>
      <w:r w:rsidRPr="004B1213">
        <w:rPr>
          <w:lang w:val="lv-LV"/>
        </w:rPr>
        <w:t xml:space="preserve">Darījums - </w:t>
      </w:r>
      <w:r w:rsidR="00CE3495" w:rsidRPr="004B1213">
        <w:rPr>
          <w:lang w:val="lv-LV"/>
        </w:rPr>
        <w:t xml:space="preserve">naudas līdzekļu atlikumus pārklasificē kā pārējās prasības pret AS "PNB banka": </w:t>
      </w:r>
    </w:p>
    <w:tbl>
      <w:tblPr>
        <w:tblW w:w="8280" w:type="dxa"/>
        <w:tblInd w:w="108" w:type="dxa"/>
        <w:tblLayout w:type="fixed"/>
        <w:tblLook w:val="0000" w:firstRow="0" w:lastRow="0" w:firstColumn="0" w:lastColumn="0" w:noHBand="0" w:noVBand="0"/>
      </w:tblPr>
      <w:tblGrid>
        <w:gridCol w:w="559"/>
        <w:gridCol w:w="546"/>
        <w:gridCol w:w="1622"/>
        <w:gridCol w:w="5553"/>
      </w:tblGrid>
      <w:tr w:rsidR="00CE3495" w:rsidRPr="004B1213" w14:paraId="427A3889" w14:textId="77777777" w:rsidTr="00267D2E">
        <w:trPr>
          <w:trHeight w:val="333"/>
        </w:trPr>
        <w:tc>
          <w:tcPr>
            <w:tcW w:w="559" w:type="dxa"/>
            <w:tcBorders>
              <w:top w:val="single" w:sz="4" w:space="0" w:color="auto"/>
            </w:tcBorders>
          </w:tcPr>
          <w:p w14:paraId="61C3A588" w14:textId="77777777" w:rsidR="00CE3495" w:rsidRPr="004B1213" w:rsidRDefault="00CE3495" w:rsidP="00E66E23">
            <w:pPr>
              <w:keepNext/>
              <w:keepLines/>
              <w:jc w:val="both"/>
              <w:rPr>
                <w:lang w:val="lv-LV"/>
              </w:rPr>
            </w:pPr>
          </w:p>
        </w:tc>
        <w:tc>
          <w:tcPr>
            <w:tcW w:w="546" w:type="dxa"/>
            <w:tcBorders>
              <w:top w:val="single" w:sz="4" w:space="0" w:color="auto"/>
            </w:tcBorders>
          </w:tcPr>
          <w:p w14:paraId="29B22F18" w14:textId="77777777" w:rsidR="00CE3495" w:rsidRPr="004B1213" w:rsidRDefault="00CE3495" w:rsidP="00E66E23">
            <w:pPr>
              <w:keepNext/>
              <w:keepLines/>
              <w:jc w:val="both"/>
              <w:rPr>
                <w:lang w:val="lv-LV"/>
              </w:rPr>
            </w:pPr>
            <w:proofErr w:type="spellStart"/>
            <w:r w:rsidRPr="004B1213">
              <w:rPr>
                <w:sz w:val="22"/>
                <w:lang w:val="lv-LV"/>
              </w:rPr>
              <w:t>Db</w:t>
            </w:r>
            <w:proofErr w:type="spellEnd"/>
            <w:r w:rsidRPr="004B1213">
              <w:rPr>
                <w:sz w:val="22"/>
                <w:lang w:val="lv-LV"/>
              </w:rPr>
              <w:t>.</w:t>
            </w:r>
          </w:p>
        </w:tc>
        <w:tc>
          <w:tcPr>
            <w:tcW w:w="1622" w:type="dxa"/>
            <w:tcBorders>
              <w:top w:val="single" w:sz="4" w:space="0" w:color="auto"/>
              <w:right w:val="single" w:sz="4" w:space="0" w:color="auto"/>
            </w:tcBorders>
          </w:tcPr>
          <w:p w14:paraId="33C579A5" w14:textId="4D217921" w:rsidR="00CE3495" w:rsidRPr="004B1213" w:rsidRDefault="00267D2E" w:rsidP="00E66E23">
            <w:pPr>
              <w:jc w:val="both"/>
              <w:rPr>
                <w:lang w:val="lv-LV"/>
              </w:rPr>
            </w:pPr>
            <w:r w:rsidRPr="004B1213">
              <w:rPr>
                <w:sz w:val="22"/>
                <w:lang w:val="lv-LV"/>
              </w:rPr>
              <w:t>2399</w:t>
            </w:r>
          </w:p>
        </w:tc>
        <w:tc>
          <w:tcPr>
            <w:tcW w:w="5553" w:type="dxa"/>
            <w:tcBorders>
              <w:top w:val="single" w:sz="4" w:space="0" w:color="auto"/>
              <w:left w:val="single" w:sz="4" w:space="0" w:color="auto"/>
            </w:tcBorders>
          </w:tcPr>
          <w:p w14:paraId="39D8852F" w14:textId="76968EE8" w:rsidR="00CE3495" w:rsidRPr="004B1213" w:rsidRDefault="00267D2E" w:rsidP="00E66E23">
            <w:pPr>
              <w:jc w:val="both"/>
              <w:rPr>
                <w:lang w:val="lv-LV"/>
              </w:rPr>
            </w:pPr>
            <w:r w:rsidRPr="004B1213">
              <w:rPr>
                <w:sz w:val="22"/>
                <w:lang w:val="lv-LV"/>
              </w:rPr>
              <w:t>Pārējās prasības</w:t>
            </w:r>
          </w:p>
        </w:tc>
      </w:tr>
      <w:tr w:rsidR="00CE3495" w:rsidRPr="004B1213" w14:paraId="1D1EDC84" w14:textId="77777777" w:rsidTr="00267D2E">
        <w:tc>
          <w:tcPr>
            <w:tcW w:w="559" w:type="dxa"/>
            <w:tcBorders>
              <w:bottom w:val="single" w:sz="4" w:space="0" w:color="auto"/>
            </w:tcBorders>
          </w:tcPr>
          <w:p w14:paraId="65D7BF27" w14:textId="77777777" w:rsidR="00CE3495" w:rsidRPr="004B1213" w:rsidRDefault="00CE3495" w:rsidP="00E66E23">
            <w:pPr>
              <w:keepNext/>
              <w:keepLines/>
              <w:jc w:val="both"/>
              <w:rPr>
                <w:lang w:val="lv-LV"/>
              </w:rPr>
            </w:pPr>
          </w:p>
        </w:tc>
        <w:tc>
          <w:tcPr>
            <w:tcW w:w="546" w:type="dxa"/>
            <w:tcBorders>
              <w:bottom w:val="single" w:sz="4" w:space="0" w:color="auto"/>
            </w:tcBorders>
          </w:tcPr>
          <w:p w14:paraId="20CD1DC7" w14:textId="77777777" w:rsidR="00CE3495" w:rsidRPr="004B1213" w:rsidRDefault="00CE3495" w:rsidP="00E66E23">
            <w:pPr>
              <w:jc w:val="both"/>
              <w:rPr>
                <w:sz w:val="22"/>
                <w:lang w:val="lv-LV"/>
              </w:rPr>
            </w:pPr>
            <w:proofErr w:type="spellStart"/>
            <w:r w:rsidRPr="004B1213">
              <w:rPr>
                <w:sz w:val="22"/>
                <w:lang w:val="lv-LV"/>
              </w:rPr>
              <w:t>Kr</w:t>
            </w:r>
            <w:proofErr w:type="spellEnd"/>
            <w:r w:rsidRPr="004B1213">
              <w:rPr>
                <w:sz w:val="22"/>
                <w:lang w:val="lv-LV"/>
              </w:rPr>
              <w:t>.</w:t>
            </w:r>
          </w:p>
        </w:tc>
        <w:tc>
          <w:tcPr>
            <w:tcW w:w="1622" w:type="dxa"/>
            <w:tcBorders>
              <w:bottom w:val="single" w:sz="4" w:space="0" w:color="auto"/>
              <w:right w:val="single" w:sz="4" w:space="0" w:color="auto"/>
            </w:tcBorders>
          </w:tcPr>
          <w:p w14:paraId="77FC1044" w14:textId="1A2F0FB9" w:rsidR="00CE3495" w:rsidRPr="004B1213" w:rsidRDefault="00267D2E" w:rsidP="00E66E23">
            <w:pPr>
              <w:jc w:val="both"/>
              <w:rPr>
                <w:sz w:val="22"/>
                <w:szCs w:val="22"/>
                <w:lang w:val="lv-LV"/>
              </w:rPr>
            </w:pPr>
            <w:r w:rsidRPr="004B1213">
              <w:rPr>
                <w:sz w:val="22"/>
                <w:szCs w:val="22"/>
                <w:lang w:val="lv-LV"/>
              </w:rPr>
              <w:t>26xx</w:t>
            </w:r>
          </w:p>
        </w:tc>
        <w:tc>
          <w:tcPr>
            <w:tcW w:w="5553" w:type="dxa"/>
            <w:tcBorders>
              <w:left w:val="single" w:sz="4" w:space="0" w:color="auto"/>
              <w:bottom w:val="single" w:sz="4" w:space="0" w:color="auto"/>
            </w:tcBorders>
          </w:tcPr>
          <w:p w14:paraId="1C08EAA7" w14:textId="485230B9" w:rsidR="00CE3495" w:rsidRPr="004B1213" w:rsidRDefault="00267D2E" w:rsidP="00E66E23">
            <w:pPr>
              <w:jc w:val="both"/>
              <w:rPr>
                <w:sz w:val="22"/>
                <w:lang w:val="lv-LV"/>
              </w:rPr>
            </w:pPr>
            <w:r w:rsidRPr="004B1213">
              <w:rPr>
                <w:sz w:val="22"/>
                <w:szCs w:val="22"/>
                <w:lang w:val="lv-LV"/>
              </w:rPr>
              <w:t>Naudas līdzekļi</w:t>
            </w:r>
          </w:p>
        </w:tc>
      </w:tr>
    </w:tbl>
    <w:p w14:paraId="43FE713F" w14:textId="77777777" w:rsidR="00CE3495" w:rsidRPr="004B1213" w:rsidRDefault="00CE3495" w:rsidP="00CE3495">
      <w:pPr>
        <w:spacing w:line="276" w:lineRule="auto"/>
        <w:jc w:val="both"/>
        <w:rPr>
          <w:lang w:val="lv-LV"/>
        </w:rPr>
      </w:pPr>
      <w:r w:rsidRPr="004B1213">
        <w:rPr>
          <w:lang w:val="lv-LV"/>
        </w:rPr>
        <w:t xml:space="preserve">Darījumam piemēro izdevumu ekonomiskās klasifikācijas </w:t>
      </w:r>
      <w:r w:rsidRPr="004B1213">
        <w:rPr>
          <w:i/>
          <w:lang w:val="lv-LV"/>
        </w:rPr>
        <w:t xml:space="preserve">kodu 8900 “Pārējie iepriekš neuzskaitītie budžeta izdevumi, kas veidojas pēc uzkrāšanas principa un nav uzskaitīti citos koda 8000 </w:t>
      </w:r>
      <w:proofErr w:type="spellStart"/>
      <w:r w:rsidRPr="004B1213">
        <w:rPr>
          <w:i/>
          <w:lang w:val="lv-LV"/>
        </w:rPr>
        <w:t>apakškodos</w:t>
      </w:r>
      <w:proofErr w:type="spellEnd"/>
      <w:r w:rsidRPr="004B1213">
        <w:rPr>
          <w:i/>
          <w:lang w:val="lv-LV"/>
        </w:rPr>
        <w:t>.</w:t>
      </w:r>
    </w:p>
    <w:p w14:paraId="134B47B2" w14:textId="77777777" w:rsidR="00CE3495" w:rsidRPr="004B1213" w:rsidRDefault="00CE3495" w:rsidP="00CE3495">
      <w:pPr>
        <w:spacing w:line="276" w:lineRule="auto"/>
        <w:jc w:val="both"/>
        <w:rPr>
          <w:lang w:val="lv-LV"/>
        </w:rPr>
      </w:pPr>
    </w:p>
    <w:p w14:paraId="4A0A27EB" w14:textId="38EF5DE9" w:rsidR="00CE3495" w:rsidRPr="004B1213" w:rsidRDefault="00B9423E" w:rsidP="00CE3495">
      <w:pPr>
        <w:numPr>
          <w:ilvl w:val="0"/>
          <w:numId w:val="1"/>
        </w:numPr>
        <w:spacing w:line="276" w:lineRule="auto"/>
        <w:jc w:val="both"/>
        <w:rPr>
          <w:lang w:val="lv-LV"/>
        </w:rPr>
      </w:pPr>
      <w:r w:rsidRPr="004B1213">
        <w:rPr>
          <w:lang w:val="lv-LV"/>
        </w:rPr>
        <w:t xml:space="preserve">Darījums - </w:t>
      </w:r>
      <w:r w:rsidR="00CE3495" w:rsidRPr="004B1213">
        <w:rPr>
          <w:lang w:val="lv-LV"/>
        </w:rPr>
        <w:t>prasībām veido vērtības samazinājumu:</w:t>
      </w:r>
    </w:p>
    <w:p w14:paraId="02AA3B51" w14:textId="77777777" w:rsidR="00CE3495" w:rsidRPr="004B1213" w:rsidRDefault="00CE3495" w:rsidP="008452DA">
      <w:pPr>
        <w:spacing w:line="276" w:lineRule="auto"/>
        <w:ind w:firstLine="335"/>
        <w:jc w:val="both"/>
        <w:rPr>
          <w:lang w:val="lv-LV"/>
        </w:rPr>
      </w:pPr>
      <w:r w:rsidRPr="004B1213">
        <w:rPr>
          <w:lang w:val="lv-LV"/>
        </w:rPr>
        <w:t>Budžeta iestāde pārskata gada beigās izvērtē, vai pastāv objektīvi pierādījumi prasību  saņemšanai un, ja nepieciešams, atzīst prasību vērtības samazinājumu. Izdevumus vērtības samazinājumam novērtē nedrošās (apšaubāmās) summas apmērā.</w:t>
      </w:r>
    </w:p>
    <w:tbl>
      <w:tblPr>
        <w:tblW w:w="8280" w:type="dxa"/>
        <w:tblInd w:w="108" w:type="dxa"/>
        <w:tblLayout w:type="fixed"/>
        <w:tblLook w:val="0000" w:firstRow="0" w:lastRow="0" w:firstColumn="0" w:lastColumn="0" w:noHBand="0" w:noVBand="0"/>
      </w:tblPr>
      <w:tblGrid>
        <w:gridCol w:w="559"/>
        <w:gridCol w:w="546"/>
        <w:gridCol w:w="1622"/>
        <w:gridCol w:w="5553"/>
      </w:tblGrid>
      <w:tr w:rsidR="00CE3495" w:rsidRPr="004B1213" w14:paraId="558A146C" w14:textId="77777777" w:rsidTr="00267D2E">
        <w:tc>
          <w:tcPr>
            <w:tcW w:w="559" w:type="dxa"/>
            <w:tcBorders>
              <w:top w:val="single" w:sz="4" w:space="0" w:color="auto"/>
            </w:tcBorders>
          </w:tcPr>
          <w:p w14:paraId="57B236D7" w14:textId="77777777" w:rsidR="00CE3495" w:rsidRPr="004B1213" w:rsidRDefault="00CE3495" w:rsidP="00E66E23">
            <w:pPr>
              <w:keepNext/>
              <w:keepLines/>
              <w:jc w:val="both"/>
              <w:rPr>
                <w:lang w:val="lv-LV"/>
              </w:rPr>
            </w:pPr>
          </w:p>
        </w:tc>
        <w:tc>
          <w:tcPr>
            <w:tcW w:w="546" w:type="dxa"/>
            <w:tcBorders>
              <w:top w:val="single" w:sz="4" w:space="0" w:color="auto"/>
            </w:tcBorders>
          </w:tcPr>
          <w:p w14:paraId="6AEEBA96" w14:textId="77777777" w:rsidR="00CE3495" w:rsidRPr="004B1213" w:rsidRDefault="00CE3495" w:rsidP="00E66E23">
            <w:pPr>
              <w:keepNext/>
              <w:keepLines/>
              <w:jc w:val="both"/>
              <w:rPr>
                <w:lang w:val="lv-LV"/>
              </w:rPr>
            </w:pPr>
            <w:proofErr w:type="spellStart"/>
            <w:r w:rsidRPr="004B1213">
              <w:rPr>
                <w:sz w:val="22"/>
                <w:lang w:val="lv-LV"/>
              </w:rPr>
              <w:t>Db</w:t>
            </w:r>
            <w:proofErr w:type="spellEnd"/>
            <w:r w:rsidRPr="004B1213">
              <w:rPr>
                <w:sz w:val="22"/>
                <w:lang w:val="lv-LV"/>
              </w:rPr>
              <w:t>.</w:t>
            </w:r>
          </w:p>
        </w:tc>
        <w:tc>
          <w:tcPr>
            <w:tcW w:w="1622" w:type="dxa"/>
            <w:tcBorders>
              <w:top w:val="single" w:sz="4" w:space="0" w:color="auto"/>
              <w:right w:val="single" w:sz="4" w:space="0" w:color="auto"/>
            </w:tcBorders>
          </w:tcPr>
          <w:p w14:paraId="6378ED39" w14:textId="1F26C6E8" w:rsidR="00CE3495" w:rsidRPr="004B1213" w:rsidRDefault="00267D2E" w:rsidP="00E66E23">
            <w:pPr>
              <w:jc w:val="both"/>
              <w:rPr>
                <w:lang w:val="lv-LV"/>
              </w:rPr>
            </w:pPr>
            <w:r w:rsidRPr="004B1213">
              <w:rPr>
                <w:sz w:val="22"/>
                <w:lang w:val="lv-LV"/>
              </w:rPr>
              <w:t>8655</w:t>
            </w:r>
          </w:p>
        </w:tc>
        <w:tc>
          <w:tcPr>
            <w:tcW w:w="5553" w:type="dxa"/>
            <w:tcBorders>
              <w:top w:val="single" w:sz="4" w:space="0" w:color="auto"/>
              <w:left w:val="single" w:sz="4" w:space="0" w:color="auto"/>
            </w:tcBorders>
          </w:tcPr>
          <w:p w14:paraId="313190BB" w14:textId="1423F317" w:rsidR="00CE3495" w:rsidRPr="004B1213" w:rsidRDefault="00267D2E" w:rsidP="00E66E23">
            <w:pPr>
              <w:jc w:val="both"/>
              <w:rPr>
                <w:lang w:val="lv-LV"/>
              </w:rPr>
            </w:pPr>
            <w:r w:rsidRPr="004B1213">
              <w:rPr>
                <w:sz w:val="22"/>
                <w:lang w:val="lv-LV"/>
              </w:rPr>
              <w:t>Izdevumi no vērtības samazinājuma prasībām un avansiem par pakalpojumiem</w:t>
            </w:r>
          </w:p>
        </w:tc>
      </w:tr>
      <w:tr w:rsidR="00CE3495" w:rsidRPr="004B1213" w14:paraId="0E26329D" w14:textId="77777777" w:rsidTr="00267D2E">
        <w:tc>
          <w:tcPr>
            <w:tcW w:w="559" w:type="dxa"/>
            <w:tcBorders>
              <w:bottom w:val="single" w:sz="4" w:space="0" w:color="auto"/>
            </w:tcBorders>
          </w:tcPr>
          <w:p w14:paraId="2D3E5FCF" w14:textId="77777777" w:rsidR="00CE3495" w:rsidRPr="004B1213" w:rsidRDefault="00CE3495" w:rsidP="00E66E23">
            <w:pPr>
              <w:keepNext/>
              <w:keepLines/>
              <w:jc w:val="both"/>
              <w:rPr>
                <w:lang w:val="lv-LV"/>
              </w:rPr>
            </w:pPr>
          </w:p>
        </w:tc>
        <w:tc>
          <w:tcPr>
            <w:tcW w:w="546" w:type="dxa"/>
            <w:tcBorders>
              <w:bottom w:val="single" w:sz="4" w:space="0" w:color="auto"/>
            </w:tcBorders>
          </w:tcPr>
          <w:p w14:paraId="4CEE433E" w14:textId="77777777" w:rsidR="00CE3495" w:rsidRPr="004B1213" w:rsidRDefault="00CE3495" w:rsidP="00E66E23">
            <w:pPr>
              <w:jc w:val="both"/>
              <w:rPr>
                <w:lang w:val="lv-LV"/>
              </w:rPr>
            </w:pPr>
            <w:proofErr w:type="spellStart"/>
            <w:r w:rsidRPr="004B1213">
              <w:rPr>
                <w:sz w:val="22"/>
                <w:lang w:val="lv-LV"/>
              </w:rPr>
              <w:t>Kr</w:t>
            </w:r>
            <w:proofErr w:type="spellEnd"/>
            <w:r w:rsidRPr="004B1213">
              <w:rPr>
                <w:sz w:val="22"/>
                <w:lang w:val="lv-LV"/>
              </w:rPr>
              <w:t>.</w:t>
            </w:r>
          </w:p>
        </w:tc>
        <w:tc>
          <w:tcPr>
            <w:tcW w:w="1622" w:type="dxa"/>
            <w:tcBorders>
              <w:bottom w:val="single" w:sz="4" w:space="0" w:color="auto"/>
              <w:right w:val="single" w:sz="4" w:space="0" w:color="auto"/>
            </w:tcBorders>
          </w:tcPr>
          <w:p w14:paraId="6B968075" w14:textId="76749108" w:rsidR="00CE3495" w:rsidRPr="004B1213" w:rsidRDefault="00267D2E" w:rsidP="00E66E23">
            <w:pPr>
              <w:jc w:val="both"/>
              <w:rPr>
                <w:sz w:val="22"/>
                <w:szCs w:val="22"/>
                <w:lang w:val="lv-LV"/>
              </w:rPr>
            </w:pPr>
            <w:r w:rsidRPr="004B1213">
              <w:rPr>
                <w:sz w:val="22"/>
                <w:szCs w:val="22"/>
                <w:lang w:val="lv-LV"/>
              </w:rPr>
              <w:t>2398</w:t>
            </w:r>
          </w:p>
        </w:tc>
        <w:tc>
          <w:tcPr>
            <w:tcW w:w="5553" w:type="dxa"/>
            <w:tcBorders>
              <w:left w:val="single" w:sz="4" w:space="0" w:color="auto"/>
              <w:bottom w:val="single" w:sz="4" w:space="0" w:color="auto"/>
            </w:tcBorders>
          </w:tcPr>
          <w:p w14:paraId="07CAE7AB" w14:textId="7DB8B295" w:rsidR="00CE3495" w:rsidRPr="004B1213" w:rsidRDefault="00267D2E" w:rsidP="00E66E23">
            <w:pPr>
              <w:jc w:val="both"/>
              <w:rPr>
                <w:sz w:val="22"/>
                <w:szCs w:val="22"/>
                <w:lang w:val="lv-LV"/>
              </w:rPr>
            </w:pPr>
            <w:r w:rsidRPr="004B1213">
              <w:rPr>
                <w:sz w:val="22"/>
                <w:szCs w:val="22"/>
                <w:lang w:val="lv-LV"/>
              </w:rPr>
              <w:t>Vērtības samazinājums pārējām prasībām</w:t>
            </w:r>
          </w:p>
        </w:tc>
      </w:tr>
    </w:tbl>
    <w:p w14:paraId="0319F87A" w14:textId="77777777" w:rsidR="0098590B" w:rsidRPr="004B1213" w:rsidRDefault="00CE3495" w:rsidP="00CE3495">
      <w:pPr>
        <w:spacing w:line="276" w:lineRule="auto"/>
        <w:ind w:firstLine="335"/>
        <w:jc w:val="both"/>
        <w:rPr>
          <w:i/>
          <w:lang w:val="lv-LV"/>
        </w:rPr>
      </w:pPr>
      <w:r w:rsidRPr="004B1213">
        <w:rPr>
          <w:lang w:val="lv-LV"/>
        </w:rPr>
        <w:t xml:space="preserve">Darījumam piemēro izdevumu ekonomiskās klasifikācijas kodu </w:t>
      </w:r>
      <w:r w:rsidRPr="004B1213">
        <w:rPr>
          <w:i/>
          <w:lang w:val="lv-LV"/>
        </w:rPr>
        <w:t>8600 “Izdevumi debitoru parādu norakstīšanai un uzkrājumu veidošanai”</w:t>
      </w:r>
      <w:r w:rsidR="0098590B" w:rsidRPr="004B1213">
        <w:rPr>
          <w:i/>
          <w:lang w:val="lv-LV"/>
        </w:rPr>
        <w:t>.</w:t>
      </w:r>
    </w:p>
    <w:p w14:paraId="4B23B02A" w14:textId="77777777" w:rsidR="00267D2E" w:rsidRPr="004B1213" w:rsidRDefault="00267D2E" w:rsidP="00CE3495">
      <w:pPr>
        <w:spacing w:line="276" w:lineRule="auto"/>
        <w:ind w:firstLine="335"/>
        <w:jc w:val="both"/>
        <w:rPr>
          <w:lang w:val="lv-LV"/>
        </w:rPr>
      </w:pPr>
    </w:p>
    <w:p w14:paraId="6A7059F2" w14:textId="216C158E" w:rsidR="00CE3495" w:rsidRPr="004B1213" w:rsidRDefault="00E66E23" w:rsidP="00B9423E">
      <w:pPr>
        <w:pStyle w:val="ListParagraph"/>
        <w:numPr>
          <w:ilvl w:val="0"/>
          <w:numId w:val="1"/>
        </w:numPr>
        <w:spacing w:line="276" w:lineRule="auto"/>
        <w:jc w:val="both"/>
        <w:rPr>
          <w:lang w:val="lv-LV"/>
        </w:rPr>
      </w:pPr>
      <w:r w:rsidRPr="004B1213">
        <w:rPr>
          <w:lang w:val="lv-LV"/>
        </w:rPr>
        <w:t xml:space="preserve">Pārskata gada beigās budžeta iestāde </w:t>
      </w:r>
      <w:r w:rsidR="006C5CED" w:rsidRPr="004B1213">
        <w:rPr>
          <w:lang w:val="lv-LV"/>
        </w:rPr>
        <w:t>prasības</w:t>
      </w:r>
      <w:r w:rsidR="009668FF" w:rsidRPr="004B1213">
        <w:rPr>
          <w:lang w:val="lv-LV"/>
        </w:rPr>
        <w:t xml:space="preserve"> pret AS “PNB banka” </w:t>
      </w:r>
      <w:r w:rsidRPr="004B1213">
        <w:rPr>
          <w:lang w:val="lv-LV"/>
        </w:rPr>
        <w:t xml:space="preserve">salīdzina ar </w:t>
      </w:r>
      <w:r w:rsidR="009668FF" w:rsidRPr="004B1213">
        <w:rPr>
          <w:lang w:val="lv-LV"/>
        </w:rPr>
        <w:t>AS "PNB b</w:t>
      </w:r>
      <w:r w:rsidRPr="004B1213">
        <w:rPr>
          <w:lang w:val="lv-LV"/>
        </w:rPr>
        <w:t>anka" maksātnespējas procesa administratoru.</w:t>
      </w:r>
    </w:p>
    <w:p w14:paraId="00AE3C1B" w14:textId="77777777" w:rsidR="00FE7196" w:rsidRPr="004B1213" w:rsidRDefault="00FE7196" w:rsidP="00CE3495">
      <w:pPr>
        <w:spacing w:line="276" w:lineRule="auto"/>
        <w:ind w:firstLine="335"/>
        <w:jc w:val="both"/>
        <w:rPr>
          <w:i/>
          <w:lang w:val="lv-LV"/>
        </w:rPr>
      </w:pPr>
    </w:p>
    <w:p w14:paraId="7337797E" w14:textId="77777777" w:rsidR="00CE3495" w:rsidRPr="004B1213" w:rsidRDefault="00CE3495" w:rsidP="00CE3495">
      <w:pPr>
        <w:spacing w:line="276" w:lineRule="auto"/>
        <w:ind w:firstLine="335"/>
        <w:jc w:val="both"/>
        <w:rPr>
          <w:lang w:val="lv-LV"/>
        </w:rPr>
      </w:pPr>
    </w:p>
    <w:p w14:paraId="323CDC26" w14:textId="77777777" w:rsidR="00CE3495" w:rsidRPr="004B1213" w:rsidRDefault="00CE3495" w:rsidP="00CE3495">
      <w:pPr>
        <w:spacing w:line="276" w:lineRule="auto"/>
        <w:jc w:val="both"/>
        <w:rPr>
          <w:u w:val="single"/>
          <w:lang w:val="lv-LV"/>
        </w:rPr>
      </w:pPr>
      <w:r w:rsidRPr="004B1213">
        <w:rPr>
          <w:u w:val="single"/>
          <w:lang w:val="lv-LV"/>
        </w:rPr>
        <w:t>Minētos darījumus finanšu pārskatos par 2019.gadu uzrāda:</w:t>
      </w:r>
    </w:p>
    <w:p w14:paraId="63D65D91" w14:textId="77777777" w:rsidR="00CE3495" w:rsidRPr="004B1213" w:rsidRDefault="00CE3495" w:rsidP="00CE3495">
      <w:pPr>
        <w:spacing w:line="276" w:lineRule="auto"/>
        <w:jc w:val="both"/>
        <w:rPr>
          <w:u w:val="single"/>
          <w:lang w:val="lv-LV"/>
        </w:rPr>
      </w:pPr>
    </w:p>
    <w:p w14:paraId="31D0739F" w14:textId="128A5509" w:rsidR="00CE3495" w:rsidRPr="004B1213" w:rsidRDefault="00CE3495" w:rsidP="008452DA">
      <w:pPr>
        <w:spacing w:after="120" w:line="276" w:lineRule="auto"/>
        <w:jc w:val="both"/>
        <w:rPr>
          <w:lang w:val="lv-LV"/>
        </w:rPr>
      </w:pPr>
      <w:r w:rsidRPr="004B1213">
        <w:rPr>
          <w:b/>
          <w:lang w:val="lv-LV"/>
        </w:rPr>
        <w:t>Mēneša pārskatā</w:t>
      </w:r>
      <w:r w:rsidRPr="004B1213">
        <w:rPr>
          <w:lang w:val="lv-LV"/>
        </w:rPr>
        <w:t xml:space="preserve"> par pārklasificēto darījumu uzrāda naudas līdzekļu samazinājumu veidlapas Nr.1 </w:t>
      </w:r>
      <w:r w:rsidR="00610A14" w:rsidRPr="004B1213">
        <w:rPr>
          <w:lang w:val="lv-LV"/>
        </w:rPr>
        <w:t>“</w:t>
      </w:r>
      <w:r w:rsidRPr="004B1213">
        <w:rPr>
          <w:lang w:val="lv-LV"/>
        </w:rPr>
        <w:t xml:space="preserve">Pārskats par budžeta izpildi” (atbilstoši budžeta veidam) ailē </w:t>
      </w:r>
      <w:r w:rsidR="00610A14" w:rsidRPr="004B1213">
        <w:rPr>
          <w:lang w:val="lv-LV"/>
        </w:rPr>
        <w:t>“</w:t>
      </w:r>
      <w:r w:rsidRPr="004B1213">
        <w:rPr>
          <w:lang w:val="lv-LV"/>
        </w:rPr>
        <w:t xml:space="preserve">Izpilde no gada sākuma” izdevumu ekonomiskās klasifikācijas </w:t>
      </w:r>
      <w:r w:rsidRPr="004B1213">
        <w:rPr>
          <w:i/>
          <w:lang w:val="lv-LV"/>
        </w:rPr>
        <w:t xml:space="preserve">kodā 8900 “Pārējie iepriekš neuzskaitītie budžeta izdevumi, kas veidojas pēc uzkrāšanas principa un nav uzskaitīti citos koda 8000 </w:t>
      </w:r>
      <w:proofErr w:type="spellStart"/>
      <w:r w:rsidRPr="004B1213">
        <w:rPr>
          <w:i/>
          <w:lang w:val="lv-LV"/>
        </w:rPr>
        <w:t>apakškodos</w:t>
      </w:r>
      <w:proofErr w:type="spellEnd"/>
      <w:r w:rsidRPr="004B1213">
        <w:rPr>
          <w:i/>
          <w:lang w:val="lv-LV"/>
        </w:rPr>
        <w:t xml:space="preserve">”, </w:t>
      </w:r>
      <w:r w:rsidRPr="004B1213">
        <w:rPr>
          <w:lang w:val="lv-LV"/>
        </w:rPr>
        <w:t xml:space="preserve">veidlapas sakarību </w:t>
      </w:r>
      <w:r w:rsidR="00E840A8" w:rsidRPr="004B1213">
        <w:rPr>
          <w:lang w:val="lv-LV"/>
        </w:rPr>
        <w:t xml:space="preserve">pārbaudes </w:t>
      </w:r>
      <w:r w:rsidRPr="004B1213">
        <w:rPr>
          <w:lang w:val="lv-LV"/>
        </w:rPr>
        <w:t>protokolā sniedzot skaidrojumu par darījumu.</w:t>
      </w:r>
    </w:p>
    <w:p w14:paraId="24F05C7A" w14:textId="77777777" w:rsidR="00CE3495" w:rsidRPr="004B1213" w:rsidRDefault="00CE3495" w:rsidP="00CE3495">
      <w:pPr>
        <w:spacing w:after="120" w:line="276" w:lineRule="auto"/>
        <w:ind w:left="992"/>
        <w:jc w:val="both"/>
        <w:rPr>
          <w:b/>
          <w:lang w:val="lv-LV"/>
        </w:rPr>
      </w:pPr>
    </w:p>
    <w:p w14:paraId="34187343" w14:textId="77777777" w:rsidR="00CE3495" w:rsidRPr="004B1213" w:rsidRDefault="00CE3495" w:rsidP="008452DA">
      <w:pPr>
        <w:spacing w:after="120" w:line="276" w:lineRule="auto"/>
        <w:jc w:val="both"/>
        <w:rPr>
          <w:lang w:val="lv-LV"/>
        </w:rPr>
      </w:pPr>
      <w:r w:rsidRPr="004B1213">
        <w:rPr>
          <w:b/>
          <w:lang w:val="lv-LV"/>
        </w:rPr>
        <w:t xml:space="preserve">Ceturkšņa pārskatā </w:t>
      </w:r>
      <w:r w:rsidRPr="004B1213">
        <w:rPr>
          <w:lang w:val="lv-LV"/>
        </w:rPr>
        <w:t>par 2019.gada 4.ceturksni:</w:t>
      </w:r>
    </w:p>
    <w:p w14:paraId="290A9AFF" w14:textId="72D83D97" w:rsidR="00CE3495" w:rsidRPr="004B1213" w:rsidRDefault="00CE3495" w:rsidP="008452DA">
      <w:pPr>
        <w:numPr>
          <w:ilvl w:val="0"/>
          <w:numId w:val="2"/>
        </w:numPr>
        <w:spacing w:after="120" w:line="276" w:lineRule="auto"/>
        <w:jc w:val="both"/>
        <w:rPr>
          <w:lang w:val="lv-LV"/>
        </w:rPr>
      </w:pPr>
      <w:r w:rsidRPr="004B1213">
        <w:rPr>
          <w:lang w:val="lv-LV"/>
        </w:rPr>
        <w:lastRenderedPageBreak/>
        <w:t xml:space="preserve">veidlapas Nr. C-1 </w:t>
      </w:r>
      <w:r w:rsidR="00610A14" w:rsidRPr="004B1213">
        <w:rPr>
          <w:lang w:val="lv-LV"/>
        </w:rPr>
        <w:t>“</w:t>
      </w:r>
      <w:r w:rsidRPr="004B1213">
        <w:rPr>
          <w:lang w:val="lv-LV"/>
        </w:rPr>
        <w:t xml:space="preserve">Naudas līdzekļu izmaiņu pārskats” ailē </w:t>
      </w:r>
      <w:r w:rsidR="00610A14" w:rsidRPr="004B1213">
        <w:rPr>
          <w:lang w:val="lv-LV"/>
        </w:rPr>
        <w:t>“</w:t>
      </w:r>
      <w:r w:rsidRPr="004B1213">
        <w:rPr>
          <w:lang w:val="lv-LV"/>
        </w:rPr>
        <w:t xml:space="preserve">Darījumi pārskata periodā (+/-)” institucionālās klasifikācijas kodā </w:t>
      </w:r>
      <w:r w:rsidRPr="004B1213">
        <w:rPr>
          <w:i/>
          <w:lang w:val="lv-LV"/>
        </w:rPr>
        <w:t xml:space="preserve">S122000 </w:t>
      </w:r>
      <w:r w:rsidR="00610A14" w:rsidRPr="004B1213">
        <w:rPr>
          <w:lang w:val="lv-LV"/>
        </w:rPr>
        <w:t>“</w:t>
      </w:r>
      <w:r w:rsidRPr="004B1213">
        <w:rPr>
          <w:i/>
          <w:lang w:val="lv-LV"/>
        </w:rPr>
        <w:t xml:space="preserve">Noguldījumus pieņemošas sabiedrības, izņemot centrālo banku” </w:t>
      </w:r>
      <w:r w:rsidRPr="004B1213">
        <w:rPr>
          <w:lang w:val="lv-LV"/>
        </w:rPr>
        <w:t>ar negatīvu zīmi uzrāda naudas līdzekļu samazinājumu;</w:t>
      </w:r>
    </w:p>
    <w:p w14:paraId="16E8F152" w14:textId="65633EF6" w:rsidR="00CE3495" w:rsidRPr="004B1213" w:rsidRDefault="00CE3495" w:rsidP="008452DA">
      <w:pPr>
        <w:numPr>
          <w:ilvl w:val="0"/>
          <w:numId w:val="2"/>
        </w:numPr>
        <w:spacing w:after="120" w:line="276" w:lineRule="auto"/>
        <w:jc w:val="both"/>
        <w:rPr>
          <w:lang w:val="lv-LV"/>
        </w:rPr>
      </w:pPr>
      <w:r w:rsidRPr="004B1213">
        <w:rPr>
          <w:lang w:val="lv-LV"/>
        </w:rPr>
        <w:t xml:space="preserve">veidlapas Nr. C-5 </w:t>
      </w:r>
      <w:r w:rsidR="00610A14" w:rsidRPr="004B1213">
        <w:rPr>
          <w:lang w:val="lv-LV"/>
        </w:rPr>
        <w:t>“</w:t>
      </w:r>
      <w:r w:rsidRPr="004B1213">
        <w:rPr>
          <w:lang w:val="lv-LV"/>
        </w:rPr>
        <w:t xml:space="preserve">Pārskats par prasībām un nākamo periodu izdevumiem un avansa maksājumiem” ailē </w:t>
      </w:r>
      <w:r w:rsidR="00610A14" w:rsidRPr="004B1213">
        <w:rPr>
          <w:lang w:val="lv-LV"/>
        </w:rPr>
        <w:t>“</w:t>
      </w:r>
      <w:r w:rsidRPr="004B1213">
        <w:rPr>
          <w:lang w:val="lv-LV"/>
        </w:rPr>
        <w:t xml:space="preserve">Pārskata periodā/darījumi (+/-)”  kontā 2399 “Pārējās prasības” institucionālās klasifikācijas kodā </w:t>
      </w:r>
      <w:r w:rsidRPr="004B1213">
        <w:rPr>
          <w:i/>
          <w:lang w:val="lv-LV"/>
        </w:rPr>
        <w:t xml:space="preserve">S120000 </w:t>
      </w:r>
      <w:r w:rsidR="00610A14" w:rsidRPr="004B1213">
        <w:rPr>
          <w:i/>
          <w:lang w:val="lv-LV"/>
        </w:rPr>
        <w:t>“</w:t>
      </w:r>
      <w:r w:rsidRPr="004B1213">
        <w:rPr>
          <w:i/>
          <w:lang w:val="lv-LV"/>
        </w:rPr>
        <w:t xml:space="preserve">Finanšu sabiedrības” </w:t>
      </w:r>
      <w:r w:rsidRPr="004B1213">
        <w:rPr>
          <w:lang w:val="lv-LV"/>
        </w:rPr>
        <w:t>ar pozitīvu zīmi uzrāda prasību pret AS "PNB banka" palielinājumu;</w:t>
      </w:r>
    </w:p>
    <w:p w14:paraId="017E919D" w14:textId="13E8A9C9" w:rsidR="00CE3495" w:rsidRPr="004B1213" w:rsidRDefault="00CE3495" w:rsidP="008452DA">
      <w:pPr>
        <w:numPr>
          <w:ilvl w:val="0"/>
          <w:numId w:val="2"/>
        </w:numPr>
        <w:spacing w:after="120" w:line="276" w:lineRule="auto"/>
        <w:jc w:val="both"/>
        <w:rPr>
          <w:lang w:val="lv-LV"/>
        </w:rPr>
      </w:pPr>
      <w:r w:rsidRPr="004B1213">
        <w:rPr>
          <w:lang w:val="lv-LV"/>
        </w:rPr>
        <w:t>veidlapas Nr. C-5</w:t>
      </w:r>
      <w:r w:rsidR="00610A14" w:rsidRPr="004B1213">
        <w:rPr>
          <w:lang w:val="lv-LV"/>
        </w:rPr>
        <w:t xml:space="preserve"> “</w:t>
      </w:r>
      <w:r w:rsidRPr="004B1213">
        <w:rPr>
          <w:lang w:val="lv-LV"/>
        </w:rPr>
        <w:t xml:space="preserve">Pārskats par prasībām un nākamo periodu izdevumiem un avansa maksājumiem” ailē </w:t>
      </w:r>
      <w:r w:rsidR="00610A14" w:rsidRPr="004B1213">
        <w:rPr>
          <w:lang w:val="lv-LV"/>
        </w:rPr>
        <w:t>“</w:t>
      </w:r>
      <w:r w:rsidRPr="004B1213">
        <w:rPr>
          <w:lang w:val="lv-LV"/>
        </w:rPr>
        <w:t xml:space="preserve">Pārskata perioda beigās/vērtības samazinājums” kontam 2399 “Pārējās prasības” institucionālās klasifikācijas kodā S120000 </w:t>
      </w:r>
      <w:r w:rsidR="00610A14" w:rsidRPr="004B1213">
        <w:rPr>
          <w:lang w:val="lv-LV"/>
        </w:rPr>
        <w:t>“</w:t>
      </w:r>
      <w:r w:rsidRPr="004B1213">
        <w:rPr>
          <w:lang w:val="lv-LV"/>
        </w:rPr>
        <w:t>Finanšu sabiedrības” ar pozitīvu zīmi uzrāda prasībai pret AS "PNB banka" noteikto vērtības samazinājumu.</w:t>
      </w:r>
    </w:p>
    <w:p w14:paraId="6FA4D7B3" w14:textId="77777777" w:rsidR="00CE3495" w:rsidRPr="004B1213" w:rsidRDefault="00CE3495" w:rsidP="00CE3495">
      <w:pPr>
        <w:spacing w:line="276" w:lineRule="auto"/>
        <w:ind w:left="695"/>
        <w:jc w:val="both"/>
        <w:rPr>
          <w:b/>
          <w:lang w:val="lv-LV"/>
        </w:rPr>
      </w:pPr>
    </w:p>
    <w:p w14:paraId="21F3D98E" w14:textId="77777777" w:rsidR="00CE3495" w:rsidRPr="004B1213" w:rsidRDefault="00CE3495" w:rsidP="008452DA">
      <w:pPr>
        <w:spacing w:after="120" w:line="276" w:lineRule="auto"/>
        <w:jc w:val="both"/>
        <w:rPr>
          <w:lang w:val="lv-LV"/>
        </w:rPr>
      </w:pPr>
      <w:r w:rsidRPr="004B1213">
        <w:rPr>
          <w:b/>
          <w:lang w:val="lv-LV"/>
        </w:rPr>
        <w:t>2019.gada pārskatā:</w:t>
      </w:r>
    </w:p>
    <w:p w14:paraId="22EDCE6A" w14:textId="7608354B" w:rsidR="00CE3495" w:rsidRPr="004B1213" w:rsidRDefault="00CE12C1" w:rsidP="008D1818">
      <w:pPr>
        <w:numPr>
          <w:ilvl w:val="1"/>
          <w:numId w:val="1"/>
        </w:numPr>
        <w:spacing w:after="120" w:line="276" w:lineRule="auto"/>
        <w:ind w:left="426" w:hanging="426"/>
        <w:jc w:val="both"/>
        <w:rPr>
          <w:lang w:val="lv-LV"/>
        </w:rPr>
      </w:pPr>
      <w:r w:rsidRPr="004B1213">
        <w:rPr>
          <w:lang w:val="lv-LV"/>
        </w:rPr>
        <w:t>6.</w:t>
      </w:r>
      <w:r w:rsidR="00CE3495" w:rsidRPr="004B1213">
        <w:rPr>
          <w:lang w:val="lv-LV"/>
        </w:rPr>
        <w:t xml:space="preserve">pielikuma </w:t>
      </w:r>
      <w:r w:rsidRPr="004B1213">
        <w:rPr>
          <w:lang w:val="lv-LV"/>
        </w:rPr>
        <w:t>“Finanšu pārskata posteņu</w:t>
      </w:r>
      <w:r w:rsidR="008D1818" w:rsidRPr="004B1213">
        <w:rPr>
          <w:lang w:val="lv-LV"/>
        </w:rPr>
        <w:t xml:space="preserve"> skaidrojums” </w:t>
      </w:r>
      <w:r w:rsidR="00CE3495" w:rsidRPr="004B1213">
        <w:rPr>
          <w:lang w:val="lv-LV"/>
        </w:rPr>
        <w:t xml:space="preserve">piezīmē 2.6.NLIZ “Naudas līdzekļu izvietojums” ailē </w:t>
      </w:r>
      <w:r w:rsidR="00610A14" w:rsidRPr="004B1213">
        <w:rPr>
          <w:lang w:val="lv-LV"/>
        </w:rPr>
        <w:t>“</w:t>
      </w:r>
      <w:r w:rsidR="00CE3495" w:rsidRPr="004B1213">
        <w:rPr>
          <w:lang w:val="lv-LV"/>
        </w:rPr>
        <w:t>Pārskata gada beigās” naudas līdzekļu atlikumu pret AS “PNB banka” neuzrāda;</w:t>
      </w:r>
    </w:p>
    <w:p w14:paraId="18148A55" w14:textId="1DB4BE1A" w:rsidR="00CE3495" w:rsidRPr="004B1213" w:rsidRDefault="00CE3495" w:rsidP="00610A14">
      <w:pPr>
        <w:numPr>
          <w:ilvl w:val="1"/>
          <w:numId w:val="1"/>
        </w:numPr>
        <w:spacing w:after="120" w:line="276" w:lineRule="auto"/>
        <w:ind w:left="426" w:hanging="426"/>
        <w:jc w:val="both"/>
        <w:rPr>
          <w:lang w:val="lv-LV"/>
        </w:rPr>
      </w:pPr>
      <w:r w:rsidRPr="004B1213">
        <w:rPr>
          <w:lang w:val="lv-LV"/>
        </w:rPr>
        <w:t xml:space="preserve">veidlapā Nr.NP </w:t>
      </w:r>
      <w:r w:rsidR="00610A14" w:rsidRPr="004B1213">
        <w:rPr>
          <w:lang w:val="lv-LV"/>
        </w:rPr>
        <w:t>“</w:t>
      </w:r>
      <w:r w:rsidRPr="004B1213">
        <w:rPr>
          <w:lang w:val="lv-LV"/>
        </w:rPr>
        <w:t xml:space="preserve">Naudas plūsmas pārskats” kodā A33 “Citi izdevumi no pamatdarbības” (rindā “Pārējie sektori”) uzrāda izdevumus no naudas līdzekļu atlikumu AS </w:t>
      </w:r>
      <w:r w:rsidR="00610A14" w:rsidRPr="004B1213">
        <w:rPr>
          <w:lang w:val="lv-LV"/>
        </w:rPr>
        <w:t>“</w:t>
      </w:r>
      <w:r w:rsidRPr="004B1213">
        <w:rPr>
          <w:lang w:val="lv-LV"/>
        </w:rPr>
        <w:t xml:space="preserve">PNB banka” </w:t>
      </w:r>
      <w:proofErr w:type="spellStart"/>
      <w:r w:rsidRPr="004B1213">
        <w:rPr>
          <w:lang w:val="lv-LV"/>
        </w:rPr>
        <w:t>pārklasifikācijas</w:t>
      </w:r>
      <w:proofErr w:type="spellEnd"/>
      <w:r w:rsidRPr="004B1213">
        <w:rPr>
          <w:lang w:val="lv-LV"/>
        </w:rPr>
        <w:t xml:space="preserve"> par prasībām;</w:t>
      </w:r>
    </w:p>
    <w:p w14:paraId="670B9FD7" w14:textId="5819FEC2" w:rsidR="00CE3495" w:rsidRPr="004B1213" w:rsidRDefault="00CE3495" w:rsidP="00610A14">
      <w:pPr>
        <w:numPr>
          <w:ilvl w:val="1"/>
          <w:numId w:val="1"/>
        </w:numPr>
        <w:spacing w:after="120" w:line="276" w:lineRule="auto"/>
        <w:ind w:left="426" w:hanging="426"/>
        <w:jc w:val="both"/>
        <w:rPr>
          <w:lang w:val="lv-LV"/>
        </w:rPr>
      </w:pPr>
      <w:r w:rsidRPr="004B1213">
        <w:rPr>
          <w:lang w:val="lv-LV"/>
        </w:rPr>
        <w:t xml:space="preserve"> </w:t>
      </w:r>
      <w:r w:rsidR="008D1818" w:rsidRPr="004B1213">
        <w:rPr>
          <w:lang w:val="lv-LV"/>
        </w:rPr>
        <w:t>6.pielikuma “Finanšu pārskata posteņu skaidrojums”</w:t>
      </w:r>
      <w:r w:rsidR="00512703" w:rsidRPr="004B1213">
        <w:rPr>
          <w:lang w:val="lv-LV"/>
        </w:rPr>
        <w:t xml:space="preserve"> </w:t>
      </w:r>
      <w:r w:rsidRPr="004B1213">
        <w:rPr>
          <w:lang w:val="lv-LV"/>
        </w:rPr>
        <w:t xml:space="preserve">piezīmē NP.A33 “Citi izdevumi no pamatdarbības” </w:t>
      </w:r>
      <w:r w:rsidR="00E66E23" w:rsidRPr="004B1213">
        <w:rPr>
          <w:lang w:val="lv-LV"/>
        </w:rPr>
        <w:t xml:space="preserve">kodā A33.PAR </w:t>
      </w:r>
      <w:r w:rsidRPr="004B1213">
        <w:rPr>
          <w:lang w:val="lv-LV"/>
        </w:rPr>
        <w:t xml:space="preserve">sniedz skaidrojumu par AS “PNB banka” naudas līdzekļu </w:t>
      </w:r>
      <w:proofErr w:type="spellStart"/>
      <w:r w:rsidRPr="004B1213">
        <w:rPr>
          <w:lang w:val="lv-LV"/>
        </w:rPr>
        <w:t>pārklasifikāciju</w:t>
      </w:r>
      <w:proofErr w:type="spellEnd"/>
      <w:r w:rsidRPr="004B1213">
        <w:rPr>
          <w:lang w:val="lv-LV"/>
        </w:rPr>
        <w:t>;</w:t>
      </w:r>
    </w:p>
    <w:p w14:paraId="43FFE774" w14:textId="11232353" w:rsidR="00CE3495" w:rsidRPr="004B1213" w:rsidRDefault="00CE3495" w:rsidP="00610A14">
      <w:pPr>
        <w:numPr>
          <w:ilvl w:val="1"/>
          <w:numId w:val="1"/>
        </w:numPr>
        <w:spacing w:after="120" w:line="276" w:lineRule="auto"/>
        <w:ind w:left="426" w:hanging="426"/>
        <w:jc w:val="both"/>
        <w:rPr>
          <w:lang w:val="lv-LV"/>
        </w:rPr>
      </w:pPr>
      <w:r w:rsidRPr="004B1213">
        <w:rPr>
          <w:lang w:val="lv-LV"/>
        </w:rPr>
        <w:t xml:space="preserve">veidlapā </w:t>
      </w:r>
      <w:proofErr w:type="spellStart"/>
      <w:r w:rsidRPr="004B1213">
        <w:rPr>
          <w:lang w:val="lv-LV"/>
        </w:rPr>
        <w:t>Nr.FD</w:t>
      </w:r>
      <w:proofErr w:type="spellEnd"/>
      <w:r w:rsidRPr="004B1213">
        <w:rPr>
          <w:lang w:val="lv-LV"/>
        </w:rPr>
        <w:t xml:space="preserve"> </w:t>
      </w:r>
      <w:r w:rsidR="00610A14" w:rsidRPr="004B1213">
        <w:rPr>
          <w:lang w:val="lv-LV"/>
        </w:rPr>
        <w:t>“</w:t>
      </w:r>
      <w:r w:rsidRPr="004B1213">
        <w:rPr>
          <w:lang w:val="lv-LV"/>
        </w:rPr>
        <w:t xml:space="preserve">Pārskats par darbības finansiālajiem rezultātiem” kodā A31 </w:t>
      </w:r>
      <w:r w:rsidR="00610A14" w:rsidRPr="004B1213">
        <w:rPr>
          <w:lang w:val="lv-LV"/>
        </w:rPr>
        <w:t>“</w:t>
      </w:r>
      <w:r w:rsidRPr="004B1213">
        <w:rPr>
          <w:lang w:val="lv-LV"/>
        </w:rPr>
        <w:t>Pārējie izdevumi, kas nav klasificēti A21 līdz A30 rindā” (rindā “Pārējie sektori”) uzrāda izdevumus par atzīto vērtības samazinājumu prasībām pret AS "PNB banka";</w:t>
      </w:r>
    </w:p>
    <w:p w14:paraId="4B5F19A4" w14:textId="1B666D59" w:rsidR="00CE3495" w:rsidRPr="004B1213" w:rsidRDefault="008D1818" w:rsidP="00610A14">
      <w:pPr>
        <w:numPr>
          <w:ilvl w:val="1"/>
          <w:numId w:val="1"/>
        </w:numPr>
        <w:spacing w:after="120" w:line="276" w:lineRule="auto"/>
        <w:ind w:left="426" w:hanging="426"/>
        <w:jc w:val="both"/>
        <w:rPr>
          <w:lang w:val="lv-LV"/>
        </w:rPr>
      </w:pPr>
      <w:r w:rsidRPr="004B1213">
        <w:rPr>
          <w:lang w:val="lv-LV"/>
        </w:rPr>
        <w:t>6.pielikuma “Finanšu pārskata posteņu skaidrojums”</w:t>
      </w:r>
      <w:r w:rsidR="00512703" w:rsidRPr="004B1213">
        <w:rPr>
          <w:rFonts w:ascii="Arial" w:hAnsi="Arial" w:cs="Arial"/>
          <w:color w:val="414142"/>
          <w:sz w:val="20"/>
          <w:szCs w:val="20"/>
          <w:lang w:val="lv-LV"/>
        </w:rPr>
        <w:t xml:space="preserve"> </w:t>
      </w:r>
      <w:r w:rsidR="00CE3495" w:rsidRPr="004B1213">
        <w:rPr>
          <w:lang w:val="lv-LV"/>
        </w:rPr>
        <w:t xml:space="preserve">piezīmē FD.A31.VSAM </w:t>
      </w:r>
      <w:r w:rsidR="00512703" w:rsidRPr="004B1213">
        <w:rPr>
          <w:lang w:val="lv-LV"/>
        </w:rPr>
        <w:t xml:space="preserve">“Izdevumi no aktīvu vērtības samazinājuma” </w:t>
      </w:r>
      <w:r w:rsidR="00CE3495" w:rsidRPr="004B1213">
        <w:rPr>
          <w:lang w:val="lv-LV"/>
        </w:rPr>
        <w:t>ailē “Pārskata periodā” kodā VSPA “Izdevumi no vērtības samazinājuma prasībām un avansiem par pakalpojumiem” norāda atzīto vērtības samazinājuma apmēru prasībām pret  AS “PNB banka”</w:t>
      </w:r>
      <w:r w:rsidR="00512703" w:rsidRPr="004B1213">
        <w:rPr>
          <w:lang w:val="lv-LV"/>
        </w:rPr>
        <w:t>;</w:t>
      </w:r>
    </w:p>
    <w:p w14:paraId="1A6793E1" w14:textId="4F0E64E6" w:rsidR="00CE3495" w:rsidRPr="004B1213" w:rsidRDefault="005F1764" w:rsidP="00610A14">
      <w:pPr>
        <w:numPr>
          <w:ilvl w:val="1"/>
          <w:numId w:val="1"/>
        </w:numPr>
        <w:spacing w:after="120" w:line="276" w:lineRule="auto"/>
        <w:ind w:left="426" w:hanging="426"/>
        <w:jc w:val="both"/>
        <w:rPr>
          <w:lang w:val="lv-LV"/>
        </w:rPr>
      </w:pPr>
      <w:r w:rsidRPr="004B1213">
        <w:rPr>
          <w:lang w:val="lv-LV"/>
        </w:rPr>
        <w:t xml:space="preserve">finanšu pārskata posteņu skaidrojuma </w:t>
      </w:r>
      <w:r w:rsidR="00CE3495" w:rsidRPr="004B1213">
        <w:rPr>
          <w:lang w:val="lv-LV"/>
        </w:rPr>
        <w:t>pielikumā 1.pielikums_1 “Informācija par aktīviem atbilstoši institucionālajiem sektoriem” kontā 2390 “Pārējās prasības” (Institucionālais sektors S120000 Finanšu sabiedrības) uz perioda beigām uzrāda prasības bruto vērtību un atzīto vērtības samazinājumu uz pārskata gada beigām prasībām pret AS “PNB banka”;</w:t>
      </w:r>
    </w:p>
    <w:p w14:paraId="0B8CC62F" w14:textId="7D153606" w:rsidR="004C4B40" w:rsidRPr="004B1213" w:rsidRDefault="00CE3495" w:rsidP="005F50DD">
      <w:pPr>
        <w:numPr>
          <w:ilvl w:val="1"/>
          <w:numId w:val="1"/>
        </w:numPr>
        <w:spacing w:after="120" w:line="276" w:lineRule="auto"/>
        <w:ind w:left="426" w:hanging="426"/>
        <w:jc w:val="both"/>
        <w:rPr>
          <w:lang w:val="lv-LV"/>
        </w:rPr>
      </w:pPr>
      <w:r w:rsidRPr="004B1213">
        <w:rPr>
          <w:lang w:val="lv-LV"/>
        </w:rPr>
        <w:t xml:space="preserve">veidlapā Nr.2 </w:t>
      </w:r>
      <w:r w:rsidR="008452DA" w:rsidRPr="004B1213">
        <w:rPr>
          <w:lang w:val="lv-LV"/>
        </w:rPr>
        <w:t>“</w:t>
      </w:r>
      <w:r w:rsidRPr="004B1213">
        <w:rPr>
          <w:lang w:val="lv-LV"/>
        </w:rPr>
        <w:t xml:space="preserve">Budžeta izpildes pārskats” atbilstoši budžeta veidam izdevumu ekonomiskās klasifikācijas kodā </w:t>
      </w:r>
      <w:r w:rsidRPr="004B1213">
        <w:rPr>
          <w:i/>
          <w:lang w:val="lv-LV"/>
        </w:rPr>
        <w:t xml:space="preserve">8900 “Pārējie iepriekš neuzskaitītie budžeta izdevumi, kas veidojas pēc uzkrāšanas principa un nav uzskaitīti citos koda 8000 </w:t>
      </w:r>
      <w:proofErr w:type="spellStart"/>
      <w:r w:rsidRPr="004B1213">
        <w:rPr>
          <w:i/>
          <w:lang w:val="lv-LV"/>
        </w:rPr>
        <w:t>apakškodos</w:t>
      </w:r>
      <w:proofErr w:type="spellEnd"/>
      <w:r w:rsidRPr="004B1213">
        <w:rPr>
          <w:i/>
          <w:lang w:val="lv-LV"/>
        </w:rPr>
        <w:t>” (</w:t>
      </w:r>
      <w:r w:rsidRPr="004B1213">
        <w:rPr>
          <w:lang w:val="lv-LV"/>
        </w:rPr>
        <w:t xml:space="preserve">veidlapas sakarību </w:t>
      </w:r>
      <w:r w:rsidR="00512703" w:rsidRPr="004B1213">
        <w:rPr>
          <w:lang w:val="lv-LV"/>
        </w:rPr>
        <w:t xml:space="preserve">pārbaudes </w:t>
      </w:r>
      <w:r w:rsidRPr="004B1213">
        <w:rPr>
          <w:lang w:val="lv-LV"/>
        </w:rPr>
        <w:t xml:space="preserve">protokolā sniedzot skaidrojumu par darījumu) un finansēšanas klasifikācijas kodā </w:t>
      </w:r>
      <w:r w:rsidRPr="004B1213">
        <w:rPr>
          <w:i/>
          <w:lang w:val="lv-LV"/>
        </w:rPr>
        <w:t>F2x xx </w:t>
      </w:r>
      <w:proofErr w:type="spellStart"/>
      <w:r w:rsidRPr="004B1213">
        <w:rPr>
          <w:i/>
          <w:lang w:val="lv-LV"/>
        </w:rPr>
        <w:t>xx</w:t>
      </w:r>
      <w:proofErr w:type="spellEnd"/>
      <w:r w:rsidRPr="004B1213">
        <w:rPr>
          <w:i/>
          <w:lang w:val="lv-LV"/>
        </w:rPr>
        <w:t> </w:t>
      </w:r>
      <w:proofErr w:type="spellStart"/>
      <w:r w:rsidRPr="004B1213">
        <w:rPr>
          <w:i/>
          <w:lang w:val="lv-LV"/>
        </w:rPr>
        <w:t>xx</w:t>
      </w:r>
      <w:proofErr w:type="spellEnd"/>
      <w:r w:rsidRPr="004B1213">
        <w:rPr>
          <w:i/>
          <w:lang w:val="lv-LV"/>
        </w:rPr>
        <w:t xml:space="preserve"> </w:t>
      </w:r>
      <w:r w:rsidR="008452DA" w:rsidRPr="004B1213">
        <w:rPr>
          <w:i/>
          <w:lang w:val="lv-LV"/>
        </w:rPr>
        <w:t>“</w:t>
      </w:r>
      <w:r w:rsidRPr="004B1213">
        <w:rPr>
          <w:i/>
          <w:lang w:val="lv-LV"/>
        </w:rPr>
        <w:t>Naudas līdzekļi un noguldījumi”</w:t>
      </w:r>
      <w:r w:rsidRPr="004B1213">
        <w:rPr>
          <w:lang w:val="lv-LV"/>
        </w:rPr>
        <w:t xml:space="preserve"> ailē </w:t>
      </w:r>
      <w:r w:rsidR="008452DA" w:rsidRPr="004B1213">
        <w:rPr>
          <w:lang w:val="lv-LV"/>
        </w:rPr>
        <w:t>“</w:t>
      </w:r>
      <w:r w:rsidRPr="004B1213">
        <w:rPr>
          <w:lang w:val="lv-LV"/>
        </w:rPr>
        <w:t>Budžeta izpilde – pārskata periodā” uzrāda naudas līdzekļu samazinājumu.</w:t>
      </w:r>
    </w:p>
    <w:sectPr w:rsidR="004C4B40" w:rsidRPr="004B1213">
      <w:headerReference w:type="even" r:id="rId11"/>
      <w:headerReference w:type="default" r:id="rId12"/>
      <w:pgSz w:w="11906" w:h="16838" w:code="9"/>
      <w:pgMar w:top="1440" w:right="902" w:bottom="1440" w:left="176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B9020B" w14:textId="77777777" w:rsidR="00FE2ECC" w:rsidRDefault="00FE2ECC">
      <w:r>
        <w:separator/>
      </w:r>
    </w:p>
  </w:endnote>
  <w:endnote w:type="continuationSeparator" w:id="0">
    <w:p w14:paraId="7C27E507" w14:textId="77777777" w:rsidR="00FE2ECC" w:rsidRDefault="00FE2ECC">
      <w:r>
        <w:continuationSeparator/>
      </w:r>
    </w:p>
  </w:endnote>
  <w:endnote w:type="continuationNotice" w:id="1">
    <w:p w14:paraId="4FB776D3" w14:textId="77777777" w:rsidR="00FE2ECC" w:rsidRDefault="00FE2E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3FE0CB" w14:textId="77777777" w:rsidR="00FE2ECC" w:rsidRDefault="00FE2ECC">
      <w:r>
        <w:separator/>
      </w:r>
    </w:p>
  </w:footnote>
  <w:footnote w:type="continuationSeparator" w:id="0">
    <w:p w14:paraId="55BC2278" w14:textId="77777777" w:rsidR="00FE2ECC" w:rsidRDefault="00FE2ECC">
      <w:r>
        <w:continuationSeparator/>
      </w:r>
    </w:p>
  </w:footnote>
  <w:footnote w:type="continuationNotice" w:id="1">
    <w:p w14:paraId="1F7A0792" w14:textId="77777777" w:rsidR="00FE2ECC" w:rsidRDefault="00FE2EC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C5EEF" w14:textId="77777777" w:rsidR="00FE2ECC" w:rsidRDefault="00FE2EC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92DA07" w14:textId="77777777" w:rsidR="00FE2ECC" w:rsidRDefault="00FE2E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F98AE" w14:textId="7DD2EDCB" w:rsidR="00FE2ECC" w:rsidRDefault="00FE2EC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87691">
      <w:rPr>
        <w:rStyle w:val="PageNumber"/>
        <w:noProof/>
      </w:rPr>
      <w:t>2</w:t>
    </w:r>
    <w:r>
      <w:rPr>
        <w:rStyle w:val="PageNumber"/>
      </w:rPr>
      <w:fldChar w:fldCharType="end"/>
    </w:r>
  </w:p>
  <w:p w14:paraId="1F714845" w14:textId="77777777" w:rsidR="00FE2ECC" w:rsidRDefault="00FE2E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97E68"/>
    <w:multiLevelType w:val="hybridMultilevel"/>
    <w:tmpl w:val="83FCDAEC"/>
    <w:lvl w:ilvl="0" w:tplc="375AE468">
      <w:start w:val="1"/>
      <w:numFmt w:val="decimal"/>
      <w:lvlText w:val="%1."/>
      <w:lvlJc w:val="left"/>
      <w:pPr>
        <w:ind w:left="695" w:hanging="360"/>
      </w:pPr>
      <w:rPr>
        <w:rFonts w:hint="default"/>
      </w:rPr>
    </w:lvl>
    <w:lvl w:ilvl="1" w:tplc="04260011">
      <w:start w:val="1"/>
      <w:numFmt w:val="decimal"/>
      <w:lvlText w:val="%2)"/>
      <w:lvlJc w:val="left"/>
      <w:pPr>
        <w:ind w:left="2912" w:hanging="360"/>
      </w:pPr>
    </w:lvl>
    <w:lvl w:ilvl="2" w:tplc="0426001B" w:tentative="1">
      <w:start w:val="1"/>
      <w:numFmt w:val="lowerRoman"/>
      <w:lvlText w:val="%3."/>
      <w:lvlJc w:val="right"/>
      <w:pPr>
        <w:ind w:left="2135" w:hanging="180"/>
      </w:pPr>
    </w:lvl>
    <w:lvl w:ilvl="3" w:tplc="0426000F" w:tentative="1">
      <w:start w:val="1"/>
      <w:numFmt w:val="decimal"/>
      <w:lvlText w:val="%4."/>
      <w:lvlJc w:val="left"/>
      <w:pPr>
        <w:ind w:left="2855" w:hanging="360"/>
      </w:pPr>
    </w:lvl>
    <w:lvl w:ilvl="4" w:tplc="04260019" w:tentative="1">
      <w:start w:val="1"/>
      <w:numFmt w:val="lowerLetter"/>
      <w:lvlText w:val="%5."/>
      <w:lvlJc w:val="left"/>
      <w:pPr>
        <w:ind w:left="3575" w:hanging="360"/>
      </w:pPr>
    </w:lvl>
    <w:lvl w:ilvl="5" w:tplc="0426001B" w:tentative="1">
      <w:start w:val="1"/>
      <w:numFmt w:val="lowerRoman"/>
      <w:lvlText w:val="%6."/>
      <w:lvlJc w:val="right"/>
      <w:pPr>
        <w:ind w:left="4295" w:hanging="180"/>
      </w:pPr>
    </w:lvl>
    <w:lvl w:ilvl="6" w:tplc="0426000F" w:tentative="1">
      <w:start w:val="1"/>
      <w:numFmt w:val="decimal"/>
      <w:lvlText w:val="%7."/>
      <w:lvlJc w:val="left"/>
      <w:pPr>
        <w:ind w:left="5015" w:hanging="360"/>
      </w:pPr>
    </w:lvl>
    <w:lvl w:ilvl="7" w:tplc="04260019" w:tentative="1">
      <w:start w:val="1"/>
      <w:numFmt w:val="lowerLetter"/>
      <w:lvlText w:val="%8."/>
      <w:lvlJc w:val="left"/>
      <w:pPr>
        <w:ind w:left="5735" w:hanging="360"/>
      </w:pPr>
    </w:lvl>
    <w:lvl w:ilvl="8" w:tplc="0426001B" w:tentative="1">
      <w:start w:val="1"/>
      <w:numFmt w:val="lowerRoman"/>
      <w:lvlText w:val="%9."/>
      <w:lvlJc w:val="right"/>
      <w:pPr>
        <w:ind w:left="6455" w:hanging="180"/>
      </w:pPr>
    </w:lvl>
  </w:abstractNum>
  <w:abstractNum w:abstractNumId="1" w15:restartNumberingAfterBreak="0">
    <w:nsid w:val="332417F5"/>
    <w:multiLevelType w:val="hybridMultilevel"/>
    <w:tmpl w:val="2938CE14"/>
    <w:lvl w:ilvl="0" w:tplc="04260011">
      <w:start w:val="1"/>
      <w:numFmt w:val="decimal"/>
      <w:lvlText w:val="%1)"/>
      <w:lvlJc w:val="left"/>
      <w:pPr>
        <w:ind w:left="360" w:hanging="360"/>
      </w:pPr>
      <w:rPr>
        <w:rFonts w:hint="default"/>
      </w:rPr>
    </w:lvl>
    <w:lvl w:ilvl="1" w:tplc="04260011">
      <w:start w:val="1"/>
      <w:numFmt w:val="decimal"/>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B40"/>
    <w:rsid w:val="000C7C4C"/>
    <w:rsid w:val="000D6CC3"/>
    <w:rsid w:val="00175A0E"/>
    <w:rsid w:val="002569F6"/>
    <w:rsid w:val="00267D2E"/>
    <w:rsid w:val="00287691"/>
    <w:rsid w:val="00293303"/>
    <w:rsid w:val="003F27D2"/>
    <w:rsid w:val="00437F83"/>
    <w:rsid w:val="004B1213"/>
    <w:rsid w:val="004B729D"/>
    <w:rsid w:val="004C4B40"/>
    <w:rsid w:val="004C6BDB"/>
    <w:rsid w:val="00512703"/>
    <w:rsid w:val="005F1764"/>
    <w:rsid w:val="005F50DD"/>
    <w:rsid w:val="00610A14"/>
    <w:rsid w:val="00684B79"/>
    <w:rsid w:val="00687020"/>
    <w:rsid w:val="006C5CED"/>
    <w:rsid w:val="007879F6"/>
    <w:rsid w:val="007C3F38"/>
    <w:rsid w:val="00813FEE"/>
    <w:rsid w:val="008452DA"/>
    <w:rsid w:val="008C0CD2"/>
    <w:rsid w:val="008D1818"/>
    <w:rsid w:val="008E17DF"/>
    <w:rsid w:val="0096029C"/>
    <w:rsid w:val="009668FF"/>
    <w:rsid w:val="0098590B"/>
    <w:rsid w:val="009A7DC4"/>
    <w:rsid w:val="00B92731"/>
    <w:rsid w:val="00B9423E"/>
    <w:rsid w:val="00BB446B"/>
    <w:rsid w:val="00C90026"/>
    <w:rsid w:val="00CE12C1"/>
    <w:rsid w:val="00CE3495"/>
    <w:rsid w:val="00D61B46"/>
    <w:rsid w:val="00D747B0"/>
    <w:rsid w:val="00DA673E"/>
    <w:rsid w:val="00E66E23"/>
    <w:rsid w:val="00E840A8"/>
    <w:rsid w:val="00E97F77"/>
    <w:rsid w:val="00F00D5C"/>
    <w:rsid w:val="00F75778"/>
    <w:rsid w:val="00FA4916"/>
    <w:rsid w:val="00FE2ECC"/>
    <w:rsid w:val="00FE71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65079"/>
  <w15:chartTrackingRefBased/>
  <w15:docId w15:val="{B1F37B5A-610B-4F9C-AA90-9A42248F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495"/>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CE3495"/>
    <w:pPr>
      <w:tabs>
        <w:tab w:val="center" w:pos="4153"/>
        <w:tab w:val="right" w:pos="8306"/>
      </w:tabs>
    </w:pPr>
    <w:rPr>
      <w:lang w:val="lv-LV" w:eastAsia="lv-LV"/>
    </w:rPr>
  </w:style>
  <w:style w:type="character" w:customStyle="1" w:styleId="HeaderChar">
    <w:name w:val="Header Char"/>
    <w:basedOn w:val="DefaultParagraphFont"/>
    <w:link w:val="Header"/>
    <w:semiHidden/>
    <w:rsid w:val="00CE3495"/>
    <w:rPr>
      <w:rFonts w:ascii="Times New Roman" w:eastAsia="Times New Roman" w:hAnsi="Times New Roman" w:cs="Times New Roman"/>
      <w:sz w:val="24"/>
      <w:szCs w:val="24"/>
      <w:lang w:eastAsia="lv-LV"/>
    </w:rPr>
  </w:style>
  <w:style w:type="character" w:styleId="PageNumber">
    <w:name w:val="page number"/>
    <w:basedOn w:val="DefaultParagraphFont"/>
    <w:semiHidden/>
    <w:rsid w:val="00CE3495"/>
  </w:style>
  <w:style w:type="paragraph" w:styleId="BalloonText">
    <w:name w:val="Balloon Text"/>
    <w:basedOn w:val="Normal"/>
    <w:link w:val="BalloonTextChar"/>
    <w:uiPriority w:val="99"/>
    <w:semiHidden/>
    <w:unhideWhenUsed/>
    <w:rsid w:val="00610A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A14"/>
    <w:rPr>
      <w:rFonts w:ascii="Segoe UI" w:eastAsia="Times New Roman" w:hAnsi="Segoe UI" w:cs="Segoe UI"/>
      <w:sz w:val="18"/>
      <w:szCs w:val="18"/>
      <w:lang w:val="en-GB"/>
    </w:rPr>
  </w:style>
  <w:style w:type="character" w:styleId="CommentReference">
    <w:name w:val="annotation reference"/>
    <w:basedOn w:val="DefaultParagraphFont"/>
    <w:uiPriority w:val="99"/>
    <w:semiHidden/>
    <w:unhideWhenUsed/>
    <w:rsid w:val="00610A14"/>
    <w:rPr>
      <w:sz w:val="16"/>
      <w:szCs w:val="16"/>
    </w:rPr>
  </w:style>
  <w:style w:type="paragraph" w:styleId="CommentText">
    <w:name w:val="annotation text"/>
    <w:basedOn w:val="Normal"/>
    <w:link w:val="CommentTextChar"/>
    <w:uiPriority w:val="99"/>
    <w:semiHidden/>
    <w:unhideWhenUsed/>
    <w:rsid w:val="00610A14"/>
    <w:rPr>
      <w:sz w:val="20"/>
      <w:szCs w:val="20"/>
    </w:rPr>
  </w:style>
  <w:style w:type="character" w:customStyle="1" w:styleId="CommentTextChar">
    <w:name w:val="Comment Text Char"/>
    <w:basedOn w:val="DefaultParagraphFont"/>
    <w:link w:val="CommentText"/>
    <w:uiPriority w:val="99"/>
    <w:semiHidden/>
    <w:rsid w:val="00610A14"/>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10A14"/>
    <w:rPr>
      <w:b/>
      <w:bCs/>
    </w:rPr>
  </w:style>
  <w:style w:type="character" w:customStyle="1" w:styleId="CommentSubjectChar">
    <w:name w:val="Comment Subject Char"/>
    <w:basedOn w:val="CommentTextChar"/>
    <w:link w:val="CommentSubject"/>
    <w:uiPriority w:val="99"/>
    <w:semiHidden/>
    <w:rsid w:val="00610A14"/>
    <w:rPr>
      <w:rFonts w:ascii="Times New Roman" w:eastAsia="Times New Roman" w:hAnsi="Times New Roman" w:cs="Times New Roman"/>
      <w:b/>
      <w:bCs/>
      <w:sz w:val="20"/>
      <w:szCs w:val="20"/>
      <w:lang w:val="en-GB"/>
    </w:rPr>
  </w:style>
  <w:style w:type="paragraph" w:styleId="Footer">
    <w:name w:val="footer"/>
    <w:basedOn w:val="Normal"/>
    <w:link w:val="FooterChar"/>
    <w:uiPriority w:val="99"/>
    <w:semiHidden/>
    <w:unhideWhenUsed/>
    <w:rsid w:val="00293303"/>
    <w:pPr>
      <w:tabs>
        <w:tab w:val="center" w:pos="4153"/>
        <w:tab w:val="right" w:pos="8306"/>
      </w:tabs>
    </w:pPr>
  </w:style>
  <w:style w:type="character" w:customStyle="1" w:styleId="FooterChar">
    <w:name w:val="Footer Char"/>
    <w:basedOn w:val="DefaultParagraphFont"/>
    <w:link w:val="Footer"/>
    <w:uiPriority w:val="99"/>
    <w:semiHidden/>
    <w:rsid w:val="00293303"/>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B942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83329C144DA9A846BB0CECFDE58D00F3" ma:contentTypeVersion="0" ma:contentTypeDescription="Izveidot jaunu dokumentu." ma:contentTypeScope="" ma:versionID="592fe25209eb061037e482297b83987c">
  <xsd:schema xmlns:xsd="http://www.w3.org/2001/XMLSchema" xmlns:xs="http://www.w3.org/2001/XMLSchema" xmlns:p="http://schemas.microsoft.com/office/2006/metadata/properties" targetNamespace="http://schemas.microsoft.com/office/2006/metadata/properties" ma:root="true" ma:fieldsID="e4db33db44e48f8f107466a912c3a54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D33CB-D71E-4B3E-A25E-7BE790D64184}">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3BBE3C7-3F27-49AB-90A0-66AA664AF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88CC9E4-DC41-40F6-900D-8A8CED1D1648}">
  <ds:schemaRefs>
    <ds:schemaRef ds:uri="http://schemas.microsoft.com/sharepoint/v3/contenttype/forms"/>
  </ds:schemaRefs>
</ds:datastoreItem>
</file>

<file path=customXml/itemProps4.xml><?xml version="1.0" encoding="utf-8"?>
<ds:datastoreItem xmlns:ds="http://schemas.openxmlformats.org/officeDocument/2006/customXml" ds:itemID="{CAFEF465-3DAA-49A5-A99E-EED1D05B3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3311</Words>
  <Characters>1888</Characters>
  <Application>Microsoft Office Word</Application>
  <DocSecurity>4</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Maija Kantāne</dc:creator>
  <cp:keywords/>
  <dc:description/>
  <cp:lastModifiedBy>Sandija Krūmiņa-Pēkšena</cp:lastModifiedBy>
  <cp:revision>2</cp:revision>
  <dcterms:created xsi:type="dcterms:W3CDTF">2019-12-03T12:08:00Z</dcterms:created>
  <dcterms:modified xsi:type="dcterms:W3CDTF">2019-12-03T12:08:00Z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0x01010083329C144DA9A846BB0CECFDE58D00F3</vt:lpwstr>
  </property>
</Properties>
</file>