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F9" w:rsidRDefault="00EF3826" w:rsidP="00414DF9">
      <w:pPr>
        <w:pStyle w:val="PlainText"/>
        <w:jc w:val="center"/>
        <w:rPr>
          <w:rFonts w:ascii="Times New Roman" w:hAnsi="Times New Roman" w:cs="Times New Roman"/>
          <w:color w:val="012169"/>
          <w:sz w:val="56"/>
          <w:szCs w:val="48"/>
          <w:lang w:eastAsia="ja-JP"/>
        </w:rPr>
      </w:pPr>
      <w:bookmarkStart w:id="0" w:name="_GoBack"/>
      <w:bookmarkEnd w:id="0"/>
      <w:r>
        <w:rPr>
          <w:i/>
          <w:noProof/>
          <w:sz w:val="24"/>
          <w:szCs w:val="24"/>
          <w:lang w:eastAsia="lv-LV"/>
        </w:rPr>
        <w:drawing>
          <wp:inline distT="0" distB="0" distL="0" distR="0" wp14:anchorId="7E5E504C" wp14:editId="033B8234">
            <wp:extent cx="3379251" cy="3870251"/>
            <wp:effectExtent l="0" t="0" r="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7_pilnkrasu_pilns_rgb_LV_h_v.png"/>
                    <pic:cNvPicPr/>
                  </pic:nvPicPr>
                  <pic:blipFill>
                    <a:blip r:embed="rId8">
                      <a:extLst>
                        <a:ext uri="{28A0092B-C50C-407E-A947-70E740481C1C}">
                          <a14:useLocalDpi xmlns:a14="http://schemas.microsoft.com/office/drawing/2010/main" val="0"/>
                        </a:ext>
                      </a:extLst>
                    </a:blip>
                    <a:stretch>
                      <a:fillRect/>
                    </a:stretch>
                  </pic:blipFill>
                  <pic:spPr>
                    <a:xfrm>
                      <a:off x="0" y="0"/>
                      <a:ext cx="3391448" cy="3884220"/>
                    </a:xfrm>
                    <a:prstGeom prst="rect">
                      <a:avLst/>
                    </a:prstGeom>
                  </pic:spPr>
                </pic:pic>
              </a:graphicData>
            </a:graphic>
          </wp:inline>
        </w:drawing>
      </w:r>
    </w:p>
    <w:p w:rsidR="00414DF9" w:rsidRDefault="00414DF9" w:rsidP="00414DF9">
      <w:pPr>
        <w:pStyle w:val="PlainText"/>
        <w:jc w:val="center"/>
        <w:rPr>
          <w:rFonts w:ascii="Times New Roman" w:hAnsi="Times New Roman" w:cs="Times New Roman"/>
          <w:color w:val="012169"/>
          <w:sz w:val="56"/>
          <w:szCs w:val="48"/>
          <w:lang w:eastAsia="ja-JP"/>
        </w:rPr>
      </w:pPr>
    </w:p>
    <w:p w:rsidR="00414DF9" w:rsidRDefault="00414DF9" w:rsidP="00414DF9">
      <w:pPr>
        <w:pStyle w:val="PlainText"/>
        <w:jc w:val="center"/>
        <w:rPr>
          <w:rFonts w:ascii="Times New Roman" w:hAnsi="Times New Roman" w:cs="Times New Roman"/>
          <w:color w:val="012169"/>
          <w:sz w:val="56"/>
          <w:szCs w:val="48"/>
          <w:lang w:eastAsia="ja-JP"/>
        </w:rPr>
      </w:pPr>
    </w:p>
    <w:p w:rsidR="00414DF9" w:rsidRDefault="00414DF9" w:rsidP="00414DF9">
      <w:pPr>
        <w:pStyle w:val="PlainText"/>
        <w:jc w:val="center"/>
        <w:rPr>
          <w:rFonts w:ascii="Times New Roman" w:hAnsi="Times New Roman" w:cs="Times New Roman"/>
          <w:color w:val="012169"/>
          <w:sz w:val="56"/>
          <w:szCs w:val="48"/>
          <w:lang w:eastAsia="ja-JP"/>
        </w:rPr>
      </w:pPr>
    </w:p>
    <w:p w:rsidR="00414DF9" w:rsidRDefault="00414DF9" w:rsidP="00414DF9">
      <w:pPr>
        <w:pStyle w:val="PlainText"/>
        <w:jc w:val="center"/>
        <w:rPr>
          <w:rFonts w:ascii="Times New Roman" w:hAnsi="Times New Roman" w:cs="Times New Roman"/>
          <w:color w:val="012169"/>
          <w:sz w:val="56"/>
          <w:szCs w:val="48"/>
          <w:lang w:eastAsia="ja-JP"/>
        </w:rPr>
      </w:pPr>
      <w:r w:rsidRPr="00414DF9">
        <w:rPr>
          <w:rFonts w:ascii="Times New Roman" w:hAnsi="Times New Roman" w:cs="Times New Roman"/>
          <w:color w:val="012169"/>
          <w:sz w:val="56"/>
          <w:szCs w:val="48"/>
          <w:lang w:eastAsia="ja-JP"/>
        </w:rPr>
        <w:t>S</w:t>
      </w:r>
      <w:r w:rsidR="008B18A9" w:rsidRPr="00414DF9">
        <w:rPr>
          <w:rFonts w:ascii="Times New Roman" w:hAnsi="Times New Roman" w:cs="Times New Roman"/>
          <w:color w:val="012169"/>
          <w:sz w:val="56"/>
          <w:szCs w:val="48"/>
          <w:lang w:eastAsia="ja-JP"/>
        </w:rPr>
        <w:t>kaidrojums atsevišķu darījumu uzskaitei 2019.gadā</w:t>
      </w:r>
    </w:p>
    <w:p w:rsidR="0005300E" w:rsidRDefault="0005300E" w:rsidP="00414DF9">
      <w:pPr>
        <w:pStyle w:val="PlainText"/>
        <w:jc w:val="center"/>
        <w:rPr>
          <w:rFonts w:ascii="Times New Roman" w:hAnsi="Times New Roman" w:cs="Times New Roman"/>
          <w:color w:val="012169"/>
          <w:sz w:val="56"/>
          <w:szCs w:val="48"/>
          <w:lang w:eastAsia="ja-JP"/>
        </w:rPr>
      </w:pPr>
    </w:p>
    <w:p w:rsidR="0005300E" w:rsidRDefault="0005300E" w:rsidP="00414DF9">
      <w:pPr>
        <w:pStyle w:val="PlainText"/>
        <w:jc w:val="center"/>
        <w:rPr>
          <w:rFonts w:ascii="Times New Roman" w:hAnsi="Times New Roman" w:cs="Times New Roman"/>
          <w:color w:val="012169"/>
          <w:sz w:val="56"/>
          <w:szCs w:val="48"/>
          <w:lang w:eastAsia="ja-JP"/>
        </w:rPr>
      </w:pPr>
      <w:r>
        <w:rPr>
          <w:rFonts w:ascii="Times New Roman" w:hAnsi="Times New Roman" w:cs="Times New Roman"/>
          <w:color w:val="012169"/>
          <w:sz w:val="56"/>
          <w:szCs w:val="48"/>
          <w:lang w:eastAsia="ja-JP"/>
        </w:rPr>
        <w:t>Jautājumi un atbildes</w:t>
      </w:r>
    </w:p>
    <w:p w:rsidR="003F6D8A" w:rsidRDefault="003F6D8A">
      <w:r>
        <w:br w:type="page"/>
      </w:r>
    </w:p>
    <w:sdt>
      <w:sdtPr>
        <w:rPr>
          <w:rFonts w:asciiTheme="minorHAnsi" w:eastAsiaTheme="minorHAnsi" w:hAnsiTheme="minorHAnsi" w:cstheme="minorBidi"/>
          <w:color w:val="0070C0"/>
          <w:sz w:val="22"/>
          <w:szCs w:val="22"/>
        </w:rPr>
        <w:id w:val="-905531915"/>
        <w:docPartObj>
          <w:docPartGallery w:val="Table of Contents"/>
          <w:docPartUnique/>
        </w:docPartObj>
      </w:sdtPr>
      <w:sdtEndPr>
        <w:rPr>
          <w:rFonts w:eastAsiaTheme="minorEastAsia"/>
          <w:b/>
          <w:bCs/>
          <w:noProof/>
          <w:color w:val="auto"/>
          <w:sz w:val="21"/>
          <w:szCs w:val="21"/>
        </w:rPr>
      </w:sdtEndPr>
      <w:sdtContent>
        <w:p w:rsidR="00EE412A" w:rsidRPr="003F6D8A" w:rsidRDefault="00EE412A">
          <w:pPr>
            <w:pStyle w:val="TOCHeading"/>
            <w:rPr>
              <w:color w:val="0070C0"/>
            </w:rPr>
          </w:pPr>
          <w:r w:rsidRPr="003F6D8A">
            <w:rPr>
              <w:color w:val="0070C0"/>
            </w:rPr>
            <w:t>Saturs</w:t>
          </w:r>
        </w:p>
        <w:p w:rsidR="00A24DEB" w:rsidRDefault="00EE412A">
          <w:pPr>
            <w:pStyle w:val="TOC1"/>
            <w:tabs>
              <w:tab w:val="right" w:leader="dot" w:pos="8296"/>
            </w:tabs>
            <w:rPr>
              <w:noProof/>
              <w:lang w:eastAsia="lv-LV"/>
            </w:rPr>
          </w:pPr>
          <w:r>
            <w:rPr>
              <w:b/>
              <w:bCs/>
              <w:noProof/>
            </w:rPr>
            <w:fldChar w:fldCharType="begin"/>
          </w:r>
          <w:r>
            <w:rPr>
              <w:b/>
              <w:bCs/>
              <w:noProof/>
            </w:rPr>
            <w:instrText xml:space="preserve"> TOC \o "1-3" \h \z \u </w:instrText>
          </w:r>
          <w:r>
            <w:rPr>
              <w:b/>
              <w:bCs/>
              <w:noProof/>
            </w:rPr>
            <w:fldChar w:fldCharType="separate"/>
          </w:r>
          <w:hyperlink w:anchor="_Toc20303052" w:history="1">
            <w:r w:rsidR="00A24DEB" w:rsidRPr="00916A18">
              <w:rPr>
                <w:rStyle w:val="Hyperlink"/>
                <w:noProof/>
              </w:rPr>
              <w:t>Pamatlīdzekļu pārklasifikācija</w:t>
            </w:r>
            <w:r w:rsidR="00A24DEB">
              <w:rPr>
                <w:noProof/>
                <w:webHidden/>
              </w:rPr>
              <w:tab/>
            </w:r>
            <w:r w:rsidR="00A24DEB">
              <w:rPr>
                <w:noProof/>
                <w:webHidden/>
              </w:rPr>
              <w:fldChar w:fldCharType="begin"/>
            </w:r>
            <w:r w:rsidR="00A24DEB">
              <w:rPr>
                <w:noProof/>
                <w:webHidden/>
              </w:rPr>
              <w:instrText xml:space="preserve"> PAGEREF _Toc20303052 \h </w:instrText>
            </w:r>
            <w:r w:rsidR="00A24DEB">
              <w:rPr>
                <w:noProof/>
                <w:webHidden/>
              </w:rPr>
            </w:r>
            <w:r w:rsidR="00A24DEB">
              <w:rPr>
                <w:noProof/>
                <w:webHidden/>
              </w:rPr>
              <w:fldChar w:fldCharType="separate"/>
            </w:r>
            <w:r w:rsidR="00855C91">
              <w:rPr>
                <w:noProof/>
                <w:webHidden/>
              </w:rPr>
              <w:t>3</w:t>
            </w:r>
            <w:r w:rsidR="00A24DEB">
              <w:rPr>
                <w:noProof/>
                <w:webHidden/>
              </w:rPr>
              <w:fldChar w:fldCharType="end"/>
            </w:r>
          </w:hyperlink>
        </w:p>
        <w:p w:rsidR="00A24DEB" w:rsidRDefault="007B3873">
          <w:pPr>
            <w:pStyle w:val="TOC1"/>
            <w:tabs>
              <w:tab w:val="right" w:leader="dot" w:pos="8296"/>
            </w:tabs>
            <w:rPr>
              <w:noProof/>
              <w:lang w:eastAsia="lv-LV"/>
            </w:rPr>
          </w:pPr>
          <w:hyperlink w:anchor="_Toc20303053" w:history="1">
            <w:r w:rsidR="00A24DEB" w:rsidRPr="00916A18">
              <w:rPr>
                <w:rStyle w:val="Hyperlink"/>
                <w:noProof/>
              </w:rPr>
              <w:t>Ilgtermiņa aktīva vērtības samazinājums</w:t>
            </w:r>
            <w:r w:rsidR="00A24DEB">
              <w:rPr>
                <w:noProof/>
                <w:webHidden/>
              </w:rPr>
              <w:tab/>
            </w:r>
            <w:r w:rsidR="00A24DEB">
              <w:rPr>
                <w:noProof/>
                <w:webHidden/>
              </w:rPr>
              <w:fldChar w:fldCharType="begin"/>
            </w:r>
            <w:r w:rsidR="00A24DEB">
              <w:rPr>
                <w:noProof/>
                <w:webHidden/>
              </w:rPr>
              <w:instrText xml:space="preserve"> PAGEREF _Toc20303053 \h </w:instrText>
            </w:r>
            <w:r w:rsidR="00A24DEB">
              <w:rPr>
                <w:noProof/>
                <w:webHidden/>
              </w:rPr>
            </w:r>
            <w:r w:rsidR="00A24DEB">
              <w:rPr>
                <w:noProof/>
                <w:webHidden/>
              </w:rPr>
              <w:fldChar w:fldCharType="separate"/>
            </w:r>
            <w:r w:rsidR="00855C91">
              <w:rPr>
                <w:noProof/>
                <w:webHidden/>
              </w:rPr>
              <w:t>11</w:t>
            </w:r>
            <w:r w:rsidR="00A24DEB">
              <w:rPr>
                <w:noProof/>
                <w:webHidden/>
              </w:rPr>
              <w:fldChar w:fldCharType="end"/>
            </w:r>
          </w:hyperlink>
        </w:p>
        <w:p w:rsidR="00A24DEB" w:rsidRDefault="007B3873">
          <w:pPr>
            <w:pStyle w:val="TOC1"/>
            <w:tabs>
              <w:tab w:val="right" w:leader="dot" w:pos="8296"/>
            </w:tabs>
            <w:rPr>
              <w:noProof/>
              <w:lang w:eastAsia="lv-LV"/>
            </w:rPr>
          </w:pPr>
          <w:hyperlink w:anchor="_Toc20303054" w:history="1">
            <w:r w:rsidR="00A24DEB" w:rsidRPr="00916A18">
              <w:rPr>
                <w:rStyle w:val="Hyperlink"/>
                <w:noProof/>
              </w:rPr>
              <w:t>Inventāra uzskaite daudzuma vienībās</w:t>
            </w:r>
            <w:r w:rsidR="00A24DEB">
              <w:rPr>
                <w:noProof/>
                <w:webHidden/>
              </w:rPr>
              <w:tab/>
            </w:r>
            <w:r w:rsidR="00A24DEB">
              <w:rPr>
                <w:noProof/>
                <w:webHidden/>
              </w:rPr>
              <w:fldChar w:fldCharType="begin"/>
            </w:r>
            <w:r w:rsidR="00A24DEB">
              <w:rPr>
                <w:noProof/>
                <w:webHidden/>
              </w:rPr>
              <w:instrText xml:space="preserve"> PAGEREF _Toc20303054 \h </w:instrText>
            </w:r>
            <w:r w:rsidR="00A24DEB">
              <w:rPr>
                <w:noProof/>
                <w:webHidden/>
              </w:rPr>
            </w:r>
            <w:r w:rsidR="00A24DEB">
              <w:rPr>
                <w:noProof/>
                <w:webHidden/>
              </w:rPr>
              <w:fldChar w:fldCharType="separate"/>
            </w:r>
            <w:r w:rsidR="00855C91">
              <w:rPr>
                <w:noProof/>
                <w:webHidden/>
              </w:rPr>
              <w:t>14</w:t>
            </w:r>
            <w:r w:rsidR="00A24DEB">
              <w:rPr>
                <w:noProof/>
                <w:webHidden/>
              </w:rPr>
              <w:fldChar w:fldCharType="end"/>
            </w:r>
          </w:hyperlink>
        </w:p>
        <w:p w:rsidR="00A24DEB" w:rsidRDefault="007B3873">
          <w:pPr>
            <w:pStyle w:val="TOC1"/>
            <w:tabs>
              <w:tab w:val="right" w:leader="dot" w:pos="8296"/>
            </w:tabs>
            <w:rPr>
              <w:noProof/>
              <w:lang w:eastAsia="lv-LV"/>
            </w:rPr>
          </w:pPr>
          <w:hyperlink w:anchor="_Toc20303055" w:history="1">
            <w:r w:rsidR="00A24DEB" w:rsidRPr="00916A18">
              <w:rPr>
                <w:rStyle w:val="Hyperlink"/>
                <w:noProof/>
              </w:rPr>
              <w:t>Nākamo periodu ieņēmumi</w:t>
            </w:r>
            <w:r w:rsidR="00A24DEB">
              <w:rPr>
                <w:noProof/>
                <w:webHidden/>
              </w:rPr>
              <w:tab/>
            </w:r>
            <w:r w:rsidR="00A24DEB">
              <w:rPr>
                <w:noProof/>
                <w:webHidden/>
              </w:rPr>
              <w:fldChar w:fldCharType="begin"/>
            </w:r>
            <w:r w:rsidR="00A24DEB">
              <w:rPr>
                <w:noProof/>
                <w:webHidden/>
              </w:rPr>
              <w:instrText xml:space="preserve"> PAGEREF _Toc20303055 \h </w:instrText>
            </w:r>
            <w:r w:rsidR="00A24DEB">
              <w:rPr>
                <w:noProof/>
                <w:webHidden/>
              </w:rPr>
            </w:r>
            <w:r w:rsidR="00A24DEB">
              <w:rPr>
                <w:noProof/>
                <w:webHidden/>
              </w:rPr>
              <w:fldChar w:fldCharType="separate"/>
            </w:r>
            <w:r w:rsidR="00855C91">
              <w:rPr>
                <w:noProof/>
                <w:webHidden/>
              </w:rPr>
              <w:t>16</w:t>
            </w:r>
            <w:r w:rsidR="00A24DEB">
              <w:rPr>
                <w:noProof/>
                <w:webHidden/>
              </w:rPr>
              <w:fldChar w:fldCharType="end"/>
            </w:r>
          </w:hyperlink>
        </w:p>
        <w:p w:rsidR="00A24DEB" w:rsidRDefault="007B3873">
          <w:pPr>
            <w:pStyle w:val="TOC1"/>
            <w:tabs>
              <w:tab w:val="right" w:leader="dot" w:pos="8296"/>
            </w:tabs>
            <w:rPr>
              <w:noProof/>
              <w:lang w:eastAsia="lv-LV"/>
            </w:rPr>
          </w:pPr>
          <w:hyperlink w:anchor="_Toc20303056" w:history="1">
            <w:r w:rsidR="00A24DEB" w:rsidRPr="00916A18">
              <w:rPr>
                <w:rStyle w:val="Hyperlink"/>
                <w:noProof/>
              </w:rPr>
              <w:t>Saistības pret budžetu</w:t>
            </w:r>
            <w:r w:rsidR="00A24DEB">
              <w:rPr>
                <w:noProof/>
                <w:webHidden/>
              </w:rPr>
              <w:tab/>
            </w:r>
            <w:r w:rsidR="00A24DEB">
              <w:rPr>
                <w:noProof/>
                <w:webHidden/>
              </w:rPr>
              <w:fldChar w:fldCharType="begin"/>
            </w:r>
            <w:r w:rsidR="00A24DEB">
              <w:rPr>
                <w:noProof/>
                <w:webHidden/>
              </w:rPr>
              <w:instrText xml:space="preserve"> PAGEREF _Toc20303056 \h </w:instrText>
            </w:r>
            <w:r w:rsidR="00A24DEB">
              <w:rPr>
                <w:noProof/>
                <w:webHidden/>
              </w:rPr>
            </w:r>
            <w:r w:rsidR="00A24DEB">
              <w:rPr>
                <w:noProof/>
                <w:webHidden/>
              </w:rPr>
              <w:fldChar w:fldCharType="separate"/>
            </w:r>
            <w:r w:rsidR="00855C91">
              <w:rPr>
                <w:noProof/>
                <w:webHidden/>
              </w:rPr>
              <w:t>18</w:t>
            </w:r>
            <w:r w:rsidR="00A24DEB">
              <w:rPr>
                <w:noProof/>
                <w:webHidden/>
              </w:rPr>
              <w:fldChar w:fldCharType="end"/>
            </w:r>
          </w:hyperlink>
        </w:p>
        <w:p w:rsidR="00A24DEB" w:rsidRDefault="007B3873">
          <w:pPr>
            <w:pStyle w:val="TOC1"/>
            <w:tabs>
              <w:tab w:val="right" w:leader="dot" w:pos="8296"/>
            </w:tabs>
            <w:rPr>
              <w:noProof/>
              <w:lang w:eastAsia="lv-LV"/>
            </w:rPr>
          </w:pPr>
          <w:hyperlink w:anchor="_Toc20303057" w:history="1">
            <w:r w:rsidR="00A24DEB" w:rsidRPr="00916A18">
              <w:rPr>
                <w:rStyle w:val="Hyperlink"/>
                <w:noProof/>
              </w:rPr>
              <w:t>Uzkrājumi un uzkrātās saistības</w:t>
            </w:r>
            <w:r w:rsidR="00A24DEB">
              <w:rPr>
                <w:noProof/>
                <w:webHidden/>
              </w:rPr>
              <w:tab/>
            </w:r>
            <w:r w:rsidR="00A24DEB">
              <w:rPr>
                <w:noProof/>
                <w:webHidden/>
              </w:rPr>
              <w:fldChar w:fldCharType="begin"/>
            </w:r>
            <w:r w:rsidR="00A24DEB">
              <w:rPr>
                <w:noProof/>
                <w:webHidden/>
              </w:rPr>
              <w:instrText xml:space="preserve"> PAGEREF _Toc20303057 \h </w:instrText>
            </w:r>
            <w:r w:rsidR="00A24DEB">
              <w:rPr>
                <w:noProof/>
                <w:webHidden/>
              </w:rPr>
            </w:r>
            <w:r w:rsidR="00A24DEB">
              <w:rPr>
                <w:noProof/>
                <w:webHidden/>
              </w:rPr>
              <w:fldChar w:fldCharType="separate"/>
            </w:r>
            <w:r w:rsidR="00855C91">
              <w:rPr>
                <w:noProof/>
                <w:webHidden/>
              </w:rPr>
              <w:t>20</w:t>
            </w:r>
            <w:r w:rsidR="00A24DEB">
              <w:rPr>
                <w:noProof/>
                <w:webHidden/>
              </w:rPr>
              <w:fldChar w:fldCharType="end"/>
            </w:r>
          </w:hyperlink>
        </w:p>
        <w:p w:rsidR="00EE412A" w:rsidRDefault="00EE412A">
          <w:r>
            <w:rPr>
              <w:b/>
              <w:bCs/>
              <w:noProof/>
            </w:rPr>
            <w:fldChar w:fldCharType="end"/>
          </w:r>
        </w:p>
      </w:sdtContent>
    </w:sdt>
    <w:p w:rsidR="00B07DB4" w:rsidRPr="00414DF9" w:rsidRDefault="00B07DB4" w:rsidP="00905B1B">
      <w:pPr>
        <w:pStyle w:val="1Virsraksts"/>
      </w:pPr>
      <w:bookmarkStart w:id="1" w:name="_Toc20303052"/>
      <w:r w:rsidRPr="00414DF9">
        <w:lastRenderedPageBreak/>
        <w:t>Pamatlīdzekļu pārklasifikācija</w:t>
      </w:r>
      <w:bookmarkEnd w:id="1"/>
    </w:p>
    <w:p w:rsidR="00B07DB4" w:rsidRPr="008B18A9" w:rsidRDefault="00B07DB4" w:rsidP="00B07DB4">
      <w:pPr>
        <w:pStyle w:val="PlainText"/>
        <w:jc w:val="both"/>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8296"/>
      </w:tblGrid>
      <w:tr w:rsidR="00FA7C17" w:rsidRPr="00DB54CB" w:rsidTr="00A01931">
        <w:tc>
          <w:tcPr>
            <w:tcW w:w="8296" w:type="dxa"/>
            <w:shd w:val="clear" w:color="auto" w:fill="002060"/>
          </w:tcPr>
          <w:p w:rsidR="00FA7C17" w:rsidRPr="00DB54CB" w:rsidRDefault="00FA7C17" w:rsidP="00A01931">
            <w:pPr>
              <w:rPr>
                <w:rFonts w:ascii="Times New Roman" w:hAnsi="Times New Roman" w:cs="Times New Roman"/>
                <w:sz w:val="24"/>
              </w:rPr>
            </w:pPr>
            <w:r w:rsidRPr="00DB54CB">
              <w:rPr>
                <w:rFonts w:ascii="Times New Roman" w:hAnsi="Times New Roman" w:cs="Times New Roman"/>
                <w:sz w:val="24"/>
              </w:rPr>
              <w:t>Jautājums:</w:t>
            </w:r>
          </w:p>
          <w:p w:rsidR="00FA7C17" w:rsidRPr="00DB54CB" w:rsidRDefault="00FA7C17" w:rsidP="00FA7C17">
            <w:pPr>
              <w:rPr>
                <w:rFonts w:ascii="Times New Roman" w:hAnsi="Times New Roman" w:cs="Times New Roman"/>
                <w:sz w:val="24"/>
              </w:rPr>
            </w:pPr>
            <w:r w:rsidRPr="00FA7C17">
              <w:rPr>
                <w:rFonts w:ascii="Times New Roman" w:hAnsi="Times New Roman" w:cs="Times New Roman"/>
                <w:sz w:val="24"/>
              </w:rPr>
              <w:t>Ja izvērtējot  ilgtermiņa nefinašu aktīvu atlikumu konstatē</w:t>
            </w:r>
            <w:r>
              <w:rPr>
                <w:rFonts w:ascii="Times New Roman" w:hAnsi="Times New Roman" w:cs="Times New Roman"/>
                <w:sz w:val="24"/>
              </w:rPr>
              <w:t>,</w:t>
            </w:r>
            <w:r w:rsidRPr="00FA7C17">
              <w:rPr>
                <w:rFonts w:ascii="Times New Roman" w:hAnsi="Times New Roman" w:cs="Times New Roman"/>
                <w:sz w:val="24"/>
              </w:rPr>
              <w:t xml:space="preserve"> ka tas pēc būtības nav uzskaitīts  pareizajā kontā,  vai var veikt pārklasifikāciju pēc  būtības uz 01.2019.</w:t>
            </w:r>
          </w:p>
        </w:tc>
      </w:tr>
    </w:tbl>
    <w:p w:rsidR="00FA7C17" w:rsidRDefault="00FA7C17" w:rsidP="00FA7C17">
      <w:pPr>
        <w:rPr>
          <w:rFonts w:ascii="Times New Roman" w:hAnsi="Times New Roman" w:cs="Times New Roman"/>
          <w:sz w:val="24"/>
        </w:rPr>
      </w:pPr>
      <w:r w:rsidRPr="00DB54CB">
        <w:rPr>
          <w:rFonts w:ascii="Times New Roman" w:hAnsi="Times New Roman" w:cs="Times New Roman"/>
          <w:sz w:val="24"/>
        </w:rPr>
        <w:t>Atbilde:</w:t>
      </w:r>
    </w:p>
    <w:p w:rsidR="003E7535" w:rsidRPr="008B18A9" w:rsidRDefault="003E7535" w:rsidP="00B07DB4">
      <w:pPr>
        <w:pStyle w:val="PlainText"/>
        <w:jc w:val="both"/>
        <w:rPr>
          <w:rFonts w:ascii="Times New Roman" w:hAnsi="Times New Roman" w:cs="Times New Roman"/>
          <w:sz w:val="24"/>
          <w:szCs w:val="24"/>
        </w:rPr>
      </w:pPr>
      <w:r w:rsidRPr="008B18A9">
        <w:rPr>
          <w:rFonts w:ascii="Times New Roman" w:hAnsi="Times New Roman" w:cs="Times New Roman"/>
          <w:sz w:val="24"/>
          <w:szCs w:val="24"/>
        </w:rPr>
        <w:t>Ja izvērtējot  ilgtermiņa nefinašu aktīvu atlikumu 2019.gada 1.janvārī konstatē, ka aktīvs pēc būtības nav uzskaitīts pareizajā kontā</w:t>
      </w:r>
      <w:r w:rsidR="00B07DB4" w:rsidRPr="008B18A9">
        <w:rPr>
          <w:rFonts w:ascii="Times New Roman" w:hAnsi="Times New Roman" w:cs="Times New Roman"/>
          <w:sz w:val="24"/>
          <w:szCs w:val="24"/>
        </w:rPr>
        <w:t xml:space="preserve"> (iepriekšējo pārskata periodu kļūda)</w:t>
      </w:r>
      <w:r w:rsidRPr="008B18A9">
        <w:rPr>
          <w:rFonts w:ascii="Times New Roman" w:hAnsi="Times New Roman" w:cs="Times New Roman"/>
          <w:sz w:val="24"/>
          <w:szCs w:val="24"/>
        </w:rPr>
        <w:t>, pārklasifikāciju veic šādā kārtībā:</w:t>
      </w:r>
    </w:p>
    <w:p w:rsidR="0046552B" w:rsidRPr="008B18A9" w:rsidRDefault="00B07DB4" w:rsidP="00B07DB4">
      <w:pPr>
        <w:pStyle w:val="PlainText"/>
        <w:numPr>
          <w:ilvl w:val="0"/>
          <w:numId w:val="1"/>
        </w:numPr>
        <w:jc w:val="both"/>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59264" behindDoc="1" locked="0" layoutInCell="1" allowOverlap="1" wp14:anchorId="71A1764A" wp14:editId="1DB61E76">
                <wp:simplePos x="0" y="0"/>
                <wp:positionH relativeFrom="column">
                  <wp:posOffset>3962400</wp:posOffset>
                </wp:positionH>
                <wp:positionV relativeFrom="paragraph">
                  <wp:posOffset>40005</wp:posOffset>
                </wp:positionV>
                <wp:extent cx="1607185" cy="1066800"/>
                <wp:effectExtent l="0" t="0" r="12065" b="19050"/>
                <wp:wrapTight wrapText="bothSides">
                  <wp:wrapPolygon edited="0">
                    <wp:start x="0" y="0"/>
                    <wp:lineTo x="0" y="21600"/>
                    <wp:lineTo x="21506" y="21600"/>
                    <wp:lineTo x="2150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607185" cy="1066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01931" w:rsidRPr="00EB0F27" w:rsidRDefault="00A01931" w:rsidP="00B07DB4">
                            <w:pPr>
                              <w:rPr>
                                <w:sz w:val="16"/>
                                <w:szCs w:val="12"/>
                              </w:rPr>
                            </w:pPr>
                            <w:r w:rsidRPr="00EB0F27">
                              <w:rPr>
                                <w:rFonts w:ascii="Arial" w:hAnsi="Arial" w:cs="Arial"/>
                                <w:i/>
                                <w:color w:val="0070C0"/>
                                <w:sz w:val="16"/>
                                <w:szCs w:val="12"/>
                                <w:shd w:val="clear" w:color="auto" w:fill="FFFFFF"/>
                              </w:rPr>
                              <w:t>442. Budžeta iestādes izvērtē aktīvu un pasīvu atlikumus 2018. gada 31. decembrī un 2019. gada 1. janvārī iegrāmato saskaņā ar šo noteikumu 4. pielikumā noteikto kontu atbilstības tabulu.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1764A" id="_x0000_t202" coordsize="21600,21600" o:spt="202" path="m,l,21600r21600,l21600,xe">
                <v:stroke joinstyle="miter"/>
                <v:path gradientshapeok="t" o:connecttype="rect"/>
              </v:shapetype>
              <v:shape id="Text Box 3" o:spid="_x0000_s1026" type="#_x0000_t202" style="position:absolute;left:0;text-align:left;margin-left:312pt;margin-top:3.15pt;width:126.5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" fillcolor="white [3201]" strokecolor="#5b9bd5 [3204]" strokeweight="1pt">
                <v:textbox>
                  <w:txbxContent>
                    <w:p w:rsidR="00A01931" w:rsidRPr="00EB0F27" w:rsidRDefault="00A01931" w:rsidP="00B07DB4">
                      <w:pPr>
                        <w:rPr>
                          <w:sz w:val="16"/>
                          <w:szCs w:val="12"/>
                        </w:rPr>
                      </w:pPr>
                      <w:r w:rsidRPr="00EB0F27">
                        <w:rPr>
                          <w:rFonts w:ascii="Arial" w:hAnsi="Arial" w:cs="Arial"/>
                          <w:i/>
                          <w:color w:val="0070C0"/>
                          <w:sz w:val="16"/>
                          <w:szCs w:val="12"/>
                          <w:shd w:val="clear" w:color="auto" w:fill="FFFFFF"/>
                        </w:rPr>
                        <w:t>442. Budžeta iestādes izvērtē aktīvu un pasīvu atlikumus 2018. gada 31. decembrī un 2019. gada 1. janvārī iegrāmato saskaņā ar šo noteikumu 4. pielikumā noteikto kontu atbilstības tabulu.</w:t>
                      </w:r>
                    </w:p>
                  </w:txbxContent>
                </v:textbox>
                <w10:wrap type="tight"/>
              </v:shape>
            </w:pict>
          </mc:Fallback>
        </mc:AlternateContent>
      </w:r>
      <w:r w:rsidR="003E7535" w:rsidRPr="008B18A9">
        <w:rPr>
          <w:rFonts w:ascii="Times New Roman" w:hAnsi="Times New Roman" w:cs="Times New Roman"/>
          <w:sz w:val="24"/>
          <w:szCs w:val="24"/>
        </w:rPr>
        <w:t xml:space="preserve">Ja pārklasifikācija </w:t>
      </w:r>
      <w:r w:rsidR="003E7535" w:rsidRPr="008B18A9">
        <w:rPr>
          <w:rFonts w:ascii="Times New Roman" w:hAnsi="Times New Roman" w:cs="Times New Roman"/>
          <w:b/>
          <w:sz w:val="24"/>
          <w:szCs w:val="24"/>
        </w:rPr>
        <w:t>atbilst</w:t>
      </w:r>
      <w:r w:rsidR="003E7535" w:rsidRPr="008B18A9">
        <w:rPr>
          <w:rFonts w:ascii="Times New Roman" w:hAnsi="Times New Roman" w:cs="Times New Roman"/>
          <w:sz w:val="24"/>
          <w:szCs w:val="24"/>
        </w:rPr>
        <w:t xml:space="preserve"> </w:t>
      </w:r>
      <w:r w:rsidR="00092F82">
        <w:rPr>
          <w:rFonts w:ascii="Times New Roman" w:hAnsi="Times New Roman" w:cs="Times New Roman"/>
          <w:sz w:val="24"/>
          <w:szCs w:val="24"/>
        </w:rPr>
        <w:t>Ministru kabineta noteikumu</w:t>
      </w:r>
      <w:r w:rsidR="00092F82" w:rsidRPr="00092F82">
        <w:rPr>
          <w:rFonts w:ascii="Times New Roman" w:hAnsi="Times New Roman" w:cs="Times New Roman"/>
          <w:sz w:val="24"/>
          <w:szCs w:val="24"/>
        </w:rPr>
        <w:t xml:space="preserve"> Nr. </w:t>
      </w:r>
      <w:hyperlink r:id="rId9" w:history="1">
        <w:r w:rsidR="00092F82" w:rsidRPr="00092F82">
          <w:rPr>
            <w:rStyle w:val="Hyperlink"/>
            <w:rFonts w:ascii="Times New Roman" w:hAnsi="Times New Roman" w:cs="Times New Roman"/>
            <w:sz w:val="24"/>
            <w:szCs w:val="24"/>
          </w:rPr>
          <w:t>87</w:t>
        </w:r>
      </w:hyperlink>
      <w:r w:rsidR="00092F82" w:rsidRPr="00092F82">
        <w:rPr>
          <w:rFonts w:ascii="Times New Roman" w:hAnsi="Times New Roman" w:cs="Times New Roman"/>
          <w:sz w:val="24"/>
          <w:szCs w:val="24"/>
        </w:rPr>
        <w:t xml:space="preserve"> “Grāmatvedības uzskaites kārtība budžeta iestādēs” </w:t>
      </w:r>
      <w:r w:rsidR="003E7535" w:rsidRPr="008B18A9">
        <w:rPr>
          <w:rFonts w:ascii="Times New Roman" w:hAnsi="Times New Roman" w:cs="Times New Roman"/>
          <w:sz w:val="24"/>
          <w:szCs w:val="24"/>
        </w:rPr>
        <w:t xml:space="preserve">4.pielikumā noteiktajam, tad pārklasificē aktīva </w:t>
      </w:r>
      <w:r w:rsidRPr="008B18A9">
        <w:rPr>
          <w:rFonts w:ascii="Times New Roman" w:hAnsi="Times New Roman" w:cs="Times New Roman"/>
          <w:sz w:val="24"/>
          <w:szCs w:val="24"/>
        </w:rPr>
        <w:t>sākotnējo vērtību</w:t>
      </w:r>
      <w:r w:rsidR="003E7535" w:rsidRPr="008B18A9">
        <w:rPr>
          <w:rFonts w:ascii="Times New Roman" w:hAnsi="Times New Roman" w:cs="Times New Roman"/>
          <w:sz w:val="24"/>
          <w:szCs w:val="24"/>
        </w:rPr>
        <w:t xml:space="preserve">, uzkrāto nolietojumu un vērtības samazinājumu un uzrāda </w:t>
      </w:r>
      <w:r w:rsidR="00867937" w:rsidRPr="008B18A9">
        <w:rPr>
          <w:rFonts w:ascii="Times New Roman" w:hAnsi="Times New Roman" w:cs="Times New Roman"/>
          <w:sz w:val="24"/>
          <w:szCs w:val="24"/>
        </w:rPr>
        <w:t xml:space="preserve">2019.gada </w:t>
      </w:r>
      <w:r w:rsidR="003E7535" w:rsidRPr="008B18A9">
        <w:rPr>
          <w:rFonts w:ascii="Times New Roman" w:hAnsi="Times New Roman" w:cs="Times New Roman"/>
          <w:sz w:val="24"/>
          <w:szCs w:val="24"/>
        </w:rPr>
        <w:t xml:space="preserve">pārskatā </w:t>
      </w:r>
      <w:r w:rsidR="00867937">
        <w:rPr>
          <w:rFonts w:ascii="Times New Roman" w:hAnsi="Times New Roman" w:cs="Times New Roman"/>
          <w:sz w:val="24"/>
          <w:szCs w:val="24"/>
        </w:rPr>
        <w:t>pielikumā par kontu pārklasifikāciju</w:t>
      </w:r>
      <w:r w:rsidR="0046552B" w:rsidRPr="008B18A9">
        <w:rPr>
          <w:rFonts w:ascii="Times New Roman" w:hAnsi="Times New Roman" w:cs="Times New Roman"/>
          <w:sz w:val="24"/>
          <w:szCs w:val="24"/>
        </w:rPr>
        <w:t>:</w:t>
      </w: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Piemēram,</w:t>
      </w: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 xml:space="preserve">D 1220 Tehnoloģiskās iekārtas un mašīnas </w:t>
      </w:r>
      <w:r w:rsidR="00E147A0" w:rsidRPr="008B18A9">
        <w:rPr>
          <w:rFonts w:ascii="Times New Roman" w:hAnsi="Times New Roman" w:cs="Times New Roman"/>
          <w:i/>
          <w:sz w:val="24"/>
          <w:szCs w:val="24"/>
        </w:rPr>
        <w:tab/>
      </w:r>
      <w:r w:rsidR="006D3991" w:rsidRPr="008B18A9">
        <w:rPr>
          <w:rFonts w:ascii="Times New Roman" w:hAnsi="Times New Roman" w:cs="Times New Roman"/>
          <w:i/>
          <w:sz w:val="24"/>
          <w:szCs w:val="24"/>
        </w:rPr>
        <w:tab/>
      </w:r>
      <w:r w:rsidR="006D3991" w:rsidRPr="008B18A9">
        <w:rPr>
          <w:rFonts w:ascii="Times New Roman" w:hAnsi="Times New Roman" w:cs="Times New Roman"/>
          <w:i/>
          <w:sz w:val="24"/>
          <w:szCs w:val="24"/>
        </w:rPr>
        <w:tab/>
      </w:r>
      <w:r w:rsidRPr="008B18A9">
        <w:rPr>
          <w:rFonts w:ascii="Times New Roman" w:hAnsi="Times New Roman" w:cs="Times New Roman"/>
          <w:i/>
          <w:sz w:val="24"/>
          <w:szCs w:val="24"/>
        </w:rPr>
        <w:t>10 000 EUR</w:t>
      </w: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 xml:space="preserve">K 1239 Pārējie pamatlīdzekļi </w:t>
      </w:r>
      <w:r w:rsidR="00E147A0" w:rsidRPr="008B18A9">
        <w:rPr>
          <w:rFonts w:ascii="Times New Roman" w:hAnsi="Times New Roman" w:cs="Times New Roman"/>
          <w:i/>
          <w:sz w:val="24"/>
          <w:szCs w:val="24"/>
        </w:rPr>
        <w:tab/>
      </w:r>
      <w:r w:rsidR="00E147A0" w:rsidRPr="008B18A9">
        <w:rPr>
          <w:rFonts w:ascii="Times New Roman" w:hAnsi="Times New Roman" w:cs="Times New Roman"/>
          <w:i/>
          <w:sz w:val="24"/>
          <w:szCs w:val="24"/>
        </w:rPr>
        <w:tab/>
      </w:r>
      <w:r w:rsidR="00E147A0" w:rsidRP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Pr="008B18A9">
        <w:rPr>
          <w:rFonts w:ascii="Times New Roman" w:hAnsi="Times New Roman" w:cs="Times New Roman"/>
          <w:i/>
          <w:sz w:val="24"/>
          <w:szCs w:val="24"/>
        </w:rPr>
        <w:t>10 000 EUR</w:t>
      </w:r>
    </w:p>
    <w:p w:rsidR="0046552B" w:rsidRPr="008B18A9" w:rsidRDefault="0046552B" w:rsidP="00B07DB4">
      <w:pPr>
        <w:pStyle w:val="PlainText"/>
        <w:ind w:left="720"/>
        <w:jc w:val="both"/>
        <w:rPr>
          <w:rFonts w:ascii="Times New Roman" w:hAnsi="Times New Roman" w:cs="Times New Roman"/>
          <w:sz w:val="24"/>
          <w:szCs w:val="24"/>
        </w:rPr>
      </w:pP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D 1293 Pārējo pamatlīdzekļu uzkrātais nolietojums</w:t>
      </w:r>
      <w:r w:rsidR="00E147A0" w:rsidRPr="008B18A9">
        <w:rPr>
          <w:rFonts w:ascii="Times New Roman" w:hAnsi="Times New Roman" w:cs="Times New Roman"/>
          <w:i/>
          <w:sz w:val="24"/>
          <w:szCs w:val="24"/>
        </w:rPr>
        <w:tab/>
      </w:r>
      <w:r w:rsidR="00E147A0" w:rsidRPr="008B18A9">
        <w:rPr>
          <w:rFonts w:ascii="Times New Roman" w:hAnsi="Times New Roman" w:cs="Times New Roman"/>
          <w:i/>
          <w:sz w:val="24"/>
          <w:szCs w:val="24"/>
        </w:rPr>
        <w:tab/>
      </w:r>
      <w:r w:rsidR="003F13F2" w:rsidRPr="008B18A9">
        <w:rPr>
          <w:rFonts w:ascii="Times New Roman" w:hAnsi="Times New Roman" w:cs="Times New Roman"/>
          <w:i/>
          <w:sz w:val="24"/>
          <w:szCs w:val="24"/>
        </w:rPr>
        <w:t>5 0</w:t>
      </w:r>
      <w:r w:rsidR="00E147A0" w:rsidRPr="008B18A9">
        <w:rPr>
          <w:rFonts w:ascii="Times New Roman" w:hAnsi="Times New Roman" w:cs="Times New Roman"/>
          <w:i/>
          <w:sz w:val="24"/>
          <w:szCs w:val="24"/>
        </w:rPr>
        <w:t>00 EUR</w:t>
      </w:r>
    </w:p>
    <w:p w:rsid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 xml:space="preserve">K 1292 Tehnoloģisko iekārtu un mašīnu uzkrātais </w:t>
      </w: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nolietojums</w:t>
      </w:r>
      <w:r w:rsidR="00E147A0" w:rsidRP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Pr>
          <w:rFonts w:ascii="Times New Roman" w:hAnsi="Times New Roman" w:cs="Times New Roman"/>
          <w:i/>
          <w:sz w:val="24"/>
          <w:szCs w:val="24"/>
        </w:rPr>
        <w:tab/>
      </w:r>
      <w:r w:rsidR="008B18A9" w:rsidRPr="008B18A9">
        <w:rPr>
          <w:rFonts w:ascii="Times New Roman" w:hAnsi="Times New Roman" w:cs="Times New Roman"/>
          <w:i/>
          <w:sz w:val="24"/>
          <w:szCs w:val="24"/>
        </w:rPr>
        <w:t>5 000 EUR</w:t>
      </w:r>
    </w:p>
    <w:p w:rsidR="0046552B" w:rsidRPr="008B18A9" w:rsidRDefault="0046552B" w:rsidP="00B07DB4">
      <w:pPr>
        <w:pStyle w:val="PlainText"/>
        <w:ind w:left="720"/>
        <w:jc w:val="both"/>
        <w:rPr>
          <w:rFonts w:ascii="Times New Roman" w:hAnsi="Times New Roman" w:cs="Times New Roman"/>
          <w:sz w:val="24"/>
          <w:szCs w:val="24"/>
        </w:rPr>
      </w:pPr>
    </w:p>
    <w:p w:rsidR="006D3991" w:rsidRPr="008B18A9" w:rsidRDefault="00886ED2" w:rsidP="00886ED2">
      <w:pPr>
        <w:pStyle w:val="PlainText"/>
        <w:numPr>
          <w:ilvl w:val="0"/>
          <w:numId w:val="1"/>
        </w:numPr>
        <w:jc w:val="both"/>
        <w:rPr>
          <w:rFonts w:ascii="Times New Roman" w:hAnsi="Times New Roman" w:cs="Times New Roman"/>
          <w:sz w:val="24"/>
          <w:szCs w:val="24"/>
        </w:rPr>
      </w:pPr>
      <w:r w:rsidRPr="008B18A9">
        <w:rPr>
          <w:rFonts w:ascii="Times New Roman" w:hAnsi="Times New Roman" w:cs="Times New Roman"/>
          <w:sz w:val="24"/>
          <w:szCs w:val="24"/>
        </w:rPr>
        <w:t xml:space="preserve">Ja pārklasifikācija </w:t>
      </w:r>
      <w:r w:rsidRPr="008B18A9">
        <w:rPr>
          <w:rFonts w:ascii="Times New Roman" w:hAnsi="Times New Roman" w:cs="Times New Roman"/>
          <w:b/>
          <w:sz w:val="24"/>
          <w:szCs w:val="24"/>
        </w:rPr>
        <w:t>neatbilst</w:t>
      </w:r>
      <w:r w:rsidRPr="008B18A9">
        <w:rPr>
          <w:rFonts w:ascii="Times New Roman" w:hAnsi="Times New Roman" w:cs="Times New Roman"/>
          <w:sz w:val="24"/>
          <w:szCs w:val="24"/>
        </w:rPr>
        <w:t xml:space="preserve"> </w:t>
      </w:r>
      <w:r w:rsidR="00092F82">
        <w:rPr>
          <w:rFonts w:ascii="Times New Roman" w:hAnsi="Times New Roman" w:cs="Times New Roman"/>
          <w:sz w:val="24"/>
          <w:szCs w:val="24"/>
        </w:rPr>
        <w:t>Ministru kabineta noteikumu</w:t>
      </w:r>
      <w:r w:rsidR="00092F82" w:rsidRPr="00092F82">
        <w:rPr>
          <w:rFonts w:ascii="Times New Roman" w:hAnsi="Times New Roman" w:cs="Times New Roman"/>
          <w:sz w:val="24"/>
          <w:szCs w:val="24"/>
        </w:rPr>
        <w:t xml:space="preserve"> Nr. </w:t>
      </w:r>
      <w:hyperlink r:id="rId10" w:history="1">
        <w:r w:rsidR="00092F82" w:rsidRPr="00092F82">
          <w:rPr>
            <w:rStyle w:val="Hyperlink"/>
            <w:rFonts w:ascii="Times New Roman" w:hAnsi="Times New Roman" w:cs="Times New Roman"/>
            <w:sz w:val="24"/>
            <w:szCs w:val="24"/>
          </w:rPr>
          <w:t>87</w:t>
        </w:r>
      </w:hyperlink>
      <w:r w:rsidR="00092F82" w:rsidRPr="00092F82">
        <w:rPr>
          <w:rFonts w:ascii="Times New Roman" w:hAnsi="Times New Roman" w:cs="Times New Roman"/>
          <w:sz w:val="24"/>
          <w:szCs w:val="24"/>
        </w:rPr>
        <w:t xml:space="preserve"> </w:t>
      </w:r>
      <w:r w:rsidRPr="008B18A9">
        <w:rPr>
          <w:rFonts w:ascii="Times New Roman" w:hAnsi="Times New Roman" w:cs="Times New Roman"/>
          <w:sz w:val="24"/>
          <w:szCs w:val="24"/>
        </w:rPr>
        <w:t>4.pielikumā noteiktajam, tad izvērtē</w:t>
      </w:r>
      <w:r w:rsidR="006D3991" w:rsidRPr="008B18A9">
        <w:rPr>
          <w:rFonts w:ascii="Times New Roman" w:hAnsi="Times New Roman" w:cs="Times New Roman"/>
          <w:sz w:val="24"/>
          <w:szCs w:val="24"/>
        </w:rPr>
        <w:t xml:space="preserve">, vai pārklasifikācijas summa ir </w:t>
      </w:r>
      <w:hyperlink r:id="rId11" w:history="1">
        <w:r w:rsidR="006D3991" w:rsidRPr="00FA7C17">
          <w:rPr>
            <w:rStyle w:val="Hyperlink"/>
            <w:rFonts w:ascii="Times New Roman" w:hAnsi="Times New Roman" w:cs="Times New Roman"/>
            <w:sz w:val="24"/>
            <w:szCs w:val="24"/>
          </w:rPr>
          <w:t>būtiska</w:t>
        </w:r>
      </w:hyperlink>
      <w:r w:rsidR="006D3991" w:rsidRPr="008B18A9">
        <w:rPr>
          <w:rFonts w:ascii="Times New Roman" w:hAnsi="Times New Roman" w:cs="Times New Roman"/>
          <w:sz w:val="24"/>
          <w:szCs w:val="24"/>
        </w:rPr>
        <w:t xml:space="preserve"> atbilstoši Valsts kases noteiktajam būtiskuma līmenim</w:t>
      </w:r>
      <w:r w:rsidR="000B725C" w:rsidRPr="008B18A9">
        <w:rPr>
          <w:rFonts w:ascii="Times New Roman" w:hAnsi="Times New Roman" w:cs="Times New Roman"/>
          <w:sz w:val="24"/>
          <w:szCs w:val="24"/>
        </w:rPr>
        <w:t>.</w:t>
      </w:r>
    </w:p>
    <w:p w:rsidR="000B725C" w:rsidRPr="008B18A9" w:rsidRDefault="000B725C" w:rsidP="000B725C">
      <w:pPr>
        <w:pStyle w:val="PlainText"/>
        <w:ind w:left="720"/>
        <w:jc w:val="both"/>
        <w:rPr>
          <w:rFonts w:ascii="Times New Roman" w:hAnsi="Times New Roman" w:cs="Times New Roman"/>
          <w:sz w:val="24"/>
          <w:szCs w:val="24"/>
        </w:rPr>
      </w:pPr>
      <w:r w:rsidRPr="008B18A9">
        <w:rPr>
          <w:rFonts w:ascii="Times New Roman" w:hAnsi="Times New Roman" w:cs="Times New Roman"/>
          <w:i/>
          <w:sz w:val="24"/>
          <w:szCs w:val="24"/>
        </w:rPr>
        <w:t>Piemēram</w:t>
      </w:r>
      <w:r w:rsidRPr="008B18A9">
        <w:rPr>
          <w:rFonts w:ascii="Times New Roman" w:hAnsi="Times New Roman" w:cs="Times New Roman"/>
          <w:sz w:val="24"/>
          <w:szCs w:val="24"/>
        </w:rPr>
        <w:t>, būtiskuma līmenis –</w:t>
      </w:r>
      <w:r w:rsidR="005420BA" w:rsidRPr="008B18A9">
        <w:rPr>
          <w:rFonts w:ascii="Times New Roman" w:hAnsi="Times New Roman" w:cs="Times New Roman"/>
          <w:sz w:val="24"/>
          <w:szCs w:val="24"/>
        </w:rPr>
        <w:t xml:space="preserve"> 3</w:t>
      </w:r>
      <w:r w:rsidRPr="008B18A9">
        <w:rPr>
          <w:rFonts w:ascii="Times New Roman" w:hAnsi="Times New Roman" w:cs="Times New Roman"/>
          <w:sz w:val="24"/>
          <w:szCs w:val="24"/>
        </w:rPr>
        <w:t xml:space="preserve"> 000 EUR: </w:t>
      </w:r>
    </w:p>
    <w:p w:rsidR="000B725C" w:rsidRPr="008B18A9" w:rsidRDefault="005420BA" w:rsidP="000B725C">
      <w:pPr>
        <w:pStyle w:val="PlainText"/>
        <w:numPr>
          <w:ilvl w:val="0"/>
          <w:numId w:val="4"/>
        </w:numPr>
        <w:ind w:left="1134"/>
        <w:jc w:val="both"/>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w:lastRenderedPageBreak/>
        <mc:AlternateContent>
          <mc:Choice Requires="wps">
            <w:drawing>
              <wp:anchor distT="0" distB="0" distL="114300" distR="114300" simplePos="0" relativeHeight="251661312" behindDoc="1" locked="0" layoutInCell="1" allowOverlap="1" wp14:anchorId="3A805AC3" wp14:editId="58C5AA23">
                <wp:simplePos x="0" y="0"/>
                <wp:positionH relativeFrom="column">
                  <wp:posOffset>3667125</wp:posOffset>
                </wp:positionH>
                <wp:positionV relativeFrom="paragraph">
                  <wp:posOffset>9525</wp:posOffset>
                </wp:positionV>
                <wp:extent cx="1831975" cy="2238375"/>
                <wp:effectExtent l="0" t="0" r="15875" b="28575"/>
                <wp:wrapTight wrapText="bothSides">
                  <wp:wrapPolygon edited="0">
                    <wp:start x="0" y="0"/>
                    <wp:lineTo x="0" y="21692"/>
                    <wp:lineTo x="21563" y="21692"/>
                    <wp:lineTo x="2156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831975" cy="2238375"/>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EB0F27" w:rsidRDefault="007B3873" w:rsidP="00B07DB4">
                            <w:pPr>
                              <w:rPr>
                                <w:rFonts w:ascii="Arial" w:hAnsi="Arial" w:cs="Arial"/>
                                <w:i/>
                                <w:color w:val="0070C0"/>
                                <w:sz w:val="16"/>
                                <w:szCs w:val="16"/>
                                <w:shd w:val="clear" w:color="auto" w:fill="FFFFFF"/>
                              </w:rPr>
                            </w:pPr>
                            <w:hyperlink r:id="rId12" w:anchor="p433" w:history="1">
                              <w:r w:rsidR="00A01931" w:rsidRPr="00EB0F27">
                                <w:rPr>
                                  <w:rStyle w:val="Hyperlink"/>
                                  <w:rFonts w:ascii="Arial" w:hAnsi="Arial" w:cs="Arial"/>
                                  <w:i/>
                                  <w:sz w:val="16"/>
                                  <w:szCs w:val="16"/>
                                  <w:shd w:val="clear" w:color="auto" w:fill="FFFFFF"/>
                                </w:rPr>
                                <w:t>433</w:t>
                              </w:r>
                            </w:hyperlink>
                            <w:r w:rsidR="00A01931" w:rsidRPr="00EB0F27">
                              <w:rPr>
                                <w:rFonts w:ascii="Arial" w:hAnsi="Arial" w:cs="Arial"/>
                                <w:i/>
                                <w:color w:val="0070C0"/>
                                <w:sz w:val="16"/>
                                <w:szCs w:val="16"/>
                                <w:shd w:val="clear" w:color="auto" w:fill="FFFFFF"/>
                              </w:rPr>
                              <w:t>. Konstatētās kļūdas attiecībā uz aktīvu un pasīvu posteņu uzskaiti pārskata periodā vai iepriekšējos pārskata periodos labo pirmajā pārskata periodā, kurā tās atklātas, šādā kārtībā:</w:t>
                            </w:r>
                          </w:p>
                          <w:p w:rsidR="00A01931" w:rsidRPr="00EB0F27" w:rsidRDefault="00A01931" w:rsidP="00B07DB4">
                            <w:pPr>
                              <w:rPr>
                                <w:rFonts w:ascii="Arial" w:hAnsi="Arial" w:cs="Arial"/>
                                <w:sz w:val="16"/>
                                <w:szCs w:val="16"/>
                              </w:rPr>
                            </w:pPr>
                            <w:r w:rsidRPr="00EB0F27">
                              <w:rPr>
                                <w:rFonts w:ascii="Arial" w:hAnsi="Arial" w:cs="Arial"/>
                                <w:i/>
                                <w:color w:val="0070C0"/>
                                <w:sz w:val="16"/>
                                <w:szCs w:val="16"/>
                                <w:shd w:val="clear" w:color="auto" w:fill="FFFFFF"/>
                              </w:rPr>
                              <w:t>433.1. būtiskas iepriekšējo periodu kļūdas labo šo noteikumu </w:t>
                            </w:r>
                            <w:hyperlink r:id="rId13" w:anchor="p430" w:history="1">
                              <w:r w:rsidRPr="00EB0F27">
                                <w:rPr>
                                  <w:rStyle w:val="Hyperlink"/>
                                  <w:rFonts w:ascii="Arial" w:hAnsi="Arial" w:cs="Arial"/>
                                  <w:i/>
                                  <w:sz w:val="16"/>
                                  <w:szCs w:val="16"/>
                                  <w:shd w:val="clear" w:color="auto" w:fill="FFFFFF"/>
                                </w:rPr>
                                <w:t>430. punktā</w:t>
                              </w:r>
                            </w:hyperlink>
                            <w:r w:rsidRPr="00EB0F27">
                              <w:rPr>
                                <w:rFonts w:ascii="Arial" w:hAnsi="Arial" w:cs="Arial"/>
                                <w:i/>
                                <w:color w:val="0070C0"/>
                                <w:sz w:val="16"/>
                                <w:szCs w:val="16"/>
                                <w:shd w:val="clear" w:color="auto" w:fill="FFFFFF"/>
                              </w:rPr>
                              <w:t> noteiktajā kārtībā, izņemot gadījumu, ja tas nav iespējams. Būtiskuma līmeni nosaka saskaņā ar Valsts kases tīmekļvietnē publicēto informāciju kārtējam gadam;</w:t>
                            </w:r>
                            <w:r w:rsidRPr="00EB0F27">
                              <w:rPr>
                                <w:rFonts w:ascii="Arial" w:hAnsi="Arial" w:cs="Arial"/>
                                <w:sz w:val="16"/>
                                <w:szCs w:val="16"/>
                              </w:rPr>
                              <w:t xml:space="preserve"> </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433.2. pārējās iepriekšējo periodu kļūdas un pārskata perioda kļūdas labo šo noteikumu 432. punktā noteiktajā kārtībā.</w:t>
                            </w:r>
                          </w:p>
                          <w:p w:rsidR="00A01931" w:rsidRPr="00EB0F27" w:rsidRDefault="00A01931" w:rsidP="00B07DB4">
                            <w:pP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5AC3" id="Text Box 1" o:spid="_x0000_s1027" type="#_x0000_t202" style="position:absolute;left:0;text-align:left;margin-left:288.75pt;margin-top:.75pt;width:144.25pt;height:17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" fillcolor="window" strokecolor="#4472c4" strokeweight="1pt">
                <v:textbox>
                  <w:txbxContent>
                    <w:p w:rsidR="00A01931" w:rsidRPr="00EB0F27" w:rsidRDefault="00425C5C" w:rsidP="00B07DB4">
                      <w:pPr>
                        <w:rPr>
                          <w:rFonts w:ascii="Arial" w:hAnsi="Arial" w:cs="Arial"/>
                          <w:i/>
                          <w:color w:val="0070C0"/>
                          <w:sz w:val="16"/>
                          <w:szCs w:val="16"/>
                          <w:shd w:val="clear" w:color="auto" w:fill="FFFFFF"/>
                        </w:rPr>
                      </w:pPr>
                      <w:hyperlink r:id="rId14" w:anchor="p433" w:history="1">
                        <w:r w:rsidR="00A01931" w:rsidRPr="00EB0F27">
                          <w:rPr>
                            <w:rStyle w:val="Hyperlink"/>
                            <w:rFonts w:ascii="Arial" w:hAnsi="Arial" w:cs="Arial"/>
                            <w:i/>
                            <w:sz w:val="16"/>
                            <w:szCs w:val="16"/>
                            <w:shd w:val="clear" w:color="auto" w:fill="FFFFFF"/>
                          </w:rPr>
                          <w:t>433</w:t>
                        </w:r>
                      </w:hyperlink>
                      <w:r w:rsidR="00A01931" w:rsidRPr="00EB0F27">
                        <w:rPr>
                          <w:rFonts w:ascii="Arial" w:hAnsi="Arial" w:cs="Arial"/>
                          <w:i/>
                          <w:color w:val="0070C0"/>
                          <w:sz w:val="16"/>
                          <w:szCs w:val="16"/>
                          <w:shd w:val="clear" w:color="auto" w:fill="FFFFFF"/>
                        </w:rPr>
                        <w:t>. Konstatētās kļūdas attiecībā uz aktīvu un pasīvu posteņu uzskaiti pārskata periodā vai iepriekšējos pārskata periodos labo pirmajā pārskata periodā, kurā tās atklātas, šādā kārtībā:</w:t>
                      </w:r>
                    </w:p>
                    <w:p w:rsidR="00A01931" w:rsidRPr="00EB0F27" w:rsidRDefault="00A01931" w:rsidP="00B07DB4">
                      <w:pPr>
                        <w:rPr>
                          <w:rFonts w:ascii="Arial" w:hAnsi="Arial" w:cs="Arial"/>
                          <w:sz w:val="16"/>
                          <w:szCs w:val="16"/>
                        </w:rPr>
                      </w:pPr>
                      <w:r w:rsidRPr="00EB0F27">
                        <w:rPr>
                          <w:rFonts w:ascii="Arial" w:hAnsi="Arial" w:cs="Arial"/>
                          <w:i/>
                          <w:color w:val="0070C0"/>
                          <w:sz w:val="16"/>
                          <w:szCs w:val="16"/>
                          <w:shd w:val="clear" w:color="auto" w:fill="FFFFFF"/>
                        </w:rPr>
                        <w:t>433.1. būtiskas iepriekšējo periodu kļūdas labo šo noteikumu </w:t>
                      </w:r>
                      <w:hyperlink r:id="rId15" w:anchor="p430" w:history="1">
                        <w:r w:rsidRPr="00EB0F27">
                          <w:rPr>
                            <w:rStyle w:val="Hyperlink"/>
                            <w:rFonts w:ascii="Arial" w:hAnsi="Arial" w:cs="Arial"/>
                            <w:i/>
                            <w:sz w:val="16"/>
                            <w:szCs w:val="16"/>
                            <w:shd w:val="clear" w:color="auto" w:fill="FFFFFF"/>
                          </w:rPr>
                          <w:t>430. punktā</w:t>
                        </w:r>
                      </w:hyperlink>
                      <w:r w:rsidRPr="00EB0F27">
                        <w:rPr>
                          <w:rFonts w:ascii="Arial" w:hAnsi="Arial" w:cs="Arial"/>
                          <w:i/>
                          <w:color w:val="0070C0"/>
                          <w:sz w:val="16"/>
                          <w:szCs w:val="16"/>
                          <w:shd w:val="clear" w:color="auto" w:fill="FFFFFF"/>
                        </w:rPr>
                        <w:t> noteiktajā kārtībā, izņemot gadījumu, ja tas nav iespējams. Būtiskuma līmeni nosaka saskaņā ar Valsts kases tīmekļvietnē publicēto informāciju kārtējam gadam;</w:t>
                      </w:r>
                      <w:r w:rsidRPr="00EB0F27">
                        <w:rPr>
                          <w:rFonts w:ascii="Arial" w:hAnsi="Arial" w:cs="Arial"/>
                          <w:sz w:val="16"/>
                          <w:szCs w:val="16"/>
                        </w:rPr>
                        <w:t xml:space="preserve"> </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433.2. pārējās iepriekšējo periodu kļūdas un pārskata perioda kļūdas labo šo noteikumu 432. punktā noteiktajā kārtībā.</w:t>
                      </w:r>
                    </w:p>
                    <w:p w:rsidR="00A01931" w:rsidRPr="00EB0F27" w:rsidRDefault="00A01931" w:rsidP="00B07DB4">
                      <w:pPr>
                        <w:rPr>
                          <w:rFonts w:ascii="Arial" w:hAnsi="Arial" w:cs="Arial"/>
                          <w:sz w:val="16"/>
                          <w:szCs w:val="16"/>
                        </w:rPr>
                      </w:pPr>
                    </w:p>
                  </w:txbxContent>
                </v:textbox>
                <w10:wrap type="tight"/>
              </v:shape>
            </w:pict>
          </mc:Fallback>
        </mc:AlternateContent>
      </w:r>
      <w:r w:rsidR="000B725C" w:rsidRPr="008B18A9">
        <w:rPr>
          <w:rFonts w:ascii="Times New Roman" w:hAnsi="Times New Roman" w:cs="Times New Roman"/>
          <w:sz w:val="24"/>
          <w:szCs w:val="24"/>
        </w:rPr>
        <w:t xml:space="preserve">ja aktīva sākotnējā vērtība ir 10 000 EUR, </w:t>
      </w:r>
      <w:r w:rsidR="000806C2" w:rsidRPr="008B18A9">
        <w:rPr>
          <w:rFonts w:ascii="Times New Roman" w:hAnsi="Times New Roman" w:cs="Times New Roman"/>
          <w:sz w:val="24"/>
          <w:szCs w:val="24"/>
        </w:rPr>
        <w:t xml:space="preserve">tad </w:t>
      </w:r>
      <w:r w:rsidR="000B725C" w:rsidRPr="008B18A9">
        <w:rPr>
          <w:rFonts w:ascii="Times New Roman" w:hAnsi="Times New Roman" w:cs="Times New Roman"/>
          <w:sz w:val="24"/>
          <w:szCs w:val="24"/>
        </w:rPr>
        <w:t>sākotnējās vērtības</w:t>
      </w:r>
      <w:r w:rsidRPr="008B18A9">
        <w:rPr>
          <w:rFonts w:ascii="Times New Roman" w:hAnsi="Times New Roman" w:cs="Times New Roman"/>
          <w:sz w:val="24"/>
          <w:szCs w:val="24"/>
        </w:rPr>
        <w:t>, uzkrātā nolietojuma un vērtības samazinājuma</w:t>
      </w:r>
      <w:r w:rsidR="000B725C" w:rsidRPr="008B18A9">
        <w:rPr>
          <w:rFonts w:ascii="Times New Roman" w:hAnsi="Times New Roman" w:cs="Times New Roman"/>
          <w:sz w:val="24"/>
          <w:szCs w:val="24"/>
        </w:rPr>
        <w:t xml:space="preserve"> pārklasifikāciju uzrāda pārskatā kā 2019.gada </w:t>
      </w:r>
      <w:r w:rsidR="00920458">
        <w:rPr>
          <w:rFonts w:ascii="Times New Roman" w:hAnsi="Times New Roman" w:cs="Times New Roman"/>
          <w:sz w:val="24"/>
          <w:szCs w:val="24"/>
        </w:rPr>
        <w:t>darījumu un sniedz skaidrojumu gada pārskata pielikuma V12.piezīmē</w:t>
      </w:r>
      <w:r w:rsidR="000B725C" w:rsidRPr="008B18A9">
        <w:rPr>
          <w:rFonts w:ascii="Times New Roman" w:hAnsi="Times New Roman" w:cs="Times New Roman"/>
          <w:sz w:val="24"/>
          <w:szCs w:val="24"/>
        </w:rPr>
        <w:t xml:space="preserve">. </w:t>
      </w:r>
    </w:p>
    <w:p w:rsidR="000B725C" w:rsidRPr="008B18A9" w:rsidRDefault="000B725C" w:rsidP="000806C2">
      <w:pPr>
        <w:pStyle w:val="PlainText"/>
        <w:numPr>
          <w:ilvl w:val="0"/>
          <w:numId w:val="4"/>
        </w:numPr>
        <w:ind w:left="1134"/>
        <w:jc w:val="both"/>
        <w:rPr>
          <w:rFonts w:ascii="Times New Roman" w:hAnsi="Times New Roman" w:cs="Times New Roman"/>
          <w:sz w:val="24"/>
          <w:szCs w:val="24"/>
        </w:rPr>
      </w:pPr>
      <w:r w:rsidRPr="008B18A9">
        <w:rPr>
          <w:rFonts w:ascii="Times New Roman" w:hAnsi="Times New Roman" w:cs="Times New Roman"/>
          <w:sz w:val="24"/>
          <w:szCs w:val="24"/>
        </w:rPr>
        <w:t xml:space="preserve">ja aktīva sākotnējā </w:t>
      </w:r>
      <w:r w:rsidR="000806C2" w:rsidRPr="008B18A9">
        <w:rPr>
          <w:rFonts w:ascii="Times New Roman" w:hAnsi="Times New Roman" w:cs="Times New Roman"/>
          <w:sz w:val="24"/>
          <w:szCs w:val="24"/>
        </w:rPr>
        <w:t>vērtība ir 1</w:t>
      </w:r>
      <w:r w:rsidR="00FA7C17">
        <w:rPr>
          <w:rFonts w:ascii="Times New Roman" w:hAnsi="Times New Roman" w:cs="Times New Roman"/>
          <w:sz w:val="24"/>
          <w:szCs w:val="24"/>
        </w:rPr>
        <w:t> </w:t>
      </w:r>
      <w:r w:rsidR="000806C2" w:rsidRPr="008B18A9">
        <w:rPr>
          <w:rFonts w:ascii="Times New Roman" w:hAnsi="Times New Roman" w:cs="Times New Roman"/>
          <w:sz w:val="24"/>
          <w:szCs w:val="24"/>
        </w:rPr>
        <w:t>000 EUR, tad sākotnējās vērtības</w:t>
      </w:r>
      <w:r w:rsidR="005420BA" w:rsidRPr="008B18A9">
        <w:rPr>
          <w:rFonts w:ascii="Times New Roman" w:hAnsi="Times New Roman" w:cs="Times New Roman"/>
          <w:sz w:val="24"/>
          <w:szCs w:val="24"/>
        </w:rPr>
        <w:t>, uzkrātā nolietojuma un vērtības samazinājuma</w:t>
      </w:r>
      <w:r w:rsidR="000806C2" w:rsidRPr="008B18A9">
        <w:rPr>
          <w:rFonts w:ascii="Times New Roman" w:hAnsi="Times New Roman" w:cs="Times New Roman"/>
          <w:sz w:val="24"/>
          <w:szCs w:val="24"/>
        </w:rPr>
        <w:t xml:space="preserve"> pārklasifikāciju uzrāda pārskatā kā 2019.gada darījumu.</w:t>
      </w:r>
    </w:p>
    <w:p w:rsidR="006D3991" w:rsidRDefault="006D3991"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EB0F27" w:rsidRDefault="00EB0F27" w:rsidP="000806C2">
      <w:pPr>
        <w:pStyle w:val="PlainText"/>
        <w:ind w:left="720"/>
        <w:jc w:val="both"/>
      </w:pPr>
    </w:p>
    <w:p w:rsidR="00FA7C17" w:rsidRDefault="00FA7C17" w:rsidP="000806C2">
      <w:pPr>
        <w:pStyle w:val="PlainText"/>
        <w:ind w:left="720"/>
        <w:jc w:val="both"/>
      </w:pPr>
    </w:p>
    <w:tbl>
      <w:tblPr>
        <w:tblStyle w:val="TableGrid"/>
        <w:tblW w:w="0" w:type="auto"/>
        <w:tblLook w:val="04A0" w:firstRow="1" w:lastRow="0" w:firstColumn="1" w:lastColumn="0" w:noHBand="0" w:noVBand="1"/>
      </w:tblPr>
      <w:tblGrid>
        <w:gridCol w:w="8296"/>
      </w:tblGrid>
      <w:tr w:rsidR="00FA7C17" w:rsidRPr="00DB54CB" w:rsidTr="00A01931">
        <w:tc>
          <w:tcPr>
            <w:tcW w:w="8296" w:type="dxa"/>
            <w:shd w:val="clear" w:color="auto" w:fill="002060"/>
          </w:tcPr>
          <w:p w:rsidR="00FA7C17" w:rsidRPr="00DB54CB" w:rsidRDefault="00FA7C17" w:rsidP="00A01931">
            <w:pPr>
              <w:rPr>
                <w:rFonts w:ascii="Times New Roman" w:hAnsi="Times New Roman" w:cs="Times New Roman"/>
                <w:sz w:val="24"/>
              </w:rPr>
            </w:pPr>
            <w:r w:rsidRPr="00DB54CB">
              <w:rPr>
                <w:rFonts w:ascii="Times New Roman" w:hAnsi="Times New Roman" w:cs="Times New Roman"/>
                <w:sz w:val="24"/>
              </w:rPr>
              <w:t>Jautājums:</w:t>
            </w:r>
          </w:p>
          <w:p w:rsidR="00FA7C17" w:rsidRDefault="00FA7C17" w:rsidP="00FA7C17">
            <w:pPr>
              <w:jc w:val="both"/>
              <w:rPr>
                <w:rFonts w:ascii="Times New Roman" w:hAnsi="Times New Roman" w:cs="Times New Roman"/>
                <w:sz w:val="24"/>
              </w:rPr>
            </w:pPr>
            <w:r>
              <w:rPr>
                <w:rFonts w:ascii="Times New Roman" w:hAnsi="Times New Roman" w:cs="Times New Roman"/>
                <w:sz w:val="24"/>
              </w:rPr>
              <w:t>I</w:t>
            </w:r>
            <w:r w:rsidRPr="00FA7C17">
              <w:rPr>
                <w:rFonts w:ascii="Times New Roman" w:hAnsi="Times New Roman" w:cs="Times New Roman"/>
                <w:sz w:val="24"/>
              </w:rPr>
              <w:t>zvērtējot pārklasificēt</w:t>
            </w:r>
            <w:r>
              <w:rPr>
                <w:rFonts w:ascii="Times New Roman" w:hAnsi="Times New Roman" w:cs="Times New Roman"/>
                <w:sz w:val="24"/>
              </w:rPr>
              <w:t>ā</w:t>
            </w:r>
            <w:r w:rsidRPr="00FA7C17">
              <w:rPr>
                <w:rFonts w:ascii="Times New Roman" w:hAnsi="Times New Roman" w:cs="Times New Roman"/>
                <w:sz w:val="24"/>
              </w:rPr>
              <w:t xml:space="preserve"> pamatlīdzek</w:t>
            </w:r>
            <w:r>
              <w:rPr>
                <w:rFonts w:ascii="Times New Roman" w:hAnsi="Times New Roman" w:cs="Times New Roman"/>
                <w:sz w:val="24"/>
              </w:rPr>
              <w:t>ļa</w:t>
            </w:r>
            <w:r w:rsidRPr="00FA7C17">
              <w:rPr>
                <w:rFonts w:ascii="Times New Roman" w:hAnsi="Times New Roman" w:cs="Times New Roman"/>
                <w:sz w:val="24"/>
              </w:rPr>
              <w:t xml:space="preserve"> nolietojuma grup</w:t>
            </w:r>
            <w:r>
              <w:rPr>
                <w:rFonts w:ascii="Times New Roman" w:hAnsi="Times New Roman" w:cs="Times New Roman"/>
                <w:sz w:val="24"/>
              </w:rPr>
              <w:t>u, konstatē, ka tā</w:t>
            </w:r>
            <w:r w:rsidRPr="00FA7C17">
              <w:rPr>
                <w:rFonts w:ascii="Times New Roman" w:hAnsi="Times New Roman" w:cs="Times New Roman"/>
                <w:sz w:val="24"/>
              </w:rPr>
              <w:t xml:space="preserve"> neatbilst </w:t>
            </w:r>
            <w:r>
              <w:rPr>
                <w:rFonts w:ascii="Times New Roman" w:hAnsi="Times New Roman" w:cs="Times New Roman"/>
                <w:sz w:val="24"/>
              </w:rPr>
              <w:t xml:space="preserve">MK Nr. 87 </w:t>
            </w:r>
            <w:r w:rsidRPr="00FA7C17">
              <w:rPr>
                <w:rFonts w:ascii="Times New Roman" w:hAnsi="Times New Roman" w:cs="Times New Roman"/>
                <w:sz w:val="24"/>
              </w:rPr>
              <w:t>2.pielikumā minētajai (piemēram, nolietojuma norma bija</w:t>
            </w:r>
            <w:r>
              <w:rPr>
                <w:rFonts w:ascii="Times New Roman" w:hAnsi="Times New Roman" w:cs="Times New Roman"/>
                <w:sz w:val="24"/>
              </w:rPr>
              <w:t xml:space="preserve"> </w:t>
            </w:r>
            <w:r w:rsidRPr="00FA7C17">
              <w:rPr>
                <w:rFonts w:ascii="Times New Roman" w:hAnsi="Times New Roman" w:cs="Times New Roman"/>
                <w:sz w:val="24"/>
              </w:rPr>
              <w:t>10  gadi, bet vajadzēja 5 gadus)</w:t>
            </w:r>
            <w:r>
              <w:rPr>
                <w:rFonts w:ascii="Times New Roman" w:hAnsi="Times New Roman" w:cs="Times New Roman"/>
                <w:sz w:val="24"/>
              </w:rPr>
              <w:t xml:space="preserve"> nolietojuma normai. </w:t>
            </w:r>
          </w:p>
          <w:p w:rsidR="00FA7C17" w:rsidRDefault="00FA7C17" w:rsidP="00FA7C17">
            <w:pPr>
              <w:jc w:val="both"/>
              <w:rPr>
                <w:rFonts w:ascii="Times New Roman" w:hAnsi="Times New Roman" w:cs="Times New Roman"/>
                <w:sz w:val="24"/>
              </w:rPr>
            </w:pPr>
            <w:r>
              <w:rPr>
                <w:rFonts w:ascii="Times New Roman" w:hAnsi="Times New Roman" w:cs="Times New Roman"/>
                <w:sz w:val="24"/>
              </w:rPr>
              <w:t>V</w:t>
            </w:r>
            <w:r w:rsidRPr="00FA7C17">
              <w:rPr>
                <w:rFonts w:ascii="Times New Roman" w:hAnsi="Times New Roman" w:cs="Times New Roman"/>
                <w:sz w:val="24"/>
              </w:rPr>
              <w:t>ai jānosaka  jauna nolietojuma grupa</w:t>
            </w:r>
            <w:r>
              <w:rPr>
                <w:rFonts w:ascii="Times New Roman" w:hAnsi="Times New Roman" w:cs="Times New Roman"/>
                <w:sz w:val="24"/>
              </w:rPr>
              <w:t>?</w:t>
            </w:r>
            <w:r w:rsidRPr="00FA7C17">
              <w:rPr>
                <w:rFonts w:ascii="Times New Roman" w:hAnsi="Times New Roman" w:cs="Times New Roman"/>
                <w:sz w:val="24"/>
              </w:rPr>
              <w:t xml:space="preserve"> </w:t>
            </w:r>
          </w:p>
          <w:p w:rsidR="00FA7C17" w:rsidRPr="00DB54CB" w:rsidRDefault="00FA7C17" w:rsidP="00FA7C17">
            <w:pPr>
              <w:jc w:val="both"/>
              <w:rPr>
                <w:rFonts w:ascii="Times New Roman" w:hAnsi="Times New Roman" w:cs="Times New Roman"/>
                <w:sz w:val="24"/>
              </w:rPr>
            </w:pPr>
            <w:r w:rsidRPr="00FA7C17">
              <w:rPr>
                <w:rFonts w:ascii="Times New Roman" w:hAnsi="Times New Roman" w:cs="Times New Roman"/>
                <w:sz w:val="24"/>
              </w:rPr>
              <w:t>Kurā periodā norakstīt PL atlikušo vērtību un vai uzskatīt par pārskata perioda izdevumiem vai iepriekšējo gadu kļūdu?</w:t>
            </w:r>
          </w:p>
        </w:tc>
      </w:tr>
    </w:tbl>
    <w:p w:rsidR="00FA7C17" w:rsidRDefault="00FA7C17" w:rsidP="00FA7C17">
      <w:pPr>
        <w:rPr>
          <w:rFonts w:ascii="Times New Roman" w:hAnsi="Times New Roman" w:cs="Times New Roman"/>
          <w:sz w:val="24"/>
        </w:rPr>
      </w:pPr>
      <w:r w:rsidRPr="00DB54CB">
        <w:rPr>
          <w:rFonts w:ascii="Times New Roman" w:hAnsi="Times New Roman" w:cs="Times New Roman"/>
          <w:sz w:val="24"/>
        </w:rPr>
        <w:t>Atbilde:</w:t>
      </w:r>
    </w:p>
    <w:p w:rsidR="00886ED2" w:rsidRPr="008B18A9" w:rsidRDefault="002B48C2" w:rsidP="00FA7C17">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Ja konstatēta iepriekšējo pārskata periodu kļūda, klasificējot aktīvu nepareizā kontā, p</w:t>
      </w:r>
      <w:r w:rsidR="005420BA" w:rsidRPr="008B18A9">
        <w:rPr>
          <w:rFonts w:ascii="Times New Roman" w:hAnsi="Times New Roman" w:cs="Times New Roman"/>
          <w:sz w:val="24"/>
          <w:szCs w:val="24"/>
        </w:rPr>
        <w:t>ārklasificētā aktīva uzkrāto n</w:t>
      </w:r>
      <w:r w:rsidR="003E7535" w:rsidRPr="008B18A9">
        <w:rPr>
          <w:rFonts w:ascii="Times New Roman" w:hAnsi="Times New Roman" w:cs="Times New Roman"/>
          <w:sz w:val="24"/>
          <w:szCs w:val="24"/>
        </w:rPr>
        <w:t xml:space="preserve">olietojumu pārrēķina </w:t>
      </w:r>
      <w:r w:rsidR="00B07DB4" w:rsidRPr="008B18A9">
        <w:rPr>
          <w:rFonts w:ascii="Times New Roman" w:hAnsi="Times New Roman" w:cs="Times New Roman"/>
          <w:sz w:val="24"/>
          <w:szCs w:val="24"/>
        </w:rPr>
        <w:t xml:space="preserve">par periodu </w:t>
      </w:r>
      <w:r w:rsidR="003E7535" w:rsidRPr="008B18A9">
        <w:rPr>
          <w:rFonts w:ascii="Times New Roman" w:hAnsi="Times New Roman" w:cs="Times New Roman"/>
          <w:sz w:val="24"/>
          <w:szCs w:val="24"/>
        </w:rPr>
        <w:t xml:space="preserve">kopš aprēķina uzsākšanas līdz 2018.gada 31.decembrim un izvērtē, vai korekcijas summa ir būtiska atbilstoši Valsts kases noteiktajam </w:t>
      </w:r>
      <w:hyperlink r:id="rId16" w:history="1">
        <w:r w:rsidR="003E7535" w:rsidRPr="009A400A">
          <w:rPr>
            <w:rStyle w:val="Hyperlink"/>
            <w:rFonts w:ascii="Times New Roman" w:hAnsi="Times New Roman" w:cs="Times New Roman"/>
            <w:sz w:val="24"/>
            <w:szCs w:val="24"/>
          </w:rPr>
          <w:t>būtiskuma</w:t>
        </w:r>
      </w:hyperlink>
      <w:r w:rsidR="007E6BA3">
        <w:rPr>
          <w:rStyle w:val="FootnoteReference"/>
          <w:rFonts w:ascii="Times New Roman" w:hAnsi="Times New Roman" w:cs="Times New Roman"/>
          <w:color w:val="0563C1" w:themeColor="hyperlink"/>
          <w:sz w:val="24"/>
          <w:szCs w:val="24"/>
          <w:u w:val="single"/>
        </w:rPr>
        <w:footnoteReference w:id="1"/>
      </w:r>
      <w:r w:rsidR="003E7535" w:rsidRPr="008B18A9">
        <w:rPr>
          <w:rFonts w:ascii="Times New Roman" w:hAnsi="Times New Roman" w:cs="Times New Roman"/>
          <w:sz w:val="24"/>
          <w:szCs w:val="24"/>
        </w:rPr>
        <w:t xml:space="preserve"> līmenim.</w:t>
      </w:r>
    </w:p>
    <w:p w:rsidR="005420BA" w:rsidRPr="008B18A9" w:rsidRDefault="00EB0F27" w:rsidP="00B07DB4">
      <w:pPr>
        <w:pStyle w:val="PlainText"/>
        <w:ind w:left="720"/>
        <w:jc w:val="both"/>
        <w:rPr>
          <w:rFonts w:ascii="Times New Roman" w:hAnsi="Times New Roman" w:cs="Times New Roman"/>
          <w:i/>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63360" behindDoc="1" locked="0" layoutInCell="1" allowOverlap="1" wp14:anchorId="6B8628F0" wp14:editId="0B0F8F2B">
                <wp:simplePos x="0" y="0"/>
                <wp:positionH relativeFrom="margin">
                  <wp:posOffset>3713390</wp:posOffset>
                </wp:positionH>
                <wp:positionV relativeFrom="paragraph">
                  <wp:posOffset>19141</wp:posOffset>
                </wp:positionV>
                <wp:extent cx="1831975" cy="1905000"/>
                <wp:effectExtent l="0" t="0" r="15875" b="19050"/>
                <wp:wrapTight wrapText="bothSides">
                  <wp:wrapPolygon edited="0">
                    <wp:start x="0" y="0"/>
                    <wp:lineTo x="0" y="21600"/>
                    <wp:lineTo x="21563" y="21600"/>
                    <wp:lineTo x="2156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31975" cy="190500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EB0F27" w:rsidRDefault="007B3873" w:rsidP="00B07DB4">
                            <w:pPr>
                              <w:rPr>
                                <w:rFonts w:ascii="Arial" w:hAnsi="Arial" w:cs="Arial"/>
                                <w:i/>
                                <w:color w:val="0070C0"/>
                                <w:sz w:val="16"/>
                                <w:szCs w:val="16"/>
                                <w:shd w:val="clear" w:color="auto" w:fill="FFFFFF"/>
                              </w:rPr>
                            </w:pPr>
                            <w:hyperlink r:id="rId17" w:anchor="p430" w:history="1">
                              <w:r w:rsidR="00A01931" w:rsidRPr="00EB0F27">
                                <w:rPr>
                                  <w:rStyle w:val="Hyperlink"/>
                                  <w:rFonts w:ascii="Arial" w:hAnsi="Arial" w:cs="Arial"/>
                                  <w:i/>
                                  <w:sz w:val="16"/>
                                  <w:szCs w:val="16"/>
                                  <w:shd w:val="clear" w:color="auto" w:fill="FFFFFF"/>
                                </w:rPr>
                                <w:t>430</w:t>
                              </w:r>
                            </w:hyperlink>
                            <w:r w:rsidR="00A01931" w:rsidRPr="00EB0F27">
                              <w:rPr>
                                <w:rFonts w:ascii="Arial" w:hAnsi="Arial" w:cs="Arial"/>
                                <w:i/>
                                <w:color w:val="0070C0"/>
                                <w:sz w:val="16"/>
                                <w:szCs w:val="16"/>
                                <w:shd w:val="clear" w:color="auto" w:fill="FFFFFF"/>
                              </w:rPr>
                              <w:t>. Mainot grāmatvedības uzskaites principus, korekcijas veic tā, it kā jaunie grāmatvedības uzskaites principi vienmēr būtu piemēroti, un izmaiņas atzīst:</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430.1. iepriekšējo gadu budžeta izpildes rezultātā tādā apmērā, kas attiecas uz iepriekšējiem pārskata gadiem. Korekcijas analītiski nodala pa attiecīgajiem pārskata gadiem;</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430.2. pārskata perioda ieņēmumos vai izdevumos tādā apmērā, kas attiecas uz pārskata gadu;</w:t>
                            </w:r>
                          </w:p>
                          <w:p w:rsidR="00A01931" w:rsidRPr="00EB0F27" w:rsidRDefault="00A01931" w:rsidP="00B07DB4">
                            <w:pPr>
                              <w:rPr>
                                <w:rFonts w:ascii="Arial" w:hAnsi="Arial" w:cs="Arial"/>
                                <w:sz w:val="16"/>
                                <w:szCs w:val="16"/>
                              </w:rPr>
                            </w:pPr>
                            <w:r w:rsidRPr="00EB0F27">
                              <w:rPr>
                                <w:rFonts w:ascii="Arial" w:hAnsi="Arial" w:cs="Arial"/>
                                <w:i/>
                                <w:color w:val="0070C0"/>
                                <w:sz w:val="16"/>
                                <w:szCs w:val="16"/>
                                <w:shd w:val="clear" w:color="auto" w:fill="FFFFFF"/>
                              </w:rPr>
                              <w:t>430.3. atbilstošajā bilances aktīva vai pasīva kontā.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628F0" id="Text Box 2" o:spid="_x0000_s1028" type="#_x0000_t202" style="position:absolute;left:0;text-align:left;margin-left:292.4pt;margin-top:1.5pt;width:144.25pt;height:150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" fillcolor="window" strokecolor="#4472c4" strokeweight="1pt">
                <v:textbox>
                  <w:txbxContent>
                    <w:p w:rsidR="00A01931" w:rsidRPr="00EB0F27" w:rsidRDefault="00425C5C" w:rsidP="00B07DB4">
                      <w:pPr>
                        <w:rPr>
                          <w:rFonts w:ascii="Arial" w:hAnsi="Arial" w:cs="Arial"/>
                          <w:i/>
                          <w:color w:val="0070C0"/>
                          <w:sz w:val="16"/>
                          <w:szCs w:val="16"/>
                          <w:shd w:val="clear" w:color="auto" w:fill="FFFFFF"/>
                        </w:rPr>
                      </w:pPr>
                      <w:hyperlink r:id="rId18" w:anchor="p430" w:history="1">
                        <w:r w:rsidR="00A01931" w:rsidRPr="00EB0F27">
                          <w:rPr>
                            <w:rStyle w:val="Hyperlink"/>
                            <w:rFonts w:ascii="Arial" w:hAnsi="Arial" w:cs="Arial"/>
                            <w:i/>
                            <w:sz w:val="16"/>
                            <w:szCs w:val="16"/>
                            <w:shd w:val="clear" w:color="auto" w:fill="FFFFFF"/>
                          </w:rPr>
                          <w:t>430</w:t>
                        </w:r>
                      </w:hyperlink>
                      <w:r w:rsidR="00A01931" w:rsidRPr="00EB0F27">
                        <w:rPr>
                          <w:rFonts w:ascii="Arial" w:hAnsi="Arial" w:cs="Arial"/>
                          <w:i/>
                          <w:color w:val="0070C0"/>
                          <w:sz w:val="16"/>
                          <w:szCs w:val="16"/>
                          <w:shd w:val="clear" w:color="auto" w:fill="FFFFFF"/>
                        </w:rPr>
                        <w:t>. Mainot grāmatvedības uzskaites principus, korekcijas veic tā, it kā jaunie grāmatvedības uzskaites principi vienmēr būtu piemēroti, un izmaiņas atzīst:</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430.1. iepriekšējo gadu budžeta izpildes rezultātā tādā apmērā, kas attiecas uz iepriekšējiem pārskata gadiem. Korekcijas analītiski nodala pa attiecīgajiem pārskata gadiem;</w:t>
                      </w:r>
                    </w:p>
                    <w:p w:rsidR="00A01931" w:rsidRPr="00EB0F27" w:rsidRDefault="00A01931" w:rsidP="00B07DB4">
                      <w:pPr>
                        <w:rPr>
                          <w:rFonts w:ascii="Arial" w:hAnsi="Arial" w:cs="Arial"/>
                          <w:i/>
                          <w:color w:val="0070C0"/>
                          <w:sz w:val="16"/>
                          <w:szCs w:val="16"/>
                          <w:shd w:val="clear" w:color="auto" w:fill="FFFFFF"/>
                        </w:rPr>
                      </w:pPr>
                      <w:r w:rsidRPr="00EB0F27">
                        <w:rPr>
                          <w:rFonts w:ascii="Arial" w:hAnsi="Arial" w:cs="Arial"/>
                          <w:i/>
                          <w:color w:val="0070C0"/>
                          <w:sz w:val="16"/>
                          <w:szCs w:val="16"/>
                          <w:shd w:val="clear" w:color="auto" w:fill="FFFFFF"/>
                        </w:rPr>
                        <w:t>430.2. pārskata perioda ieņēmumos vai izdevumos tādā apmērā, kas attiecas uz pārskata gadu;</w:t>
                      </w:r>
                    </w:p>
                    <w:p w:rsidR="00A01931" w:rsidRPr="00EB0F27" w:rsidRDefault="00A01931" w:rsidP="00B07DB4">
                      <w:pPr>
                        <w:rPr>
                          <w:rFonts w:ascii="Arial" w:hAnsi="Arial" w:cs="Arial"/>
                          <w:sz w:val="16"/>
                          <w:szCs w:val="16"/>
                        </w:rPr>
                      </w:pPr>
                      <w:r w:rsidRPr="00EB0F27">
                        <w:rPr>
                          <w:rFonts w:ascii="Arial" w:hAnsi="Arial" w:cs="Arial"/>
                          <w:i/>
                          <w:color w:val="0070C0"/>
                          <w:sz w:val="16"/>
                          <w:szCs w:val="16"/>
                          <w:shd w:val="clear" w:color="auto" w:fill="FFFFFF"/>
                        </w:rPr>
                        <w:t>430.3. atbilstošajā bilances aktīva vai pasīva kontā.</w:t>
                      </w:r>
                    </w:p>
                  </w:txbxContent>
                </v:textbox>
                <w10:wrap type="tight" anchorx="margin"/>
              </v:shape>
            </w:pict>
          </mc:Fallback>
        </mc:AlternateContent>
      </w:r>
    </w:p>
    <w:p w:rsidR="00886ED2" w:rsidRPr="008B18A9" w:rsidRDefault="005420BA" w:rsidP="003D0EA9">
      <w:pPr>
        <w:pStyle w:val="PlainText"/>
        <w:jc w:val="both"/>
        <w:rPr>
          <w:rFonts w:ascii="Times New Roman" w:hAnsi="Times New Roman" w:cs="Times New Roman"/>
          <w:sz w:val="24"/>
          <w:szCs w:val="24"/>
        </w:rPr>
      </w:pPr>
      <w:r w:rsidRPr="008B18A9">
        <w:rPr>
          <w:rFonts w:ascii="Times New Roman" w:hAnsi="Times New Roman" w:cs="Times New Roman"/>
          <w:i/>
          <w:sz w:val="24"/>
          <w:szCs w:val="24"/>
        </w:rPr>
        <w:t>Piemēram</w:t>
      </w:r>
      <w:r w:rsidRPr="008B18A9">
        <w:rPr>
          <w:rFonts w:ascii="Times New Roman" w:hAnsi="Times New Roman" w:cs="Times New Roman"/>
          <w:sz w:val="24"/>
          <w:szCs w:val="24"/>
        </w:rPr>
        <w:t>, būtiskuma līmenis – 3 000 EUR:</w:t>
      </w:r>
    </w:p>
    <w:p w:rsidR="003E7535" w:rsidRPr="008B18A9" w:rsidRDefault="005420BA" w:rsidP="00EB0F27">
      <w:pPr>
        <w:pStyle w:val="PlainText"/>
        <w:numPr>
          <w:ilvl w:val="0"/>
          <w:numId w:val="3"/>
        </w:numPr>
        <w:spacing w:after="120"/>
        <w:ind w:left="567" w:hanging="357"/>
        <w:jc w:val="both"/>
        <w:rPr>
          <w:rFonts w:ascii="Times New Roman" w:hAnsi="Times New Roman" w:cs="Times New Roman"/>
          <w:sz w:val="24"/>
          <w:szCs w:val="24"/>
        </w:rPr>
      </w:pPr>
      <w:r w:rsidRPr="008B18A9">
        <w:rPr>
          <w:rFonts w:ascii="Times New Roman" w:hAnsi="Times New Roman" w:cs="Times New Roman"/>
          <w:sz w:val="24"/>
          <w:szCs w:val="24"/>
        </w:rPr>
        <w:t>j</w:t>
      </w:r>
      <w:r w:rsidR="003E7535" w:rsidRPr="008B18A9">
        <w:rPr>
          <w:rFonts w:ascii="Times New Roman" w:hAnsi="Times New Roman" w:cs="Times New Roman"/>
          <w:sz w:val="24"/>
          <w:szCs w:val="24"/>
        </w:rPr>
        <w:t>a</w:t>
      </w:r>
      <w:r w:rsidR="0046552B" w:rsidRPr="008B18A9">
        <w:rPr>
          <w:rFonts w:ascii="Times New Roman" w:hAnsi="Times New Roman" w:cs="Times New Roman"/>
          <w:sz w:val="24"/>
          <w:szCs w:val="24"/>
        </w:rPr>
        <w:t xml:space="preserve"> nolietojuma</w:t>
      </w:r>
      <w:r w:rsidR="003E7535" w:rsidRPr="008B18A9">
        <w:rPr>
          <w:rFonts w:ascii="Times New Roman" w:hAnsi="Times New Roman" w:cs="Times New Roman"/>
          <w:sz w:val="24"/>
          <w:szCs w:val="24"/>
        </w:rPr>
        <w:t xml:space="preserve"> korekcijas summa ir </w:t>
      </w:r>
      <w:r w:rsidRPr="008B18A9">
        <w:rPr>
          <w:rFonts w:ascii="Times New Roman" w:hAnsi="Times New Roman" w:cs="Times New Roman"/>
          <w:sz w:val="24"/>
          <w:szCs w:val="24"/>
        </w:rPr>
        <w:t>4 000 EUR (</w:t>
      </w:r>
      <w:r w:rsidRPr="008B18A9">
        <w:rPr>
          <w:rFonts w:ascii="Times New Roman" w:hAnsi="Times New Roman" w:cs="Times New Roman"/>
          <w:b/>
          <w:sz w:val="24"/>
          <w:szCs w:val="24"/>
        </w:rPr>
        <w:t>ir</w:t>
      </w:r>
      <w:r w:rsidRPr="008B18A9">
        <w:rPr>
          <w:rFonts w:ascii="Times New Roman" w:hAnsi="Times New Roman" w:cs="Times New Roman"/>
          <w:sz w:val="24"/>
          <w:szCs w:val="24"/>
        </w:rPr>
        <w:t xml:space="preserve"> </w:t>
      </w:r>
      <w:r w:rsidRPr="008B18A9">
        <w:rPr>
          <w:rFonts w:ascii="Times New Roman" w:hAnsi="Times New Roman" w:cs="Times New Roman"/>
          <w:b/>
          <w:sz w:val="24"/>
          <w:szCs w:val="24"/>
        </w:rPr>
        <w:t>būtiska</w:t>
      </w:r>
      <w:r w:rsidRPr="008B18A9">
        <w:rPr>
          <w:rFonts w:ascii="Times New Roman" w:hAnsi="Times New Roman" w:cs="Times New Roman"/>
          <w:sz w:val="24"/>
          <w:szCs w:val="24"/>
        </w:rPr>
        <w:t>)</w:t>
      </w:r>
      <w:r w:rsidR="003E7535" w:rsidRPr="008B18A9">
        <w:rPr>
          <w:rFonts w:ascii="Times New Roman" w:hAnsi="Times New Roman" w:cs="Times New Roman"/>
          <w:sz w:val="24"/>
          <w:szCs w:val="24"/>
        </w:rPr>
        <w:t xml:space="preserve">, tad par šo summu koriģē </w:t>
      </w:r>
      <w:r w:rsidR="0046552B" w:rsidRPr="008B18A9">
        <w:rPr>
          <w:rFonts w:ascii="Times New Roman" w:hAnsi="Times New Roman" w:cs="Times New Roman"/>
          <w:sz w:val="24"/>
          <w:szCs w:val="24"/>
        </w:rPr>
        <w:t xml:space="preserve">2019.gada </w:t>
      </w:r>
      <w:r w:rsidRPr="008B18A9">
        <w:rPr>
          <w:rFonts w:ascii="Times New Roman" w:hAnsi="Times New Roman" w:cs="Times New Roman"/>
          <w:sz w:val="24"/>
          <w:szCs w:val="24"/>
        </w:rPr>
        <w:t xml:space="preserve">pārskata </w:t>
      </w:r>
      <w:r w:rsidR="0046552B" w:rsidRPr="008B18A9">
        <w:rPr>
          <w:rFonts w:ascii="Times New Roman" w:hAnsi="Times New Roman" w:cs="Times New Roman"/>
          <w:sz w:val="24"/>
          <w:szCs w:val="24"/>
        </w:rPr>
        <w:t>sākuma atlikumu un iegrāmato:</w:t>
      </w:r>
    </w:p>
    <w:p w:rsidR="0046552B" w:rsidRPr="008B18A9" w:rsidRDefault="0046552B" w:rsidP="008B18A9">
      <w:pPr>
        <w:pStyle w:val="PlainText"/>
        <w:ind w:left="720" w:right="84"/>
        <w:rPr>
          <w:rFonts w:ascii="Times New Roman" w:hAnsi="Times New Roman" w:cs="Times New Roman"/>
          <w:i/>
          <w:sz w:val="24"/>
          <w:szCs w:val="24"/>
        </w:rPr>
      </w:pPr>
      <w:r w:rsidRPr="008B18A9">
        <w:rPr>
          <w:rFonts w:ascii="Times New Roman" w:hAnsi="Times New Roman" w:cs="Times New Roman"/>
          <w:i/>
          <w:sz w:val="24"/>
          <w:szCs w:val="24"/>
        </w:rPr>
        <w:t xml:space="preserve">D 3510 </w:t>
      </w:r>
      <w:r w:rsidR="00B07DB4" w:rsidRPr="008B18A9">
        <w:rPr>
          <w:rFonts w:ascii="Times New Roman" w:hAnsi="Times New Roman" w:cs="Times New Roman"/>
          <w:i/>
          <w:sz w:val="24"/>
          <w:szCs w:val="24"/>
        </w:rPr>
        <w:t>Iepriekšējo pārskata gadu budžeta izpildes</w:t>
      </w:r>
      <w:r w:rsidR="008B18A9">
        <w:rPr>
          <w:rFonts w:ascii="Times New Roman" w:hAnsi="Times New Roman" w:cs="Times New Roman"/>
          <w:i/>
          <w:sz w:val="24"/>
          <w:szCs w:val="24"/>
        </w:rPr>
        <w:t xml:space="preserve"> </w:t>
      </w:r>
      <w:r w:rsidR="00B07DB4" w:rsidRPr="008B18A9">
        <w:rPr>
          <w:rFonts w:ascii="Times New Roman" w:hAnsi="Times New Roman" w:cs="Times New Roman"/>
          <w:i/>
          <w:sz w:val="24"/>
          <w:szCs w:val="24"/>
        </w:rPr>
        <w:t>rezultāts</w:t>
      </w:r>
      <w:r w:rsidR="003F13F2" w:rsidRPr="008B18A9">
        <w:rPr>
          <w:rFonts w:ascii="Times New Roman" w:hAnsi="Times New Roman" w:cs="Times New Roman"/>
          <w:i/>
          <w:sz w:val="24"/>
          <w:szCs w:val="24"/>
        </w:rPr>
        <w:tab/>
      </w:r>
      <w:r w:rsidR="003F13F2" w:rsidRPr="008B18A9">
        <w:rPr>
          <w:rFonts w:ascii="Times New Roman" w:hAnsi="Times New Roman" w:cs="Times New Roman"/>
          <w:i/>
          <w:sz w:val="24"/>
          <w:szCs w:val="24"/>
        </w:rPr>
        <w:tab/>
        <w:t xml:space="preserve"> 4 000 EUR</w:t>
      </w:r>
    </w:p>
    <w:p w:rsidR="0046552B" w:rsidRPr="008B18A9" w:rsidRDefault="0046552B" w:rsidP="003F13F2">
      <w:pPr>
        <w:pStyle w:val="PlainText"/>
        <w:ind w:left="720" w:right="-58"/>
        <w:rPr>
          <w:rFonts w:ascii="Times New Roman" w:hAnsi="Times New Roman" w:cs="Times New Roman"/>
          <w:sz w:val="24"/>
          <w:szCs w:val="24"/>
        </w:rPr>
      </w:pPr>
      <w:r w:rsidRPr="008B18A9">
        <w:rPr>
          <w:rFonts w:ascii="Times New Roman" w:hAnsi="Times New Roman" w:cs="Times New Roman"/>
          <w:i/>
          <w:sz w:val="24"/>
          <w:szCs w:val="24"/>
        </w:rPr>
        <w:t>K 1292 Tehnoloģisko iekārtu un mašīnu uzkrātais nolietojums</w:t>
      </w:r>
      <w:r w:rsidR="003F13F2" w:rsidRPr="008B18A9">
        <w:rPr>
          <w:rFonts w:ascii="Times New Roman" w:hAnsi="Times New Roman" w:cs="Times New Roman"/>
          <w:i/>
          <w:sz w:val="24"/>
          <w:szCs w:val="24"/>
        </w:rPr>
        <w:tab/>
      </w:r>
      <w:r w:rsidR="003F13F2" w:rsidRPr="008B18A9">
        <w:rPr>
          <w:rFonts w:ascii="Times New Roman" w:hAnsi="Times New Roman" w:cs="Times New Roman"/>
          <w:i/>
          <w:sz w:val="24"/>
          <w:szCs w:val="24"/>
        </w:rPr>
        <w:tab/>
      </w:r>
      <w:r w:rsidR="003F13F2" w:rsidRPr="008B18A9">
        <w:rPr>
          <w:rFonts w:ascii="Times New Roman" w:hAnsi="Times New Roman" w:cs="Times New Roman"/>
          <w:i/>
          <w:sz w:val="24"/>
          <w:szCs w:val="24"/>
        </w:rPr>
        <w:tab/>
        <w:t>4 000 EUR</w:t>
      </w:r>
    </w:p>
    <w:p w:rsidR="003E7535" w:rsidRPr="008B18A9" w:rsidRDefault="003E7535" w:rsidP="00B07DB4">
      <w:pPr>
        <w:pStyle w:val="PlainText"/>
        <w:jc w:val="both"/>
        <w:rPr>
          <w:rFonts w:ascii="Times New Roman" w:hAnsi="Times New Roman" w:cs="Times New Roman"/>
          <w:sz w:val="24"/>
          <w:szCs w:val="24"/>
        </w:rPr>
      </w:pPr>
    </w:p>
    <w:p w:rsidR="003F13F2" w:rsidRDefault="003F13F2" w:rsidP="00B07DB4">
      <w:pPr>
        <w:pStyle w:val="PlainText"/>
        <w:jc w:val="both"/>
      </w:pPr>
    </w:p>
    <w:p w:rsidR="003E7535" w:rsidRPr="008B18A9" w:rsidRDefault="00EB0F27" w:rsidP="00EB0F27">
      <w:pPr>
        <w:pStyle w:val="PlainText"/>
        <w:numPr>
          <w:ilvl w:val="0"/>
          <w:numId w:val="2"/>
        </w:numPr>
        <w:spacing w:after="120"/>
        <w:ind w:left="567" w:hanging="357"/>
        <w:jc w:val="both"/>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65408" behindDoc="1" locked="0" layoutInCell="1" allowOverlap="1" wp14:anchorId="13F268FD" wp14:editId="756CE0E6">
                <wp:simplePos x="0" y="0"/>
                <wp:positionH relativeFrom="margin">
                  <wp:posOffset>3712054</wp:posOffset>
                </wp:positionH>
                <wp:positionV relativeFrom="paragraph">
                  <wp:posOffset>265430</wp:posOffset>
                </wp:positionV>
                <wp:extent cx="1831975" cy="933450"/>
                <wp:effectExtent l="0" t="0" r="15875" b="19050"/>
                <wp:wrapTight wrapText="bothSides">
                  <wp:wrapPolygon edited="0">
                    <wp:start x="0" y="0"/>
                    <wp:lineTo x="0" y="21600"/>
                    <wp:lineTo x="21563" y="21600"/>
                    <wp:lineTo x="2156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831975" cy="93345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EB0F27" w:rsidRDefault="007B3873" w:rsidP="00886ED2">
                            <w:pPr>
                              <w:rPr>
                                <w:rFonts w:ascii="Arial" w:hAnsi="Arial" w:cs="Arial"/>
                                <w:sz w:val="16"/>
                                <w:szCs w:val="16"/>
                              </w:rPr>
                            </w:pPr>
                            <w:hyperlink r:id="rId19" w:anchor="p432" w:history="1">
                              <w:r w:rsidR="00A01931" w:rsidRPr="00EB0F27">
                                <w:rPr>
                                  <w:rStyle w:val="Hyperlink"/>
                                  <w:rFonts w:ascii="Arial" w:hAnsi="Arial" w:cs="Arial"/>
                                  <w:i/>
                                  <w:sz w:val="16"/>
                                  <w:szCs w:val="16"/>
                                  <w:shd w:val="clear" w:color="auto" w:fill="FFFFFF"/>
                                </w:rPr>
                                <w:t>432</w:t>
                              </w:r>
                            </w:hyperlink>
                            <w:r w:rsidR="00A01931" w:rsidRPr="00EB0F27">
                              <w:rPr>
                                <w:rFonts w:ascii="Arial" w:hAnsi="Arial" w:cs="Arial"/>
                                <w:i/>
                                <w:color w:val="0070C0"/>
                                <w:sz w:val="16"/>
                                <w:szCs w:val="16"/>
                                <w:shd w:val="clear" w:color="auto" w:fill="FFFFFF"/>
                              </w:rPr>
                              <w:t>. Mainot aplēses, tās piemēro darījumiem, citiem notikumiem un apstākļiem, sākot ar aplēses izmaiņas datumu, un koriģē atbilstošo aktīvu, pasīvu, ieņēmumu vai izdevumu posteni pārskata periodā.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68FD" id="Text Box 4" o:spid="_x0000_s1029" type="#_x0000_t202" style="position:absolute;left:0;text-align:left;margin-left:292.3pt;margin-top:20.9pt;width:144.25pt;height:73.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" fillcolor="window" strokecolor="#4472c4" strokeweight="1pt">
                <v:textbox>
                  <w:txbxContent>
                    <w:p w:rsidR="00A01931" w:rsidRPr="00EB0F27" w:rsidRDefault="00425C5C" w:rsidP="00886ED2">
                      <w:pPr>
                        <w:rPr>
                          <w:rFonts w:ascii="Arial" w:hAnsi="Arial" w:cs="Arial"/>
                          <w:sz w:val="16"/>
                          <w:szCs w:val="16"/>
                        </w:rPr>
                      </w:pPr>
                      <w:hyperlink r:id="rId20" w:anchor="p432" w:history="1">
                        <w:r w:rsidR="00A01931" w:rsidRPr="00EB0F27">
                          <w:rPr>
                            <w:rStyle w:val="Hyperlink"/>
                            <w:rFonts w:ascii="Arial" w:hAnsi="Arial" w:cs="Arial"/>
                            <w:i/>
                            <w:sz w:val="16"/>
                            <w:szCs w:val="16"/>
                            <w:shd w:val="clear" w:color="auto" w:fill="FFFFFF"/>
                          </w:rPr>
                          <w:t>432</w:t>
                        </w:r>
                      </w:hyperlink>
                      <w:r w:rsidR="00A01931" w:rsidRPr="00EB0F27">
                        <w:rPr>
                          <w:rFonts w:ascii="Arial" w:hAnsi="Arial" w:cs="Arial"/>
                          <w:i/>
                          <w:color w:val="0070C0"/>
                          <w:sz w:val="16"/>
                          <w:szCs w:val="16"/>
                          <w:shd w:val="clear" w:color="auto" w:fill="FFFFFF"/>
                        </w:rPr>
                        <w:t>. Mainot aplēses, tās piemēro darījumiem, citiem notikumiem un apstākļiem, sākot ar aplēses izmaiņas datumu, un koriģē atbilstošo aktīvu, pasīvu, ieņēmumu vai izdevumu posteni pārskata periodā.</w:t>
                      </w:r>
                    </w:p>
                  </w:txbxContent>
                </v:textbox>
                <w10:wrap type="tight" anchorx="margin"/>
              </v:shape>
            </w:pict>
          </mc:Fallback>
        </mc:AlternateContent>
      </w:r>
      <w:r w:rsidR="005420BA" w:rsidRPr="008B18A9">
        <w:rPr>
          <w:rFonts w:ascii="Times New Roman" w:hAnsi="Times New Roman" w:cs="Times New Roman"/>
          <w:sz w:val="24"/>
          <w:szCs w:val="24"/>
        </w:rPr>
        <w:t>j</w:t>
      </w:r>
      <w:r w:rsidR="0046552B" w:rsidRPr="008B18A9">
        <w:rPr>
          <w:rFonts w:ascii="Times New Roman" w:hAnsi="Times New Roman" w:cs="Times New Roman"/>
          <w:sz w:val="24"/>
          <w:szCs w:val="24"/>
        </w:rPr>
        <w:t xml:space="preserve">a nolietojuma korekcijas summa </w:t>
      </w:r>
      <w:r w:rsidR="005420BA" w:rsidRPr="008B18A9">
        <w:rPr>
          <w:rFonts w:ascii="Times New Roman" w:hAnsi="Times New Roman" w:cs="Times New Roman"/>
          <w:sz w:val="24"/>
          <w:szCs w:val="24"/>
        </w:rPr>
        <w:t>ir 500 EUR (</w:t>
      </w:r>
      <w:r w:rsidR="0046552B" w:rsidRPr="008B18A9">
        <w:rPr>
          <w:rFonts w:ascii="Times New Roman" w:hAnsi="Times New Roman" w:cs="Times New Roman"/>
          <w:b/>
          <w:sz w:val="24"/>
          <w:szCs w:val="24"/>
        </w:rPr>
        <w:t>nav būtiska</w:t>
      </w:r>
      <w:r w:rsidR="005420BA" w:rsidRPr="008B18A9">
        <w:rPr>
          <w:rFonts w:ascii="Times New Roman" w:hAnsi="Times New Roman" w:cs="Times New Roman"/>
          <w:b/>
          <w:sz w:val="24"/>
          <w:szCs w:val="24"/>
        </w:rPr>
        <w:t>)</w:t>
      </w:r>
      <w:r w:rsidR="0046552B" w:rsidRPr="008B18A9">
        <w:rPr>
          <w:rFonts w:ascii="Times New Roman" w:hAnsi="Times New Roman" w:cs="Times New Roman"/>
          <w:sz w:val="24"/>
          <w:szCs w:val="24"/>
        </w:rPr>
        <w:t>, tad šo summu pārskatā uzrāda kā 2019.gada darījumu un iegrāmato:</w:t>
      </w:r>
    </w:p>
    <w:p w:rsidR="0046552B" w:rsidRPr="008B18A9" w:rsidRDefault="0046552B"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 xml:space="preserve">D 8761 Iepriekšējo gadu kļūdas </w:t>
      </w:r>
      <w:r w:rsidR="00886ED2" w:rsidRPr="008B18A9">
        <w:rPr>
          <w:rFonts w:ascii="Times New Roman" w:hAnsi="Times New Roman" w:cs="Times New Roman"/>
          <w:i/>
          <w:sz w:val="24"/>
          <w:szCs w:val="24"/>
        </w:rPr>
        <w:tab/>
      </w:r>
      <w:r w:rsidR="005420BA" w:rsidRPr="008B18A9">
        <w:rPr>
          <w:rFonts w:ascii="Times New Roman" w:hAnsi="Times New Roman" w:cs="Times New Roman"/>
          <w:i/>
          <w:sz w:val="24"/>
          <w:szCs w:val="24"/>
        </w:rPr>
        <w:t>5</w:t>
      </w:r>
      <w:r w:rsidR="00886ED2" w:rsidRPr="008B18A9">
        <w:rPr>
          <w:rFonts w:ascii="Times New Roman" w:hAnsi="Times New Roman" w:cs="Times New Roman"/>
          <w:i/>
          <w:sz w:val="24"/>
          <w:szCs w:val="24"/>
        </w:rPr>
        <w:t>00 EUR</w:t>
      </w:r>
    </w:p>
    <w:p w:rsidR="0046552B" w:rsidRPr="008B18A9" w:rsidRDefault="005420BA" w:rsidP="00B07DB4">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K </w:t>
      </w:r>
      <w:r w:rsidR="0046552B" w:rsidRPr="008B18A9">
        <w:rPr>
          <w:rFonts w:ascii="Times New Roman" w:hAnsi="Times New Roman" w:cs="Times New Roman"/>
          <w:i/>
          <w:sz w:val="24"/>
          <w:szCs w:val="24"/>
        </w:rPr>
        <w:t>1292 Tehnoloģisko iekārtu un mašīnu uzkrātais nolietojums</w:t>
      </w:r>
      <w:r w:rsidR="00886ED2" w:rsidRPr="008B18A9">
        <w:rPr>
          <w:rFonts w:ascii="Times New Roman" w:hAnsi="Times New Roman" w:cs="Times New Roman"/>
          <w:i/>
          <w:sz w:val="24"/>
          <w:szCs w:val="24"/>
        </w:rPr>
        <w:tab/>
      </w:r>
      <w:r w:rsidR="00886ED2" w:rsidRPr="008B18A9">
        <w:rPr>
          <w:rFonts w:ascii="Times New Roman" w:hAnsi="Times New Roman" w:cs="Times New Roman"/>
          <w:i/>
          <w:sz w:val="24"/>
          <w:szCs w:val="24"/>
        </w:rPr>
        <w:tab/>
      </w:r>
      <w:r w:rsidR="00886ED2" w:rsidRPr="008B18A9">
        <w:rPr>
          <w:rFonts w:ascii="Times New Roman" w:hAnsi="Times New Roman" w:cs="Times New Roman"/>
          <w:i/>
          <w:sz w:val="24"/>
          <w:szCs w:val="24"/>
        </w:rPr>
        <w:tab/>
      </w:r>
      <w:r w:rsidR="008B18A9">
        <w:rPr>
          <w:rFonts w:ascii="Times New Roman" w:hAnsi="Times New Roman" w:cs="Times New Roman"/>
          <w:i/>
          <w:sz w:val="24"/>
          <w:szCs w:val="24"/>
        </w:rPr>
        <w:tab/>
      </w:r>
      <w:r w:rsidRPr="008B18A9">
        <w:rPr>
          <w:rFonts w:ascii="Times New Roman" w:hAnsi="Times New Roman" w:cs="Times New Roman"/>
          <w:i/>
          <w:sz w:val="24"/>
          <w:szCs w:val="24"/>
        </w:rPr>
        <w:t>5</w:t>
      </w:r>
      <w:r w:rsidR="00886ED2" w:rsidRPr="008B18A9">
        <w:rPr>
          <w:rFonts w:ascii="Times New Roman" w:hAnsi="Times New Roman" w:cs="Times New Roman"/>
          <w:i/>
          <w:sz w:val="24"/>
          <w:szCs w:val="24"/>
        </w:rPr>
        <w:t>00 EUR</w:t>
      </w:r>
    </w:p>
    <w:p w:rsidR="005420BA" w:rsidRDefault="005420BA" w:rsidP="00B07DB4">
      <w:pPr>
        <w:pStyle w:val="PlainText"/>
        <w:ind w:left="720"/>
        <w:jc w:val="both"/>
        <w:rPr>
          <w:rFonts w:ascii="Times New Roman" w:hAnsi="Times New Roman" w:cs="Times New Roman"/>
          <w:sz w:val="24"/>
          <w:szCs w:val="24"/>
        </w:rPr>
      </w:pPr>
    </w:p>
    <w:p w:rsidR="00EB0F27" w:rsidRDefault="00EB0F27" w:rsidP="00B07DB4">
      <w:pPr>
        <w:pStyle w:val="PlainText"/>
        <w:ind w:left="720"/>
        <w:jc w:val="both"/>
        <w:rPr>
          <w:rFonts w:ascii="Times New Roman" w:hAnsi="Times New Roman" w:cs="Times New Roman"/>
          <w:sz w:val="24"/>
          <w:szCs w:val="24"/>
        </w:rPr>
      </w:pPr>
    </w:p>
    <w:p w:rsidR="0046552B" w:rsidRPr="008B18A9" w:rsidRDefault="005420BA" w:rsidP="009A400A">
      <w:pPr>
        <w:pStyle w:val="PlainText"/>
        <w:jc w:val="both"/>
        <w:rPr>
          <w:rFonts w:ascii="Times New Roman" w:hAnsi="Times New Roman" w:cs="Times New Roman"/>
          <w:sz w:val="24"/>
          <w:szCs w:val="24"/>
        </w:rPr>
      </w:pPr>
      <w:r w:rsidRPr="008B18A9">
        <w:rPr>
          <w:rFonts w:ascii="Times New Roman" w:hAnsi="Times New Roman" w:cs="Times New Roman"/>
          <w:sz w:val="24"/>
          <w:szCs w:val="24"/>
        </w:rPr>
        <w:t>Pēc nolietojuma pārrēķina aktīva atlikušo vērtību atzīst izdevumos lineāri aktīva atlikušajā lietderīgās lietošanas laikā un uzrāda pārskatā kā attiecīgā pārskata perioda darījumu:</w:t>
      </w:r>
    </w:p>
    <w:p w:rsidR="005420BA" w:rsidRPr="008B18A9" w:rsidRDefault="00EC3BC4" w:rsidP="005420BA">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t>D 7000 Pamatdarbības izdevumi</w:t>
      </w:r>
    </w:p>
    <w:p w:rsidR="00EC3BC4" w:rsidRPr="008B18A9" w:rsidRDefault="00EC3BC4" w:rsidP="005420BA">
      <w:pPr>
        <w:pStyle w:val="PlainText"/>
        <w:ind w:left="720"/>
        <w:jc w:val="both"/>
        <w:rPr>
          <w:rFonts w:ascii="Times New Roman" w:hAnsi="Times New Roman" w:cs="Times New Roman"/>
          <w:i/>
          <w:sz w:val="24"/>
          <w:szCs w:val="24"/>
        </w:rPr>
      </w:pPr>
      <w:r w:rsidRPr="008B18A9">
        <w:rPr>
          <w:rFonts w:ascii="Times New Roman" w:hAnsi="Times New Roman" w:cs="Times New Roman"/>
          <w:i/>
          <w:sz w:val="24"/>
          <w:szCs w:val="24"/>
        </w:rPr>
        <w:lastRenderedPageBreak/>
        <w:t>K 1292 Tehnoloģisko iekārtu un mašīnu uzkrātais nolietojums</w:t>
      </w:r>
    </w:p>
    <w:p w:rsidR="003E7535" w:rsidRDefault="003E7535" w:rsidP="003E7535">
      <w:pPr>
        <w:pStyle w:val="PlainText"/>
      </w:pPr>
    </w:p>
    <w:p w:rsidR="00C260A7" w:rsidRPr="00C260A7" w:rsidRDefault="002B48C2" w:rsidP="00C260A7">
      <w:pPr>
        <w:pStyle w:val="PlainText"/>
        <w:jc w:val="both"/>
        <w:rPr>
          <w:rFonts w:ascii="Times New Roman" w:hAnsi="Times New Roman" w:cs="Times New Roman"/>
          <w:sz w:val="24"/>
          <w:szCs w:val="24"/>
        </w:rPr>
      </w:pPr>
      <w:r w:rsidRPr="002B48C2">
        <w:rPr>
          <w:rFonts w:ascii="Times New Roman" w:hAnsi="Times New Roman" w:cs="Times New Roman"/>
          <w:sz w:val="24"/>
          <w:szCs w:val="24"/>
        </w:rPr>
        <w:t>Ja izvērtē, ka aktīva pārklasifikācija uz citu kontu nepieciešama, jo Ministru kabineta noteikumi Nr. 87 “Grāmatvedības uzskaites kārtība budžeta iestādēs” nosaka citus aktīvu klasifikācijas nosacījumus nekā iepriekš spēkā esošie normatīvie akti (Ministru kabineta noteikumi Nr.1486 “Kārtība, kādā budžeta iestādes kārto grāmatvedības uzskaiti”), tad</w:t>
      </w:r>
      <w:r>
        <w:rPr>
          <w:rFonts w:ascii="Times New Roman" w:hAnsi="Times New Roman" w:cs="Times New Roman"/>
          <w:sz w:val="24"/>
          <w:szCs w:val="24"/>
        </w:rPr>
        <w:t xml:space="preserve"> pārklasificētā aktīva uzkrāto nolietojumu 2019.gada 1.janvārī nepārrēķina, bet pārskata atlikušo lietderīgās lietošanas laiku un </w:t>
      </w:r>
      <w:r w:rsidR="00C260A7">
        <w:rPr>
          <w:rFonts w:ascii="Times New Roman" w:hAnsi="Times New Roman" w:cs="Times New Roman"/>
          <w:sz w:val="24"/>
          <w:szCs w:val="24"/>
        </w:rPr>
        <w:t xml:space="preserve">atlikušo vērtību </w:t>
      </w:r>
      <w:r w:rsidR="00C260A7" w:rsidRPr="00C260A7">
        <w:rPr>
          <w:rFonts w:ascii="Times New Roman" w:hAnsi="Times New Roman" w:cs="Times New Roman"/>
          <w:sz w:val="24"/>
          <w:szCs w:val="24"/>
        </w:rPr>
        <w:t>atzīst izdevumos lineāri aktīva atlikušajā lietderīgās lietošanas laikā un uzrāda pārskatā kā attiecīgā pārskata perioda darījumu:</w:t>
      </w:r>
    </w:p>
    <w:p w:rsidR="00C260A7" w:rsidRPr="00C260A7" w:rsidRDefault="00C260A7" w:rsidP="00C260A7">
      <w:pPr>
        <w:pStyle w:val="PlainText"/>
        <w:ind w:firstLine="720"/>
        <w:rPr>
          <w:rFonts w:ascii="Times New Roman" w:hAnsi="Times New Roman" w:cs="Times New Roman"/>
          <w:i/>
          <w:sz w:val="24"/>
          <w:szCs w:val="24"/>
        </w:rPr>
      </w:pPr>
      <w:r w:rsidRPr="00C260A7">
        <w:rPr>
          <w:rFonts w:ascii="Times New Roman" w:hAnsi="Times New Roman" w:cs="Times New Roman"/>
          <w:i/>
          <w:sz w:val="24"/>
          <w:szCs w:val="24"/>
        </w:rPr>
        <w:t>D 7000 Pamatdarbības izdevumi</w:t>
      </w:r>
    </w:p>
    <w:p w:rsidR="00C260A7" w:rsidRPr="00C260A7" w:rsidRDefault="00C260A7" w:rsidP="00C260A7">
      <w:pPr>
        <w:pStyle w:val="PlainText"/>
        <w:ind w:firstLine="720"/>
        <w:rPr>
          <w:rFonts w:ascii="Times New Roman" w:hAnsi="Times New Roman" w:cs="Times New Roman"/>
          <w:i/>
          <w:sz w:val="24"/>
          <w:szCs w:val="24"/>
        </w:rPr>
      </w:pPr>
      <w:r w:rsidRPr="00C260A7">
        <w:rPr>
          <w:rFonts w:ascii="Times New Roman" w:hAnsi="Times New Roman" w:cs="Times New Roman"/>
          <w:i/>
          <w:sz w:val="24"/>
          <w:szCs w:val="24"/>
        </w:rPr>
        <w:t>K 1292 Tehnoloģisko iekārtu un mašīnu uzkrātais nolietojums</w:t>
      </w:r>
    </w:p>
    <w:tbl>
      <w:tblPr>
        <w:tblStyle w:val="TableGrid"/>
        <w:tblW w:w="8642" w:type="dxa"/>
        <w:tblLook w:val="04A0" w:firstRow="1" w:lastRow="0" w:firstColumn="1" w:lastColumn="0" w:noHBand="0" w:noVBand="1"/>
      </w:tblPr>
      <w:tblGrid>
        <w:gridCol w:w="8642"/>
      </w:tblGrid>
      <w:tr w:rsidR="00EB0F27" w:rsidRPr="00DB54CB" w:rsidTr="00A01931">
        <w:tc>
          <w:tcPr>
            <w:tcW w:w="8642" w:type="dxa"/>
            <w:shd w:val="clear" w:color="auto" w:fill="002060"/>
          </w:tcPr>
          <w:p w:rsidR="00EB0F27" w:rsidRDefault="00EB0F27" w:rsidP="00EB0F27">
            <w:pPr>
              <w:rPr>
                <w:rFonts w:ascii="Times New Roman" w:hAnsi="Times New Roman" w:cs="Times New Roman"/>
                <w:sz w:val="24"/>
              </w:rPr>
            </w:pPr>
            <w:r>
              <w:rPr>
                <w:rFonts w:ascii="Times New Roman" w:hAnsi="Times New Roman" w:cs="Times New Roman"/>
                <w:sz w:val="24"/>
              </w:rPr>
              <w:t>Jautājums:</w:t>
            </w:r>
          </w:p>
          <w:p w:rsidR="00EB0F27" w:rsidRPr="00EB0F27" w:rsidRDefault="00EB0F27" w:rsidP="00EB0F27">
            <w:pPr>
              <w:rPr>
                <w:rFonts w:ascii="Times New Roman" w:hAnsi="Times New Roman" w:cs="Times New Roman"/>
                <w:sz w:val="24"/>
              </w:rPr>
            </w:pPr>
            <w:r w:rsidRPr="00EB0F27">
              <w:rPr>
                <w:rFonts w:ascii="Times New Roman" w:hAnsi="Times New Roman" w:cs="Times New Roman"/>
                <w:sz w:val="24"/>
              </w:rPr>
              <w:t xml:space="preserve">Pašvaldībai veidojas zemes starpgabali. Kadastrā tie ir reģistrēti uz pašvaldības vārda. </w:t>
            </w:r>
          </w:p>
          <w:p w:rsidR="00EB0F27" w:rsidRPr="00DB54CB" w:rsidRDefault="00EB0F27" w:rsidP="00EB0F27">
            <w:pPr>
              <w:rPr>
                <w:rFonts w:ascii="Times New Roman" w:hAnsi="Times New Roman" w:cs="Times New Roman"/>
                <w:sz w:val="24"/>
              </w:rPr>
            </w:pPr>
            <w:r w:rsidRPr="00EB0F27">
              <w:rPr>
                <w:rFonts w:ascii="Times New Roman" w:hAnsi="Times New Roman" w:cs="Times New Roman"/>
                <w:sz w:val="24"/>
              </w:rPr>
              <w:t>Tos starpgabalus, kurus iznomā jāklasificē pie ieguldījuma īpašumiem!? Bet paliek tie starpgabali, kuri nevienam nav nepieciešami un nav arī lietderīgi izmantojami. Kur klasificēt šādas zemes vienības?</w:t>
            </w:r>
            <w:r>
              <w:rPr>
                <w:rFonts w:ascii="Times New Roman" w:hAnsi="Times New Roman" w:cs="Times New Roman"/>
                <w:sz w:val="24"/>
              </w:rPr>
              <w:t xml:space="preserve">. </w:t>
            </w:r>
            <w:r w:rsidRPr="006F77A7">
              <w:rPr>
                <w:rFonts w:ascii="Times New Roman" w:hAnsi="Times New Roman" w:cs="Times New Roman"/>
                <w:sz w:val="24"/>
              </w:rPr>
              <w:t xml:space="preserve"> </w:t>
            </w:r>
          </w:p>
        </w:tc>
      </w:tr>
    </w:tbl>
    <w:p w:rsidR="00EB0F27" w:rsidRPr="00EB0F27" w:rsidRDefault="00EB0F27"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r w:rsidRPr="00EB0F27">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t>Atbilde:</w:t>
      </w:r>
    </w:p>
    <w:p w:rsidR="00EB0F27" w:rsidRDefault="00EB0F27" w:rsidP="003D7062">
      <w:pPr>
        <w:jc w:val="both"/>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r w:rsidRPr="00EB0F27">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t>Sākotnēji atzīstot un katra pārskata gada beigās vērtē, kurā kontā uzskaitīt zemi un būves. Zemes gabalus, kuri nav lietderīgi izmantojami un nodrošina zemes piederības nepārtrauktību, klasificē pamatlīdzekļu sastāvā.</w:t>
      </w:r>
    </w:p>
    <w:p w:rsidR="00EB0F27" w:rsidRDefault="00EB0F27"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B0F27" w:rsidRPr="00EB0F27" w:rsidRDefault="00EB0F27" w:rsidP="00EB0F27">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8296"/>
      </w:tblGrid>
      <w:tr w:rsidR="00EB0F27" w:rsidRPr="00EB0F27" w:rsidTr="00A01931">
        <w:tc>
          <w:tcPr>
            <w:tcW w:w="8296" w:type="dxa"/>
            <w:shd w:val="clear" w:color="auto" w:fill="002060"/>
          </w:tcPr>
          <w:p w:rsidR="00EB0F27" w:rsidRPr="00EB0F27" w:rsidRDefault="00EB0F27" w:rsidP="00EB0F27">
            <w:pPr>
              <w:rPr>
                <w:rFonts w:ascii="Times New Roman" w:hAnsi="Times New Roman" w:cs="Times New Roman"/>
                <w:sz w:val="24"/>
              </w:rPr>
            </w:pPr>
            <w:r w:rsidRPr="00EB0F27">
              <w:rPr>
                <w:rFonts w:ascii="Times New Roman" w:hAnsi="Times New Roman" w:cs="Times New Roman"/>
                <w:sz w:val="24"/>
              </w:rPr>
              <w:t>Jautājums:</w:t>
            </w:r>
          </w:p>
          <w:p w:rsidR="00EB0F27" w:rsidRPr="00EB0F27" w:rsidRDefault="00EB0F27" w:rsidP="00EB0F27">
            <w:pPr>
              <w:jc w:val="both"/>
              <w:rPr>
                <w:rFonts w:ascii="Times New Roman" w:hAnsi="Times New Roman" w:cs="Times New Roman"/>
                <w:sz w:val="24"/>
              </w:rPr>
            </w:pPr>
            <w:r w:rsidRPr="00EB0F27">
              <w:rPr>
                <w:rFonts w:ascii="Times New Roman" w:hAnsi="Times New Roman" w:cs="Times New Roman"/>
                <w:sz w:val="24"/>
              </w:rPr>
              <w:t>Kādā kontā uzskaitīt Rezerves zemes fonda un zemes reformas pabeigšanai neizmantoto zemi, kas Kadastra informācijas sistēmā ir ierakstīts uz pašvaldības vārda, bet nav ierakstīts Zemesgrāmatā, kā to nosaka Zemes pārvaldības likuma 17.pants.</w:t>
            </w:r>
          </w:p>
        </w:tc>
      </w:tr>
    </w:tbl>
    <w:p w:rsidR="00EB0F27" w:rsidRPr="00EB0F27" w:rsidRDefault="00EB0F27" w:rsidP="00EB0F27">
      <w:pPr>
        <w:rPr>
          <w:rFonts w:ascii="Times New Roman" w:hAnsi="Times New Roman" w:cs="Times New Roman"/>
          <w:sz w:val="24"/>
        </w:rPr>
      </w:pPr>
      <w:r w:rsidRPr="00EB0F27">
        <w:rPr>
          <w:rFonts w:ascii="Times New Roman" w:hAnsi="Times New Roman" w:cs="Times New Roman"/>
          <w:sz w:val="24"/>
        </w:rPr>
        <w:t>Atbilde:</w:t>
      </w:r>
    </w:p>
    <w:p w:rsidR="003D7062" w:rsidRDefault="00EB0F27" w:rsidP="00EB0F27">
      <w:pPr>
        <w:jc w:val="both"/>
        <w:rPr>
          <w:rFonts w:ascii="Times New Roman" w:hAnsi="Times New Roman" w:cs="Times New Roman"/>
          <w:sz w:val="24"/>
        </w:rPr>
      </w:pPr>
      <w:r>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79744" behindDoc="1" locked="0" layoutInCell="1" allowOverlap="1" wp14:anchorId="30879BE4" wp14:editId="78989532">
                <wp:simplePos x="0" y="0"/>
                <wp:positionH relativeFrom="margin">
                  <wp:align>right</wp:align>
                </wp:positionH>
                <wp:positionV relativeFrom="paragraph">
                  <wp:posOffset>10160</wp:posOffset>
                </wp:positionV>
                <wp:extent cx="2133600" cy="1917700"/>
                <wp:effectExtent l="0" t="0" r="19050" b="25400"/>
                <wp:wrapTight wrapText="bothSides">
                  <wp:wrapPolygon edited="0">
                    <wp:start x="0" y="0"/>
                    <wp:lineTo x="0" y="21672"/>
                    <wp:lineTo x="21600" y="21672"/>
                    <wp:lineTo x="21600" y="0"/>
                    <wp:lineTo x="0" y="0"/>
                  </wp:wrapPolygon>
                </wp:wrapTight>
                <wp:docPr id="13" name="Rectangle 13"/>
                <wp:cNvGraphicFramePr/>
                <a:graphic xmlns:a="http://schemas.openxmlformats.org/drawingml/2006/main">
                  <a:graphicData uri="http://schemas.microsoft.com/office/word/2010/wordprocessingShape">
                    <wps:wsp>
                      <wps:cNvSpPr/>
                      <wps:spPr>
                        <a:xfrm>
                          <a:off x="0" y="0"/>
                          <a:ext cx="2133600" cy="1917700"/>
                        </a:xfrm>
                        <a:prstGeom prst="rect">
                          <a:avLst/>
                        </a:prstGeom>
                      </wps:spPr>
                      <wps:style>
                        <a:lnRef idx="2">
                          <a:schemeClr val="accent1"/>
                        </a:lnRef>
                        <a:fillRef idx="1">
                          <a:schemeClr val="lt1"/>
                        </a:fillRef>
                        <a:effectRef idx="0">
                          <a:schemeClr val="accent1"/>
                        </a:effectRef>
                        <a:fontRef idx="minor">
                          <a:schemeClr val="dk1"/>
                        </a:fontRef>
                      </wps:style>
                      <wps:txbx>
                        <w:txbxContent>
                          <w:p w:rsidR="00A01931" w:rsidRPr="00905B1B" w:rsidRDefault="007B3873" w:rsidP="003D7062">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hyperlink r:id="rId21" w:anchor="p22" w:history="1">
                              <w:r w:rsidR="00A01931" w:rsidRPr="00905B1B">
                                <w:rPr>
                                  <w:rStyle w:val="Hyperlink"/>
                                  <w:rFonts w:ascii="Arial" w:eastAsiaTheme="minorHAnsi" w:hAnsi="Arial" w:cs="Arial"/>
                                  <w:i/>
                                  <w:sz w:val="16"/>
                                  <w:szCs w:val="16"/>
                                  <w:lang w:eastAsia="en-US"/>
                                </w:rPr>
                                <w:t>22</w:t>
                              </w:r>
                            </w:hyperlink>
                            <w:r w:rsidR="00A01931" w:rsidRPr="00905B1B">
                              <w:rPr>
                                <w:rFonts w:ascii="Arial" w:eastAsiaTheme="minorHAnsi" w:hAnsi="Arial" w:cs="Arial"/>
                                <w:i/>
                                <w:color w:val="0070C0"/>
                                <w:sz w:val="16"/>
                                <w:szCs w:val="16"/>
                                <w:lang w:eastAsia="en-US"/>
                              </w:rPr>
                              <w:t>. Par aktīviem atzīst resursus, ko pagātnes notikumu rezultātā kontrolē budžeta iestāde un kuru vērtību var ticami novērtēt, un no kuriem nākotnē var sagaidīt saimnieciskos labumus vai ar kuriem var nodrošināt budžeta iestādes (valsts, nozares vai pašvaldības) funkciju vai deleģēto uzdevumu (turpmāk – funkcija) izpildi:</w:t>
                            </w:r>
                          </w:p>
                          <w:p w:rsidR="00A01931" w:rsidRPr="00905B1B" w:rsidRDefault="00A01931" w:rsidP="00EB0F27">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22.2. iznomājot citām personām;</w:t>
                            </w:r>
                          </w:p>
                          <w:p w:rsidR="00A01931" w:rsidRPr="00905B1B" w:rsidRDefault="00A01931" w:rsidP="003D7062">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22.3. izmantojot administratīvām vajadzībām;</w:t>
                            </w:r>
                          </w:p>
                          <w:p w:rsidR="00A01931" w:rsidRPr="00905B1B" w:rsidRDefault="00A01931" w:rsidP="00EB0F27">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22.4. īstenojot valsts un pašvaldību politiku un nodrošinot valsts un pašvaldību budžeta vajadzības.</w:t>
                            </w:r>
                          </w:p>
                          <w:p w:rsidR="00A01931" w:rsidRPr="00905B1B" w:rsidRDefault="00A01931" w:rsidP="00EB0F27">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879BE4" id="Rectangle 13" o:spid="_x0000_s1030" style="position:absolute;left:0;text-align:left;margin-left:116.8pt;margin-top:.8pt;width:168pt;height:151pt;z-index:-2516367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" fillcolor="white [3201]" strokecolor="#5b9bd5 [3204]" strokeweight="1pt">
                <v:textbox>
                  <w:txbxContent>
                    <w:p w:rsidR="00A01931" w:rsidRPr="00905B1B" w:rsidRDefault="00425C5C" w:rsidP="003D7062">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hyperlink r:id="rId22" w:anchor="p22" w:history="1">
                        <w:r w:rsidR="00A01931" w:rsidRPr="00905B1B">
                          <w:rPr>
                            <w:rStyle w:val="Hyperlink"/>
                            <w:rFonts w:ascii="Arial" w:eastAsiaTheme="minorHAnsi" w:hAnsi="Arial" w:cs="Arial"/>
                            <w:i/>
                            <w:sz w:val="16"/>
                            <w:szCs w:val="16"/>
                            <w:lang w:eastAsia="en-US"/>
                          </w:rPr>
                          <w:t>22</w:t>
                        </w:r>
                      </w:hyperlink>
                      <w:r w:rsidR="00A01931" w:rsidRPr="00905B1B">
                        <w:rPr>
                          <w:rFonts w:ascii="Arial" w:eastAsiaTheme="minorHAnsi" w:hAnsi="Arial" w:cs="Arial"/>
                          <w:i/>
                          <w:color w:val="0070C0"/>
                          <w:sz w:val="16"/>
                          <w:szCs w:val="16"/>
                          <w:lang w:eastAsia="en-US"/>
                        </w:rPr>
                        <w:t>. Par aktīviem atzīst resursus, ko pagātnes notikumu rezultātā kontrolē budžeta iestāde un kuru vērtību var ticami novērtēt, un no kuriem nākotnē var sagaidīt saimnieciskos labumus vai ar kuriem var nodrošināt budžeta iestādes (valsts, nozares vai pašvaldības) funkciju vai deleģēto uzdevumu (turpmāk – funkcija) izpildi:</w:t>
                      </w:r>
                    </w:p>
                    <w:p w:rsidR="00A01931" w:rsidRPr="00905B1B" w:rsidRDefault="00A01931" w:rsidP="00EB0F27">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22.2. iznomājot citām personām;</w:t>
                      </w:r>
                    </w:p>
                    <w:p w:rsidR="00A01931" w:rsidRPr="00905B1B" w:rsidRDefault="00A01931" w:rsidP="003D7062">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22.3. izmantojot administratīvām vajadzībām;</w:t>
                      </w:r>
                    </w:p>
                    <w:p w:rsidR="00A01931" w:rsidRPr="00905B1B" w:rsidRDefault="00A01931" w:rsidP="00EB0F27">
                      <w:pPr>
                        <w:pStyle w:val="tv213"/>
                        <w:shd w:val="clear" w:color="auto" w:fill="FFFFFF"/>
                        <w:spacing w:before="0" w:beforeAutospacing="0" w:after="0" w:afterAutospacing="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22.4. īstenojot valsts un pašvaldību politiku un nodrošinot valsts un pašvaldību budžeta vajadzības.</w:t>
                      </w:r>
                    </w:p>
                    <w:p w:rsidR="00A01931" w:rsidRPr="00905B1B" w:rsidRDefault="00A01931" w:rsidP="00EB0F27">
                      <w:pPr>
                        <w:jc w:val="center"/>
                        <w:rPr>
                          <w:rFonts w:ascii="Arial" w:hAnsi="Arial" w:cs="Arial"/>
                          <w:sz w:val="16"/>
                          <w:szCs w:val="16"/>
                        </w:rPr>
                      </w:pPr>
                    </w:p>
                  </w:txbxContent>
                </v:textbox>
                <w10:wrap type="tight" anchorx="margin"/>
              </v:rect>
            </w:pict>
          </mc:Fallback>
        </mc:AlternateContent>
      </w:r>
      <w:r w:rsidRPr="00EB0F27">
        <w:rPr>
          <w:rFonts w:ascii="Times New Roman" w:hAnsi="Times New Roman" w:cs="Times New Roman"/>
          <w:sz w:val="24"/>
        </w:rPr>
        <w:t>Atbilstoši MK 13.02.2019. noteikumu Nr.87 “Grāmatvedības uzskaites kārtība budžeta iestādēs” 22.punktam iestāde vērtē vai izpildās aktīvu atzīšanas vispārīgie kritēriji un atbilstoši tam veic to uzskaiti.</w:t>
      </w:r>
      <w:r w:rsidRPr="00EB0F27">
        <w:rPr>
          <w:rFonts w:ascii="Times New Roman" w:hAnsi="Times New Roman" w:cs="Times New Roman"/>
          <w:noProof/>
          <w:sz w:val="24"/>
          <w:szCs w:val="24"/>
          <w:lang w:eastAsia="lv-LV"/>
        </w:rPr>
        <w:t xml:space="preserve"> </w:t>
      </w:r>
      <w:r w:rsidRPr="00EB0F27">
        <w:rPr>
          <w:rFonts w:ascii="Times New Roman" w:hAnsi="Times New Roman" w:cs="Times New Roman"/>
          <w:sz w:val="24"/>
        </w:rPr>
        <w:t xml:space="preserve"> </w:t>
      </w:r>
    </w:p>
    <w:p w:rsidR="00EB0F27" w:rsidRPr="00EB0F27" w:rsidRDefault="00EB0F27" w:rsidP="00EB0F27">
      <w:pPr>
        <w:jc w:val="both"/>
        <w:rPr>
          <w:rFonts w:ascii="Times New Roman" w:hAnsi="Times New Roman" w:cs="Times New Roman"/>
          <w:sz w:val="24"/>
        </w:rPr>
      </w:pPr>
      <w:r w:rsidRPr="00EB0F27">
        <w:rPr>
          <w:rFonts w:ascii="Times New Roman" w:hAnsi="Times New Roman" w:cs="Times New Roman"/>
          <w:sz w:val="24"/>
        </w:rPr>
        <w:t>Ja zemi iznomā to uzskaita ieguldījumu īpašuma sastāvā, saskaņā ar MK Nr. 87 66.punktā noteikto.</w:t>
      </w:r>
    </w:p>
    <w:p w:rsidR="00EB0F27" w:rsidRPr="00EB0F27" w:rsidRDefault="00EB0F27" w:rsidP="00EB0F27">
      <w:pPr>
        <w:rPr>
          <w:rFonts w:ascii="Times New Roman" w:hAnsi="Times New Roman" w:cs="Times New Roman"/>
          <w:sz w:val="24"/>
        </w:rPr>
      </w:pPr>
    </w:p>
    <w:p w:rsidR="00EB0F27" w:rsidRDefault="00EB0F27"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tbl>
      <w:tblPr>
        <w:tblStyle w:val="TableGrid"/>
        <w:tblW w:w="0" w:type="auto"/>
        <w:tblLook w:val="04A0" w:firstRow="1" w:lastRow="0" w:firstColumn="1" w:lastColumn="0" w:noHBand="0" w:noVBand="1"/>
      </w:tblPr>
      <w:tblGrid>
        <w:gridCol w:w="8296"/>
      </w:tblGrid>
      <w:tr w:rsidR="00EC628C" w:rsidRPr="00EC628C" w:rsidTr="00A01931">
        <w:tc>
          <w:tcPr>
            <w:tcW w:w="8296" w:type="dxa"/>
            <w:shd w:val="clear" w:color="auto" w:fill="002060"/>
          </w:tcPr>
          <w:p w:rsidR="00EC628C" w:rsidRPr="00EC628C" w:rsidRDefault="00EC628C" w:rsidP="00EC628C">
            <w:pPr>
              <w:rPr>
                <w:rFonts w:ascii="Times New Roman" w:hAnsi="Times New Roman" w:cs="Times New Roman"/>
                <w:sz w:val="24"/>
              </w:rPr>
            </w:pPr>
            <w:r w:rsidRPr="00EC628C">
              <w:rPr>
                <w:rFonts w:ascii="Times New Roman" w:hAnsi="Times New Roman" w:cs="Times New Roman"/>
                <w:sz w:val="24"/>
              </w:rPr>
              <w:t>Jautājums:</w:t>
            </w:r>
          </w:p>
          <w:p w:rsidR="00EC628C" w:rsidRPr="00EC628C" w:rsidRDefault="00EC628C" w:rsidP="00EC628C">
            <w:pPr>
              <w:jc w:val="both"/>
              <w:rPr>
                <w:rFonts w:ascii="Times New Roman" w:hAnsi="Times New Roman" w:cs="Times New Roman"/>
                <w:sz w:val="24"/>
              </w:rPr>
            </w:pPr>
            <w:r w:rsidRPr="00EC628C">
              <w:rPr>
                <w:rFonts w:ascii="Times New Roman" w:hAnsi="Times New Roman" w:cs="Times New Roman"/>
                <w:sz w:val="24"/>
              </w:rPr>
              <w:t>[1] Kādā kontā uzskaitīt zemes domājamās daļas zem dzīvojamās mājas, kas piekrīt privatizētajiem dzīvokļiem, bet nav nodota īpašniekiem privatizācijas procesā?</w:t>
            </w:r>
          </w:p>
          <w:p w:rsidR="00EC628C" w:rsidRPr="00EC628C" w:rsidRDefault="00EC628C" w:rsidP="00EC628C">
            <w:pPr>
              <w:jc w:val="both"/>
              <w:rPr>
                <w:rFonts w:ascii="Times New Roman" w:hAnsi="Times New Roman" w:cs="Times New Roman"/>
                <w:sz w:val="24"/>
              </w:rPr>
            </w:pPr>
            <w:r w:rsidRPr="00EC628C">
              <w:rPr>
                <w:rFonts w:ascii="Times New Roman" w:hAnsi="Times New Roman" w:cs="Times New Roman"/>
                <w:sz w:val="24"/>
              </w:rPr>
              <w:t>[2] Pašvaldības dzīvojamais fonds – kur klasificējami šādi dzīvokļi?</w:t>
            </w:r>
          </w:p>
          <w:p w:rsidR="00EC628C" w:rsidRPr="00EC628C" w:rsidRDefault="00EC628C" w:rsidP="00EC628C">
            <w:pPr>
              <w:jc w:val="both"/>
              <w:rPr>
                <w:rFonts w:ascii="Times New Roman" w:hAnsi="Times New Roman" w:cs="Times New Roman"/>
                <w:sz w:val="24"/>
              </w:rPr>
            </w:pPr>
            <w:r w:rsidRPr="00EC628C">
              <w:rPr>
                <w:rFonts w:ascii="Times New Roman" w:hAnsi="Times New Roman" w:cs="Times New Roman"/>
                <w:sz w:val="24"/>
              </w:rPr>
              <w:t>Dzīvojamā fondā uzskaitītie dzīvokļi un tiem piekrītošās kopīpašuma vai zemes daļas tiek arī iznomātas iedzīvotājiem, saņemot par to simbolisku samaksu. Iedzīvotājiem nav iespēja šo dzīvokli atsavināt vai mantot.</w:t>
            </w:r>
          </w:p>
        </w:tc>
      </w:tr>
    </w:tbl>
    <w:p w:rsidR="00EC628C" w:rsidRPr="00EC628C" w:rsidRDefault="00EC628C" w:rsidP="00EC628C">
      <w:pPr>
        <w:rPr>
          <w:rFonts w:ascii="Times New Roman" w:hAnsi="Times New Roman" w:cs="Times New Roman"/>
          <w:sz w:val="24"/>
        </w:rPr>
      </w:pPr>
      <w:r w:rsidRPr="00EC628C">
        <w:rPr>
          <w:rFonts w:ascii="Times New Roman" w:hAnsi="Times New Roman" w:cs="Times New Roman"/>
          <w:sz w:val="24"/>
        </w:rPr>
        <w:t>Atbilde:</w:t>
      </w:r>
    </w:p>
    <w:p w:rsidR="00EC628C" w:rsidRPr="00EC628C" w:rsidRDefault="00EC628C" w:rsidP="00EC628C">
      <w:pPr>
        <w:jc w:val="both"/>
        <w:rPr>
          <w:rFonts w:ascii="Times New Roman" w:hAnsi="Times New Roman" w:cs="Times New Roman"/>
          <w:sz w:val="24"/>
        </w:rPr>
      </w:pPr>
      <w:r>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82816" behindDoc="1" locked="0" layoutInCell="1" allowOverlap="1" wp14:anchorId="251555C2" wp14:editId="133B49A4">
                <wp:simplePos x="0" y="0"/>
                <wp:positionH relativeFrom="margin">
                  <wp:posOffset>2541749</wp:posOffset>
                </wp:positionH>
                <wp:positionV relativeFrom="paragraph">
                  <wp:posOffset>62552</wp:posOffset>
                </wp:positionV>
                <wp:extent cx="2743200" cy="2114550"/>
                <wp:effectExtent l="0" t="0" r="19050" b="19050"/>
                <wp:wrapTight wrapText="bothSides">
                  <wp:wrapPolygon edited="0">
                    <wp:start x="0" y="0"/>
                    <wp:lineTo x="0" y="21600"/>
                    <wp:lineTo x="21600" y="21600"/>
                    <wp:lineTo x="21600" y="0"/>
                    <wp:lineTo x="0" y="0"/>
                  </wp:wrapPolygon>
                </wp:wrapTight>
                <wp:docPr id="16" name="Rectangle 16"/>
                <wp:cNvGraphicFramePr/>
                <a:graphic xmlns:a="http://schemas.openxmlformats.org/drawingml/2006/main">
                  <a:graphicData uri="http://schemas.microsoft.com/office/word/2010/wordprocessingShape">
                    <wps:wsp>
                      <wps:cNvSpPr/>
                      <wps:spPr>
                        <a:xfrm>
                          <a:off x="0" y="0"/>
                          <a:ext cx="2743200" cy="21145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01931" w:rsidRPr="00905B1B" w:rsidRDefault="007B3873" w:rsidP="00EC628C">
                            <w:pPr>
                              <w:jc w:val="both"/>
                              <w:rPr>
                                <w:rFonts w:ascii="Arial" w:hAnsi="Arial" w:cs="Arial"/>
                                <w:i/>
                                <w:color w:val="0070C0"/>
                                <w:sz w:val="16"/>
                                <w:szCs w:val="16"/>
                              </w:rPr>
                            </w:pPr>
                            <w:hyperlink r:id="rId23" w:anchor="p65" w:history="1">
                              <w:r w:rsidR="00A01931" w:rsidRPr="00905B1B">
                                <w:rPr>
                                  <w:rStyle w:val="Hyperlink"/>
                                  <w:rFonts w:ascii="Arial" w:hAnsi="Arial" w:cs="Arial"/>
                                  <w:i/>
                                  <w:sz w:val="16"/>
                                  <w:szCs w:val="16"/>
                                </w:rPr>
                                <w:t>65</w:t>
                              </w:r>
                            </w:hyperlink>
                            <w:r w:rsidR="00A01931" w:rsidRPr="00905B1B">
                              <w:rPr>
                                <w:rFonts w:ascii="Arial" w:hAnsi="Arial" w:cs="Arial"/>
                                <w:i/>
                                <w:color w:val="0070C0"/>
                                <w:sz w:val="16"/>
                                <w:szCs w:val="16"/>
                              </w:rPr>
                              <w:t>. Zemi un būves (piemēram, zemesgabalus, ēkas, inženierbūves), sākotnēji atzīstot, grāmato kā pamatlīdzekļus, ja tās paredzētas:</w:t>
                            </w:r>
                          </w:p>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65.1. funkciju nodrošināšanai (piemēram, administratīvām vajadzībām, preču ražošanai, pakalpojumu sniegšanai);</w:t>
                            </w:r>
                          </w:p>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65.2. iznomāšanai pilnībā vai daļēji vispārējā valdības sektora struktūru ietvaros;</w:t>
                            </w:r>
                          </w:p>
                          <w:p w:rsidR="00A01931" w:rsidRPr="00905B1B" w:rsidRDefault="00A01931" w:rsidP="00EC628C">
                            <w:pPr>
                              <w:spacing w:after="120"/>
                              <w:jc w:val="both"/>
                              <w:rPr>
                                <w:rFonts w:ascii="Arial" w:hAnsi="Arial" w:cs="Arial"/>
                                <w:i/>
                                <w:color w:val="0070C0"/>
                                <w:sz w:val="16"/>
                                <w:szCs w:val="16"/>
                              </w:rPr>
                            </w:pPr>
                            <w:r w:rsidRPr="00905B1B">
                              <w:rPr>
                                <w:rFonts w:ascii="Arial" w:hAnsi="Arial" w:cs="Arial"/>
                                <w:i/>
                                <w:color w:val="0070C0"/>
                                <w:sz w:val="16"/>
                                <w:szCs w:val="16"/>
                              </w:rPr>
                              <w:t>65.3. gan funkciju nodrošināšanai, gan iznomāšanai ārpus vispārējā valdības sektora struktūrām.</w:t>
                            </w:r>
                          </w:p>
                          <w:p w:rsidR="00A01931" w:rsidRPr="00905B1B" w:rsidRDefault="007B3873" w:rsidP="00EC628C">
                            <w:pPr>
                              <w:jc w:val="both"/>
                              <w:rPr>
                                <w:rFonts w:ascii="Arial" w:hAnsi="Arial" w:cs="Arial"/>
                                <w:i/>
                                <w:color w:val="0070C0"/>
                                <w:sz w:val="16"/>
                                <w:szCs w:val="16"/>
                              </w:rPr>
                            </w:pPr>
                            <w:hyperlink r:id="rId24" w:anchor="p66" w:history="1">
                              <w:r w:rsidR="00A01931" w:rsidRPr="00905B1B">
                                <w:rPr>
                                  <w:rStyle w:val="Hyperlink"/>
                                  <w:rFonts w:ascii="Arial" w:hAnsi="Arial" w:cs="Arial"/>
                                  <w:i/>
                                  <w:sz w:val="16"/>
                                  <w:szCs w:val="16"/>
                                </w:rPr>
                                <w:t>66</w:t>
                              </w:r>
                            </w:hyperlink>
                            <w:r w:rsidR="00A01931" w:rsidRPr="00905B1B">
                              <w:rPr>
                                <w:rFonts w:ascii="Arial" w:hAnsi="Arial" w:cs="Arial"/>
                                <w:i/>
                                <w:color w:val="0070C0"/>
                                <w:sz w:val="16"/>
                                <w:szCs w:val="16"/>
                              </w:rPr>
                              <w:t>. Zemi un būves, sākotnēji atzīstot, grāmato kā ieguldījuma īpašumu, ja tās neatbilst šo noteikumu 65. punktā minētajiem kritērijiem (piemēram, tās paredzētas iznomāšanai, izņemot vispārējās valdības sektora struktūru ietvaros, vai nav pieņemts lēmums par to izmantošanu).</w:t>
                            </w:r>
                          </w:p>
                          <w:p w:rsidR="00A01931" w:rsidRPr="00905B1B" w:rsidRDefault="00A01931" w:rsidP="00EC62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555C2" id="Rectangle 16" o:spid="_x0000_s1031" style="position:absolute;left:0;text-align:left;margin-left:200.15pt;margin-top:4.95pt;width:3in;height:166.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" fillcolor="white [3201]" strokecolor="#5b9bd5 [3204]" strokeweight="1pt">
                <v:textbox>
                  <w:txbxContent>
                    <w:p w:rsidR="00A01931" w:rsidRPr="00905B1B" w:rsidRDefault="00425C5C" w:rsidP="00EC628C">
                      <w:pPr>
                        <w:jc w:val="both"/>
                        <w:rPr>
                          <w:rFonts w:ascii="Arial" w:hAnsi="Arial" w:cs="Arial"/>
                          <w:i/>
                          <w:color w:val="0070C0"/>
                          <w:sz w:val="16"/>
                          <w:szCs w:val="16"/>
                        </w:rPr>
                      </w:pPr>
                      <w:hyperlink r:id="rId25" w:anchor="p65" w:history="1">
                        <w:r w:rsidR="00A01931" w:rsidRPr="00905B1B">
                          <w:rPr>
                            <w:rStyle w:val="Hyperlink"/>
                            <w:rFonts w:ascii="Arial" w:hAnsi="Arial" w:cs="Arial"/>
                            <w:i/>
                            <w:sz w:val="16"/>
                            <w:szCs w:val="16"/>
                          </w:rPr>
                          <w:t>65</w:t>
                        </w:r>
                      </w:hyperlink>
                      <w:r w:rsidR="00A01931" w:rsidRPr="00905B1B">
                        <w:rPr>
                          <w:rFonts w:ascii="Arial" w:hAnsi="Arial" w:cs="Arial"/>
                          <w:i/>
                          <w:color w:val="0070C0"/>
                          <w:sz w:val="16"/>
                          <w:szCs w:val="16"/>
                        </w:rPr>
                        <w:t>. Zemi un būves (piemēram, zemesgabalus, ēkas, inženierbūves), sākotnēji atzīstot, grāmato kā pamatlīdzekļus, ja tās paredzētas:</w:t>
                      </w:r>
                    </w:p>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65.1. funkciju nodrošināšanai (piemēram, administratīvām vajadzībām, preču ražošanai, pakalpojumu sniegšanai);</w:t>
                      </w:r>
                    </w:p>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65.2. iznomāšanai pilnībā vai daļēji vispārējā valdības sektora struktūru ietvaros;</w:t>
                      </w:r>
                    </w:p>
                    <w:p w:rsidR="00A01931" w:rsidRPr="00905B1B" w:rsidRDefault="00A01931" w:rsidP="00EC628C">
                      <w:pPr>
                        <w:spacing w:after="120"/>
                        <w:jc w:val="both"/>
                        <w:rPr>
                          <w:rFonts w:ascii="Arial" w:hAnsi="Arial" w:cs="Arial"/>
                          <w:i/>
                          <w:color w:val="0070C0"/>
                          <w:sz w:val="16"/>
                          <w:szCs w:val="16"/>
                        </w:rPr>
                      </w:pPr>
                      <w:r w:rsidRPr="00905B1B">
                        <w:rPr>
                          <w:rFonts w:ascii="Arial" w:hAnsi="Arial" w:cs="Arial"/>
                          <w:i/>
                          <w:color w:val="0070C0"/>
                          <w:sz w:val="16"/>
                          <w:szCs w:val="16"/>
                        </w:rPr>
                        <w:t>65.3. gan funkciju nodrošināšanai, gan iznomāšanai ārpus vispārējā valdības sektora struktūrām.</w:t>
                      </w:r>
                    </w:p>
                    <w:p w:rsidR="00A01931" w:rsidRPr="00905B1B" w:rsidRDefault="00425C5C" w:rsidP="00EC628C">
                      <w:pPr>
                        <w:jc w:val="both"/>
                        <w:rPr>
                          <w:rFonts w:ascii="Arial" w:hAnsi="Arial" w:cs="Arial"/>
                          <w:i/>
                          <w:color w:val="0070C0"/>
                          <w:sz w:val="16"/>
                          <w:szCs w:val="16"/>
                        </w:rPr>
                      </w:pPr>
                      <w:hyperlink r:id="rId26" w:anchor="p66" w:history="1">
                        <w:r w:rsidR="00A01931" w:rsidRPr="00905B1B">
                          <w:rPr>
                            <w:rStyle w:val="Hyperlink"/>
                            <w:rFonts w:ascii="Arial" w:hAnsi="Arial" w:cs="Arial"/>
                            <w:i/>
                            <w:sz w:val="16"/>
                            <w:szCs w:val="16"/>
                          </w:rPr>
                          <w:t>66</w:t>
                        </w:r>
                      </w:hyperlink>
                      <w:r w:rsidR="00A01931" w:rsidRPr="00905B1B">
                        <w:rPr>
                          <w:rFonts w:ascii="Arial" w:hAnsi="Arial" w:cs="Arial"/>
                          <w:i/>
                          <w:color w:val="0070C0"/>
                          <w:sz w:val="16"/>
                          <w:szCs w:val="16"/>
                        </w:rPr>
                        <w:t>. Zemi un būves, sākotnēji atzīstot, grāmato kā ieguldījuma īpašumu, ja tās neatbilst šo noteikumu 65. punktā minētajiem kritērijiem (piemēram, tās paredzētas iznomāšanai, izņemot vispārējās valdības sektora struktūru ietvaros, vai nav pieņemts lēmums par to izmantošanu).</w:t>
                      </w:r>
                    </w:p>
                    <w:p w:rsidR="00A01931" w:rsidRPr="00905B1B" w:rsidRDefault="00A01931" w:rsidP="00EC628C">
                      <w:pPr>
                        <w:jc w:val="center"/>
                        <w:rPr>
                          <w:rFonts w:ascii="Arial" w:hAnsi="Arial" w:cs="Arial"/>
                          <w:sz w:val="16"/>
                          <w:szCs w:val="16"/>
                        </w:rPr>
                      </w:pPr>
                    </w:p>
                  </w:txbxContent>
                </v:textbox>
                <w10:wrap type="tight" anchorx="margin"/>
              </v:rect>
            </w:pict>
          </mc:Fallback>
        </mc:AlternateContent>
      </w:r>
      <w:r w:rsidRPr="00EC628C">
        <w:rPr>
          <w:rFonts w:ascii="Times New Roman" w:hAnsi="Times New Roman" w:cs="Times New Roman"/>
          <w:sz w:val="24"/>
        </w:rPr>
        <w:t>Iestāde vērtē, vai zeme zem dzīvojamās ēkas tiks izmantota funkciju nodrošināšanai vai iznomāšanai ārpus vispārējās valdības sektora struktūrām (MK Nr. 87 65. un 66. punkts). Ja zemes domājamās daļas iznomātas ārpus vispārējās valdības sektora struktūrām, tad aktīvu klasificē ieguldījuma īpašumu sastāvā.</w:t>
      </w:r>
    </w:p>
    <w:p w:rsidR="00EC628C" w:rsidRPr="00EC628C" w:rsidRDefault="00EC628C" w:rsidP="00EC628C">
      <w:pPr>
        <w:jc w:val="both"/>
        <w:rPr>
          <w:rFonts w:ascii="Times New Roman" w:hAnsi="Times New Roman" w:cs="Times New Roman"/>
          <w:sz w:val="24"/>
        </w:rPr>
      </w:pPr>
      <w:r w:rsidRPr="00EC628C">
        <w:rPr>
          <w:rFonts w:ascii="Times New Roman" w:hAnsi="Times New Roman" w:cs="Times New Roman"/>
          <w:sz w:val="24"/>
        </w:rPr>
        <w:t>Atsevišķas zemes un būvju daļas atbilstoši to lietošanas mērķim grāmatvedības uzskaitē nav jānodala, klasifikācijas kritērijus attiecina uz uzskaites vienību kopumā.</w:t>
      </w: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EC628C"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tbl>
      <w:tblPr>
        <w:tblStyle w:val="TableGrid"/>
        <w:tblW w:w="0" w:type="auto"/>
        <w:tblLook w:val="04A0" w:firstRow="1" w:lastRow="0" w:firstColumn="1" w:lastColumn="0" w:noHBand="0" w:noVBand="1"/>
      </w:tblPr>
      <w:tblGrid>
        <w:gridCol w:w="8296"/>
      </w:tblGrid>
      <w:tr w:rsidR="00EC628C" w:rsidRPr="00EC628C" w:rsidTr="00A01931">
        <w:tc>
          <w:tcPr>
            <w:tcW w:w="8296" w:type="dxa"/>
            <w:shd w:val="clear" w:color="auto" w:fill="002060"/>
          </w:tcPr>
          <w:p w:rsidR="00EC628C" w:rsidRPr="00EC628C" w:rsidRDefault="00EC628C" w:rsidP="00EC628C">
            <w:pPr>
              <w:rPr>
                <w:rFonts w:ascii="Times New Roman" w:hAnsi="Times New Roman" w:cs="Times New Roman"/>
                <w:sz w:val="24"/>
              </w:rPr>
            </w:pPr>
            <w:r w:rsidRPr="00EC628C">
              <w:rPr>
                <w:rFonts w:ascii="Times New Roman" w:hAnsi="Times New Roman" w:cs="Times New Roman"/>
                <w:sz w:val="24"/>
              </w:rPr>
              <w:t>Jautājums:</w:t>
            </w:r>
          </w:p>
          <w:p w:rsidR="00EC628C" w:rsidRPr="00EC628C" w:rsidRDefault="00EC628C" w:rsidP="00EC628C">
            <w:pPr>
              <w:contextualSpacing/>
              <w:jc w:val="both"/>
              <w:rPr>
                <w:rFonts w:ascii="Times New Roman" w:hAnsi="Times New Roman" w:cs="Times New Roman"/>
                <w:sz w:val="24"/>
              </w:rPr>
            </w:pPr>
            <w:r w:rsidRPr="00EC628C">
              <w:rPr>
                <w:rFonts w:ascii="Times New Roman" w:hAnsi="Times New Roman" w:cs="Times New Roman"/>
                <w:sz w:val="24"/>
              </w:rPr>
              <w:t>[1] Kur klasificēt graustus? Pašvaldības teritorijā ir daudz būves, kas ir grausti, - to vērtība ir 0, kas saņemti mantojumā no kolhoziem, paju sabiedrībām. Pašvaldība nav pieņēmusi nekādu lēmumu attiecībā uz nojaukšanu un to izmantošana nav iespējama.</w:t>
            </w:r>
          </w:p>
          <w:p w:rsidR="00EC628C" w:rsidRPr="00EC628C" w:rsidRDefault="00EC628C" w:rsidP="00EC628C">
            <w:pPr>
              <w:contextualSpacing/>
              <w:jc w:val="both"/>
              <w:rPr>
                <w:rFonts w:ascii="Times New Roman" w:hAnsi="Times New Roman" w:cs="Times New Roman"/>
                <w:sz w:val="24"/>
              </w:rPr>
            </w:pPr>
          </w:p>
          <w:p w:rsidR="00EC628C" w:rsidRPr="00EC628C" w:rsidRDefault="00EC628C" w:rsidP="00EC628C">
            <w:pPr>
              <w:contextualSpacing/>
              <w:jc w:val="both"/>
              <w:rPr>
                <w:rFonts w:ascii="Times New Roman" w:hAnsi="Times New Roman" w:cs="Times New Roman"/>
                <w:sz w:val="24"/>
              </w:rPr>
            </w:pPr>
            <w:r w:rsidRPr="00EC628C">
              <w:rPr>
                <w:rFonts w:ascii="Times New Roman" w:hAnsi="Times New Roman" w:cs="Times New Roman"/>
                <w:sz w:val="24"/>
              </w:rPr>
              <w:t>[2] Kā klasificēt  dzīvojamās ēkas vai dzīvokļus, kas saskaņā ar dzīvokļu komisijas lēmumu ir izīrējamas dzīvošanai  un dzīvojamās mājas, par kurām nav lēmumu par lietošanu,  tās neatbilst dzīvošanai izīrējamo telpu prasībām ( avārijas stāvoklī )?</w:t>
            </w:r>
          </w:p>
        </w:tc>
      </w:tr>
    </w:tbl>
    <w:p w:rsidR="00EC628C" w:rsidRPr="00EC628C" w:rsidRDefault="00EC628C" w:rsidP="00EC628C">
      <w:pPr>
        <w:rPr>
          <w:rFonts w:ascii="Times New Roman" w:hAnsi="Times New Roman" w:cs="Times New Roman"/>
          <w:sz w:val="24"/>
        </w:rPr>
      </w:pPr>
      <w:r w:rsidRPr="00EC628C">
        <w:rPr>
          <w:rFonts w:ascii="Times New Roman" w:hAnsi="Times New Roman" w:cs="Times New Roman"/>
          <w:sz w:val="24"/>
        </w:rPr>
        <w:t>Atbilde:</w:t>
      </w:r>
    </w:p>
    <w:p w:rsidR="00EC628C" w:rsidRPr="00EC628C" w:rsidRDefault="00EC628C" w:rsidP="00EC628C">
      <w:pPr>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89984" behindDoc="1" locked="0" layoutInCell="1" allowOverlap="1" wp14:anchorId="5E00FFD9" wp14:editId="732BD26F">
                <wp:simplePos x="0" y="0"/>
                <wp:positionH relativeFrom="margin">
                  <wp:align>right</wp:align>
                </wp:positionH>
                <wp:positionV relativeFrom="paragraph">
                  <wp:posOffset>27940</wp:posOffset>
                </wp:positionV>
                <wp:extent cx="2133600" cy="1143000"/>
                <wp:effectExtent l="0" t="0" r="19050" b="19050"/>
                <wp:wrapTight wrapText="bothSides">
                  <wp:wrapPolygon edited="0">
                    <wp:start x="0" y="0"/>
                    <wp:lineTo x="0" y="21600"/>
                    <wp:lineTo x="21600" y="21600"/>
                    <wp:lineTo x="21600" y="0"/>
                    <wp:lineTo x="0" y="0"/>
                  </wp:wrapPolygon>
                </wp:wrapTight>
                <wp:docPr id="21" name="Rectangle 21"/>
                <wp:cNvGraphicFramePr/>
                <a:graphic xmlns:a="http://schemas.openxmlformats.org/drawingml/2006/main">
                  <a:graphicData uri="http://schemas.microsoft.com/office/word/2010/wordprocessingShape">
                    <wps:wsp>
                      <wps:cNvSpPr/>
                      <wps:spPr>
                        <a:xfrm>
                          <a:off x="0" y="0"/>
                          <a:ext cx="2133600" cy="1143000"/>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7B3873"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hyperlink r:id="rId27" w:anchor="p22" w:history="1">
                              <w:r w:rsidR="00A01931" w:rsidRPr="00905B1B">
                                <w:rPr>
                                  <w:rStyle w:val="Hyperlink"/>
                                  <w:rFonts w:ascii="Arial" w:eastAsiaTheme="minorHAnsi" w:hAnsi="Arial" w:cs="Arial"/>
                                  <w:i/>
                                  <w:sz w:val="16"/>
                                  <w:szCs w:val="16"/>
                                  <w:lang w:eastAsia="en-US"/>
                                </w:rPr>
                                <w:t>22</w:t>
                              </w:r>
                            </w:hyperlink>
                            <w:r w:rsidR="00A01931" w:rsidRPr="00905B1B">
                              <w:rPr>
                                <w:rFonts w:ascii="Arial" w:eastAsiaTheme="minorHAnsi" w:hAnsi="Arial" w:cs="Arial"/>
                                <w:i/>
                                <w:color w:val="0070C0"/>
                                <w:sz w:val="16"/>
                                <w:szCs w:val="16"/>
                                <w:lang w:eastAsia="en-US"/>
                              </w:rPr>
                              <w:t>. Par aktīviem atzīst resursus, ko pagātnes notikumu rezultātā kontrolē budžeta iestāde un kuru vērtību var ticami novērtēt, un no kuriem nākotnē var sagaidīt saimnieciskos labumus vai ar kuriem var nodrošināt budžeta iestādes (valsts, nozares vai pašvaldības) funkciju vai deleģēto uzdevumu (turpmāk – funkcija) izpildi:</w:t>
                            </w:r>
                          </w:p>
                          <w:p w:rsidR="00A01931" w:rsidRPr="00905B1B" w:rsidRDefault="00A01931" w:rsidP="00EC62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0FFD9" id="Rectangle 21" o:spid="_x0000_s1032" style="position:absolute;margin-left:116.8pt;margin-top:2.2pt;width:168pt;height:90pt;z-index:-2516264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" fillcolor="window" strokecolor="#5b9bd5" strokeweight="1pt">
                <v:textbox>
                  <w:txbxContent>
                    <w:p w:rsidR="00A01931" w:rsidRPr="00905B1B" w:rsidRDefault="00425C5C"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hyperlink r:id="rId28" w:anchor="p22" w:history="1">
                        <w:r w:rsidR="00A01931" w:rsidRPr="00905B1B">
                          <w:rPr>
                            <w:rStyle w:val="Hyperlink"/>
                            <w:rFonts w:ascii="Arial" w:eastAsiaTheme="minorHAnsi" w:hAnsi="Arial" w:cs="Arial"/>
                            <w:i/>
                            <w:sz w:val="16"/>
                            <w:szCs w:val="16"/>
                            <w:lang w:eastAsia="en-US"/>
                          </w:rPr>
                          <w:t>22</w:t>
                        </w:r>
                      </w:hyperlink>
                      <w:r w:rsidR="00A01931" w:rsidRPr="00905B1B">
                        <w:rPr>
                          <w:rFonts w:ascii="Arial" w:eastAsiaTheme="minorHAnsi" w:hAnsi="Arial" w:cs="Arial"/>
                          <w:i/>
                          <w:color w:val="0070C0"/>
                          <w:sz w:val="16"/>
                          <w:szCs w:val="16"/>
                          <w:lang w:eastAsia="en-US"/>
                        </w:rPr>
                        <w:t>. Par aktīviem atzīst resursus, ko pagātnes notikumu rezultātā kontrolē budžeta iestāde un kuru vērtību var ticami novērtēt, un no kuriem nākotnē var sagaidīt saimnieciskos labumus vai ar kuriem var nodrošināt budžeta iestādes (valsts, nozares vai pašvaldības) funkciju vai deleģēto uzdevumu (turpmāk – funkcija) izpildi:</w:t>
                      </w:r>
                    </w:p>
                    <w:p w:rsidR="00A01931" w:rsidRPr="00905B1B" w:rsidRDefault="00A01931" w:rsidP="00EC628C">
                      <w:pPr>
                        <w:jc w:val="center"/>
                        <w:rPr>
                          <w:rFonts w:ascii="Arial" w:hAnsi="Arial" w:cs="Arial"/>
                          <w:sz w:val="16"/>
                          <w:szCs w:val="16"/>
                        </w:rPr>
                      </w:pPr>
                    </w:p>
                  </w:txbxContent>
                </v:textbox>
                <w10:wrap type="tight" anchorx="margin"/>
              </v:rect>
            </w:pict>
          </mc:Fallback>
        </mc:AlternateContent>
      </w:r>
      <w:r w:rsidRPr="00EC628C">
        <w:rPr>
          <w:rFonts w:ascii="Times New Roman" w:hAnsi="Times New Roman" w:cs="Times New Roman"/>
          <w:sz w:val="24"/>
        </w:rPr>
        <w:t>Lai klasificētu aktīvu, jāizvērtē vairāki kritēriji:</w:t>
      </w:r>
    </w:p>
    <w:p w:rsidR="00EC628C" w:rsidRPr="00EC628C" w:rsidRDefault="00EC628C" w:rsidP="00EC628C">
      <w:pPr>
        <w:numPr>
          <w:ilvl w:val="0"/>
          <w:numId w:val="5"/>
        </w:numPr>
        <w:contextualSpacing/>
        <w:rPr>
          <w:rFonts w:ascii="Times New Roman" w:hAnsi="Times New Roman" w:cs="Times New Roman"/>
          <w:sz w:val="24"/>
        </w:rPr>
      </w:pPr>
      <w:r w:rsidRPr="00EC628C">
        <w:rPr>
          <w:rFonts w:ascii="Times New Roman" w:hAnsi="Times New Roman" w:cs="Times New Roman"/>
          <w:sz w:val="24"/>
        </w:rPr>
        <w:t>Vai atbilst aktīva atzīšanas kritērijiem?</w:t>
      </w:r>
    </w:p>
    <w:p w:rsidR="00EC628C" w:rsidRPr="00EC628C" w:rsidRDefault="00EC628C" w:rsidP="00EC628C">
      <w:pPr>
        <w:numPr>
          <w:ilvl w:val="0"/>
          <w:numId w:val="6"/>
        </w:numPr>
        <w:spacing w:after="120"/>
        <w:ind w:left="357" w:hanging="357"/>
        <w:jc w:val="both"/>
        <w:rPr>
          <w:rFonts w:ascii="Times New Roman" w:hAnsi="Times New Roman" w:cs="Times New Roman"/>
          <w:sz w:val="24"/>
        </w:rPr>
      </w:pPr>
      <w:r w:rsidRPr="00EC628C">
        <w:rPr>
          <w:rFonts w:ascii="Times New Roman" w:hAnsi="Times New Roman" w:cs="Times New Roman"/>
          <w:sz w:val="24"/>
        </w:rPr>
        <w:t>Ja neatbilst MK noteikumos Nr.87 noteiktajiem aktīvu atzīšanas kritērijiem, aktīvu izslēdz no uzskaites, saglabājot uzskaiti daudzuma vienībās atsevišķā reģistrā inventarizācijas vajadzībām.</w:t>
      </w:r>
    </w:p>
    <w:p w:rsidR="00EC628C" w:rsidRPr="00EC628C" w:rsidRDefault="00EC628C" w:rsidP="00EC628C">
      <w:pPr>
        <w:ind w:left="720"/>
        <w:rPr>
          <w:rFonts w:ascii="Times New Roman" w:hAnsi="Times New Roman" w:cs="Times New Roman"/>
          <w:i/>
          <w:sz w:val="24"/>
        </w:rPr>
      </w:pPr>
      <w:r w:rsidRPr="00EC628C">
        <w:rPr>
          <w:rFonts w:ascii="Times New Roman" w:hAnsi="Times New Roman" w:cs="Times New Roman"/>
          <w:i/>
          <w:sz w:val="24"/>
        </w:rPr>
        <w:t>D 1290 Pamatlīdzekļu uzkrātais nolietojums un vērtības samazinājums</w:t>
      </w:r>
    </w:p>
    <w:p w:rsidR="00EC628C" w:rsidRPr="00EC628C" w:rsidRDefault="00EC628C" w:rsidP="00EC628C">
      <w:pPr>
        <w:spacing w:after="120"/>
        <w:ind w:firstLine="720"/>
        <w:rPr>
          <w:rFonts w:ascii="Times New Roman" w:hAnsi="Times New Roman" w:cs="Times New Roman"/>
          <w:i/>
          <w:sz w:val="24"/>
        </w:rPr>
      </w:pPr>
      <w:r w:rsidRPr="00EC628C">
        <w:rPr>
          <w:rFonts w:ascii="Times New Roman" w:hAnsi="Times New Roman" w:cs="Times New Roman"/>
          <w:i/>
          <w:sz w:val="24"/>
        </w:rPr>
        <w:t>K 1210 Zeme un būves</w:t>
      </w:r>
    </w:p>
    <w:p w:rsidR="00EC628C" w:rsidRPr="00EC628C" w:rsidRDefault="00EC628C" w:rsidP="00EC628C">
      <w:pPr>
        <w:ind w:firstLine="720"/>
        <w:rPr>
          <w:rFonts w:ascii="Times New Roman" w:hAnsi="Times New Roman" w:cs="Times New Roman"/>
          <w:i/>
          <w:sz w:val="24"/>
        </w:rPr>
      </w:pPr>
      <w:r w:rsidRPr="00EC628C">
        <w:rPr>
          <w:rFonts w:ascii="Times New Roman" w:hAnsi="Times New Roman" w:cs="Times New Roman"/>
          <w:i/>
          <w:sz w:val="24"/>
        </w:rPr>
        <w:t>D 8611 Izdevumi no nefinanšu aktīvu norakstīšanas un likvidēšanas</w:t>
      </w:r>
    </w:p>
    <w:p w:rsidR="00EC628C" w:rsidRDefault="00EC628C" w:rsidP="00EC628C">
      <w:pPr>
        <w:ind w:firstLine="720"/>
        <w:rPr>
          <w:rFonts w:ascii="Times New Roman" w:hAnsi="Times New Roman" w:cs="Times New Roman"/>
          <w:i/>
          <w:sz w:val="24"/>
        </w:rPr>
      </w:pPr>
      <w:r w:rsidRPr="00EC628C">
        <w:rPr>
          <w:rFonts w:ascii="Times New Roman" w:hAnsi="Times New Roman" w:cs="Times New Roman"/>
          <w:i/>
          <w:sz w:val="24"/>
        </w:rPr>
        <w:t>K 1210 Zeme un būves</w:t>
      </w:r>
    </w:p>
    <w:p w:rsidR="00EC628C" w:rsidRDefault="00EC628C" w:rsidP="00EC628C">
      <w:pPr>
        <w:ind w:firstLine="720"/>
        <w:rPr>
          <w:rFonts w:ascii="Times New Roman" w:hAnsi="Times New Roman" w:cs="Times New Roman"/>
          <w:i/>
          <w:sz w:val="24"/>
        </w:rPr>
      </w:pPr>
    </w:p>
    <w:p w:rsidR="00905B1B" w:rsidRPr="00EC628C" w:rsidRDefault="00905B1B" w:rsidP="00EC628C">
      <w:pPr>
        <w:ind w:firstLine="720"/>
        <w:rPr>
          <w:rFonts w:ascii="Times New Roman" w:hAnsi="Times New Roman" w:cs="Times New Roman"/>
          <w:i/>
          <w:sz w:val="24"/>
        </w:rPr>
      </w:pPr>
    </w:p>
    <w:p w:rsidR="00EC628C" w:rsidRPr="00EC628C" w:rsidRDefault="00EC628C" w:rsidP="00EC628C">
      <w:pPr>
        <w:numPr>
          <w:ilvl w:val="0"/>
          <w:numId w:val="6"/>
        </w:numPr>
        <w:contextualSpacing/>
        <w:jc w:val="both"/>
        <w:rPr>
          <w:rFonts w:ascii="Times New Roman" w:hAnsi="Times New Roman" w:cs="Times New Roman"/>
          <w:sz w:val="24"/>
        </w:rPr>
      </w:pPr>
      <w:r w:rsidRPr="00EC628C">
        <w:rPr>
          <w:rFonts w:ascii="Times New Roman" w:hAnsi="Times New Roman" w:cs="Times New Roman"/>
          <w:sz w:val="24"/>
        </w:rPr>
        <w:t xml:space="preserve">Ja aktīvs atbilst aktīvu atzīšanas kritērijiem, turpina izvērtēt aktīva klasifikāciju. </w:t>
      </w:r>
    </w:p>
    <w:p w:rsidR="00EC628C" w:rsidRPr="00EC628C" w:rsidRDefault="00EC628C" w:rsidP="00EC628C">
      <w:pPr>
        <w:ind w:left="360"/>
        <w:contextualSpacing/>
        <w:jc w:val="both"/>
        <w:rPr>
          <w:rFonts w:ascii="Times New Roman" w:hAnsi="Times New Roman" w:cs="Times New Roman"/>
          <w:sz w:val="24"/>
        </w:rPr>
      </w:pPr>
    </w:p>
    <w:p w:rsidR="00EC628C" w:rsidRPr="00EC628C" w:rsidRDefault="00EC628C" w:rsidP="00EC628C">
      <w:pPr>
        <w:numPr>
          <w:ilvl w:val="0"/>
          <w:numId w:val="7"/>
        </w:numPr>
        <w:contextualSpacing/>
        <w:jc w:val="both"/>
        <w:rPr>
          <w:rFonts w:ascii="Times New Roman" w:hAnsi="Times New Roman" w:cs="Times New Roman"/>
          <w:sz w:val="24"/>
        </w:rPr>
      </w:pPr>
      <w:r w:rsidRPr="00EC628C">
        <w:rPr>
          <w:rFonts w:ascii="Times New Roman" w:hAnsi="Times New Roman" w:cs="Times New Roman"/>
          <w:sz w:val="24"/>
        </w:rPr>
        <w:t>Kāds ir aktīva izmantošanas mērķis?</w:t>
      </w:r>
    </w:p>
    <w:p w:rsidR="00EC628C" w:rsidRPr="00EC628C" w:rsidRDefault="00905B1B" w:rsidP="00EC628C">
      <w:pPr>
        <w:numPr>
          <w:ilvl w:val="0"/>
          <w:numId w:val="8"/>
        </w:numPr>
        <w:ind w:left="284" w:hanging="284"/>
        <w:contextualSpacing/>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92032" behindDoc="1" locked="0" layoutInCell="1" allowOverlap="1" wp14:anchorId="62D67931" wp14:editId="4BC444EB">
                <wp:simplePos x="0" y="0"/>
                <wp:positionH relativeFrom="margin">
                  <wp:align>right</wp:align>
                </wp:positionH>
                <wp:positionV relativeFrom="paragraph">
                  <wp:posOffset>13970</wp:posOffset>
                </wp:positionV>
                <wp:extent cx="2133600" cy="533400"/>
                <wp:effectExtent l="0" t="0" r="19050" b="19050"/>
                <wp:wrapTight wrapText="bothSides">
                  <wp:wrapPolygon edited="0">
                    <wp:start x="0" y="0"/>
                    <wp:lineTo x="0" y="21600"/>
                    <wp:lineTo x="21600" y="21600"/>
                    <wp:lineTo x="21600" y="0"/>
                    <wp:lineTo x="0" y="0"/>
                  </wp:wrapPolygon>
                </wp:wrapTight>
                <wp:docPr id="22" name="Rectangle 22"/>
                <wp:cNvGraphicFramePr/>
                <a:graphic xmlns:a="http://schemas.openxmlformats.org/drawingml/2006/main">
                  <a:graphicData uri="http://schemas.microsoft.com/office/word/2010/wordprocessingShape">
                    <wps:wsp>
                      <wps:cNvSpPr/>
                      <wps:spPr>
                        <a:xfrm>
                          <a:off x="0" y="0"/>
                          <a:ext cx="2133600" cy="533400"/>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26. Ilgtermiņa ieguldījumi ietver aktīvus, kurus budžeta iestāde plāno izmantot ilgāk nekā gadu no iegūšanas datuma.</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D67931" id="Rectangle 22" o:spid="_x0000_s1033" style="position:absolute;left:0;text-align:left;margin-left:116.8pt;margin-top:1.1pt;width:168pt;height:42pt;z-index:-2516244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" fillcolor="window" strokecolor="#5b9bd5" strokeweight="1pt">
                <v:textbox>
                  <w:txbxContent>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26. Ilgtermiņa ieguldījumi ietver aktīvus, kurus budžeta iestāde plāno izmantot ilgāk nekā gadu no iegūšanas datuma.</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jc w:val="center"/>
                        <w:rPr>
                          <w:rFonts w:ascii="Arial" w:hAnsi="Arial" w:cs="Arial"/>
                          <w:sz w:val="16"/>
                          <w:szCs w:val="16"/>
                        </w:rPr>
                      </w:pPr>
                    </w:p>
                  </w:txbxContent>
                </v:textbox>
                <w10:wrap type="tight" anchorx="margin"/>
              </v:rect>
            </w:pict>
          </mc:Fallback>
        </mc:AlternateContent>
      </w:r>
      <w:r w:rsidR="00EC628C" w:rsidRPr="00EC628C">
        <w:rPr>
          <w:rFonts w:ascii="Times New Roman" w:hAnsi="Times New Roman" w:cs="Times New Roman"/>
          <w:sz w:val="24"/>
        </w:rPr>
        <w:t>Aktīvu klasificē pamatlīdzekļu sastāvā, ja tas atbilst MK noteikumu Nr.87 26.punkta un 65.punkta kritērijiem.</w:t>
      </w:r>
    </w:p>
    <w:p w:rsidR="00EC628C" w:rsidRPr="00EC628C" w:rsidRDefault="00EC628C" w:rsidP="00EC628C">
      <w:pPr>
        <w:jc w:val="both"/>
        <w:rPr>
          <w:rFonts w:ascii="Times New Roman" w:hAnsi="Times New Roman" w:cs="Times New Roman"/>
          <w:sz w:val="24"/>
        </w:rPr>
      </w:pPr>
    </w:p>
    <w:p w:rsidR="00EC628C" w:rsidRPr="00EC628C" w:rsidRDefault="00EC628C" w:rsidP="00EC628C">
      <w:pPr>
        <w:numPr>
          <w:ilvl w:val="0"/>
          <w:numId w:val="8"/>
        </w:numPr>
        <w:ind w:left="284" w:hanging="284"/>
        <w:contextualSpacing/>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94080" behindDoc="1" locked="0" layoutInCell="1" allowOverlap="1" wp14:anchorId="51281E68" wp14:editId="72044ED3">
                <wp:simplePos x="0" y="0"/>
                <wp:positionH relativeFrom="margin">
                  <wp:align>right</wp:align>
                </wp:positionH>
                <wp:positionV relativeFrom="paragraph">
                  <wp:posOffset>98425</wp:posOffset>
                </wp:positionV>
                <wp:extent cx="2876550" cy="1990725"/>
                <wp:effectExtent l="0" t="0" r="19050" b="28575"/>
                <wp:wrapTight wrapText="bothSides">
                  <wp:wrapPolygon edited="0">
                    <wp:start x="0" y="0"/>
                    <wp:lineTo x="0" y="21703"/>
                    <wp:lineTo x="21600" y="21703"/>
                    <wp:lineTo x="21600" y="0"/>
                    <wp:lineTo x="0" y="0"/>
                  </wp:wrapPolygon>
                </wp:wrapTight>
                <wp:docPr id="23" name="Rectangle 23"/>
                <wp:cNvGraphicFramePr/>
                <a:graphic xmlns:a="http://schemas.openxmlformats.org/drawingml/2006/main">
                  <a:graphicData uri="http://schemas.microsoft.com/office/word/2010/wordprocessingShape">
                    <wps:wsp>
                      <wps:cNvSpPr/>
                      <wps:spPr>
                        <a:xfrm>
                          <a:off x="0" y="0"/>
                          <a:ext cx="2876550" cy="199072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 Zemi un būves (piemēram, zemesgabalus, ēkas, inženierbūves), sākotnēji atzīstot, grāmato kā pamatlīdzekļus, ja tās paredzētas:</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65.1. funkciju nodrošināšanai (piemēram, administratīvām vajadzībām, preču ražošanai, pakalpojumu sniegšanai);</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65.2. iznomāšanai pilnībā vai daļēji vispārējā valdības sektora struktūru ietvaros;</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65.3. gan funkciju nodrošināšanai, gan iznomāšanai ārpus vispārējā valdības sektora struktūrām.</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66. Zemi un būves, sākotnēji atzīstot, grāmato kā ieguldījuma īpašumu, ja tās neatbilst šo noteikumu 65. punktā minētajiem kritērijiem (piemēram, tās paredzētas iznomāšanai, izņemot vispārējās valdības sektora struktūru ietvaros, vai nav pieņemts lēmums par to izmantošanu).</w:t>
                            </w:r>
                          </w:p>
                          <w:p w:rsidR="00A01931" w:rsidRPr="00905B1B" w:rsidRDefault="00A01931" w:rsidP="00EC62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1E68" id="Rectangle 23" o:spid="_x0000_s1034" style="position:absolute;left:0;text-align:left;margin-left:175.3pt;margin-top:7.75pt;width:226.5pt;height:156.75pt;z-index:-251622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" fillcolor="window" strokecolor="#5b9bd5" strokeweight="1pt">
                <v:textbox>
                  <w:txbxContent>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 Zemi un būves (piemēram, zemesgabalus, ēkas, inženierbūves), sākotnēji atzīstot, grāmato kā pamatlīdzekļus, ja tās paredzētas:</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65.1. funkciju nodrošināšanai (piemēram, administratīvām vajadzībām, preču ražošanai, pakalpojumu sniegšanai);</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65.2. iznomāšanai pilnībā vai daļēji vispārējā valdības sektora struktūru ietvaros;</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65.3. gan funkciju nodrošināšanai, gan iznomāšanai ārpus vispārējā valdības sektora struktūrām.</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66. Zemi un būves, sākotnēji atzīstot, grāmato kā ieguldījuma īpašumu, ja tās neatbilst šo noteikumu 65. punktā minētajiem kritērijiem (piemēram, tās paredzētas iznomāšanai, izņemot vispārējās valdības sektora struktūru ietvaros, vai nav pieņemts lēmums par to izmantošanu).</w:t>
                      </w:r>
                    </w:p>
                    <w:p w:rsidR="00A01931" w:rsidRPr="00905B1B" w:rsidRDefault="00A01931" w:rsidP="00EC628C">
                      <w:pPr>
                        <w:jc w:val="center"/>
                        <w:rPr>
                          <w:rFonts w:ascii="Arial" w:hAnsi="Arial" w:cs="Arial"/>
                          <w:sz w:val="16"/>
                          <w:szCs w:val="16"/>
                        </w:rPr>
                      </w:pPr>
                    </w:p>
                  </w:txbxContent>
                </v:textbox>
                <w10:wrap type="tight" anchorx="margin"/>
              </v:rect>
            </w:pict>
          </mc:Fallback>
        </mc:AlternateContent>
      </w:r>
      <w:r w:rsidRPr="00EC628C">
        <w:rPr>
          <w:rFonts w:ascii="Times New Roman" w:hAnsi="Times New Roman" w:cs="Times New Roman"/>
          <w:sz w:val="24"/>
        </w:rPr>
        <w:t>Aktīvu klasificē ieguldījumu īpašumu sastāvā, ja tas atbilst MK noteikumu Nr.87 26.punkta un 66.punkta prasībām.</w:t>
      </w:r>
    </w:p>
    <w:p w:rsidR="00EC628C" w:rsidRPr="00EC628C" w:rsidRDefault="00EC628C" w:rsidP="00EC628C">
      <w:pPr>
        <w:jc w:val="both"/>
        <w:rPr>
          <w:rFonts w:ascii="Times New Roman" w:hAnsi="Times New Roman" w:cs="Times New Roman"/>
          <w:sz w:val="24"/>
        </w:rPr>
      </w:pPr>
    </w:p>
    <w:p w:rsidR="00EC628C" w:rsidRPr="00EC628C" w:rsidRDefault="00EC628C" w:rsidP="00EC628C">
      <w:pPr>
        <w:jc w:val="both"/>
        <w:rPr>
          <w:rFonts w:ascii="Times New Roman" w:hAnsi="Times New Roman" w:cs="Times New Roman"/>
          <w:sz w:val="24"/>
        </w:rPr>
      </w:pPr>
      <w:r w:rsidRPr="00EC628C">
        <w:rPr>
          <w:rFonts w:ascii="Times New Roman" w:hAnsi="Times New Roman" w:cs="Times New Roman"/>
          <w:sz w:val="24"/>
        </w:rPr>
        <w:t xml:space="preserve">Aktīvu klasificē kā ieguldījuma īpašumu arī tad, ja nav zināms tā izmantošanas mērķis. </w:t>
      </w: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numPr>
          <w:ilvl w:val="0"/>
          <w:numId w:val="8"/>
        </w:numPr>
        <w:ind w:left="284" w:hanging="284"/>
        <w:contextualSpacing/>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696128" behindDoc="1" locked="0" layoutInCell="1" allowOverlap="1" wp14:anchorId="7BB293B0" wp14:editId="661A04B8">
                <wp:simplePos x="0" y="0"/>
                <wp:positionH relativeFrom="margin">
                  <wp:align>right</wp:align>
                </wp:positionH>
                <wp:positionV relativeFrom="paragraph">
                  <wp:posOffset>245110</wp:posOffset>
                </wp:positionV>
                <wp:extent cx="2133600" cy="1076325"/>
                <wp:effectExtent l="0" t="0" r="19050" b="28575"/>
                <wp:wrapTight wrapText="bothSides">
                  <wp:wrapPolygon edited="0">
                    <wp:start x="0" y="0"/>
                    <wp:lineTo x="0" y="21791"/>
                    <wp:lineTo x="21600" y="21791"/>
                    <wp:lineTo x="21600" y="0"/>
                    <wp:lineTo x="0" y="0"/>
                  </wp:wrapPolygon>
                </wp:wrapTight>
                <wp:docPr id="24" name="Rectangle 24"/>
                <wp:cNvGraphicFramePr/>
                <a:graphic xmlns:a="http://schemas.openxmlformats.org/drawingml/2006/main">
                  <a:graphicData uri="http://schemas.microsoft.com/office/word/2010/wordprocessingShape">
                    <wps:wsp>
                      <wps:cNvSpPr/>
                      <wps:spPr>
                        <a:xfrm>
                          <a:off x="0" y="0"/>
                          <a:ext cx="2133600" cy="107632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156. Ilgtermiņa ieguldījumu uzskaita kā atsavināšanai paredzētu, ja tas pašreizējā stāvoklī ir pieejams tūlītējai atsavināšanai un pakļauts normatīvajos aktos aktīvu atsavināšanas jomā noteiktajiem atsavināšanas nosacījumiem, tā lietderīgā lietošana ir pārtraukta un tā atsavināšana ir ticama.</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293B0" id="Rectangle 24" o:spid="_x0000_s1035" style="position:absolute;left:0;text-align:left;margin-left:116.8pt;margin-top:19.3pt;width:168pt;height:84.75pt;z-index:-2516203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" fillcolor="window" strokecolor="#5b9bd5" strokeweight="1pt">
                <v:textbox>
                  <w:txbxContent>
                    <w:p w:rsidR="00A01931" w:rsidRPr="00905B1B" w:rsidRDefault="00A01931" w:rsidP="00EC628C">
                      <w:pPr>
                        <w:jc w:val="both"/>
                        <w:rPr>
                          <w:rFonts w:ascii="Arial" w:hAnsi="Arial" w:cs="Arial"/>
                          <w:i/>
                          <w:color w:val="0070C0"/>
                          <w:sz w:val="16"/>
                          <w:szCs w:val="16"/>
                        </w:rPr>
                      </w:pPr>
                      <w:r w:rsidRPr="00905B1B">
                        <w:rPr>
                          <w:rFonts w:ascii="Arial" w:hAnsi="Arial" w:cs="Arial"/>
                          <w:i/>
                          <w:color w:val="0070C0"/>
                          <w:sz w:val="16"/>
                          <w:szCs w:val="16"/>
                        </w:rPr>
                        <w:t>156. Ilgtermiņa ieguldījumu uzskaita kā atsavināšanai paredzētu, ja tas pašreizējā stāvoklī ir pieejams tūlītējai atsavināšanai un pakļauts normatīvajos aktos aktīvu atsavināšanas jomā noteiktajiem atsavināšanas nosacījumiem, tā lietderīgā lietošana ir pārtraukta un tā atsavināšana ir ticama.</w:t>
                      </w:r>
                    </w:p>
                    <w:p w:rsidR="00A01931" w:rsidRPr="00905B1B" w:rsidRDefault="00A01931" w:rsidP="00EC628C">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p w:rsidR="00A01931" w:rsidRPr="00905B1B" w:rsidRDefault="00A01931" w:rsidP="00EC628C">
                      <w:pPr>
                        <w:jc w:val="center"/>
                        <w:rPr>
                          <w:rFonts w:ascii="Arial" w:hAnsi="Arial" w:cs="Arial"/>
                          <w:sz w:val="16"/>
                          <w:szCs w:val="16"/>
                        </w:rPr>
                      </w:pPr>
                    </w:p>
                  </w:txbxContent>
                </v:textbox>
                <w10:wrap type="tight" anchorx="margin"/>
              </v:rect>
            </w:pict>
          </mc:Fallback>
        </mc:AlternateContent>
      </w:r>
      <w:r w:rsidRPr="00EC628C">
        <w:rPr>
          <w:rFonts w:ascii="Times New Roman" w:hAnsi="Times New Roman" w:cs="Times New Roman"/>
          <w:sz w:val="24"/>
        </w:rPr>
        <w:t>Aktīvu klasificē krājumu sastāvā, ja tas paredzēts atsavināšanai saskaņā ar MK noteikumu Nr.87 156.punkta prasībām.</w:t>
      </w: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ind w:left="720"/>
        <w:contextualSpacing/>
        <w:jc w:val="both"/>
        <w:rPr>
          <w:rFonts w:ascii="Times New Roman" w:hAnsi="Times New Roman" w:cs="Times New Roman"/>
          <w:sz w:val="24"/>
        </w:rPr>
      </w:pPr>
    </w:p>
    <w:p w:rsidR="00EC628C" w:rsidRPr="00EC628C" w:rsidRDefault="00EC628C" w:rsidP="00EC628C">
      <w:pPr>
        <w:ind w:left="720"/>
        <w:contextualSpacing/>
        <w:jc w:val="both"/>
        <w:rPr>
          <w:rFonts w:ascii="Times New Roman" w:hAnsi="Times New Roman" w:cs="Times New Roman"/>
          <w:sz w:val="24"/>
        </w:rPr>
      </w:pPr>
    </w:p>
    <w:p w:rsidR="00EC628C" w:rsidRDefault="00EC628C" w:rsidP="00EC628C">
      <w:pPr>
        <w:jc w:val="both"/>
        <w:rPr>
          <w:rFonts w:ascii="Times New Roman" w:hAnsi="Times New Roman" w:cs="Times New Roman"/>
          <w:sz w:val="24"/>
        </w:rPr>
      </w:pPr>
    </w:p>
    <w:p w:rsidR="00EC628C" w:rsidRDefault="00EC628C" w:rsidP="00EC628C">
      <w:pPr>
        <w:jc w:val="both"/>
        <w:rPr>
          <w:rFonts w:ascii="Times New Roman" w:hAnsi="Times New Roman" w:cs="Times New Roman"/>
          <w:sz w:val="24"/>
        </w:rPr>
      </w:pPr>
      <w:r w:rsidRPr="00EC628C">
        <w:rPr>
          <w:rFonts w:ascii="Times New Roman" w:hAnsi="Times New Roman" w:cs="Times New Roman"/>
          <w:sz w:val="24"/>
        </w:rPr>
        <w:t>Pārskata perioda beigās vērtē, vai aktīvam pastāv vērtības samazinājuma pazīmes.</w:t>
      </w:r>
    </w:p>
    <w:p w:rsidR="0003351D" w:rsidRDefault="0003351D" w:rsidP="00EC628C">
      <w:pPr>
        <w:jc w:val="both"/>
        <w:rPr>
          <w:rFonts w:ascii="Times New Roman" w:hAnsi="Times New Roman" w:cs="Times New Roman"/>
          <w:sz w:val="24"/>
        </w:rPr>
      </w:pPr>
    </w:p>
    <w:p w:rsidR="0003351D" w:rsidRDefault="0003351D" w:rsidP="00EC628C">
      <w:pPr>
        <w:jc w:val="both"/>
        <w:rPr>
          <w:rFonts w:ascii="Times New Roman" w:hAnsi="Times New Roman" w:cs="Times New Roman"/>
          <w:sz w:val="24"/>
        </w:rPr>
      </w:pPr>
    </w:p>
    <w:p w:rsidR="0003351D" w:rsidRDefault="0003351D"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p w:rsidR="00905B1B" w:rsidRDefault="00905B1B" w:rsidP="00EC628C">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8296"/>
      </w:tblGrid>
      <w:tr w:rsidR="0003351D" w:rsidRPr="0003351D" w:rsidTr="00A01931">
        <w:tc>
          <w:tcPr>
            <w:tcW w:w="8296" w:type="dxa"/>
            <w:shd w:val="clear" w:color="auto" w:fill="002060"/>
          </w:tcPr>
          <w:p w:rsidR="0003351D" w:rsidRPr="0003351D" w:rsidRDefault="0003351D" w:rsidP="0003351D">
            <w:pPr>
              <w:rPr>
                <w:rFonts w:ascii="Times New Roman" w:hAnsi="Times New Roman" w:cs="Times New Roman"/>
                <w:sz w:val="24"/>
              </w:rPr>
            </w:pPr>
            <w:r w:rsidRPr="0003351D">
              <w:rPr>
                <w:rFonts w:ascii="Times New Roman" w:hAnsi="Times New Roman" w:cs="Times New Roman"/>
                <w:sz w:val="24"/>
              </w:rPr>
              <w:t>Jautājums:</w:t>
            </w:r>
          </w:p>
          <w:p w:rsidR="0003351D" w:rsidRPr="0003351D" w:rsidRDefault="0003351D" w:rsidP="0003351D">
            <w:pPr>
              <w:jc w:val="both"/>
              <w:rPr>
                <w:rFonts w:ascii="Times New Roman" w:hAnsi="Times New Roman" w:cs="Times New Roman"/>
                <w:sz w:val="24"/>
              </w:rPr>
            </w:pPr>
            <w:r w:rsidRPr="0003351D">
              <w:rPr>
                <w:rFonts w:ascii="Times New Roman" w:hAnsi="Times New Roman" w:cs="Times New Roman"/>
                <w:sz w:val="24"/>
              </w:rPr>
              <w:t>Saskaņā ar likumu "Par pašvaldībām" viena no pašvaldībās autonomām funkcijām ir nodrošināt veselības aprūpes pieejamību.</w:t>
            </w:r>
          </w:p>
          <w:p w:rsidR="0003351D" w:rsidRPr="0003351D" w:rsidRDefault="0003351D" w:rsidP="0003351D">
            <w:pPr>
              <w:jc w:val="both"/>
              <w:rPr>
                <w:rFonts w:ascii="Times New Roman" w:hAnsi="Times New Roman" w:cs="Times New Roman"/>
                <w:sz w:val="24"/>
              </w:rPr>
            </w:pPr>
            <w:r w:rsidRPr="0003351D">
              <w:rPr>
                <w:rFonts w:ascii="Times New Roman" w:hAnsi="Times New Roman" w:cs="Times New Roman"/>
                <w:sz w:val="24"/>
              </w:rPr>
              <w:t xml:space="preserve">Kā klasificēt ēku, kas iznomāta (nomas maksa) ģimenes ārsta praksei? </w:t>
            </w:r>
          </w:p>
        </w:tc>
      </w:tr>
    </w:tbl>
    <w:p w:rsidR="0003351D" w:rsidRPr="0003351D" w:rsidRDefault="0003351D" w:rsidP="0003351D">
      <w:pPr>
        <w:rPr>
          <w:rFonts w:ascii="Times New Roman" w:hAnsi="Times New Roman" w:cs="Times New Roman"/>
          <w:sz w:val="24"/>
        </w:rPr>
      </w:pPr>
      <w:r w:rsidRPr="0003351D">
        <w:rPr>
          <w:rFonts w:ascii="Times New Roman" w:hAnsi="Times New Roman" w:cs="Times New Roman"/>
          <w:sz w:val="24"/>
        </w:rPr>
        <w:t>Atbilde:</w:t>
      </w:r>
    </w:p>
    <w:p w:rsidR="0003351D" w:rsidRPr="0003351D" w:rsidRDefault="0003351D" w:rsidP="0003351D">
      <w:pPr>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00224" behindDoc="1" locked="0" layoutInCell="1" allowOverlap="1" wp14:anchorId="5430FB6C" wp14:editId="7A81FDC5">
                <wp:simplePos x="0" y="0"/>
                <wp:positionH relativeFrom="margin">
                  <wp:align>right</wp:align>
                </wp:positionH>
                <wp:positionV relativeFrom="paragraph">
                  <wp:posOffset>443230</wp:posOffset>
                </wp:positionV>
                <wp:extent cx="2371725" cy="1533525"/>
                <wp:effectExtent l="0" t="0" r="28575" b="28575"/>
                <wp:wrapTight wrapText="bothSides">
                  <wp:wrapPolygon edited="0">
                    <wp:start x="0" y="0"/>
                    <wp:lineTo x="0" y="21734"/>
                    <wp:lineTo x="21687" y="21734"/>
                    <wp:lineTo x="21687" y="0"/>
                    <wp:lineTo x="0" y="0"/>
                  </wp:wrapPolygon>
                </wp:wrapTight>
                <wp:docPr id="25" name="Rectangle 25"/>
                <wp:cNvGraphicFramePr/>
                <a:graphic xmlns:a="http://schemas.openxmlformats.org/drawingml/2006/main">
                  <a:graphicData uri="http://schemas.microsoft.com/office/word/2010/wordprocessingShape">
                    <wps:wsp>
                      <wps:cNvSpPr/>
                      <wps:spPr>
                        <a:xfrm>
                          <a:off x="0" y="0"/>
                          <a:ext cx="2371725" cy="153352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 Zemi un būves (piemēram, zemesgabalus, ēkas, inženierbūves), sākotnēji atzīstot, grāmato kā pamatlīdzekļus, ja tās paredzētas:</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65.1. funkciju nodrošināšanai (piemēram, administratīvām vajadzībām, preču ražošanai, pakalpojumu sniegšanai);</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65.2. iznomāšanai pilnībā vai daļēji vispārējā valdības sektora struktūru ietvaros;</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65.3. gan funkciju nodrošināšanai, gan iznomāšanai ārpus vispārējā valdības sektora struktūrām.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0FB6C" id="Rectangle 25" o:spid="_x0000_s1036" style="position:absolute;left:0;text-align:left;margin-left:135.55pt;margin-top:34.9pt;width:186.75pt;height:120.75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" fillcolor="window" strokecolor="#5b9bd5" strokeweight="1pt">
                <v:textbox>
                  <w:txbxContent>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 Zemi un būves (piemēram, zemesgabalus, ēkas, inženierbūves), sākotnēji atzīstot, grāmato kā pamatlīdzekļus, ja tās paredzētas:</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65.1. funkciju nodrošināšanai (piemēram, administratīvām vajadzībām, preču ražošanai, pakalpojumu sniegšanai);</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65.2. iznomāšanai pilnībā vai daļēji vispārējā valdības sektora struktūru ietvaros;</w:t>
                      </w:r>
                    </w:p>
                    <w:p w:rsidR="00A01931" w:rsidRPr="00905B1B" w:rsidRDefault="00A01931" w:rsidP="0003351D">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r w:rsidRPr="00905B1B">
                        <w:rPr>
                          <w:rFonts w:ascii="Arial" w:eastAsiaTheme="minorHAnsi" w:hAnsi="Arial" w:cs="Arial"/>
                          <w:i/>
                          <w:color w:val="0070C0"/>
                          <w:sz w:val="16"/>
                          <w:szCs w:val="16"/>
                          <w:lang w:eastAsia="en-US"/>
                        </w:rPr>
                        <w:t>65.3. gan funkciju nodrošināšanai, gan iznomāšanai ārpus vispārējā valdības sektora struktūrām.</w:t>
                      </w:r>
                    </w:p>
                  </w:txbxContent>
                </v:textbox>
                <w10:wrap type="tight" anchorx="margin"/>
              </v:rect>
            </w:pict>
          </mc:Fallback>
        </mc:AlternateContent>
      </w:r>
      <w:r w:rsidRPr="0003351D">
        <w:rPr>
          <w:rFonts w:ascii="Times New Roman" w:hAnsi="Times New Roman" w:cs="Times New Roman"/>
          <w:sz w:val="24"/>
        </w:rPr>
        <w:t>Aktīva klasificēšanai izvērtē zemes un būvju izmantošanas mērķi un klasificē pamatlīdzekļu sastāvā, ja tās izmanto funkciju izpildei (piemēram, nodrošināt veselības aprūpes pieejamību). Ja zemi un būves neizmanto funkciju izpildei, tad tās klasificē ieguldījuma īpašumu sastāvā.</w:t>
      </w:r>
    </w:p>
    <w:p w:rsidR="0003351D" w:rsidRPr="0003351D" w:rsidRDefault="0003351D" w:rsidP="0003351D">
      <w:pPr>
        <w:jc w:val="both"/>
        <w:rPr>
          <w:rFonts w:ascii="Times New Roman" w:hAnsi="Times New Roman" w:cs="Times New Roman"/>
          <w:sz w:val="24"/>
        </w:rPr>
      </w:pPr>
      <w:r w:rsidRPr="0003351D">
        <w:rPr>
          <w:rFonts w:ascii="Times New Roman" w:hAnsi="Times New Roman" w:cs="Times New Roman"/>
          <w:sz w:val="24"/>
        </w:rPr>
        <w:t>Izvērtējuma veikšanai jāņem vērā gan ārējos, gan pašvaldības iekšējos normatīvos aktos noteiktos īpašumu lietošanas mērķus.</w:t>
      </w:r>
    </w:p>
    <w:p w:rsidR="00EC628C" w:rsidRPr="00EB0F27" w:rsidRDefault="00EC628C" w:rsidP="00EB0F27">
      <w:pPr>
        <w:rPr>
          <w:rFonts w:ascii="Times New Roman" w:hAnsi="Times New Roman" w:cs="Times New Roman"/>
          <w:sz w:val="24"/>
          <w:szCs w:val="24"/>
          <w:lang w:eastAsia="ja-JP"/>
          <w14:shadow w14:blurRad="38100" w14:dist="19050" w14:dir="2700000" w14:sx="1000" w14:sy="1000" w14:kx="0" w14:ky="0" w14:algn="tl">
            <w14:schemeClr w14:val="dk1"/>
          </w14:shadow>
          <w14:textOutline w14:w="9525" w14:cap="flat" w14:cmpd="sng" w14:algn="ctr">
            <w14:noFill/>
            <w14:prstDash w14:val="solid"/>
            <w14:round/>
          </w14:textOutline>
        </w:rPr>
      </w:pPr>
    </w:p>
    <w:p w:rsidR="00905B1B" w:rsidRDefault="00905B1B">
      <w:pPr>
        <w:rPr>
          <w:rFonts w:ascii="Times New Roman" w:hAnsi="Times New Roman" w:cs="Times New Roman"/>
          <w:color w:val="012169"/>
          <w:sz w:val="56"/>
          <w:szCs w:val="32"/>
          <w:lang w:eastAsia="ja-JP"/>
          <w14:shadow w14:blurRad="38100" w14:dist="19050" w14:dir="2700000" w14:sx="1000" w14:sy="1000" w14:kx="0" w14:ky="0" w14:algn="tl">
            <w14:schemeClr w14:val="dk1"/>
          </w14:shadow>
          <w14:textOutline w14:w="9525" w14:cap="flat" w14:cmpd="sng" w14:algn="ctr">
            <w14:noFill/>
            <w14:prstDash w14:val="solid"/>
            <w14:round/>
          </w14:textOutline>
        </w:rPr>
      </w:pPr>
      <w:r>
        <w:br w:type="page"/>
      </w:r>
    </w:p>
    <w:p w:rsidR="00905B1B" w:rsidRPr="00905B1B" w:rsidRDefault="00905B1B" w:rsidP="003D7062">
      <w:pPr>
        <w:pStyle w:val="1Virsraksts"/>
        <w:spacing w:line="240" w:lineRule="auto"/>
      </w:pPr>
      <w:bookmarkStart w:id="2" w:name="_Toc20303053"/>
      <w:r w:rsidRPr="00905B1B">
        <w:lastRenderedPageBreak/>
        <w:t>Ilgtermiņa aktīva vērtības samazinājums</w:t>
      </w:r>
      <w:bookmarkEnd w:id="2"/>
    </w:p>
    <w:tbl>
      <w:tblPr>
        <w:tblStyle w:val="TableGrid"/>
        <w:tblW w:w="0" w:type="auto"/>
        <w:tblLook w:val="04A0" w:firstRow="1" w:lastRow="0" w:firstColumn="1" w:lastColumn="0" w:noHBand="0" w:noVBand="1"/>
      </w:tblPr>
      <w:tblGrid>
        <w:gridCol w:w="8296"/>
      </w:tblGrid>
      <w:tr w:rsidR="00905B1B" w:rsidRPr="00905B1B" w:rsidTr="00A01931">
        <w:tc>
          <w:tcPr>
            <w:tcW w:w="8296" w:type="dxa"/>
            <w:shd w:val="clear" w:color="auto" w:fill="002060"/>
          </w:tcPr>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Jautājums:</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 xml:space="preserve">Pašvaldības dzīvokļi nodoti turējumā radniecīgai kapitālsabiedrībai. Dzīvokļi atbilstoši MK Nr. 87 pārgrāmatoti uz kontu 1552. Kapitālsabiedrība iekasē īres maksu. </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Kapitālsabiedrībai deleģēts pienākums veikt dzīvokļu apsekošanu un vērtības samazinājuma pazīmju izvērtējumu. Ja būs konstatēta kaut viena no vērtības samazinājuma pazīmēm (diskonta likmes samazinājums), kā pareizi veikt vērtības samazinājuma aprēķinu, ja mums ir tikai izdevumi (nolietojums), bet nav ieņēmumus, jo to iekasē kapitālsabiedrība?</w:t>
            </w:r>
          </w:p>
        </w:tc>
      </w:tr>
    </w:tbl>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Atbilde:</w:t>
      </w:r>
    </w:p>
    <w:p w:rsidR="00905B1B" w:rsidRPr="00905B1B" w:rsidRDefault="00905B1B" w:rsidP="00905B1B">
      <w:pPr>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07392" behindDoc="1" locked="0" layoutInCell="1" allowOverlap="1" wp14:anchorId="492E9B6D" wp14:editId="7A94245C">
                <wp:simplePos x="0" y="0"/>
                <wp:positionH relativeFrom="margin">
                  <wp:posOffset>2378710</wp:posOffset>
                </wp:positionH>
                <wp:positionV relativeFrom="paragraph">
                  <wp:posOffset>79540</wp:posOffset>
                </wp:positionV>
                <wp:extent cx="2876550" cy="1857375"/>
                <wp:effectExtent l="0" t="0" r="19050" b="28575"/>
                <wp:wrapTight wrapText="bothSides">
                  <wp:wrapPolygon edited="0">
                    <wp:start x="0" y="0"/>
                    <wp:lineTo x="0" y="21711"/>
                    <wp:lineTo x="21600" y="21711"/>
                    <wp:lineTo x="21600" y="0"/>
                    <wp:lineTo x="0" y="0"/>
                  </wp:wrapPolygon>
                </wp:wrapTight>
                <wp:docPr id="30" name="Rectangle 30"/>
                <wp:cNvGraphicFramePr/>
                <a:graphic xmlns:a="http://schemas.openxmlformats.org/drawingml/2006/main">
                  <a:graphicData uri="http://schemas.microsoft.com/office/word/2010/wordprocessingShape">
                    <wps:wsp>
                      <wps:cNvSpPr/>
                      <wps:spPr>
                        <a:xfrm>
                          <a:off x="0" y="0"/>
                          <a:ext cx="2876550" cy="185737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7B3873" w:rsidP="00905B1B">
                            <w:pPr>
                              <w:jc w:val="both"/>
                              <w:rPr>
                                <w:rFonts w:ascii="Arial" w:hAnsi="Arial" w:cs="Arial"/>
                                <w:i/>
                                <w:color w:val="0070C0"/>
                                <w:sz w:val="16"/>
                                <w:szCs w:val="16"/>
                              </w:rPr>
                            </w:pPr>
                            <w:hyperlink r:id="rId29" w:anchor="p123" w:history="1">
                              <w:r w:rsidR="00A01931" w:rsidRPr="00905B1B">
                                <w:rPr>
                                  <w:rStyle w:val="Hyperlink"/>
                                  <w:rFonts w:ascii="Arial" w:hAnsi="Arial" w:cs="Arial"/>
                                  <w:i/>
                                  <w:sz w:val="16"/>
                                  <w:szCs w:val="16"/>
                                </w:rPr>
                                <w:t>123</w:t>
                              </w:r>
                            </w:hyperlink>
                            <w:r w:rsidR="00A01931" w:rsidRPr="00905B1B">
                              <w:rPr>
                                <w:rFonts w:ascii="Arial" w:hAnsi="Arial" w:cs="Arial"/>
                                <w:i/>
                                <w:color w:val="0070C0"/>
                                <w:sz w:val="16"/>
                                <w:szCs w:val="16"/>
                              </w:rPr>
                              <w:t>. Ilgtermiņa nefinanšu aktīva (izņemot ieguldījuma īpašumu) lietošanas vērtības noteikšanai piemēro šādas metodes: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123.1. amortizēto aizstāšanas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123.2. atjaunošanas izmaksu metodi;</w:t>
                            </w:r>
                          </w:p>
                          <w:p w:rsidR="00A01931" w:rsidRPr="00905B1B" w:rsidRDefault="00A01931" w:rsidP="00905B1B">
                            <w:pPr>
                              <w:spacing w:after="120"/>
                              <w:jc w:val="both"/>
                              <w:rPr>
                                <w:rFonts w:ascii="Arial" w:hAnsi="Arial" w:cs="Arial"/>
                                <w:i/>
                                <w:color w:val="0070C0"/>
                                <w:sz w:val="16"/>
                                <w:szCs w:val="16"/>
                              </w:rPr>
                            </w:pPr>
                            <w:r w:rsidRPr="00905B1B">
                              <w:rPr>
                                <w:rFonts w:ascii="Arial" w:hAnsi="Arial" w:cs="Arial"/>
                                <w:i/>
                                <w:color w:val="0070C0"/>
                                <w:sz w:val="16"/>
                                <w:szCs w:val="16"/>
                              </w:rPr>
                              <w:t>123.3. pakalpojuma vienību metodi.</w:t>
                            </w:r>
                          </w:p>
                          <w:p w:rsidR="00A01931" w:rsidRPr="00905B1B" w:rsidRDefault="007B3873" w:rsidP="00905B1B">
                            <w:pPr>
                              <w:jc w:val="both"/>
                              <w:rPr>
                                <w:rFonts w:ascii="Arial" w:hAnsi="Arial" w:cs="Arial"/>
                                <w:i/>
                                <w:color w:val="0070C0"/>
                                <w:sz w:val="16"/>
                                <w:szCs w:val="16"/>
                              </w:rPr>
                            </w:pPr>
                            <w:hyperlink r:id="rId30" w:anchor="p127" w:history="1">
                              <w:r w:rsidR="00A01931" w:rsidRPr="00905B1B">
                                <w:rPr>
                                  <w:rStyle w:val="Hyperlink"/>
                                  <w:rFonts w:ascii="Arial" w:hAnsi="Arial" w:cs="Arial"/>
                                  <w:i/>
                                  <w:sz w:val="16"/>
                                  <w:szCs w:val="16"/>
                                </w:rPr>
                                <w:t>127</w:t>
                              </w:r>
                            </w:hyperlink>
                            <w:r w:rsidR="00A01931" w:rsidRPr="00905B1B">
                              <w:rPr>
                                <w:rFonts w:ascii="Arial" w:hAnsi="Arial" w:cs="Arial"/>
                                <w:i/>
                                <w:color w:val="0070C0"/>
                                <w:sz w:val="16"/>
                                <w:szCs w:val="16"/>
                              </w:rPr>
                              <w:t>. 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2E9B6D" id="Rectangle 30" o:spid="_x0000_s1037" style="position:absolute;left:0;text-align:left;margin-left:187.3pt;margin-top:6.25pt;width:226.5pt;height:146.2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" fillcolor="window" strokecolor="#5b9bd5" strokeweight="1pt">
                <v:textbox>
                  <w:txbxContent>
                    <w:p w:rsidR="00A01931" w:rsidRPr="00905B1B" w:rsidRDefault="00425C5C" w:rsidP="00905B1B">
                      <w:pPr>
                        <w:jc w:val="both"/>
                        <w:rPr>
                          <w:rFonts w:ascii="Arial" w:hAnsi="Arial" w:cs="Arial"/>
                          <w:i/>
                          <w:color w:val="0070C0"/>
                          <w:sz w:val="16"/>
                          <w:szCs w:val="16"/>
                        </w:rPr>
                      </w:pPr>
                      <w:hyperlink r:id="rId31" w:anchor="p123" w:history="1">
                        <w:r w:rsidR="00A01931" w:rsidRPr="00905B1B">
                          <w:rPr>
                            <w:rStyle w:val="Hyperlink"/>
                            <w:rFonts w:ascii="Arial" w:hAnsi="Arial" w:cs="Arial"/>
                            <w:i/>
                            <w:sz w:val="16"/>
                            <w:szCs w:val="16"/>
                          </w:rPr>
                          <w:t>123</w:t>
                        </w:r>
                      </w:hyperlink>
                      <w:r w:rsidR="00A01931" w:rsidRPr="00905B1B">
                        <w:rPr>
                          <w:rFonts w:ascii="Arial" w:hAnsi="Arial" w:cs="Arial"/>
                          <w:i/>
                          <w:color w:val="0070C0"/>
                          <w:sz w:val="16"/>
                          <w:szCs w:val="16"/>
                        </w:rPr>
                        <w:t xml:space="preserve">. Ilgtermiņa </w:t>
                      </w:r>
                      <w:proofErr w:type="spellStart"/>
                      <w:r w:rsidR="00A01931" w:rsidRPr="00905B1B">
                        <w:rPr>
                          <w:rFonts w:ascii="Arial" w:hAnsi="Arial" w:cs="Arial"/>
                          <w:i/>
                          <w:color w:val="0070C0"/>
                          <w:sz w:val="16"/>
                          <w:szCs w:val="16"/>
                        </w:rPr>
                        <w:t>nefinanšu</w:t>
                      </w:r>
                      <w:proofErr w:type="spellEnd"/>
                      <w:r w:rsidR="00A01931" w:rsidRPr="00905B1B">
                        <w:rPr>
                          <w:rFonts w:ascii="Arial" w:hAnsi="Arial" w:cs="Arial"/>
                          <w:i/>
                          <w:color w:val="0070C0"/>
                          <w:sz w:val="16"/>
                          <w:szCs w:val="16"/>
                        </w:rPr>
                        <w:t xml:space="preserve"> aktīva (izņemot ieguldījuma īpašumu) lietošanas vērtības noteikšanai piemēro šādas metodes: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123.1. amortizēto aizstāšanas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123.2. atjaunošanas izmaksu metodi;</w:t>
                      </w:r>
                    </w:p>
                    <w:p w:rsidR="00A01931" w:rsidRPr="00905B1B" w:rsidRDefault="00A01931" w:rsidP="00905B1B">
                      <w:pPr>
                        <w:spacing w:after="120"/>
                        <w:jc w:val="both"/>
                        <w:rPr>
                          <w:rFonts w:ascii="Arial" w:hAnsi="Arial" w:cs="Arial"/>
                          <w:i/>
                          <w:color w:val="0070C0"/>
                          <w:sz w:val="16"/>
                          <w:szCs w:val="16"/>
                        </w:rPr>
                      </w:pPr>
                      <w:r w:rsidRPr="00905B1B">
                        <w:rPr>
                          <w:rFonts w:ascii="Arial" w:hAnsi="Arial" w:cs="Arial"/>
                          <w:i/>
                          <w:color w:val="0070C0"/>
                          <w:sz w:val="16"/>
                          <w:szCs w:val="16"/>
                        </w:rPr>
                        <w:t>123.3. pakalpojuma vienību metodi.</w:t>
                      </w:r>
                    </w:p>
                    <w:p w:rsidR="00A01931" w:rsidRPr="00905B1B" w:rsidRDefault="00425C5C" w:rsidP="00905B1B">
                      <w:pPr>
                        <w:jc w:val="both"/>
                        <w:rPr>
                          <w:rFonts w:ascii="Arial" w:hAnsi="Arial" w:cs="Arial"/>
                          <w:i/>
                          <w:color w:val="0070C0"/>
                          <w:sz w:val="16"/>
                          <w:szCs w:val="16"/>
                        </w:rPr>
                      </w:pPr>
                      <w:hyperlink r:id="rId32" w:anchor="p127" w:history="1">
                        <w:r w:rsidR="00A01931" w:rsidRPr="00905B1B">
                          <w:rPr>
                            <w:rStyle w:val="Hyperlink"/>
                            <w:rFonts w:ascii="Arial" w:hAnsi="Arial" w:cs="Arial"/>
                            <w:i/>
                            <w:sz w:val="16"/>
                            <w:szCs w:val="16"/>
                          </w:rPr>
                          <w:t>127</w:t>
                        </w:r>
                      </w:hyperlink>
                      <w:r w:rsidR="00A01931" w:rsidRPr="00905B1B">
                        <w:rPr>
                          <w:rFonts w:ascii="Arial" w:hAnsi="Arial" w:cs="Arial"/>
                          <w:i/>
                          <w:color w:val="0070C0"/>
                          <w:sz w:val="16"/>
                          <w:szCs w:val="16"/>
                        </w:rPr>
                        <w:t>. 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v:textbox>
                <w10:wrap type="tight" anchorx="margin"/>
              </v:rect>
            </w:pict>
          </mc:Fallback>
        </mc:AlternateContent>
      </w:r>
      <w:r w:rsidRPr="00905B1B">
        <w:rPr>
          <w:rFonts w:ascii="Times New Roman" w:hAnsi="Times New Roman" w:cs="Times New Roman"/>
          <w:sz w:val="24"/>
        </w:rPr>
        <w:t>Atbilstoši MK 13.02.2019. noteikumu Nr.87 “Grāmatvedības uzskaites kārtība budžeta iestādēs</w:t>
      </w:r>
      <w:r w:rsidRPr="00905B1B">
        <w:rPr>
          <w:rFonts w:ascii="Times New Roman" w:hAnsi="Times New Roman" w:cs="Times New Roman"/>
          <w:sz w:val="24"/>
          <w:szCs w:val="24"/>
        </w:rPr>
        <w:t xml:space="preserve">” </w:t>
      </w:r>
      <w:hyperlink r:id="rId33" w:anchor="p65" w:history="1">
        <w:r w:rsidRPr="00905B1B">
          <w:rPr>
            <w:rStyle w:val="Hyperlink"/>
            <w:rFonts w:ascii="Times New Roman" w:hAnsi="Times New Roman" w:cs="Times New Roman"/>
            <w:color w:val="auto"/>
            <w:sz w:val="24"/>
            <w:szCs w:val="24"/>
          </w:rPr>
          <w:t>65</w:t>
        </w:r>
      </w:hyperlink>
      <w:r w:rsidRPr="00905B1B">
        <w:rPr>
          <w:rFonts w:ascii="Times New Roman" w:hAnsi="Times New Roman" w:cs="Times New Roman"/>
          <w:sz w:val="24"/>
          <w:szCs w:val="24"/>
        </w:rPr>
        <w:t xml:space="preserve">. un </w:t>
      </w:r>
      <w:hyperlink r:id="rId34" w:anchor="p77" w:history="1">
        <w:r w:rsidRPr="00905B1B">
          <w:rPr>
            <w:rStyle w:val="Hyperlink"/>
            <w:rFonts w:ascii="Times New Roman" w:hAnsi="Times New Roman" w:cs="Times New Roman"/>
            <w:color w:val="auto"/>
            <w:sz w:val="24"/>
            <w:szCs w:val="24"/>
          </w:rPr>
          <w:t>77</w:t>
        </w:r>
      </w:hyperlink>
      <w:r w:rsidRPr="00905B1B">
        <w:rPr>
          <w:rStyle w:val="Hyperlink"/>
          <w:rFonts w:ascii="Times New Roman" w:hAnsi="Times New Roman" w:cs="Times New Roman"/>
          <w:color w:val="auto"/>
          <w:sz w:val="24"/>
          <w:szCs w:val="24"/>
        </w:rPr>
        <w:t xml:space="preserve">. </w:t>
      </w:r>
      <w:r w:rsidRPr="00905B1B">
        <w:rPr>
          <w:rFonts w:ascii="Times New Roman" w:hAnsi="Times New Roman" w:cs="Times New Roman"/>
          <w:sz w:val="24"/>
          <w:szCs w:val="24"/>
        </w:rPr>
        <w:t>punktam</w:t>
      </w:r>
      <w:r w:rsidRPr="00905B1B">
        <w:rPr>
          <w:rFonts w:ascii="Times New Roman" w:hAnsi="Times New Roman" w:cs="Times New Roman"/>
          <w:sz w:val="24"/>
        </w:rPr>
        <w:t xml:space="preserve"> pašvaldībai jāizvērtē būvju lietošanas mērķis un jāklasificē pamatlīdzekļu sastāvā, ja tās izmanto funkciju izpildei (piemēram, nodrošināt iedzīvotājus ar dzīvojamo platību par samaksu). Ja būves neizmanto funkciju izpildei, tad tās klasificē ieguldījuma īpašumu sastāvā.</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 xml:space="preserve">Ieguldījuma īpašumu sastāvā klasificētam aktīvam pārskata gada beigās izvērtē MK noteikumu Nr.87 117.punkta minētās vērtības samazinājuma pazīmes. Diskonta likmes samazinājumu ņem vērā tad, ja aktīvam ir iepriekš atzīts vērtības samazinājums, kura aprēķināšanā piemērota iepriekšējā perioda diskonta likme. </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Ieguldījuma īpašuma vērtības samazinājuma aprēķināšanai izmanto ienākošās un izejošās naudas plūsmas. Ja aktīvs nodots turējumā, izņemot nomu, tad aprēķinā ietver visas naudas plūsmas, kas radīsies gan īpašniekam, gan aktīva turētājam, ņemot vērā MK noteikumu Nr.87 128. un 129.punktā aprakstītos nosacījumus.</w:t>
      </w:r>
    </w:p>
    <w:p w:rsidR="00905B1B" w:rsidRPr="00905B1B" w:rsidRDefault="00905B1B" w:rsidP="00905B1B">
      <w:pPr>
        <w:rPr>
          <w:rFonts w:ascii="Times New Roman" w:hAnsi="Times New Roman" w:cs="Times New Roman"/>
          <w:sz w:val="24"/>
        </w:rPr>
      </w:pPr>
    </w:p>
    <w:tbl>
      <w:tblPr>
        <w:tblStyle w:val="TableGrid"/>
        <w:tblW w:w="0" w:type="auto"/>
        <w:tblLook w:val="04A0" w:firstRow="1" w:lastRow="0" w:firstColumn="1" w:lastColumn="0" w:noHBand="0" w:noVBand="1"/>
      </w:tblPr>
      <w:tblGrid>
        <w:gridCol w:w="8296"/>
      </w:tblGrid>
      <w:tr w:rsidR="00905B1B" w:rsidRPr="00905B1B" w:rsidTr="00A01931">
        <w:tc>
          <w:tcPr>
            <w:tcW w:w="8296" w:type="dxa"/>
            <w:shd w:val="clear" w:color="auto" w:fill="002060"/>
          </w:tcPr>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Jautājums:</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Pagastos pašvaldības dzīvokļi izīrēti pagastu iedzīvotājiem, kuri paši to apsaimnieko. Pašvaldība iekasē īres maksu. Ja gadījumā būs konstatēts vērtības samazinājums, kā veikt to pareizo aprēķinu?</w:t>
            </w:r>
          </w:p>
        </w:tc>
      </w:tr>
    </w:tbl>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Atbilde:</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lastRenderedPageBreak/>
        <w:t xml:space="preserve">Atbilstoši MK 13.02.2019. noteikumu Nr.87 “Grāmatvedības uzskaites kārtība budžeta iestādēs” 65. un 77.punktam pašvaldībai jāizvērtē būvju lietošanas mērķis un jāklasificē pamatlīdzekļu sastāvā, ja tās izmanto funkciju izpildei (piemēram, nodrošināt </w:t>
      </w:r>
      <w:r w:rsidR="003D7062">
        <w:rPr>
          <w:rFonts w:ascii="Times New Roman" w:hAnsi="Times New Roman" w:cs="Times New Roman"/>
          <w:noProof/>
          <w:sz w:val="24"/>
          <w:szCs w:val="24"/>
          <w:lang w:eastAsia="lv-LV"/>
        </w:rPr>
        <mc:AlternateContent>
          <mc:Choice Requires="wps">
            <w:drawing>
              <wp:anchor distT="0" distB="0" distL="114300" distR="114300" simplePos="0" relativeHeight="251709440" behindDoc="1" locked="0" layoutInCell="1" allowOverlap="1" wp14:anchorId="08D79DB8" wp14:editId="3F34B88C">
                <wp:simplePos x="0" y="0"/>
                <wp:positionH relativeFrom="margin">
                  <wp:posOffset>2379205</wp:posOffset>
                </wp:positionH>
                <wp:positionV relativeFrom="paragraph">
                  <wp:posOffset>69644</wp:posOffset>
                </wp:positionV>
                <wp:extent cx="2876550" cy="1828800"/>
                <wp:effectExtent l="0" t="0" r="19050" b="19050"/>
                <wp:wrapTight wrapText="bothSides">
                  <wp:wrapPolygon edited="0">
                    <wp:start x="0" y="0"/>
                    <wp:lineTo x="0" y="21600"/>
                    <wp:lineTo x="21600" y="21600"/>
                    <wp:lineTo x="21600" y="0"/>
                    <wp:lineTo x="0" y="0"/>
                  </wp:wrapPolygon>
                </wp:wrapTight>
                <wp:docPr id="31" name="Rectangle 31"/>
                <wp:cNvGraphicFramePr/>
                <a:graphic xmlns:a="http://schemas.openxmlformats.org/drawingml/2006/main">
                  <a:graphicData uri="http://schemas.microsoft.com/office/word/2010/wordprocessingShape">
                    <wps:wsp>
                      <wps:cNvSpPr/>
                      <wps:spPr>
                        <a:xfrm>
                          <a:off x="0" y="0"/>
                          <a:ext cx="2876550" cy="1828800"/>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7B3873" w:rsidP="00905B1B">
                            <w:pPr>
                              <w:jc w:val="both"/>
                              <w:rPr>
                                <w:rFonts w:ascii="Arial" w:hAnsi="Arial" w:cs="Arial"/>
                                <w:i/>
                                <w:color w:val="0070C0"/>
                                <w:sz w:val="16"/>
                                <w:szCs w:val="16"/>
                              </w:rPr>
                            </w:pPr>
                            <w:hyperlink r:id="rId35" w:anchor="p77" w:history="1">
                              <w:r w:rsidR="00A01931" w:rsidRPr="00905B1B">
                                <w:rPr>
                                  <w:rStyle w:val="Hyperlink"/>
                                  <w:rFonts w:ascii="Arial" w:hAnsi="Arial" w:cs="Arial"/>
                                  <w:i/>
                                  <w:sz w:val="16"/>
                                  <w:szCs w:val="16"/>
                                </w:rPr>
                                <w:t>77</w:t>
                              </w:r>
                            </w:hyperlink>
                            <w:r w:rsidR="00A01931" w:rsidRPr="00905B1B">
                              <w:rPr>
                                <w:rFonts w:ascii="Arial" w:hAnsi="Arial" w:cs="Arial"/>
                                <w:i/>
                                <w:color w:val="0070C0"/>
                                <w:sz w:val="16"/>
                                <w:szCs w:val="16"/>
                              </w:rPr>
                              <w:t>. Līdz gada pārskata sagatavošanai izvērtē un pārskata gada beigās pamatlīdzekļu sastāvā uzskaita zemi un būves, ja pārskata gadā tās: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77.1. lietotas funkciju nodrošināšanai;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77.2. iznomātas pilnībā vai daļēji vispārējā valdības sektora struktūru ietvaros;</w:t>
                            </w:r>
                          </w:p>
                          <w:p w:rsidR="00A01931" w:rsidRPr="00905B1B" w:rsidRDefault="00A01931" w:rsidP="00905B1B">
                            <w:pPr>
                              <w:spacing w:after="120"/>
                              <w:jc w:val="both"/>
                              <w:rPr>
                                <w:rFonts w:ascii="Arial" w:hAnsi="Arial" w:cs="Arial"/>
                                <w:i/>
                                <w:color w:val="0070C0"/>
                                <w:sz w:val="16"/>
                                <w:szCs w:val="16"/>
                              </w:rPr>
                            </w:pPr>
                            <w:r w:rsidRPr="00905B1B">
                              <w:rPr>
                                <w:rFonts w:ascii="Arial" w:hAnsi="Arial" w:cs="Arial"/>
                                <w:i/>
                                <w:color w:val="0070C0"/>
                                <w:sz w:val="16"/>
                                <w:szCs w:val="16"/>
                              </w:rPr>
                              <w:t>77.3. lietotas gan funkciju nodrošināšanai, gan iznomātas ārpus vispārējā valdības sektora struktūrām.</w:t>
                            </w:r>
                          </w:p>
                          <w:p w:rsidR="00A01931" w:rsidRPr="00905B1B" w:rsidRDefault="007B3873" w:rsidP="00905B1B">
                            <w:pPr>
                              <w:jc w:val="both"/>
                              <w:rPr>
                                <w:rFonts w:ascii="Arial" w:hAnsi="Arial" w:cs="Arial"/>
                                <w:i/>
                                <w:color w:val="0070C0"/>
                                <w:sz w:val="16"/>
                                <w:szCs w:val="16"/>
                              </w:rPr>
                            </w:pPr>
                            <w:hyperlink r:id="rId36" w:anchor="p123" w:history="1">
                              <w:r w:rsidR="00A01931" w:rsidRPr="00905B1B">
                                <w:rPr>
                                  <w:rStyle w:val="Hyperlink"/>
                                  <w:rFonts w:ascii="Arial" w:hAnsi="Arial" w:cs="Arial"/>
                                  <w:i/>
                                  <w:sz w:val="16"/>
                                  <w:szCs w:val="16"/>
                                </w:rPr>
                                <w:t>123</w:t>
                              </w:r>
                            </w:hyperlink>
                            <w:r w:rsidR="00A01931" w:rsidRPr="00905B1B">
                              <w:rPr>
                                <w:rFonts w:ascii="Arial" w:hAnsi="Arial" w:cs="Arial"/>
                                <w:i/>
                                <w:color w:val="0070C0"/>
                                <w:sz w:val="16"/>
                                <w:szCs w:val="16"/>
                              </w:rPr>
                              <w:t>. Ilgtermiņa nefinanšu aktīva (izņemot ieguldījuma īpašumu) lietošanas vērtības noteikšanai piemēro šādas metodes: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123.1. amortizēto aizstāšanas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123.2. atjaunošanas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123.3. pakalpojuma vienību metodi.</w:t>
                            </w:r>
                          </w:p>
                          <w:p w:rsidR="00A01931" w:rsidRPr="00905B1B" w:rsidRDefault="00A01931" w:rsidP="00905B1B">
                            <w:pPr>
                              <w:jc w:val="center"/>
                              <w:rPr>
                                <w:rFonts w:ascii="Arial" w:hAnsi="Arial" w:cs="Arial"/>
                                <w:i/>
                                <w:color w:val="0070C0"/>
                                <w:sz w:val="16"/>
                                <w:szCs w:val="16"/>
                              </w:rPr>
                            </w:pP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79DB8" id="Rectangle 31" o:spid="_x0000_s1038" style="position:absolute;left:0;text-align:left;margin-left:187.35pt;margin-top:5.5pt;width:226.5pt;height:2in;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" fillcolor="window" strokecolor="#5b9bd5" strokeweight="1pt">
                <v:textbox>
                  <w:txbxContent>
                    <w:p w:rsidR="00A01931" w:rsidRPr="00905B1B" w:rsidRDefault="00425C5C" w:rsidP="00905B1B">
                      <w:pPr>
                        <w:jc w:val="both"/>
                        <w:rPr>
                          <w:rFonts w:ascii="Arial" w:hAnsi="Arial" w:cs="Arial"/>
                          <w:i/>
                          <w:color w:val="0070C0"/>
                          <w:sz w:val="16"/>
                          <w:szCs w:val="16"/>
                        </w:rPr>
                      </w:pPr>
                      <w:hyperlink r:id="rId37" w:anchor="p77" w:history="1">
                        <w:r w:rsidR="00A01931" w:rsidRPr="00905B1B">
                          <w:rPr>
                            <w:rStyle w:val="Hyperlink"/>
                            <w:rFonts w:ascii="Arial" w:hAnsi="Arial" w:cs="Arial"/>
                            <w:i/>
                            <w:sz w:val="16"/>
                            <w:szCs w:val="16"/>
                          </w:rPr>
                          <w:t>77</w:t>
                        </w:r>
                      </w:hyperlink>
                      <w:r w:rsidR="00A01931" w:rsidRPr="00905B1B">
                        <w:rPr>
                          <w:rFonts w:ascii="Arial" w:hAnsi="Arial" w:cs="Arial"/>
                          <w:i/>
                          <w:color w:val="0070C0"/>
                          <w:sz w:val="16"/>
                          <w:szCs w:val="16"/>
                        </w:rPr>
                        <w:t>. Līdz gada pārskata sagatavošanai izvērtē un pārskata gada beigās pamatlīdzekļu sastāvā uzskaita zemi un būves, ja pārskata gadā tās: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77.1. lietotas funkciju nodrošināšanai;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77.2. iznomātas pilnībā vai daļēji vispārējā valdības sektora struktūru ietvaros;</w:t>
                      </w:r>
                    </w:p>
                    <w:p w:rsidR="00A01931" w:rsidRPr="00905B1B" w:rsidRDefault="00A01931" w:rsidP="00905B1B">
                      <w:pPr>
                        <w:spacing w:after="120"/>
                        <w:jc w:val="both"/>
                        <w:rPr>
                          <w:rFonts w:ascii="Arial" w:hAnsi="Arial" w:cs="Arial"/>
                          <w:i/>
                          <w:color w:val="0070C0"/>
                          <w:sz w:val="16"/>
                          <w:szCs w:val="16"/>
                        </w:rPr>
                      </w:pPr>
                      <w:r w:rsidRPr="00905B1B">
                        <w:rPr>
                          <w:rFonts w:ascii="Arial" w:hAnsi="Arial" w:cs="Arial"/>
                          <w:i/>
                          <w:color w:val="0070C0"/>
                          <w:sz w:val="16"/>
                          <w:szCs w:val="16"/>
                        </w:rPr>
                        <w:t>77.3. lietotas gan funkciju nodrošināšanai, gan iznomātas ārpus vispārējā valdības sektora struktūrām.</w:t>
                      </w:r>
                    </w:p>
                    <w:p w:rsidR="00A01931" w:rsidRPr="00905B1B" w:rsidRDefault="00425C5C" w:rsidP="00905B1B">
                      <w:pPr>
                        <w:jc w:val="both"/>
                        <w:rPr>
                          <w:rFonts w:ascii="Arial" w:hAnsi="Arial" w:cs="Arial"/>
                          <w:i/>
                          <w:color w:val="0070C0"/>
                          <w:sz w:val="16"/>
                          <w:szCs w:val="16"/>
                        </w:rPr>
                      </w:pPr>
                      <w:hyperlink r:id="rId38" w:anchor="p123" w:history="1">
                        <w:r w:rsidR="00A01931" w:rsidRPr="00905B1B">
                          <w:rPr>
                            <w:rStyle w:val="Hyperlink"/>
                            <w:rFonts w:ascii="Arial" w:hAnsi="Arial" w:cs="Arial"/>
                            <w:i/>
                            <w:sz w:val="16"/>
                            <w:szCs w:val="16"/>
                          </w:rPr>
                          <w:t>123</w:t>
                        </w:r>
                      </w:hyperlink>
                      <w:r w:rsidR="00A01931" w:rsidRPr="00905B1B">
                        <w:rPr>
                          <w:rFonts w:ascii="Arial" w:hAnsi="Arial" w:cs="Arial"/>
                          <w:i/>
                          <w:color w:val="0070C0"/>
                          <w:sz w:val="16"/>
                          <w:szCs w:val="16"/>
                        </w:rPr>
                        <w:t xml:space="preserve">. Ilgtermiņa </w:t>
                      </w:r>
                      <w:proofErr w:type="spellStart"/>
                      <w:r w:rsidR="00A01931" w:rsidRPr="00905B1B">
                        <w:rPr>
                          <w:rFonts w:ascii="Arial" w:hAnsi="Arial" w:cs="Arial"/>
                          <w:i/>
                          <w:color w:val="0070C0"/>
                          <w:sz w:val="16"/>
                          <w:szCs w:val="16"/>
                        </w:rPr>
                        <w:t>nefinanšu</w:t>
                      </w:r>
                      <w:proofErr w:type="spellEnd"/>
                      <w:r w:rsidR="00A01931" w:rsidRPr="00905B1B">
                        <w:rPr>
                          <w:rFonts w:ascii="Arial" w:hAnsi="Arial" w:cs="Arial"/>
                          <w:i/>
                          <w:color w:val="0070C0"/>
                          <w:sz w:val="16"/>
                          <w:szCs w:val="16"/>
                        </w:rPr>
                        <w:t xml:space="preserve"> aktīva (izņemot ieguldījuma īpašumu) lietošanas vērtības noteikšanai piemēro šādas metodes:</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123.1. amortizēto aizstāšanas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123.2. atjaunošanas izmaksu metodi;</w:t>
                      </w:r>
                    </w:p>
                    <w:p w:rsidR="00A01931" w:rsidRPr="00905B1B" w:rsidRDefault="00A01931" w:rsidP="00905B1B">
                      <w:pPr>
                        <w:jc w:val="both"/>
                        <w:rPr>
                          <w:rFonts w:ascii="Arial" w:hAnsi="Arial" w:cs="Arial"/>
                          <w:i/>
                          <w:color w:val="0070C0"/>
                          <w:sz w:val="16"/>
                          <w:szCs w:val="16"/>
                        </w:rPr>
                      </w:pPr>
                      <w:r w:rsidRPr="00905B1B">
                        <w:rPr>
                          <w:rFonts w:ascii="Arial" w:hAnsi="Arial" w:cs="Arial"/>
                          <w:i/>
                          <w:color w:val="0070C0"/>
                          <w:sz w:val="16"/>
                          <w:szCs w:val="16"/>
                        </w:rPr>
                        <w:t>123.3. pakalpojuma vienību metodi.</w:t>
                      </w:r>
                    </w:p>
                    <w:p w:rsidR="00A01931" w:rsidRPr="00905B1B" w:rsidRDefault="00A01931" w:rsidP="00905B1B">
                      <w:pPr>
                        <w:jc w:val="center"/>
                        <w:rPr>
                          <w:rFonts w:ascii="Arial" w:hAnsi="Arial" w:cs="Arial"/>
                          <w:i/>
                          <w:color w:val="0070C0"/>
                          <w:sz w:val="16"/>
                          <w:szCs w:val="16"/>
                        </w:rPr>
                      </w:pP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v:textbox>
                <w10:wrap type="tight" anchorx="margin"/>
              </v:rect>
            </w:pict>
          </mc:Fallback>
        </mc:AlternateContent>
      </w:r>
      <w:r w:rsidRPr="00905B1B">
        <w:rPr>
          <w:rFonts w:ascii="Times New Roman" w:hAnsi="Times New Roman" w:cs="Times New Roman"/>
          <w:sz w:val="24"/>
        </w:rPr>
        <w:t>iedzīvotājus ar dzīvojamo platību par samaksu). Ja būves neizmanto funkciju izpildei, tad tās klasificē ieguldījuma īpašumu sastāvā.</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Pamatlīdzekļu sastāvā klasificētiem aktīviem pārskata gada beigās izvērtē MK noteikumu Nr.87 116.punkta minētās vērtības samazinājuma pazīmes un, ja tādas konstatē, tad vērtības samazinājumu nosaka saskaņā ar šo noteikumu 120.-123.punktu.</w:t>
      </w:r>
    </w:p>
    <w:p w:rsidR="00905B1B" w:rsidRPr="00905B1B" w:rsidRDefault="00905B1B" w:rsidP="00905B1B">
      <w:pPr>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11488" behindDoc="1" locked="0" layoutInCell="1" allowOverlap="1" wp14:anchorId="3E3EBCFB" wp14:editId="4739091A">
                <wp:simplePos x="0" y="0"/>
                <wp:positionH relativeFrom="margin">
                  <wp:posOffset>20320</wp:posOffset>
                </wp:positionH>
                <wp:positionV relativeFrom="paragraph">
                  <wp:posOffset>839470</wp:posOffset>
                </wp:positionV>
                <wp:extent cx="5226050" cy="1114425"/>
                <wp:effectExtent l="0" t="0" r="12700" b="28575"/>
                <wp:wrapTight wrapText="bothSides">
                  <wp:wrapPolygon edited="0">
                    <wp:start x="0" y="0"/>
                    <wp:lineTo x="0" y="21785"/>
                    <wp:lineTo x="21574" y="21785"/>
                    <wp:lineTo x="21574" y="0"/>
                    <wp:lineTo x="0" y="0"/>
                  </wp:wrapPolygon>
                </wp:wrapTight>
                <wp:docPr id="1377" name="Rectangle 1377"/>
                <wp:cNvGraphicFramePr/>
                <a:graphic xmlns:a="http://schemas.openxmlformats.org/drawingml/2006/main">
                  <a:graphicData uri="http://schemas.microsoft.com/office/word/2010/wordprocessingShape">
                    <wps:wsp>
                      <wps:cNvSpPr/>
                      <wps:spPr>
                        <a:xfrm>
                          <a:off x="0" y="0"/>
                          <a:ext cx="5226050" cy="111442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905B1B" w:rsidRDefault="007B3873" w:rsidP="00905B1B">
                            <w:pPr>
                              <w:spacing w:after="120"/>
                              <w:jc w:val="both"/>
                              <w:rPr>
                                <w:rFonts w:ascii="Arial" w:hAnsi="Arial" w:cs="Arial"/>
                                <w:i/>
                                <w:color w:val="0070C0"/>
                                <w:sz w:val="16"/>
                                <w:szCs w:val="16"/>
                              </w:rPr>
                            </w:pPr>
                            <w:hyperlink r:id="rId39" w:anchor="p78" w:history="1">
                              <w:r w:rsidR="00A01931" w:rsidRPr="00905B1B">
                                <w:rPr>
                                  <w:rStyle w:val="Hyperlink"/>
                                  <w:rFonts w:ascii="Arial" w:hAnsi="Arial" w:cs="Arial"/>
                                  <w:i/>
                                  <w:sz w:val="16"/>
                                  <w:szCs w:val="16"/>
                                </w:rPr>
                                <w:t>78</w:t>
                              </w:r>
                            </w:hyperlink>
                            <w:r w:rsidR="00A01931" w:rsidRPr="00905B1B">
                              <w:rPr>
                                <w:rFonts w:ascii="Arial" w:hAnsi="Arial" w:cs="Arial"/>
                                <w:i/>
                                <w:color w:val="0070C0"/>
                                <w:sz w:val="16"/>
                                <w:szCs w:val="16"/>
                              </w:rPr>
                              <w:t>. Zemi vai būves pārskata gada beigās uzskaita ieguldījuma īpašumu sastāvā, ja tās neatbilst šo noteikumu 77. punktā minētajiem kritērijiem (piemēram, tās paredzētas iznomāšanai ārpus vispārējās valdības sektora struktūrām vai nav pieņemts lēmums par to izmantošanu).</w:t>
                            </w:r>
                          </w:p>
                          <w:p w:rsidR="00A01931" w:rsidRPr="00905B1B" w:rsidRDefault="007B3873" w:rsidP="00905B1B">
                            <w:pPr>
                              <w:jc w:val="both"/>
                              <w:rPr>
                                <w:rFonts w:ascii="Arial" w:hAnsi="Arial" w:cs="Arial"/>
                                <w:i/>
                                <w:color w:val="0070C0"/>
                                <w:sz w:val="16"/>
                                <w:szCs w:val="16"/>
                              </w:rPr>
                            </w:pPr>
                            <w:hyperlink r:id="rId40" w:anchor="p127" w:history="1">
                              <w:r w:rsidR="00A01931" w:rsidRPr="00905B1B">
                                <w:rPr>
                                  <w:rStyle w:val="Hyperlink"/>
                                  <w:rFonts w:ascii="Arial" w:hAnsi="Arial" w:cs="Arial"/>
                                  <w:i/>
                                  <w:sz w:val="16"/>
                                  <w:szCs w:val="16"/>
                                </w:rPr>
                                <w:t>127</w:t>
                              </w:r>
                            </w:hyperlink>
                            <w:r w:rsidR="00A01931" w:rsidRPr="00905B1B">
                              <w:rPr>
                                <w:rFonts w:ascii="Arial" w:hAnsi="Arial" w:cs="Arial"/>
                                <w:i/>
                                <w:color w:val="0070C0"/>
                                <w:sz w:val="16"/>
                                <w:szCs w:val="16"/>
                              </w:rPr>
                              <w:t>. 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A01931" w:rsidRPr="00905B1B" w:rsidRDefault="00A01931" w:rsidP="00905B1B">
                            <w:pPr>
                              <w:jc w:val="both"/>
                              <w:rPr>
                                <w:rFonts w:ascii="Arial" w:hAnsi="Arial" w:cs="Arial"/>
                                <w:i/>
                                <w:color w:val="0070C0"/>
                                <w:sz w:val="16"/>
                                <w:szCs w:val="16"/>
                              </w:rPr>
                            </w:pP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EBCFB" id="Rectangle 1377" o:spid="_x0000_s1039" style="position:absolute;left:0;text-align:left;margin-left:1.6pt;margin-top:66.1pt;width:411.5pt;height:87.7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" fillcolor="window" strokecolor="#5b9bd5" strokeweight="1pt">
                <v:textbox>
                  <w:txbxContent>
                    <w:p w:rsidR="00A01931" w:rsidRPr="00905B1B" w:rsidRDefault="00425C5C" w:rsidP="00905B1B">
                      <w:pPr>
                        <w:spacing w:after="120"/>
                        <w:jc w:val="both"/>
                        <w:rPr>
                          <w:rFonts w:ascii="Arial" w:hAnsi="Arial" w:cs="Arial"/>
                          <w:i/>
                          <w:color w:val="0070C0"/>
                          <w:sz w:val="16"/>
                          <w:szCs w:val="16"/>
                        </w:rPr>
                      </w:pPr>
                      <w:hyperlink r:id="rId41" w:anchor="p78" w:history="1">
                        <w:r w:rsidR="00A01931" w:rsidRPr="00905B1B">
                          <w:rPr>
                            <w:rStyle w:val="Hyperlink"/>
                            <w:rFonts w:ascii="Arial" w:hAnsi="Arial" w:cs="Arial"/>
                            <w:i/>
                            <w:sz w:val="16"/>
                            <w:szCs w:val="16"/>
                          </w:rPr>
                          <w:t>78</w:t>
                        </w:r>
                      </w:hyperlink>
                      <w:r w:rsidR="00A01931" w:rsidRPr="00905B1B">
                        <w:rPr>
                          <w:rFonts w:ascii="Arial" w:hAnsi="Arial" w:cs="Arial"/>
                          <w:i/>
                          <w:color w:val="0070C0"/>
                          <w:sz w:val="16"/>
                          <w:szCs w:val="16"/>
                        </w:rPr>
                        <w:t>. Zemi vai būves pārskata gada beigās uzskaita ieguldījuma īpašumu sastāvā, ja tās neatbilst šo noteikumu 77. punktā minētajiem kritērijiem (piemēram, tās paredzētas iznomāšanai ārpus vispārējās valdības sektora struktūrām vai nav pieņemts lēmums par to izmantošanu).</w:t>
                      </w:r>
                    </w:p>
                    <w:p w:rsidR="00A01931" w:rsidRPr="00905B1B" w:rsidRDefault="00425C5C" w:rsidP="00905B1B">
                      <w:pPr>
                        <w:jc w:val="both"/>
                        <w:rPr>
                          <w:rFonts w:ascii="Arial" w:hAnsi="Arial" w:cs="Arial"/>
                          <w:i/>
                          <w:color w:val="0070C0"/>
                          <w:sz w:val="16"/>
                          <w:szCs w:val="16"/>
                        </w:rPr>
                      </w:pPr>
                      <w:hyperlink r:id="rId42" w:anchor="p127" w:history="1">
                        <w:r w:rsidR="00A01931" w:rsidRPr="00905B1B">
                          <w:rPr>
                            <w:rStyle w:val="Hyperlink"/>
                            <w:rFonts w:ascii="Arial" w:hAnsi="Arial" w:cs="Arial"/>
                            <w:i/>
                            <w:sz w:val="16"/>
                            <w:szCs w:val="16"/>
                          </w:rPr>
                          <w:t>127</w:t>
                        </w:r>
                      </w:hyperlink>
                      <w:r w:rsidR="00A01931" w:rsidRPr="00905B1B">
                        <w:rPr>
                          <w:rFonts w:ascii="Arial" w:hAnsi="Arial" w:cs="Arial"/>
                          <w:i/>
                          <w:color w:val="0070C0"/>
                          <w:sz w:val="16"/>
                          <w:szCs w:val="16"/>
                        </w:rPr>
                        <w:t>. Ieguldījuma īpašuma lietošanas vērtību nosaka, aplēšot nākotnes ienākošo un izejošo naudas plūsmu pašreizējo (diskontēto) vērtību, ko budžeta iestāde plāno saņemt no turpmākās aktīva lietošanas tā pašreizējā stāvoklī un no tā atsavināšanas lietderīgās lietošanas laika beigās, ņemot vērā šo plūsmu apjoma vai rašanās laika iespējamās izmaiņas. Pašreizējo vērtību aprēķina, izmantojot atbilstošu Valsts kases tīmekļvietnē publicēto diskonta likmi.</w:t>
                      </w:r>
                    </w:p>
                    <w:p w:rsidR="00A01931" w:rsidRPr="00905B1B" w:rsidRDefault="00A01931" w:rsidP="00905B1B">
                      <w:pPr>
                        <w:jc w:val="both"/>
                        <w:rPr>
                          <w:rFonts w:ascii="Arial" w:hAnsi="Arial" w:cs="Arial"/>
                          <w:i/>
                          <w:color w:val="0070C0"/>
                          <w:sz w:val="16"/>
                          <w:szCs w:val="16"/>
                        </w:rPr>
                      </w:pPr>
                    </w:p>
                    <w:p w:rsidR="00A01931" w:rsidRPr="00905B1B" w:rsidRDefault="00A01931" w:rsidP="00905B1B">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v:textbox>
                <w10:wrap type="tight" anchorx="margin"/>
              </v:rect>
            </w:pict>
          </mc:Fallback>
        </mc:AlternateContent>
      </w:r>
      <w:r w:rsidRPr="00905B1B">
        <w:rPr>
          <w:rFonts w:ascii="Times New Roman" w:hAnsi="Times New Roman" w:cs="Times New Roman"/>
          <w:sz w:val="24"/>
        </w:rPr>
        <w:t>Ieguldījuma īpašumu sastāvā klasificētam aktīvam pārskata gada beigās izvērtē MK noteikumu Nr.87 117.punkta minētās vērtības samazinājuma pazīmes. Ja konstatē kādu no pazīmēm, tad vērtības samazinājumu nosaka saskaņā ar šo noteikumu 120. – 122. un 127.punktu.</w:t>
      </w:r>
      <w:r w:rsidRPr="00905B1B">
        <w:rPr>
          <w:rFonts w:ascii="Times New Roman" w:hAnsi="Times New Roman" w:cs="Times New Roman"/>
          <w:noProof/>
          <w:sz w:val="24"/>
          <w:szCs w:val="24"/>
          <w:lang w:eastAsia="lv-LV"/>
        </w:rPr>
        <w:t xml:space="preserve"> </w:t>
      </w:r>
    </w:p>
    <w:p w:rsidR="00905B1B" w:rsidRPr="00905B1B" w:rsidRDefault="00905B1B" w:rsidP="00905B1B">
      <w:pPr>
        <w:jc w:val="both"/>
        <w:rPr>
          <w:rFonts w:ascii="Times New Roman" w:hAnsi="Times New Roman" w:cs="Times New Roman"/>
          <w:sz w:val="24"/>
        </w:rPr>
      </w:pPr>
    </w:p>
    <w:tbl>
      <w:tblPr>
        <w:tblStyle w:val="TableGrid"/>
        <w:tblW w:w="0" w:type="auto"/>
        <w:tblLook w:val="04A0" w:firstRow="1" w:lastRow="0" w:firstColumn="1" w:lastColumn="0" w:noHBand="0" w:noVBand="1"/>
      </w:tblPr>
      <w:tblGrid>
        <w:gridCol w:w="8296"/>
      </w:tblGrid>
      <w:tr w:rsidR="00905B1B" w:rsidRPr="00905B1B" w:rsidTr="00A01931">
        <w:tc>
          <w:tcPr>
            <w:tcW w:w="8296" w:type="dxa"/>
            <w:shd w:val="clear" w:color="auto" w:fill="002060"/>
          </w:tcPr>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Jautājums:</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Vai ir jāveic vērtības samazinājumu zemei, kura nodota nomā?</w:t>
            </w:r>
          </w:p>
        </w:tc>
      </w:tr>
    </w:tbl>
    <w:p w:rsidR="00905B1B" w:rsidRPr="00905B1B" w:rsidRDefault="00905B1B" w:rsidP="00905B1B">
      <w:pPr>
        <w:rPr>
          <w:rFonts w:ascii="Times New Roman" w:hAnsi="Times New Roman" w:cs="Times New Roman"/>
          <w:sz w:val="24"/>
        </w:rPr>
      </w:pPr>
      <w:r w:rsidRPr="00905B1B">
        <w:rPr>
          <w:rFonts w:ascii="Times New Roman" w:hAnsi="Times New Roman" w:cs="Times New Roman"/>
          <w:sz w:val="24"/>
        </w:rPr>
        <w:t>Atbilde:</w:t>
      </w:r>
    </w:p>
    <w:p w:rsidR="00905B1B" w:rsidRPr="00905B1B" w:rsidRDefault="00A30913" w:rsidP="00905B1B">
      <w:pPr>
        <w:jc w:val="both"/>
        <w:rPr>
          <w:rFonts w:ascii="Times New Roman" w:hAnsi="Times New Roman" w:cs="Times New Roman"/>
          <w:sz w:val="24"/>
        </w:rPr>
      </w:pPr>
      <w:r>
        <w:rPr>
          <w:rFonts w:ascii="Times New Roman" w:hAnsi="Times New Roman" w:cs="Times New Roman"/>
          <w:noProof/>
          <w:sz w:val="24"/>
          <w:szCs w:val="24"/>
          <w:lang w:eastAsia="lv-LV"/>
        </w:rPr>
        <mc:AlternateContent>
          <mc:Choice Requires="wps">
            <w:drawing>
              <wp:anchor distT="0" distB="0" distL="114300" distR="114300" simplePos="0" relativeHeight="251713536" behindDoc="1" locked="0" layoutInCell="1" allowOverlap="1" wp14:anchorId="171A6576" wp14:editId="50CCDE7A">
                <wp:simplePos x="0" y="0"/>
                <wp:positionH relativeFrom="margin">
                  <wp:posOffset>3094363</wp:posOffset>
                </wp:positionH>
                <wp:positionV relativeFrom="paragraph">
                  <wp:posOffset>54726</wp:posOffset>
                </wp:positionV>
                <wp:extent cx="2152650" cy="714375"/>
                <wp:effectExtent l="0" t="0" r="19050" b="28575"/>
                <wp:wrapTight wrapText="bothSides">
                  <wp:wrapPolygon edited="0">
                    <wp:start x="0" y="0"/>
                    <wp:lineTo x="0" y="21888"/>
                    <wp:lineTo x="21600" y="21888"/>
                    <wp:lineTo x="21600" y="0"/>
                    <wp:lineTo x="0" y="0"/>
                  </wp:wrapPolygon>
                </wp:wrapTight>
                <wp:docPr id="1378" name="Rectangle 1378"/>
                <wp:cNvGraphicFramePr/>
                <a:graphic xmlns:a="http://schemas.openxmlformats.org/drawingml/2006/main">
                  <a:graphicData uri="http://schemas.microsoft.com/office/word/2010/wordprocessingShape">
                    <wps:wsp>
                      <wps:cNvSpPr/>
                      <wps:spPr>
                        <a:xfrm>
                          <a:off x="0" y="0"/>
                          <a:ext cx="2152650" cy="71437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A30913" w:rsidRDefault="007B3873" w:rsidP="00A30913">
                            <w:pPr>
                              <w:spacing w:after="120"/>
                              <w:jc w:val="both"/>
                              <w:rPr>
                                <w:rFonts w:ascii="Arial" w:hAnsi="Arial" w:cs="Arial"/>
                                <w:i/>
                                <w:color w:val="0070C0"/>
                                <w:sz w:val="16"/>
                                <w:szCs w:val="16"/>
                              </w:rPr>
                            </w:pPr>
                            <w:hyperlink r:id="rId43" w:anchor="p114" w:history="1">
                              <w:r w:rsidR="00A01931" w:rsidRPr="00A30913">
                                <w:rPr>
                                  <w:rStyle w:val="Hyperlink"/>
                                  <w:rFonts w:ascii="Arial" w:hAnsi="Arial" w:cs="Arial"/>
                                  <w:i/>
                                  <w:sz w:val="16"/>
                                  <w:szCs w:val="16"/>
                                </w:rPr>
                                <w:t>114</w:t>
                              </w:r>
                            </w:hyperlink>
                            <w:r w:rsidR="00A01931" w:rsidRPr="00A30913">
                              <w:rPr>
                                <w:rFonts w:ascii="Arial" w:hAnsi="Arial" w:cs="Arial"/>
                                <w:i/>
                                <w:color w:val="0070C0"/>
                                <w:sz w:val="16"/>
                                <w:szCs w:val="16"/>
                              </w:rPr>
                              <w:t>. Katra pārskata perioda beigās novērtē, vai nepastāv pazīmes, kas norāda uz to ilgtermiņa nefinanšu aktīvu vērtības būtisku samazinājumu, kurus uzskaita saskaņā ar izmaksu metodi.</w:t>
                            </w:r>
                          </w:p>
                          <w:p w:rsidR="00A01931" w:rsidRPr="00A30913" w:rsidRDefault="00A01931" w:rsidP="00A30913">
                            <w:pPr>
                              <w:jc w:val="center"/>
                              <w:rPr>
                                <w:rFonts w:ascii="Arial" w:hAnsi="Arial" w:cs="Arial"/>
                                <w:i/>
                                <w:color w:val="0070C0"/>
                                <w:sz w:val="16"/>
                                <w:szCs w:val="16"/>
                              </w:rPr>
                            </w:pPr>
                          </w:p>
                          <w:p w:rsidR="00A01931" w:rsidRPr="00A30913" w:rsidRDefault="00A01931" w:rsidP="00A30913">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A6576" id="Rectangle 1378" o:spid="_x0000_s1040" style="position:absolute;left:0;text-align:left;margin-left:243.65pt;margin-top:4.3pt;width:169.5pt;height:56.2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" fillcolor="window" strokecolor="#5b9bd5" strokeweight="1pt">
                <v:textbox>
                  <w:txbxContent>
                    <w:p w:rsidR="00A01931" w:rsidRPr="00A30913" w:rsidRDefault="00425C5C" w:rsidP="00A30913">
                      <w:pPr>
                        <w:spacing w:after="120"/>
                        <w:jc w:val="both"/>
                        <w:rPr>
                          <w:rFonts w:ascii="Arial" w:hAnsi="Arial" w:cs="Arial"/>
                          <w:i/>
                          <w:color w:val="0070C0"/>
                          <w:sz w:val="16"/>
                          <w:szCs w:val="16"/>
                        </w:rPr>
                      </w:pPr>
                      <w:hyperlink r:id="rId44" w:anchor="p114" w:history="1">
                        <w:r w:rsidR="00A01931" w:rsidRPr="00A30913">
                          <w:rPr>
                            <w:rStyle w:val="Hyperlink"/>
                            <w:rFonts w:ascii="Arial" w:hAnsi="Arial" w:cs="Arial"/>
                            <w:i/>
                            <w:sz w:val="16"/>
                            <w:szCs w:val="16"/>
                          </w:rPr>
                          <w:t>114</w:t>
                        </w:r>
                      </w:hyperlink>
                      <w:r w:rsidR="00A01931" w:rsidRPr="00A30913">
                        <w:rPr>
                          <w:rFonts w:ascii="Arial" w:hAnsi="Arial" w:cs="Arial"/>
                          <w:i/>
                          <w:color w:val="0070C0"/>
                          <w:sz w:val="16"/>
                          <w:szCs w:val="16"/>
                        </w:rPr>
                        <w:t xml:space="preserve">. Katra pārskata perioda beigās novērtē, vai nepastāv pazīmes, kas norāda uz to ilgtermiņa </w:t>
                      </w:r>
                      <w:proofErr w:type="spellStart"/>
                      <w:r w:rsidR="00A01931" w:rsidRPr="00A30913">
                        <w:rPr>
                          <w:rFonts w:ascii="Arial" w:hAnsi="Arial" w:cs="Arial"/>
                          <w:i/>
                          <w:color w:val="0070C0"/>
                          <w:sz w:val="16"/>
                          <w:szCs w:val="16"/>
                        </w:rPr>
                        <w:t>nefinanšu</w:t>
                      </w:r>
                      <w:proofErr w:type="spellEnd"/>
                      <w:r w:rsidR="00A01931" w:rsidRPr="00A30913">
                        <w:rPr>
                          <w:rFonts w:ascii="Arial" w:hAnsi="Arial" w:cs="Arial"/>
                          <w:i/>
                          <w:color w:val="0070C0"/>
                          <w:sz w:val="16"/>
                          <w:szCs w:val="16"/>
                        </w:rPr>
                        <w:t xml:space="preserve"> aktīvu vērtības būtisku samazinājumu, kurus uzskaita saskaņā ar izmaksu metodi.</w:t>
                      </w:r>
                    </w:p>
                    <w:p w:rsidR="00A01931" w:rsidRPr="00A30913" w:rsidRDefault="00A01931" w:rsidP="00A30913">
                      <w:pPr>
                        <w:jc w:val="center"/>
                        <w:rPr>
                          <w:rFonts w:ascii="Arial" w:hAnsi="Arial" w:cs="Arial"/>
                          <w:i/>
                          <w:color w:val="0070C0"/>
                          <w:sz w:val="16"/>
                          <w:szCs w:val="16"/>
                        </w:rPr>
                      </w:pPr>
                    </w:p>
                    <w:p w:rsidR="00A01931" w:rsidRPr="00A30913" w:rsidRDefault="00A01931" w:rsidP="00A30913">
                      <w:pPr>
                        <w:pStyle w:val="tv213"/>
                        <w:shd w:val="clear" w:color="auto" w:fill="FFFFFF"/>
                        <w:spacing w:before="0" w:beforeAutospacing="0" w:after="0" w:afterAutospacing="0"/>
                        <w:ind w:firstLine="300"/>
                        <w:jc w:val="both"/>
                        <w:rPr>
                          <w:rFonts w:ascii="Arial" w:eastAsiaTheme="minorHAnsi" w:hAnsi="Arial" w:cs="Arial"/>
                          <w:i/>
                          <w:color w:val="0070C0"/>
                          <w:sz w:val="16"/>
                          <w:szCs w:val="16"/>
                          <w:lang w:eastAsia="en-US"/>
                        </w:rPr>
                      </w:pPr>
                    </w:p>
                  </w:txbxContent>
                </v:textbox>
                <w10:wrap type="tight" anchorx="margin"/>
              </v:rect>
            </w:pict>
          </mc:Fallback>
        </mc:AlternateContent>
      </w:r>
      <w:r w:rsidR="00905B1B" w:rsidRPr="00905B1B">
        <w:rPr>
          <w:rFonts w:ascii="Times New Roman" w:hAnsi="Times New Roman" w:cs="Times New Roman"/>
          <w:sz w:val="24"/>
        </w:rPr>
        <w:t xml:space="preserve">Atbilstoši MK 13.02.2019. noteikumu Nr.87 “Grāmatvedības uzskaites kārtība budžeta iestādēs” 114.punktam vērtības samazinājuma pazīmes pārskata gada beigās </w:t>
      </w:r>
      <w:r w:rsidR="00905B1B" w:rsidRPr="00905B1B">
        <w:rPr>
          <w:rFonts w:ascii="Times New Roman" w:hAnsi="Times New Roman" w:cs="Times New Roman"/>
          <w:b/>
          <w:sz w:val="24"/>
        </w:rPr>
        <w:t>izvērtē</w:t>
      </w:r>
      <w:r w:rsidR="00905B1B" w:rsidRPr="00905B1B">
        <w:rPr>
          <w:rFonts w:ascii="Times New Roman" w:hAnsi="Times New Roman" w:cs="Times New Roman"/>
          <w:sz w:val="24"/>
        </w:rPr>
        <w:t xml:space="preserve"> visiem nefinanšu aktīviem, tai skaitā zemei. </w:t>
      </w:r>
    </w:p>
    <w:p w:rsidR="00905B1B" w:rsidRPr="00905B1B" w:rsidRDefault="00905B1B" w:rsidP="00905B1B">
      <w:pPr>
        <w:jc w:val="both"/>
        <w:rPr>
          <w:rFonts w:ascii="Times New Roman" w:hAnsi="Times New Roman" w:cs="Times New Roman"/>
          <w:sz w:val="24"/>
        </w:rPr>
      </w:pPr>
      <w:r w:rsidRPr="00905B1B">
        <w:rPr>
          <w:rFonts w:ascii="Times New Roman" w:hAnsi="Times New Roman" w:cs="Times New Roman"/>
          <w:sz w:val="24"/>
        </w:rPr>
        <w:t>Pamatlīdzekļu sastāvā klasificētiem aktīviem pārskata gada beigās izvērtē MK noteikumu Nr.87 116.punkta minētās vērtības samazinājuma pazīmes un, ja tādas konstatē, tad vērtības samazinājumu nosaka saskaņā ar šo noteikumu 120.-123.punktu.</w:t>
      </w:r>
    </w:p>
    <w:p w:rsidR="00905B1B" w:rsidRDefault="00905B1B" w:rsidP="00905B1B">
      <w:pPr>
        <w:jc w:val="both"/>
        <w:rPr>
          <w:rFonts w:ascii="Times New Roman" w:hAnsi="Times New Roman" w:cs="Times New Roman"/>
          <w:sz w:val="24"/>
        </w:rPr>
      </w:pPr>
      <w:r w:rsidRPr="00905B1B">
        <w:rPr>
          <w:rFonts w:ascii="Times New Roman" w:hAnsi="Times New Roman" w:cs="Times New Roman"/>
          <w:sz w:val="24"/>
        </w:rPr>
        <w:lastRenderedPageBreak/>
        <w:t>Ieguldījuma īpašumu sastāvā klasificētam aktīvam pārskata gada beigās izvērtē MK noteikumu Nr.87 117.punkta minētās vērtības samazinājuma pazīmes. Ja konstatē kādu no pazīmēm, tad vērtības samazinājumu nosaka saskaņā ar šo noteikumu 120.-122. un 127.punktu.</w:t>
      </w:r>
    </w:p>
    <w:p w:rsidR="00A30913" w:rsidRPr="00905B1B" w:rsidRDefault="00A30913" w:rsidP="00905B1B">
      <w:pPr>
        <w:jc w:val="both"/>
        <w:rPr>
          <w:rFonts w:ascii="Times New Roman" w:hAnsi="Times New Roman" w:cs="Times New Roman"/>
          <w:sz w:val="24"/>
        </w:rPr>
      </w:pPr>
    </w:p>
    <w:p w:rsidR="0005300E" w:rsidRPr="00905B1B" w:rsidRDefault="0005300E" w:rsidP="003D7062">
      <w:pPr>
        <w:pStyle w:val="1Virsraksts"/>
        <w:spacing w:line="240" w:lineRule="auto"/>
        <w:rPr>
          <w:vanish/>
          <w:specVanish/>
        </w:rPr>
      </w:pPr>
      <w:bookmarkStart w:id="3" w:name="_Toc20303054"/>
      <w:r w:rsidRPr="0005300E">
        <w:lastRenderedPageBreak/>
        <w:t>Inventāra uzskaite daudzuma vienībās</w:t>
      </w:r>
      <w:bookmarkEnd w:id="3"/>
    </w:p>
    <w:tbl>
      <w:tblPr>
        <w:tblStyle w:val="TableGrid"/>
        <w:tblW w:w="8642" w:type="dxa"/>
        <w:tblLook w:val="04A0" w:firstRow="1" w:lastRow="0" w:firstColumn="1" w:lastColumn="0" w:noHBand="0" w:noVBand="1"/>
      </w:tblPr>
      <w:tblGrid>
        <w:gridCol w:w="8642"/>
      </w:tblGrid>
      <w:tr w:rsidR="006F77A7" w:rsidRPr="00DB54CB" w:rsidTr="007F304D">
        <w:tc>
          <w:tcPr>
            <w:tcW w:w="8642" w:type="dxa"/>
            <w:shd w:val="clear" w:color="auto" w:fill="002060"/>
          </w:tcPr>
          <w:p w:rsidR="006F77A7" w:rsidRPr="00DB54CB" w:rsidRDefault="00905B1B" w:rsidP="003D7062">
            <w:pPr>
              <w:rPr>
                <w:rFonts w:ascii="Times New Roman" w:hAnsi="Times New Roman" w:cs="Times New Roman"/>
                <w:sz w:val="24"/>
              </w:rPr>
            </w:pPr>
            <w:r>
              <w:rPr>
                <w:rFonts w:ascii="Times New Roman" w:hAnsi="Times New Roman" w:cs="Times New Roman"/>
                <w:sz w:val="24"/>
              </w:rPr>
              <w:t xml:space="preserve"> </w:t>
            </w:r>
            <w:r w:rsidR="006F77A7" w:rsidRPr="00DB54CB">
              <w:rPr>
                <w:rFonts w:ascii="Times New Roman" w:hAnsi="Times New Roman" w:cs="Times New Roman"/>
                <w:sz w:val="24"/>
              </w:rPr>
              <w:t>Jautājums:</w:t>
            </w:r>
          </w:p>
          <w:p w:rsidR="006F77A7" w:rsidRPr="00DB54CB" w:rsidRDefault="006F77A7" w:rsidP="003D7062">
            <w:pPr>
              <w:rPr>
                <w:rFonts w:ascii="Times New Roman" w:hAnsi="Times New Roman" w:cs="Times New Roman"/>
                <w:sz w:val="24"/>
              </w:rPr>
            </w:pPr>
            <w:r w:rsidRPr="006F77A7">
              <w:rPr>
                <w:rFonts w:ascii="Times New Roman" w:hAnsi="Times New Roman" w:cs="Times New Roman"/>
                <w:sz w:val="24"/>
              </w:rPr>
              <w:t xml:space="preserve">Vai </w:t>
            </w:r>
            <w:r>
              <w:rPr>
                <w:rFonts w:ascii="Times New Roman" w:hAnsi="Times New Roman" w:cs="Times New Roman"/>
                <w:sz w:val="24"/>
              </w:rPr>
              <w:t xml:space="preserve">inventāram </w:t>
            </w:r>
            <w:r w:rsidRPr="006F77A7">
              <w:rPr>
                <w:rFonts w:ascii="Times New Roman" w:hAnsi="Times New Roman" w:cs="Times New Roman"/>
                <w:sz w:val="24"/>
              </w:rPr>
              <w:t>var</w:t>
            </w:r>
            <w:r>
              <w:rPr>
                <w:rFonts w:ascii="Times New Roman" w:hAnsi="Times New Roman" w:cs="Times New Roman"/>
                <w:sz w:val="24"/>
              </w:rPr>
              <w:t xml:space="preserve"> noteikt minimālo vērtību, līdz kurai izsniedzot lietošanā inve</w:t>
            </w:r>
            <w:r w:rsidR="007F304D">
              <w:rPr>
                <w:rFonts w:ascii="Times New Roman" w:hAnsi="Times New Roman" w:cs="Times New Roman"/>
                <w:sz w:val="24"/>
              </w:rPr>
              <w:t>n</w:t>
            </w:r>
            <w:r>
              <w:rPr>
                <w:rFonts w:ascii="Times New Roman" w:hAnsi="Times New Roman" w:cs="Times New Roman"/>
                <w:sz w:val="24"/>
              </w:rPr>
              <w:t xml:space="preserve">tāru to noraksta gan summāri, gan daudzuma vienībās. </w:t>
            </w:r>
            <w:r w:rsidRPr="006F77A7">
              <w:rPr>
                <w:rFonts w:ascii="Times New Roman" w:hAnsi="Times New Roman" w:cs="Times New Roman"/>
                <w:sz w:val="24"/>
              </w:rPr>
              <w:t xml:space="preserve"> </w:t>
            </w:r>
          </w:p>
        </w:tc>
      </w:tr>
    </w:tbl>
    <w:p w:rsidR="006F77A7" w:rsidRDefault="006F77A7" w:rsidP="006F77A7">
      <w:pPr>
        <w:rPr>
          <w:rFonts w:ascii="Times New Roman" w:hAnsi="Times New Roman" w:cs="Times New Roman"/>
          <w:sz w:val="24"/>
        </w:rPr>
      </w:pPr>
      <w:r w:rsidRPr="00DB54CB">
        <w:rPr>
          <w:rFonts w:ascii="Times New Roman" w:hAnsi="Times New Roman" w:cs="Times New Roman"/>
          <w:sz w:val="24"/>
        </w:rPr>
        <w:t>Atbilde:</w:t>
      </w:r>
    </w:p>
    <w:p w:rsidR="00671CC9" w:rsidRDefault="00671CC9" w:rsidP="007F304D">
      <w:pPr>
        <w:rPr>
          <w:rFonts w:ascii="Times New Roman" w:hAnsi="Times New Roman" w:cs="Times New Roman"/>
          <w:sz w:val="24"/>
          <w:szCs w:val="24"/>
        </w:rPr>
      </w:pPr>
    </w:p>
    <w:p w:rsidR="0005300E" w:rsidRPr="005F0999" w:rsidRDefault="00A30913" w:rsidP="00671CC9">
      <w:pPr>
        <w:jc w:val="both"/>
        <w:rPr>
          <w:rFonts w:ascii="Times New Roman" w:hAnsi="Times New Roman" w:cs="Times New Roman"/>
          <w:color w:val="FF0000"/>
          <w:sz w:val="24"/>
          <w:szCs w:val="24"/>
        </w:rPr>
      </w:pPr>
      <w:r w:rsidRPr="005F099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75648" behindDoc="1" locked="0" layoutInCell="1" allowOverlap="1" wp14:anchorId="3273268D" wp14:editId="317BBFDB">
                <wp:simplePos x="0" y="0"/>
                <wp:positionH relativeFrom="margin">
                  <wp:posOffset>3171825</wp:posOffset>
                </wp:positionH>
                <wp:positionV relativeFrom="paragraph">
                  <wp:posOffset>10795</wp:posOffset>
                </wp:positionV>
                <wp:extent cx="2301875" cy="1752600"/>
                <wp:effectExtent l="0" t="0" r="22225" b="19050"/>
                <wp:wrapTight wrapText="bothSides">
                  <wp:wrapPolygon edited="0">
                    <wp:start x="0" y="0"/>
                    <wp:lineTo x="0" y="21600"/>
                    <wp:lineTo x="21630" y="21600"/>
                    <wp:lineTo x="21630"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2301875" cy="175260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7B3873" w:rsidP="0005300E">
                            <w:pPr>
                              <w:rPr>
                                <w:rFonts w:ascii="Arial" w:hAnsi="Arial" w:cs="Arial"/>
                                <w:i/>
                                <w:color w:val="0070C0"/>
                                <w:sz w:val="16"/>
                                <w:szCs w:val="16"/>
                                <w:shd w:val="clear" w:color="auto" w:fill="FFFFFF"/>
                              </w:rPr>
                            </w:pPr>
                            <w:hyperlink r:id="rId45" w:anchor="p224" w:history="1">
                              <w:r w:rsidR="00A01931" w:rsidRPr="00A30913">
                                <w:rPr>
                                  <w:rStyle w:val="Hyperlink"/>
                                  <w:rFonts w:ascii="Arial" w:hAnsi="Arial" w:cs="Arial"/>
                                  <w:i/>
                                  <w:sz w:val="16"/>
                                  <w:szCs w:val="16"/>
                                  <w:shd w:val="clear" w:color="auto" w:fill="FFFFFF"/>
                                </w:rPr>
                                <w:t>224</w:t>
                              </w:r>
                            </w:hyperlink>
                            <w:r w:rsidR="00A01931" w:rsidRPr="00A30913">
                              <w:rPr>
                                <w:rFonts w:ascii="Arial" w:hAnsi="Arial" w:cs="Arial"/>
                                <w:i/>
                                <w:color w:val="0070C0"/>
                                <w:sz w:val="16"/>
                                <w:szCs w:val="16"/>
                                <w:shd w:val="clear" w:color="auto" w:fill="FFFFFF"/>
                              </w:rPr>
                              <w:t>. Krājumu vērtību atzīst izdevumos pārskata periodā, kurā tos: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224.1. nodod lietošanā;</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224.2. pārdod, apmaina, nodod finanšu nomā vai izplata bez maksas vai par minimālu samaksu un kurā atzīst atbilstošos ieņēmumus. Ja atbilstošo ieņēmumu nav, izdevumus atzīst periodā, kad nodotas preces vai sniegts pakalpojums, kuram izmanto krājumus;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224.3. faktiski izlieto (piemēram, kurināmo, degvielu un smērvielas);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224.4. likvidē, konstatē krājumu iztrūkumu vai prettiesisku atsavināšanu.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3268D" id="Text Box 10" o:spid="_x0000_s1041" type="#_x0000_t202" style="position:absolute;left:0;text-align:left;margin-left:249.75pt;margin-top:.85pt;width:181.25pt;height:138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" fillcolor="window" strokecolor="#4472c4" strokeweight="1pt">
                <v:textbox>
                  <w:txbxContent>
                    <w:p w:rsidR="00A01931" w:rsidRPr="00A30913" w:rsidRDefault="00425C5C" w:rsidP="0005300E">
                      <w:pPr>
                        <w:rPr>
                          <w:rFonts w:ascii="Arial" w:hAnsi="Arial" w:cs="Arial"/>
                          <w:i/>
                          <w:color w:val="0070C0"/>
                          <w:sz w:val="16"/>
                          <w:szCs w:val="16"/>
                          <w:shd w:val="clear" w:color="auto" w:fill="FFFFFF"/>
                        </w:rPr>
                      </w:pPr>
                      <w:hyperlink r:id="rId46" w:anchor="p224" w:history="1">
                        <w:r w:rsidR="00A01931" w:rsidRPr="00A30913">
                          <w:rPr>
                            <w:rStyle w:val="Hyperlink"/>
                            <w:rFonts w:ascii="Arial" w:hAnsi="Arial" w:cs="Arial"/>
                            <w:i/>
                            <w:sz w:val="16"/>
                            <w:szCs w:val="16"/>
                            <w:shd w:val="clear" w:color="auto" w:fill="FFFFFF"/>
                          </w:rPr>
                          <w:t>224</w:t>
                        </w:r>
                      </w:hyperlink>
                      <w:r w:rsidR="00A01931" w:rsidRPr="00A30913">
                        <w:rPr>
                          <w:rFonts w:ascii="Arial" w:hAnsi="Arial" w:cs="Arial"/>
                          <w:i/>
                          <w:color w:val="0070C0"/>
                          <w:sz w:val="16"/>
                          <w:szCs w:val="16"/>
                          <w:shd w:val="clear" w:color="auto" w:fill="FFFFFF"/>
                        </w:rPr>
                        <w:t>. Krājumu vērtību atzīst izdevumos pārskata periodā, kurā tos: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224.1. nodod lietošanā;</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224.2. pārdod, apmaina, nodod finanšu nomā vai izplata bez maksas vai par minimālu samaksu un kurā atzīst atbilstošos ieņēmumus. Ja atbilstošo ieņēmumu nav, izdevumus atzīst periodā, kad nodotas preces vai sniegts pakalpojums, kuram izmanto krājumus;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224.3. faktiski izlieto (piemēram, kurināmo, degvielu un smērvielas);</w:t>
                      </w:r>
                    </w:p>
                    <w:p w:rsidR="00A01931" w:rsidRPr="00A30913" w:rsidRDefault="00A01931" w:rsidP="0005300E">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224.4. likvidē, konstatē krājumu iztrūkumu vai prettiesisku atsavināšanu.</w:t>
                      </w:r>
                    </w:p>
                  </w:txbxContent>
                </v:textbox>
                <w10:wrap type="tight" anchorx="margin"/>
              </v:shape>
            </w:pict>
          </mc:Fallback>
        </mc:AlternateContent>
      </w:r>
      <w:r w:rsidR="00671CC9">
        <w:rPr>
          <w:rFonts w:ascii="Times New Roman" w:hAnsi="Times New Roman" w:cs="Times New Roman"/>
          <w:sz w:val="24"/>
          <w:szCs w:val="24"/>
        </w:rPr>
        <w:t>K</w:t>
      </w:r>
      <w:r w:rsidR="0005300E">
        <w:rPr>
          <w:rFonts w:ascii="Times New Roman" w:hAnsi="Times New Roman" w:cs="Times New Roman"/>
          <w:sz w:val="24"/>
          <w:szCs w:val="24"/>
        </w:rPr>
        <w:t xml:space="preserve">rājumu, tai skaitā </w:t>
      </w:r>
      <w:r w:rsidR="0005300E" w:rsidRPr="005F0999">
        <w:rPr>
          <w:rFonts w:ascii="Times New Roman" w:hAnsi="Times New Roman" w:cs="Times New Roman"/>
          <w:sz w:val="24"/>
          <w:szCs w:val="24"/>
        </w:rPr>
        <w:t>inventāra</w:t>
      </w:r>
      <w:r w:rsidR="0005300E">
        <w:rPr>
          <w:rFonts w:ascii="Times New Roman" w:hAnsi="Times New Roman" w:cs="Times New Roman"/>
          <w:sz w:val="24"/>
          <w:szCs w:val="24"/>
        </w:rPr>
        <w:t>,</w:t>
      </w:r>
      <w:r w:rsidR="0005300E" w:rsidRPr="005F0999">
        <w:rPr>
          <w:rFonts w:ascii="Times New Roman" w:hAnsi="Times New Roman" w:cs="Times New Roman"/>
          <w:sz w:val="24"/>
          <w:szCs w:val="24"/>
        </w:rPr>
        <w:t xml:space="preserve"> vērtību atzīst izdevumos</w:t>
      </w:r>
      <w:r w:rsidR="0005300E">
        <w:rPr>
          <w:rFonts w:ascii="Times New Roman" w:hAnsi="Times New Roman" w:cs="Times New Roman"/>
          <w:sz w:val="24"/>
          <w:szCs w:val="24"/>
        </w:rPr>
        <w:t>, tos</w:t>
      </w:r>
      <w:r w:rsidR="0005300E" w:rsidRPr="005F0999">
        <w:rPr>
          <w:rFonts w:ascii="Times New Roman" w:hAnsi="Times New Roman" w:cs="Times New Roman"/>
          <w:sz w:val="24"/>
          <w:szCs w:val="24"/>
        </w:rPr>
        <w:t xml:space="preserve"> nododot lietošanā:</w:t>
      </w:r>
    </w:p>
    <w:p w:rsidR="0005300E" w:rsidRPr="005F0999" w:rsidRDefault="0005300E" w:rsidP="0005300E">
      <w:pPr>
        <w:rPr>
          <w:rFonts w:ascii="Times New Roman" w:hAnsi="Times New Roman" w:cs="Times New Roman"/>
          <w:i/>
          <w:sz w:val="24"/>
          <w:szCs w:val="24"/>
        </w:rPr>
      </w:pPr>
      <w:r w:rsidRPr="005F0999">
        <w:rPr>
          <w:rFonts w:ascii="Times New Roman" w:hAnsi="Times New Roman" w:cs="Times New Roman"/>
          <w:color w:val="FF0000"/>
          <w:sz w:val="24"/>
          <w:szCs w:val="24"/>
        </w:rPr>
        <w:tab/>
      </w:r>
      <w:r w:rsidRPr="005F0999">
        <w:rPr>
          <w:rFonts w:ascii="Times New Roman" w:hAnsi="Times New Roman" w:cs="Times New Roman"/>
          <w:i/>
          <w:sz w:val="24"/>
          <w:szCs w:val="24"/>
        </w:rPr>
        <w:t>D 7000 Pamatdarbības izdevumi</w:t>
      </w:r>
    </w:p>
    <w:p w:rsidR="0005300E" w:rsidRPr="005F0999" w:rsidRDefault="0005300E" w:rsidP="0005300E">
      <w:pPr>
        <w:rPr>
          <w:rFonts w:ascii="Times New Roman" w:hAnsi="Times New Roman" w:cs="Times New Roman"/>
          <w:i/>
          <w:sz w:val="24"/>
          <w:szCs w:val="24"/>
        </w:rPr>
      </w:pPr>
      <w:r w:rsidRPr="005F0999">
        <w:rPr>
          <w:rFonts w:ascii="Times New Roman" w:hAnsi="Times New Roman" w:cs="Times New Roman"/>
          <w:i/>
          <w:sz w:val="24"/>
          <w:szCs w:val="24"/>
        </w:rPr>
        <w:tab/>
        <w:t>K 2160 Inventārs</w:t>
      </w:r>
    </w:p>
    <w:p w:rsidR="0005300E" w:rsidRPr="005F0999" w:rsidRDefault="0005300E" w:rsidP="0005300E">
      <w:pPr>
        <w:rPr>
          <w:rFonts w:ascii="Times New Roman" w:hAnsi="Times New Roman" w:cs="Times New Roman"/>
          <w:i/>
          <w:sz w:val="24"/>
          <w:szCs w:val="24"/>
        </w:rPr>
      </w:pPr>
    </w:p>
    <w:p w:rsidR="0005300E" w:rsidRDefault="0005300E" w:rsidP="0005300E">
      <w:pPr>
        <w:rPr>
          <w:color w:val="FF0000"/>
        </w:rPr>
      </w:pPr>
    </w:p>
    <w:p w:rsidR="00A30913" w:rsidRDefault="00A30913" w:rsidP="0005300E">
      <w:pPr>
        <w:rPr>
          <w:color w:val="FF0000"/>
        </w:rPr>
      </w:pPr>
    </w:p>
    <w:p w:rsidR="00A30913" w:rsidRDefault="00A30913" w:rsidP="0005300E">
      <w:pPr>
        <w:rPr>
          <w:color w:val="FF0000"/>
        </w:rPr>
      </w:pPr>
    </w:p>
    <w:p w:rsidR="00A30913" w:rsidRDefault="00A30913" w:rsidP="0005300E">
      <w:pPr>
        <w:rPr>
          <w:color w:val="FF0000"/>
        </w:rPr>
      </w:pPr>
    </w:p>
    <w:p w:rsidR="00A30913" w:rsidRDefault="00A30913" w:rsidP="0005300E">
      <w:pPr>
        <w:rPr>
          <w:color w:val="FF0000"/>
        </w:rPr>
      </w:pPr>
    </w:p>
    <w:p w:rsidR="00A30913" w:rsidRDefault="00A30913" w:rsidP="0005300E">
      <w:pPr>
        <w:rPr>
          <w:color w:val="FF0000"/>
        </w:rPr>
      </w:pPr>
    </w:p>
    <w:p w:rsidR="00A30913" w:rsidRDefault="00A30913" w:rsidP="0005300E">
      <w:pPr>
        <w:rPr>
          <w:color w:val="FF0000"/>
        </w:rPr>
      </w:pPr>
    </w:p>
    <w:p w:rsidR="0005300E" w:rsidRPr="00092F82" w:rsidRDefault="00A30913" w:rsidP="0005300E">
      <w:pPr>
        <w:jc w:val="both"/>
        <w:rPr>
          <w:rFonts w:ascii="Times New Roman" w:hAnsi="Times New Roman" w:cs="Times New Roman"/>
          <w:sz w:val="24"/>
          <w:szCs w:val="24"/>
        </w:rPr>
      </w:pPr>
      <w:r w:rsidRPr="00092F82">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76672" behindDoc="1" locked="0" layoutInCell="1" allowOverlap="1" wp14:anchorId="7723CA64" wp14:editId="4BE2B263">
                <wp:simplePos x="0" y="0"/>
                <wp:positionH relativeFrom="margin">
                  <wp:posOffset>3170712</wp:posOffset>
                </wp:positionH>
                <wp:positionV relativeFrom="paragraph">
                  <wp:posOffset>65554</wp:posOffset>
                </wp:positionV>
                <wp:extent cx="2301875" cy="533400"/>
                <wp:effectExtent l="0" t="0" r="22225" b="19050"/>
                <wp:wrapTight wrapText="bothSides">
                  <wp:wrapPolygon edited="0">
                    <wp:start x="0" y="0"/>
                    <wp:lineTo x="0" y="21600"/>
                    <wp:lineTo x="21630" y="21600"/>
                    <wp:lineTo x="21630"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301875" cy="5334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01931" w:rsidRPr="00A30913" w:rsidRDefault="007B3873" w:rsidP="0005300E">
                            <w:pPr>
                              <w:rPr>
                                <w:rFonts w:ascii="Arial" w:hAnsi="Arial" w:cs="Arial"/>
                                <w:i/>
                                <w:color w:val="0070C0"/>
                                <w:sz w:val="16"/>
                                <w:szCs w:val="16"/>
                                <w:shd w:val="clear" w:color="auto" w:fill="FFFFFF"/>
                              </w:rPr>
                            </w:pPr>
                            <w:hyperlink r:id="rId47" w:anchor="p228" w:history="1">
                              <w:r w:rsidR="00A01931" w:rsidRPr="00A30913">
                                <w:rPr>
                                  <w:rStyle w:val="Hyperlink"/>
                                  <w:rFonts w:ascii="Arial" w:hAnsi="Arial" w:cs="Arial"/>
                                  <w:i/>
                                  <w:sz w:val="16"/>
                                  <w:szCs w:val="16"/>
                                  <w:shd w:val="clear" w:color="auto" w:fill="FFFFFF"/>
                                </w:rPr>
                                <w:t>228</w:t>
                              </w:r>
                            </w:hyperlink>
                            <w:r w:rsidR="00A01931" w:rsidRPr="00A30913">
                              <w:rPr>
                                <w:rFonts w:ascii="Arial" w:hAnsi="Arial" w:cs="Arial"/>
                                <w:i/>
                                <w:color w:val="0070C0"/>
                                <w:sz w:val="16"/>
                                <w:szCs w:val="16"/>
                                <w:shd w:val="clear" w:color="auto" w:fill="FFFFFF"/>
                              </w:rPr>
                              <w:t>. Inventāra uzskaiti nodrošina daudzuma vienībās arī pēc atzīšanas izdevumos līdz tā izslēgšanai no uzskaites.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CA64" id="Text Box 11" o:spid="_x0000_s1042" type="#_x0000_t202" style="position:absolute;left:0;text-align:left;margin-left:249.65pt;margin-top:5.15pt;width:181.25pt;height:42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" fillcolor="white [3201]" strokecolor="#5b9bd5 [3204]" strokeweight="1pt">
                <v:textbox>
                  <w:txbxContent>
                    <w:p w:rsidR="00A01931" w:rsidRPr="00A30913" w:rsidRDefault="00425C5C" w:rsidP="0005300E">
                      <w:pPr>
                        <w:rPr>
                          <w:rFonts w:ascii="Arial" w:hAnsi="Arial" w:cs="Arial"/>
                          <w:i/>
                          <w:color w:val="0070C0"/>
                          <w:sz w:val="16"/>
                          <w:szCs w:val="16"/>
                          <w:shd w:val="clear" w:color="auto" w:fill="FFFFFF"/>
                        </w:rPr>
                      </w:pPr>
                      <w:hyperlink r:id="rId48" w:anchor="p228" w:history="1">
                        <w:r w:rsidR="00A01931" w:rsidRPr="00A30913">
                          <w:rPr>
                            <w:rStyle w:val="Hyperlink"/>
                            <w:rFonts w:ascii="Arial" w:hAnsi="Arial" w:cs="Arial"/>
                            <w:i/>
                            <w:sz w:val="16"/>
                            <w:szCs w:val="16"/>
                            <w:shd w:val="clear" w:color="auto" w:fill="FFFFFF"/>
                          </w:rPr>
                          <w:t>228</w:t>
                        </w:r>
                      </w:hyperlink>
                      <w:r w:rsidR="00A01931" w:rsidRPr="00A30913">
                        <w:rPr>
                          <w:rFonts w:ascii="Arial" w:hAnsi="Arial" w:cs="Arial"/>
                          <w:i/>
                          <w:color w:val="0070C0"/>
                          <w:sz w:val="16"/>
                          <w:szCs w:val="16"/>
                          <w:shd w:val="clear" w:color="auto" w:fill="FFFFFF"/>
                        </w:rPr>
                        <w:t>. Inventāra uzskaiti nodrošina daudzuma vienībās arī pēc atzīšanas izdevumos līdz tā izslēgšanai no uzskaites.</w:t>
                      </w:r>
                    </w:p>
                  </w:txbxContent>
                </v:textbox>
                <w10:wrap type="tight" anchorx="margin"/>
              </v:shape>
            </w:pict>
          </mc:Fallback>
        </mc:AlternateContent>
      </w:r>
      <w:r w:rsidR="0005300E" w:rsidRPr="00092F82">
        <w:rPr>
          <w:rFonts w:ascii="Times New Roman" w:hAnsi="Times New Roman" w:cs="Times New Roman"/>
          <w:sz w:val="24"/>
          <w:szCs w:val="24"/>
        </w:rPr>
        <w:t xml:space="preserve">Lai inventarizācijas veikšanas laikā lietošanā </w:t>
      </w:r>
      <w:r w:rsidR="0005300E">
        <w:rPr>
          <w:rFonts w:ascii="Times New Roman" w:hAnsi="Times New Roman" w:cs="Times New Roman"/>
          <w:sz w:val="24"/>
          <w:szCs w:val="24"/>
        </w:rPr>
        <w:t>nodoto</w:t>
      </w:r>
      <w:r w:rsidR="0005300E" w:rsidRPr="00092F82">
        <w:rPr>
          <w:rFonts w:ascii="Times New Roman" w:hAnsi="Times New Roman" w:cs="Times New Roman"/>
          <w:sz w:val="24"/>
          <w:szCs w:val="24"/>
        </w:rPr>
        <w:t xml:space="preserve"> inventāru</w:t>
      </w:r>
      <w:r w:rsidR="0005300E">
        <w:rPr>
          <w:rFonts w:ascii="Times New Roman" w:hAnsi="Times New Roman" w:cs="Times New Roman"/>
          <w:sz w:val="24"/>
          <w:szCs w:val="24"/>
        </w:rPr>
        <w:t>, kurš uzskaitīts kontu grupā</w:t>
      </w:r>
      <w:r w:rsidR="007F304D">
        <w:rPr>
          <w:rFonts w:ascii="Times New Roman" w:hAnsi="Times New Roman" w:cs="Times New Roman"/>
          <w:sz w:val="24"/>
          <w:szCs w:val="24"/>
        </w:rPr>
        <w:t xml:space="preserve"> 2160 “Inventārs”</w:t>
      </w:r>
      <w:r w:rsidR="0005300E">
        <w:rPr>
          <w:rFonts w:ascii="Times New Roman" w:hAnsi="Times New Roman" w:cs="Times New Roman"/>
          <w:sz w:val="24"/>
          <w:szCs w:val="24"/>
        </w:rPr>
        <w:t>,</w:t>
      </w:r>
      <w:r w:rsidR="0005300E" w:rsidRPr="00092F82">
        <w:rPr>
          <w:rFonts w:ascii="Times New Roman" w:hAnsi="Times New Roman" w:cs="Times New Roman"/>
          <w:sz w:val="24"/>
          <w:szCs w:val="24"/>
        </w:rPr>
        <w:t xml:space="preserve"> varētu identificēt</w:t>
      </w:r>
      <w:r w:rsidR="0005300E">
        <w:rPr>
          <w:rFonts w:ascii="Times New Roman" w:hAnsi="Times New Roman" w:cs="Times New Roman"/>
          <w:sz w:val="24"/>
          <w:szCs w:val="24"/>
        </w:rPr>
        <w:t xml:space="preserve">, šī inventāra </w:t>
      </w:r>
      <w:r w:rsidR="0005300E" w:rsidRPr="00092F82">
        <w:rPr>
          <w:rFonts w:ascii="Times New Roman" w:hAnsi="Times New Roman" w:cs="Times New Roman"/>
          <w:sz w:val="24"/>
          <w:szCs w:val="24"/>
        </w:rPr>
        <w:t>uzskaiti nodrošina daudzuma vienībās līdz izslēgšanai no uzskaites.</w:t>
      </w:r>
    </w:p>
    <w:p w:rsidR="0005300E" w:rsidRDefault="0005300E" w:rsidP="0005300E">
      <w:pPr>
        <w:rPr>
          <w:rFonts w:ascii="Times New Roman" w:eastAsia="Calibri" w:hAnsi="Times New Roman" w:cs="Times New Roman"/>
          <w:b/>
          <w:noProof/>
          <w:sz w:val="24"/>
          <w:szCs w:val="24"/>
          <w:lang w:eastAsia="lv-LV"/>
        </w:rPr>
      </w:pPr>
    </w:p>
    <w:p w:rsidR="00A30913" w:rsidRDefault="00A30913" w:rsidP="0005300E">
      <w:pPr>
        <w:rPr>
          <w:rFonts w:ascii="Times New Roman" w:eastAsia="Calibri" w:hAnsi="Times New Roman" w:cs="Times New Roman"/>
          <w:b/>
          <w:noProof/>
          <w:sz w:val="24"/>
          <w:szCs w:val="24"/>
          <w:lang w:eastAsia="lv-LV"/>
        </w:rPr>
      </w:pPr>
    </w:p>
    <w:p w:rsidR="007F304D" w:rsidRDefault="007F304D" w:rsidP="0005300E">
      <w:pPr>
        <w:rPr>
          <w:rFonts w:ascii="Times New Roman" w:eastAsia="Calibri" w:hAnsi="Times New Roman" w:cs="Times New Roman"/>
          <w:b/>
          <w:noProof/>
          <w:sz w:val="24"/>
          <w:szCs w:val="24"/>
          <w:lang w:eastAsia="lv-LV"/>
        </w:rPr>
      </w:pPr>
    </w:p>
    <w:p w:rsidR="0005300E" w:rsidRDefault="00A30913" w:rsidP="0005300E">
      <w:pPr>
        <w:jc w:val="both"/>
        <w:rPr>
          <w:rFonts w:ascii="Times New Roman" w:eastAsia="Calibri" w:hAnsi="Times New Roman" w:cs="Times New Roman"/>
          <w:noProof/>
          <w:sz w:val="24"/>
          <w:szCs w:val="24"/>
          <w:lang w:eastAsia="lv-LV"/>
        </w:rPr>
      </w:pPr>
      <w:r w:rsidRPr="00092F82">
        <w:rPr>
          <w:rFonts w:ascii="Times New Roman" w:eastAsia="Calibri" w:hAnsi="Times New Roman" w:cs="Times New Roman"/>
          <w:b/>
          <w:noProof/>
          <w:sz w:val="24"/>
          <w:szCs w:val="24"/>
          <w:lang w:eastAsia="lv-LV"/>
        </w:rPr>
        <w:lastRenderedPageBreak/>
        <mc:AlternateContent>
          <mc:Choice Requires="wps">
            <w:drawing>
              <wp:anchor distT="0" distB="0" distL="114300" distR="114300" simplePos="0" relativeHeight="251719680" behindDoc="1" locked="0" layoutInCell="1" allowOverlap="1" wp14:anchorId="01DCA5FF" wp14:editId="585D0D1D">
                <wp:simplePos x="0" y="0"/>
                <wp:positionH relativeFrom="margin">
                  <wp:posOffset>3167124</wp:posOffset>
                </wp:positionH>
                <wp:positionV relativeFrom="paragraph">
                  <wp:posOffset>70493</wp:posOffset>
                </wp:positionV>
                <wp:extent cx="2301875" cy="676275"/>
                <wp:effectExtent l="0" t="0" r="22225" b="28575"/>
                <wp:wrapTight wrapText="bothSides">
                  <wp:wrapPolygon edited="0">
                    <wp:start x="0" y="0"/>
                    <wp:lineTo x="0" y="21904"/>
                    <wp:lineTo x="21630" y="21904"/>
                    <wp:lineTo x="21630" y="0"/>
                    <wp:lineTo x="0" y="0"/>
                  </wp:wrapPolygon>
                </wp:wrapTight>
                <wp:docPr id="1381" name="Text Box 1381"/>
                <wp:cNvGraphicFramePr/>
                <a:graphic xmlns:a="http://schemas.openxmlformats.org/drawingml/2006/main">
                  <a:graphicData uri="http://schemas.microsoft.com/office/word/2010/wordprocessingShape">
                    <wps:wsp>
                      <wps:cNvSpPr txBox="1"/>
                      <wps:spPr>
                        <a:xfrm>
                          <a:off x="0" y="0"/>
                          <a:ext cx="2301875" cy="676275"/>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A30913" w:rsidRDefault="00A01931" w:rsidP="00A30913">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2160 Inventārs</w:t>
                            </w:r>
                          </w:p>
                          <w:p w:rsidR="00A01931" w:rsidRPr="00A30913" w:rsidRDefault="00A01931" w:rsidP="00A30913">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Kontu grupā uzskaita ilgstoši lietojamo, ātri nolietojamo un pārējo tamlīdzīgo inventāru, kā arī militāro inventāru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A5FF" id="Text Box 1381" o:spid="_x0000_s1043" type="#_x0000_t202" style="position:absolute;left:0;text-align:left;margin-left:249.4pt;margin-top:5.55pt;width:181.25pt;height:53.2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" fillcolor="window" strokecolor="#5b9bd5" strokeweight="1pt">
                <v:textbox>
                  <w:txbxContent>
                    <w:p w:rsidR="00A01931" w:rsidRPr="00A30913" w:rsidRDefault="00A01931" w:rsidP="00A30913">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2160 Inventārs</w:t>
                      </w:r>
                    </w:p>
                    <w:p w:rsidR="00A01931" w:rsidRPr="00A30913" w:rsidRDefault="00A01931" w:rsidP="00A30913">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Kontu grupā uzskaita ilgstoši lietojamo, ātri nolietojamo un pārējo tamlīdzīgo inventāru, kā arī militāro inventāru</w:t>
                      </w:r>
                    </w:p>
                  </w:txbxContent>
                </v:textbox>
                <w10:wrap type="tight" anchorx="margin"/>
              </v:shape>
            </w:pict>
          </mc:Fallback>
        </mc:AlternateContent>
      </w:r>
      <w:r w:rsidR="0005300E" w:rsidRPr="00092F82">
        <w:rPr>
          <w:rFonts w:ascii="Times New Roman" w:eastAsia="Calibri" w:hAnsi="Times New Roman" w:cs="Times New Roman"/>
          <w:noProof/>
          <w:sz w:val="24"/>
          <w:szCs w:val="24"/>
          <w:lang w:eastAsia="lv-LV"/>
        </w:rPr>
        <w:t>Budžeta iestādes grāmatvedības uzskaites kārtībā nosaka krājumu klasificēšanas kritērijus atbilstoši Ministru kabineta noteikumiem Nr. 87 “Grāmatvedības uzskaites kārtība budžeta iestādēs”. Ministru kabineta noteikumos nav paredzēta minimālā vērtība inventāra</w:t>
      </w:r>
      <w:r w:rsidR="0005300E">
        <w:rPr>
          <w:rFonts w:ascii="Times New Roman" w:eastAsia="Calibri" w:hAnsi="Times New Roman" w:cs="Times New Roman"/>
          <w:noProof/>
          <w:sz w:val="24"/>
          <w:szCs w:val="24"/>
          <w:lang w:eastAsia="lv-LV"/>
        </w:rPr>
        <w:t>m</w:t>
      </w:r>
      <w:r w:rsidR="0005300E" w:rsidRPr="00092F82">
        <w:rPr>
          <w:rFonts w:ascii="Times New Roman" w:eastAsia="Calibri" w:hAnsi="Times New Roman" w:cs="Times New Roman"/>
          <w:noProof/>
          <w:sz w:val="24"/>
          <w:szCs w:val="24"/>
          <w:lang w:eastAsia="lv-LV"/>
        </w:rPr>
        <w:t xml:space="preserve">, </w:t>
      </w:r>
      <w:r w:rsidR="0005300E">
        <w:rPr>
          <w:rFonts w:ascii="Times New Roman" w:eastAsia="Calibri" w:hAnsi="Times New Roman" w:cs="Times New Roman"/>
          <w:noProof/>
          <w:sz w:val="24"/>
          <w:szCs w:val="24"/>
          <w:lang w:eastAsia="lv-LV"/>
        </w:rPr>
        <w:t>kura</w:t>
      </w:r>
      <w:r w:rsidR="0005300E" w:rsidRPr="00092F82">
        <w:rPr>
          <w:rFonts w:ascii="Times New Roman" w:eastAsia="Calibri" w:hAnsi="Times New Roman" w:cs="Times New Roman"/>
          <w:noProof/>
          <w:sz w:val="24"/>
          <w:szCs w:val="24"/>
          <w:lang w:eastAsia="lv-LV"/>
        </w:rPr>
        <w:t xml:space="preserve"> uzskaiti daudzuma vienībās var neveikt.</w:t>
      </w:r>
    </w:p>
    <w:p w:rsidR="00A30913" w:rsidRDefault="00A30913" w:rsidP="0005300E">
      <w:pPr>
        <w:jc w:val="both"/>
        <w:rPr>
          <w:rFonts w:ascii="Times New Roman" w:eastAsia="Calibri" w:hAnsi="Times New Roman" w:cs="Times New Roman"/>
          <w:noProof/>
          <w:sz w:val="24"/>
          <w:szCs w:val="24"/>
          <w:lang w:eastAsia="lv-LV"/>
        </w:rPr>
      </w:pPr>
    </w:p>
    <w:p w:rsidR="00A30913" w:rsidRDefault="00A30913" w:rsidP="0005300E">
      <w:pPr>
        <w:jc w:val="both"/>
        <w:rPr>
          <w:rFonts w:ascii="Times New Roman" w:eastAsia="Calibri" w:hAnsi="Times New Roman" w:cs="Times New Roman"/>
          <w:noProof/>
          <w:sz w:val="24"/>
          <w:szCs w:val="24"/>
          <w:lang w:eastAsia="lv-LV"/>
        </w:rPr>
      </w:pPr>
    </w:p>
    <w:p w:rsidR="00A30913" w:rsidRPr="00092F82" w:rsidRDefault="00A30913" w:rsidP="0005300E">
      <w:pPr>
        <w:jc w:val="both"/>
        <w:rPr>
          <w:rFonts w:ascii="Times New Roman" w:hAnsi="Times New Roman" w:cs="Times New Roman"/>
          <w:color w:val="FF0000"/>
          <w:sz w:val="24"/>
          <w:szCs w:val="24"/>
        </w:rPr>
      </w:pPr>
    </w:p>
    <w:p w:rsidR="00414DF9" w:rsidRPr="00414DF9" w:rsidRDefault="00414DF9" w:rsidP="00905B1B">
      <w:pPr>
        <w:pStyle w:val="1Virsraksts"/>
      </w:pPr>
      <w:bookmarkStart w:id="4" w:name="_Toc20303055"/>
      <w:r w:rsidRPr="00414DF9">
        <w:lastRenderedPageBreak/>
        <w:t>Nākamo periodu ieņēmumi</w:t>
      </w:r>
      <w:bookmarkEnd w:id="4"/>
    </w:p>
    <w:p w:rsidR="00414DF9" w:rsidRDefault="00414DF9" w:rsidP="00EC3BC4">
      <w:pPr>
        <w:pStyle w:val="PlainText"/>
        <w:rPr>
          <w:rFonts w:ascii="Times New Roman" w:hAnsi="Times New Roman" w:cs="Times New Roman"/>
          <w:b/>
          <w:i/>
          <w:sz w:val="24"/>
          <w:szCs w:val="24"/>
        </w:rPr>
      </w:pPr>
    </w:p>
    <w:tbl>
      <w:tblPr>
        <w:tblStyle w:val="TableGrid"/>
        <w:tblW w:w="8926" w:type="dxa"/>
        <w:tblLook w:val="04A0" w:firstRow="1" w:lastRow="0" w:firstColumn="1" w:lastColumn="0" w:noHBand="0" w:noVBand="1"/>
      </w:tblPr>
      <w:tblGrid>
        <w:gridCol w:w="8926"/>
      </w:tblGrid>
      <w:tr w:rsidR="0014408D" w:rsidRPr="00DB54CB" w:rsidTr="007F304D">
        <w:tc>
          <w:tcPr>
            <w:tcW w:w="8926" w:type="dxa"/>
            <w:shd w:val="clear" w:color="auto" w:fill="002060"/>
          </w:tcPr>
          <w:p w:rsidR="0014408D" w:rsidRPr="00DB54CB" w:rsidRDefault="0014408D" w:rsidP="00A01931">
            <w:pPr>
              <w:rPr>
                <w:rFonts w:ascii="Times New Roman" w:hAnsi="Times New Roman" w:cs="Times New Roman"/>
                <w:sz w:val="24"/>
              </w:rPr>
            </w:pPr>
            <w:r w:rsidRPr="00DB54CB">
              <w:rPr>
                <w:rFonts w:ascii="Times New Roman" w:hAnsi="Times New Roman" w:cs="Times New Roman"/>
                <w:sz w:val="24"/>
              </w:rPr>
              <w:t>Jautājums:</w:t>
            </w:r>
          </w:p>
          <w:p w:rsidR="0014408D" w:rsidRPr="00DB54CB" w:rsidRDefault="0014408D" w:rsidP="007F304D">
            <w:pPr>
              <w:jc w:val="both"/>
              <w:rPr>
                <w:rFonts w:ascii="Times New Roman" w:hAnsi="Times New Roman" w:cs="Times New Roman"/>
                <w:sz w:val="24"/>
              </w:rPr>
            </w:pPr>
            <w:r w:rsidRPr="0014408D">
              <w:rPr>
                <w:rFonts w:ascii="Times New Roman" w:hAnsi="Times New Roman" w:cs="Times New Roman"/>
                <w:sz w:val="24"/>
              </w:rPr>
              <w:t>Vai konta 5914  (N</w:t>
            </w:r>
            <w:r w:rsidR="00AC1E72">
              <w:rPr>
                <w:rFonts w:ascii="Times New Roman" w:hAnsi="Times New Roman" w:cs="Times New Roman"/>
                <w:sz w:val="24"/>
              </w:rPr>
              <w:t>ā</w:t>
            </w:r>
            <w:r w:rsidRPr="0014408D">
              <w:rPr>
                <w:rFonts w:ascii="Times New Roman" w:hAnsi="Times New Roman" w:cs="Times New Roman"/>
                <w:sz w:val="24"/>
              </w:rPr>
              <w:t>kamo periodu ieņēmumi par saņemtajiem ziedojumiem</w:t>
            </w:r>
            <w:r w:rsidR="007F304D">
              <w:rPr>
                <w:rFonts w:ascii="Times New Roman" w:hAnsi="Times New Roman" w:cs="Times New Roman"/>
                <w:sz w:val="24"/>
              </w:rPr>
              <w:t xml:space="preserve"> un </w:t>
            </w:r>
            <w:r w:rsidRPr="0014408D">
              <w:rPr>
                <w:rFonts w:ascii="Times New Roman" w:hAnsi="Times New Roman" w:cs="Times New Roman"/>
                <w:sz w:val="24"/>
              </w:rPr>
              <w:t xml:space="preserve">dāvinājumiem) </w:t>
            </w:r>
            <w:r w:rsidR="00AC1E72">
              <w:rPr>
                <w:rFonts w:ascii="Times New Roman" w:hAnsi="Times New Roman" w:cs="Times New Roman"/>
                <w:sz w:val="24"/>
              </w:rPr>
              <w:t>uzskaitītos darījumus</w:t>
            </w:r>
            <w:r w:rsidRPr="0014408D">
              <w:rPr>
                <w:rFonts w:ascii="Times New Roman" w:hAnsi="Times New Roman" w:cs="Times New Roman"/>
                <w:sz w:val="24"/>
              </w:rPr>
              <w:t xml:space="preserve"> var pārskatīt jau 2019.gada laikā, nevis 31.12.2019.</w:t>
            </w:r>
          </w:p>
        </w:tc>
      </w:tr>
    </w:tbl>
    <w:p w:rsidR="0014408D" w:rsidRDefault="0014408D" w:rsidP="0014408D">
      <w:pPr>
        <w:rPr>
          <w:rFonts w:ascii="Times New Roman" w:hAnsi="Times New Roman" w:cs="Times New Roman"/>
          <w:sz w:val="24"/>
        </w:rPr>
      </w:pPr>
      <w:r w:rsidRPr="00DB54CB">
        <w:rPr>
          <w:rFonts w:ascii="Times New Roman" w:hAnsi="Times New Roman" w:cs="Times New Roman"/>
          <w:sz w:val="24"/>
        </w:rPr>
        <w:t>Atbilde:</w:t>
      </w:r>
    </w:p>
    <w:p w:rsidR="00EC3BC4" w:rsidRPr="008B18A9" w:rsidRDefault="00A30913" w:rsidP="003362CF">
      <w:pPr>
        <w:pStyle w:val="PlainText"/>
        <w:numPr>
          <w:ilvl w:val="0"/>
          <w:numId w:val="2"/>
        </w:numPr>
        <w:ind w:left="426"/>
        <w:jc w:val="both"/>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69504" behindDoc="1" locked="0" layoutInCell="1" allowOverlap="1" wp14:anchorId="418F700A" wp14:editId="1792CDA6">
                <wp:simplePos x="0" y="0"/>
                <wp:positionH relativeFrom="margin">
                  <wp:posOffset>3810124</wp:posOffset>
                </wp:positionH>
                <wp:positionV relativeFrom="page">
                  <wp:posOffset>2292556</wp:posOffset>
                </wp:positionV>
                <wp:extent cx="1831975" cy="4933950"/>
                <wp:effectExtent l="0" t="0" r="15875" b="19050"/>
                <wp:wrapTight wrapText="bothSides">
                  <wp:wrapPolygon edited="0">
                    <wp:start x="0" y="0"/>
                    <wp:lineTo x="0" y="21600"/>
                    <wp:lineTo x="21563" y="21600"/>
                    <wp:lineTo x="2156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831975" cy="493395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7B3873" w:rsidP="003362CF">
                            <w:pPr>
                              <w:jc w:val="both"/>
                              <w:rPr>
                                <w:rFonts w:ascii="Arial" w:hAnsi="Arial" w:cs="Arial"/>
                                <w:i/>
                                <w:color w:val="0070C0"/>
                                <w:sz w:val="16"/>
                                <w:szCs w:val="16"/>
                                <w:shd w:val="clear" w:color="auto" w:fill="FFFFFF"/>
                              </w:rPr>
                            </w:pPr>
                            <w:hyperlink r:id="rId49" w:anchor="p274" w:history="1">
                              <w:r w:rsidR="00A01931" w:rsidRPr="00A30913">
                                <w:rPr>
                                  <w:rStyle w:val="Hyperlink"/>
                                  <w:rFonts w:ascii="Arial" w:hAnsi="Arial" w:cs="Arial"/>
                                  <w:i/>
                                  <w:sz w:val="16"/>
                                  <w:szCs w:val="16"/>
                                  <w:shd w:val="clear" w:color="auto" w:fill="FFFFFF"/>
                                </w:rPr>
                                <w:t>274</w:t>
                              </w:r>
                            </w:hyperlink>
                            <w:r w:rsidR="00A01931" w:rsidRPr="00A30913">
                              <w:rPr>
                                <w:rFonts w:ascii="Arial" w:hAnsi="Arial" w:cs="Arial"/>
                                <w:i/>
                                <w:color w:val="0070C0"/>
                                <w:sz w:val="16"/>
                                <w:szCs w:val="16"/>
                                <w:shd w:val="clear" w:color="auto" w:fill="FFFFFF"/>
                              </w:rPr>
                              <w:t>. Budžeta iestāde izvērtē, vai tiesību aktos, saskaņā ar kuriem darījumā bez atlīdzības ir saņemti resursi, ir iekļauti nosacījumi attiecībā uz to, kā saņēmējam jālieto saņemtie resursi, un kas izpildāmi juridisku un administratīvu procesu ietvaros. Tiesību aktā ietvertais noteikums atbilst nosacījumam, ja vienlaikus:</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274.1. tas ietver preču vai pakalpojumu aprakstu un daudzumu, termiņu attiecīgās darbības veikšanai un resursu devēja uzraudzības pasākumus pār saņēmējam noteiktā pienākuma izpildi;</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274.2. saņēmējam resursi jālieto noteiktā veidā;</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274.3. šo noteikumu 274.2. apakšpunktā minētā nosacījuma pārkāpšanas gadījumā saņēmējam resursi jānodod atpakaļ resursu devējam. Izvērtējot šo kritēriju, ņem vērā budžeta iestādes iepriekšējo pieredzi līdzīgos darījumos vai ar to pašu darījumu partneri. Ja šādas pieredzes budžeta iestādei nav, uzskata, ka šis noteikums ir nosacījums.</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275. Saņemot aktīvu darījumā bez atlīdzības, atzīst saistības, ja ar saņemšanu saistītajos tiesību aktos ir ietverts šo noteikumu 274. punktā minētais nosacījums un:</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275.1. pastāv iespēja, ka nosacījuma izpildei būs nepieciešams resursu izlietojums;</w:t>
                            </w:r>
                          </w:p>
                          <w:p w:rsidR="00A01931" w:rsidRPr="00A30913" w:rsidRDefault="00A01931" w:rsidP="003362CF">
                            <w:pPr>
                              <w:jc w:val="both"/>
                              <w:rPr>
                                <w:rFonts w:ascii="Arial" w:hAnsi="Arial" w:cs="Arial"/>
                                <w:sz w:val="16"/>
                                <w:szCs w:val="16"/>
                              </w:rPr>
                            </w:pPr>
                            <w:r w:rsidRPr="00A30913">
                              <w:rPr>
                                <w:rFonts w:ascii="Arial" w:hAnsi="Arial" w:cs="Arial"/>
                                <w:i/>
                                <w:color w:val="0070C0"/>
                                <w:sz w:val="16"/>
                                <w:szCs w:val="16"/>
                                <w:shd w:val="clear" w:color="auto" w:fill="FFFFFF"/>
                              </w:rPr>
                              <w:t>275.2. nosacījuma izpildei nepieciešamo resursu summu var ticami aplēst.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F700A" id="Text Box 6" o:spid="_x0000_s1044" type="#_x0000_t202" style="position:absolute;left:0;text-align:left;margin-left:300pt;margin-top:180.5pt;width:144.25pt;height:388.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" fillcolor="window" strokecolor="#4472c4" strokeweight="1pt">
                <v:textbox>
                  <w:txbxContent>
                    <w:p w:rsidR="00A01931" w:rsidRPr="00A30913" w:rsidRDefault="00425C5C" w:rsidP="003362CF">
                      <w:pPr>
                        <w:jc w:val="both"/>
                        <w:rPr>
                          <w:rFonts w:ascii="Arial" w:hAnsi="Arial" w:cs="Arial"/>
                          <w:i/>
                          <w:color w:val="0070C0"/>
                          <w:sz w:val="16"/>
                          <w:szCs w:val="16"/>
                          <w:shd w:val="clear" w:color="auto" w:fill="FFFFFF"/>
                        </w:rPr>
                      </w:pPr>
                      <w:hyperlink r:id="rId50" w:anchor="p274" w:history="1">
                        <w:r w:rsidR="00A01931" w:rsidRPr="00A30913">
                          <w:rPr>
                            <w:rStyle w:val="Hyperlink"/>
                            <w:rFonts w:ascii="Arial" w:hAnsi="Arial" w:cs="Arial"/>
                            <w:i/>
                            <w:sz w:val="16"/>
                            <w:szCs w:val="16"/>
                            <w:shd w:val="clear" w:color="auto" w:fill="FFFFFF"/>
                          </w:rPr>
                          <w:t>274</w:t>
                        </w:r>
                      </w:hyperlink>
                      <w:r w:rsidR="00A01931" w:rsidRPr="00A30913">
                        <w:rPr>
                          <w:rFonts w:ascii="Arial" w:hAnsi="Arial" w:cs="Arial"/>
                          <w:i/>
                          <w:color w:val="0070C0"/>
                          <w:sz w:val="16"/>
                          <w:szCs w:val="16"/>
                          <w:shd w:val="clear" w:color="auto" w:fill="FFFFFF"/>
                        </w:rPr>
                        <w:t>. Budžeta iestāde izvērtē, vai tiesību aktos, saskaņā ar kuriem darījumā bez atlīdzības ir saņemti resursi, ir iekļauti nosacījumi attiecībā uz to, kā saņēmējam jālieto saņemtie resursi, un kas izpildāmi juridisku un administratīvu procesu ietvaros. Tiesību aktā ietvertais noteikums atbilst nosacījumam, ja vienlaikus:</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274.1. tas ietver preču vai pakalpojumu aprakstu un daudzumu, termiņu attiecīgās darbības veikšanai un resursu devēja uzraudzības pasākumus pār saņēmējam noteiktā pienākuma izpildi;</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274.2. saņēmējam resursi jālieto noteiktā veidā;</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274.3. šo noteikumu 274.2. apakšpunktā minētā nosacījuma pārkāpšanas gadījumā saņēmējam resursi jānodod atpakaļ resursu devējam. Izvērtējot šo kritēriju, ņem vērā budžeta iestādes iepriekšējo pieredzi līdzīgos darījumos vai ar to pašu darījumu partneri. Ja šādas pieredzes budžeta iestādei nav, uzskata, ka šis noteikums ir nosacījums.</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275. Saņemot aktīvu darījumā bez atlīdzības, atzīst saistības, ja ar saņemšanu saistītajos tiesību aktos ir ietverts šo noteikumu 274. punktā minētais nosacījums un:</w:t>
                      </w:r>
                    </w:p>
                    <w:p w:rsidR="00A01931" w:rsidRPr="00A30913" w:rsidRDefault="00A01931" w:rsidP="003362CF">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275.1. pastāv iespēja, ka nosacījuma izpildei būs nepieciešams resursu izlietojums;</w:t>
                      </w:r>
                    </w:p>
                    <w:p w:rsidR="00A01931" w:rsidRPr="00A30913" w:rsidRDefault="00A01931" w:rsidP="003362CF">
                      <w:pPr>
                        <w:jc w:val="both"/>
                        <w:rPr>
                          <w:rFonts w:ascii="Arial" w:hAnsi="Arial" w:cs="Arial"/>
                          <w:sz w:val="16"/>
                          <w:szCs w:val="16"/>
                        </w:rPr>
                      </w:pPr>
                      <w:r w:rsidRPr="00A30913">
                        <w:rPr>
                          <w:rFonts w:ascii="Arial" w:hAnsi="Arial" w:cs="Arial"/>
                          <w:i/>
                          <w:color w:val="0070C0"/>
                          <w:sz w:val="16"/>
                          <w:szCs w:val="16"/>
                          <w:shd w:val="clear" w:color="auto" w:fill="FFFFFF"/>
                        </w:rPr>
                        <w:t>275.2. nosacījuma izpildei nepieciešamo resursu summu var ticami aplēst.</w:t>
                      </w:r>
                    </w:p>
                  </w:txbxContent>
                </v:textbox>
                <w10:wrap type="tight" anchorx="margin" anchory="page"/>
              </v:shape>
            </w:pict>
          </mc:Fallback>
        </mc:AlternateContent>
      </w:r>
      <w:r w:rsidR="00EC3BC4" w:rsidRPr="008B18A9">
        <w:rPr>
          <w:rFonts w:ascii="Times New Roman" w:hAnsi="Times New Roman" w:cs="Times New Roman"/>
          <w:sz w:val="24"/>
          <w:szCs w:val="24"/>
        </w:rPr>
        <w:t xml:space="preserve">Sākot ar 2019.gada 1.janvāri nākamo periodu ieņēmumu par saņemtajiem ziedojumiem (dāvinājumiem) un ārvalstu finanšu palīdzību kontos uzskaitītos darījumus </w:t>
      </w:r>
      <w:r w:rsidR="00EC3BC4" w:rsidRPr="003362CF">
        <w:rPr>
          <w:rFonts w:ascii="Times New Roman" w:hAnsi="Times New Roman" w:cs="Times New Roman"/>
          <w:sz w:val="24"/>
          <w:szCs w:val="24"/>
          <w:u w:val="single"/>
        </w:rPr>
        <w:t>izvērtē</w:t>
      </w:r>
      <w:r w:rsidR="00EC3BC4" w:rsidRPr="008B18A9">
        <w:rPr>
          <w:rFonts w:ascii="Times New Roman" w:hAnsi="Times New Roman" w:cs="Times New Roman"/>
          <w:sz w:val="24"/>
          <w:szCs w:val="24"/>
        </w:rPr>
        <w:t xml:space="preserve"> un atzīst ieņēmumus</w:t>
      </w:r>
      <w:r w:rsidR="00992469" w:rsidRPr="008B18A9">
        <w:rPr>
          <w:rFonts w:ascii="Times New Roman" w:hAnsi="Times New Roman" w:cs="Times New Roman"/>
          <w:sz w:val="24"/>
          <w:szCs w:val="24"/>
        </w:rPr>
        <w:t xml:space="preserve"> tajā pārskata periodā</w:t>
      </w:r>
      <w:r w:rsidR="00EC3BC4" w:rsidRPr="008B18A9">
        <w:rPr>
          <w:rFonts w:ascii="Times New Roman" w:hAnsi="Times New Roman" w:cs="Times New Roman"/>
          <w:sz w:val="24"/>
          <w:szCs w:val="24"/>
        </w:rPr>
        <w:t xml:space="preserve">, </w:t>
      </w:r>
      <w:r w:rsidR="00992469" w:rsidRPr="008B18A9">
        <w:rPr>
          <w:rFonts w:ascii="Times New Roman" w:hAnsi="Times New Roman" w:cs="Times New Roman"/>
          <w:sz w:val="24"/>
          <w:szCs w:val="24"/>
        </w:rPr>
        <w:t>kurā</w:t>
      </w:r>
      <w:r w:rsidR="00EC3BC4" w:rsidRPr="008B18A9">
        <w:rPr>
          <w:rFonts w:ascii="Times New Roman" w:hAnsi="Times New Roman" w:cs="Times New Roman"/>
          <w:sz w:val="24"/>
          <w:szCs w:val="24"/>
        </w:rPr>
        <w:t xml:space="preserve"> ar aktīva saņemšanu saistītajos līgumos ietvertie nosacījumi ir izpildīti</w:t>
      </w:r>
      <w:r w:rsidR="00992469" w:rsidRPr="008B18A9">
        <w:rPr>
          <w:rFonts w:ascii="Times New Roman" w:hAnsi="Times New Roman" w:cs="Times New Roman"/>
          <w:sz w:val="24"/>
          <w:szCs w:val="24"/>
        </w:rPr>
        <w:t>:</w:t>
      </w:r>
    </w:p>
    <w:p w:rsidR="00671CC9" w:rsidRDefault="00671CC9" w:rsidP="00671CC9">
      <w:pPr>
        <w:pStyle w:val="PlainText"/>
        <w:ind w:left="1418" w:right="1927" w:hanging="698"/>
        <w:rPr>
          <w:rFonts w:ascii="Times New Roman" w:hAnsi="Times New Roman" w:cs="Times New Roman"/>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541"/>
      </w:tblGrid>
      <w:tr w:rsidR="00510489" w:rsidTr="00A30913">
        <w:tc>
          <w:tcPr>
            <w:tcW w:w="1271" w:type="dxa"/>
          </w:tcPr>
          <w:p w:rsidR="00510489" w:rsidRDefault="00510489" w:rsidP="00510489">
            <w:pPr>
              <w:pStyle w:val="PlainText"/>
              <w:ind w:left="25" w:right="14"/>
              <w:jc w:val="both"/>
              <w:rPr>
                <w:rFonts w:ascii="Times New Roman" w:hAnsi="Times New Roman" w:cs="Times New Roman"/>
                <w:i/>
                <w:sz w:val="24"/>
                <w:szCs w:val="24"/>
              </w:rPr>
            </w:pPr>
            <w:r w:rsidRPr="008B18A9">
              <w:rPr>
                <w:rFonts w:ascii="Times New Roman" w:hAnsi="Times New Roman" w:cs="Times New Roman"/>
                <w:i/>
                <w:sz w:val="24"/>
                <w:szCs w:val="24"/>
              </w:rPr>
              <w:t xml:space="preserve">D 5914 </w:t>
            </w:r>
          </w:p>
        </w:tc>
        <w:tc>
          <w:tcPr>
            <w:tcW w:w="4541" w:type="dxa"/>
          </w:tcPr>
          <w:p w:rsidR="00510489" w:rsidRDefault="00510489" w:rsidP="00510489">
            <w:pPr>
              <w:pStyle w:val="PlainText"/>
              <w:rPr>
                <w:rFonts w:ascii="Times New Roman" w:hAnsi="Times New Roman" w:cs="Times New Roman"/>
                <w:i/>
                <w:sz w:val="24"/>
                <w:szCs w:val="24"/>
              </w:rPr>
            </w:pPr>
            <w:r w:rsidRPr="008B18A9">
              <w:rPr>
                <w:rFonts w:ascii="Times New Roman" w:hAnsi="Times New Roman" w:cs="Times New Roman"/>
                <w:i/>
                <w:sz w:val="24"/>
                <w:szCs w:val="24"/>
              </w:rPr>
              <w:t>Nākamo periodu ieņēmumi par saņemtajiem ziedojumiem un dāvinājumiem</w:t>
            </w:r>
          </w:p>
        </w:tc>
      </w:tr>
      <w:tr w:rsidR="00510489" w:rsidTr="00A30913">
        <w:tc>
          <w:tcPr>
            <w:tcW w:w="1271" w:type="dxa"/>
          </w:tcPr>
          <w:p w:rsidR="00510489" w:rsidRDefault="00510489" w:rsidP="00510489">
            <w:pPr>
              <w:pStyle w:val="PlainText"/>
              <w:ind w:left="25" w:right="14"/>
              <w:jc w:val="both"/>
              <w:rPr>
                <w:rFonts w:ascii="Times New Roman" w:hAnsi="Times New Roman" w:cs="Times New Roman"/>
                <w:i/>
                <w:sz w:val="24"/>
                <w:szCs w:val="24"/>
              </w:rPr>
            </w:pPr>
            <w:r>
              <w:rPr>
                <w:rFonts w:ascii="Times New Roman" w:hAnsi="Times New Roman" w:cs="Times New Roman"/>
                <w:i/>
                <w:sz w:val="24"/>
                <w:szCs w:val="24"/>
              </w:rPr>
              <w:t>D 5917</w:t>
            </w:r>
          </w:p>
        </w:tc>
        <w:tc>
          <w:tcPr>
            <w:tcW w:w="4541" w:type="dxa"/>
          </w:tcPr>
          <w:p w:rsidR="00510489" w:rsidRDefault="00510489" w:rsidP="00510489">
            <w:pPr>
              <w:pStyle w:val="PlainText"/>
              <w:rPr>
                <w:rFonts w:ascii="Times New Roman" w:hAnsi="Times New Roman" w:cs="Times New Roman"/>
                <w:i/>
                <w:sz w:val="24"/>
                <w:szCs w:val="24"/>
              </w:rPr>
            </w:pPr>
            <w:r w:rsidRPr="008B18A9">
              <w:rPr>
                <w:rFonts w:ascii="Times New Roman" w:hAnsi="Times New Roman" w:cs="Times New Roman"/>
                <w:i/>
                <w:sz w:val="24"/>
                <w:szCs w:val="24"/>
              </w:rPr>
              <w:t>Īstermiņa saistības par saņemto ārvalstu finanšu palīdzību</w:t>
            </w:r>
          </w:p>
        </w:tc>
      </w:tr>
      <w:tr w:rsidR="00510489" w:rsidTr="00A30913">
        <w:tc>
          <w:tcPr>
            <w:tcW w:w="1271" w:type="dxa"/>
          </w:tcPr>
          <w:p w:rsidR="00510489" w:rsidRDefault="00510489" w:rsidP="00510489">
            <w:pPr>
              <w:pStyle w:val="PlainText"/>
              <w:ind w:left="25" w:right="14"/>
              <w:jc w:val="both"/>
              <w:rPr>
                <w:rFonts w:ascii="Times New Roman" w:hAnsi="Times New Roman" w:cs="Times New Roman"/>
                <w:i/>
                <w:sz w:val="24"/>
                <w:szCs w:val="24"/>
              </w:rPr>
            </w:pPr>
            <w:r>
              <w:rPr>
                <w:rFonts w:ascii="Times New Roman" w:hAnsi="Times New Roman" w:cs="Times New Roman"/>
                <w:i/>
                <w:sz w:val="24"/>
                <w:szCs w:val="24"/>
              </w:rPr>
              <w:t>K 6000</w:t>
            </w:r>
          </w:p>
        </w:tc>
        <w:tc>
          <w:tcPr>
            <w:tcW w:w="4541" w:type="dxa"/>
          </w:tcPr>
          <w:p w:rsidR="00510489" w:rsidRDefault="00510489" w:rsidP="00EA1D1E">
            <w:pPr>
              <w:pStyle w:val="PlainText"/>
              <w:ind w:right="28"/>
              <w:rPr>
                <w:rFonts w:ascii="Times New Roman" w:hAnsi="Times New Roman" w:cs="Times New Roman"/>
                <w:i/>
                <w:sz w:val="24"/>
                <w:szCs w:val="24"/>
              </w:rPr>
            </w:pPr>
            <w:r w:rsidRPr="008B18A9">
              <w:rPr>
                <w:rFonts w:ascii="Times New Roman" w:hAnsi="Times New Roman" w:cs="Times New Roman"/>
                <w:i/>
                <w:sz w:val="24"/>
                <w:szCs w:val="24"/>
              </w:rPr>
              <w:t>Pamatdarbības ieņēmumi</w:t>
            </w:r>
          </w:p>
        </w:tc>
      </w:tr>
    </w:tbl>
    <w:p w:rsidR="00510489" w:rsidRDefault="00510489" w:rsidP="00671CC9">
      <w:pPr>
        <w:pStyle w:val="PlainText"/>
        <w:ind w:left="1418" w:right="1927" w:hanging="698"/>
        <w:rPr>
          <w:rFonts w:ascii="Times New Roman" w:hAnsi="Times New Roman" w:cs="Times New Roman"/>
          <w:i/>
          <w:sz w:val="24"/>
          <w:szCs w:val="24"/>
        </w:rPr>
      </w:pPr>
    </w:p>
    <w:p w:rsidR="00510489" w:rsidRDefault="00510489" w:rsidP="00510489">
      <w:pPr>
        <w:pStyle w:val="PlainText"/>
        <w:rPr>
          <w:rFonts w:ascii="Times New Roman" w:hAnsi="Times New Roman" w:cs="Times New Roman"/>
          <w:i/>
          <w:sz w:val="24"/>
          <w:szCs w:val="24"/>
        </w:rPr>
      </w:pPr>
    </w:p>
    <w:p w:rsidR="00A30913" w:rsidRDefault="00A30913" w:rsidP="00510489">
      <w:pPr>
        <w:pStyle w:val="PlainText"/>
        <w:rPr>
          <w:rFonts w:ascii="Times New Roman" w:hAnsi="Times New Roman" w:cs="Times New Roman"/>
          <w:i/>
          <w:sz w:val="24"/>
          <w:szCs w:val="24"/>
        </w:rPr>
      </w:pPr>
    </w:p>
    <w:p w:rsidR="00992469" w:rsidRPr="008B18A9" w:rsidRDefault="003D7062" w:rsidP="00510489">
      <w:pPr>
        <w:pStyle w:val="PlainText"/>
        <w:rPr>
          <w:rFonts w:ascii="Times New Roman" w:hAnsi="Times New Roman" w:cs="Times New Roman"/>
          <w:i/>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67456" behindDoc="1" locked="0" layoutInCell="1" allowOverlap="1" wp14:anchorId="1053ED60" wp14:editId="152CBB8B">
                <wp:simplePos x="0" y="0"/>
                <wp:positionH relativeFrom="margin">
                  <wp:posOffset>1885950</wp:posOffset>
                </wp:positionH>
                <wp:positionV relativeFrom="paragraph">
                  <wp:posOffset>19232</wp:posOffset>
                </wp:positionV>
                <wp:extent cx="1822450" cy="771525"/>
                <wp:effectExtent l="0" t="0" r="25400" b="28575"/>
                <wp:wrapTight wrapText="bothSides">
                  <wp:wrapPolygon edited="0">
                    <wp:start x="0" y="0"/>
                    <wp:lineTo x="0" y="21867"/>
                    <wp:lineTo x="21675" y="21867"/>
                    <wp:lineTo x="2167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1822450" cy="771525"/>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7B3873" w:rsidP="003362CF">
                            <w:pPr>
                              <w:jc w:val="both"/>
                              <w:rPr>
                                <w:rFonts w:ascii="Arial" w:hAnsi="Arial" w:cs="Arial"/>
                                <w:sz w:val="16"/>
                                <w:szCs w:val="16"/>
                              </w:rPr>
                            </w:pPr>
                            <w:hyperlink r:id="rId51" w:anchor="p335" w:history="1">
                              <w:r w:rsidR="00A01931" w:rsidRPr="00A30913">
                                <w:rPr>
                                  <w:rStyle w:val="Hyperlink"/>
                                  <w:rFonts w:ascii="Arial" w:hAnsi="Arial" w:cs="Arial"/>
                                  <w:i/>
                                  <w:sz w:val="16"/>
                                  <w:szCs w:val="16"/>
                                  <w:shd w:val="clear" w:color="auto" w:fill="FFFFFF"/>
                                </w:rPr>
                                <w:t>335</w:t>
                              </w:r>
                            </w:hyperlink>
                            <w:r w:rsidR="00A01931" w:rsidRPr="00A30913">
                              <w:rPr>
                                <w:rFonts w:ascii="Arial" w:hAnsi="Arial" w:cs="Arial"/>
                                <w:i/>
                                <w:color w:val="0070C0"/>
                                <w:sz w:val="16"/>
                                <w:szCs w:val="16"/>
                                <w:shd w:val="clear" w:color="auto" w:fill="FFFFFF"/>
                              </w:rPr>
                              <w:t>. Ieņēmumus atzīst un saistības samazina dienā, kad izpildīti šo noteikumu 275. punktā minētie nosacījumi saistībā ar darījumā bez atlīdzības saņemto aktīvu.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ED60" id="Text Box 5" o:spid="_x0000_s1045" type="#_x0000_t202" style="position:absolute;margin-left:148.5pt;margin-top:1.5pt;width:143.5pt;height:60.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" fillcolor="window" strokecolor="#4472c4" strokeweight="1pt">
                <v:textbox>
                  <w:txbxContent>
                    <w:p w:rsidR="00A01931" w:rsidRPr="00A30913" w:rsidRDefault="00425C5C" w:rsidP="003362CF">
                      <w:pPr>
                        <w:jc w:val="both"/>
                        <w:rPr>
                          <w:rFonts w:ascii="Arial" w:hAnsi="Arial" w:cs="Arial"/>
                          <w:sz w:val="16"/>
                          <w:szCs w:val="16"/>
                        </w:rPr>
                      </w:pPr>
                      <w:hyperlink r:id="rId52" w:anchor="p335" w:history="1">
                        <w:r w:rsidR="00A01931" w:rsidRPr="00A30913">
                          <w:rPr>
                            <w:rStyle w:val="Hyperlink"/>
                            <w:rFonts w:ascii="Arial" w:hAnsi="Arial" w:cs="Arial"/>
                            <w:i/>
                            <w:sz w:val="16"/>
                            <w:szCs w:val="16"/>
                            <w:shd w:val="clear" w:color="auto" w:fill="FFFFFF"/>
                          </w:rPr>
                          <w:t>335</w:t>
                        </w:r>
                      </w:hyperlink>
                      <w:r w:rsidR="00A01931" w:rsidRPr="00A30913">
                        <w:rPr>
                          <w:rFonts w:ascii="Arial" w:hAnsi="Arial" w:cs="Arial"/>
                          <w:i/>
                          <w:color w:val="0070C0"/>
                          <w:sz w:val="16"/>
                          <w:szCs w:val="16"/>
                          <w:shd w:val="clear" w:color="auto" w:fill="FFFFFF"/>
                        </w:rPr>
                        <w:t>. Ieņēmumus atzīst un saistības samazina dienā, kad izpildīti šo noteikumu 275. punktā minētie nosacījumi saistībā ar darījumā bez atlīdzības saņemto aktīvu.</w:t>
                      </w:r>
                    </w:p>
                  </w:txbxContent>
                </v:textbox>
                <w10:wrap type="tight" anchorx="margin"/>
              </v:shape>
            </w:pict>
          </mc:Fallback>
        </mc:AlternateContent>
      </w:r>
      <w:r w:rsidR="00992469" w:rsidRPr="008B18A9">
        <w:rPr>
          <w:rFonts w:ascii="Times New Roman" w:hAnsi="Times New Roman" w:cs="Times New Roman"/>
          <w:i/>
          <w:sz w:val="24"/>
          <w:szCs w:val="24"/>
        </w:rPr>
        <w:t xml:space="preserve">Piemēram, ja saskaņā ar līgumu par līdzekļu piešķiršanu nosacījums ir izpildīts, veicot maksājumu, tad atbilstoši tam atzīst ieņēmumus. </w:t>
      </w:r>
    </w:p>
    <w:p w:rsidR="00992469" w:rsidRDefault="00992469"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A30913" w:rsidRDefault="00A30913" w:rsidP="00992469">
      <w:pPr>
        <w:pStyle w:val="PlainText"/>
        <w:rPr>
          <w:i/>
        </w:rPr>
      </w:pPr>
    </w:p>
    <w:p w:rsidR="00992469" w:rsidRDefault="00992469" w:rsidP="003D7062">
      <w:pPr>
        <w:pStyle w:val="PlainText"/>
        <w:numPr>
          <w:ilvl w:val="0"/>
          <w:numId w:val="2"/>
        </w:numPr>
        <w:ind w:left="426"/>
        <w:jc w:val="both"/>
        <w:rPr>
          <w:rFonts w:ascii="Times New Roman" w:hAnsi="Times New Roman" w:cs="Times New Roman"/>
          <w:sz w:val="24"/>
          <w:szCs w:val="24"/>
        </w:rPr>
      </w:pPr>
      <w:r w:rsidRPr="008B18A9">
        <w:rPr>
          <w:rFonts w:ascii="Times New Roman" w:hAnsi="Times New Roman" w:cs="Times New Roman"/>
          <w:sz w:val="24"/>
          <w:szCs w:val="24"/>
        </w:rPr>
        <w:t xml:space="preserve">2019.gadā atzīstot ieņēmumus atbilstoši nosacījumiem, kuri izpildīti iepriekšējos pārskata gados, atzīst </w:t>
      </w:r>
      <w:r w:rsidRPr="008B18A9">
        <w:rPr>
          <w:rFonts w:ascii="Times New Roman" w:hAnsi="Times New Roman" w:cs="Times New Roman"/>
          <w:b/>
          <w:sz w:val="24"/>
          <w:szCs w:val="24"/>
        </w:rPr>
        <w:t xml:space="preserve">pārējos </w:t>
      </w:r>
      <w:r w:rsidRPr="008B18A9">
        <w:rPr>
          <w:rFonts w:ascii="Times New Roman" w:hAnsi="Times New Roman" w:cs="Times New Roman"/>
          <w:sz w:val="24"/>
          <w:szCs w:val="24"/>
        </w:rPr>
        <w:t>ieņēmumus: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541"/>
      </w:tblGrid>
      <w:tr w:rsidR="00EA1D1E" w:rsidTr="00A30913">
        <w:tc>
          <w:tcPr>
            <w:tcW w:w="1271" w:type="dxa"/>
          </w:tcPr>
          <w:p w:rsidR="00EA1D1E" w:rsidRDefault="00EA1D1E" w:rsidP="00A01931">
            <w:pPr>
              <w:pStyle w:val="PlainText"/>
              <w:ind w:left="25" w:right="14"/>
              <w:jc w:val="both"/>
              <w:rPr>
                <w:rFonts w:ascii="Times New Roman" w:hAnsi="Times New Roman" w:cs="Times New Roman"/>
                <w:i/>
                <w:sz w:val="24"/>
                <w:szCs w:val="24"/>
              </w:rPr>
            </w:pPr>
            <w:r w:rsidRPr="008B18A9">
              <w:rPr>
                <w:rFonts w:ascii="Times New Roman" w:hAnsi="Times New Roman" w:cs="Times New Roman"/>
                <w:i/>
                <w:sz w:val="24"/>
                <w:szCs w:val="24"/>
              </w:rPr>
              <w:t xml:space="preserve">D 5914 </w:t>
            </w:r>
          </w:p>
        </w:tc>
        <w:tc>
          <w:tcPr>
            <w:tcW w:w="4541" w:type="dxa"/>
          </w:tcPr>
          <w:p w:rsidR="00EA1D1E" w:rsidRDefault="00EA1D1E" w:rsidP="00A01931">
            <w:pPr>
              <w:pStyle w:val="PlainText"/>
              <w:rPr>
                <w:rFonts w:ascii="Times New Roman" w:hAnsi="Times New Roman" w:cs="Times New Roman"/>
                <w:i/>
                <w:sz w:val="24"/>
                <w:szCs w:val="24"/>
              </w:rPr>
            </w:pPr>
            <w:r w:rsidRPr="008B18A9">
              <w:rPr>
                <w:rFonts w:ascii="Times New Roman" w:hAnsi="Times New Roman" w:cs="Times New Roman"/>
                <w:i/>
                <w:sz w:val="24"/>
                <w:szCs w:val="24"/>
              </w:rPr>
              <w:t>Nākamo periodu ieņēmumi par saņemtajiem ziedojumiem un dāvinājumiem</w:t>
            </w:r>
          </w:p>
        </w:tc>
      </w:tr>
      <w:tr w:rsidR="00EA1D1E" w:rsidTr="00A30913">
        <w:tc>
          <w:tcPr>
            <w:tcW w:w="1271" w:type="dxa"/>
          </w:tcPr>
          <w:p w:rsidR="00EA1D1E" w:rsidRDefault="00EA1D1E" w:rsidP="00A01931">
            <w:pPr>
              <w:pStyle w:val="PlainText"/>
              <w:ind w:left="25" w:right="14"/>
              <w:jc w:val="both"/>
              <w:rPr>
                <w:rFonts w:ascii="Times New Roman" w:hAnsi="Times New Roman" w:cs="Times New Roman"/>
                <w:i/>
                <w:sz w:val="24"/>
                <w:szCs w:val="24"/>
              </w:rPr>
            </w:pPr>
            <w:r>
              <w:rPr>
                <w:rFonts w:ascii="Times New Roman" w:hAnsi="Times New Roman" w:cs="Times New Roman"/>
                <w:i/>
                <w:sz w:val="24"/>
                <w:szCs w:val="24"/>
              </w:rPr>
              <w:t>D 5917</w:t>
            </w:r>
          </w:p>
        </w:tc>
        <w:tc>
          <w:tcPr>
            <w:tcW w:w="4541" w:type="dxa"/>
          </w:tcPr>
          <w:p w:rsidR="00EA1D1E" w:rsidRDefault="00EA1D1E" w:rsidP="00A01931">
            <w:pPr>
              <w:pStyle w:val="PlainText"/>
              <w:rPr>
                <w:rFonts w:ascii="Times New Roman" w:hAnsi="Times New Roman" w:cs="Times New Roman"/>
                <w:i/>
                <w:sz w:val="24"/>
                <w:szCs w:val="24"/>
              </w:rPr>
            </w:pPr>
            <w:r w:rsidRPr="008B18A9">
              <w:rPr>
                <w:rFonts w:ascii="Times New Roman" w:hAnsi="Times New Roman" w:cs="Times New Roman"/>
                <w:i/>
                <w:sz w:val="24"/>
                <w:szCs w:val="24"/>
              </w:rPr>
              <w:t>Īstermiņa saistības par saņemto ārvalstu finanšu palīdzību</w:t>
            </w:r>
          </w:p>
        </w:tc>
      </w:tr>
      <w:tr w:rsidR="00EA1D1E" w:rsidTr="00A30913">
        <w:tc>
          <w:tcPr>
            <w:tcW w:w="1271" w:type="dxa"/>
          </w:tcPr>
          <w:p w:rsidR="00EA1D1E" w:rsidRDefault="00EA1D1E" w:rsidP="00EA1D1E">
            <w:pPr>
              <w:pStyle w:val="PlainText"/>
              <w:ind w:left="25" w:right="14"/>
              <w:jc w:val="both"/>
              <w:rPr>
                <w:rFonts w:ascii="Times New Roman" w:hAnsi="Times New Roman" w:cs="Times New Roman"/>
                <w:i/>
                <w:sz w:val="24"/>
                <w:szCs w:val="24"/>
              </w:rPr>
            </w:pPr>
            <w:r>
              <w:rPr>
                <w:rFonts w:ascii="Times New Roman" w:hAnsi="Times New Roman" w:cs="Times New Roman"/>
                <w:i/>
                <w:sz w:val="24"/>
                <w:szCs w:val="24"/>
              </w:rPr>
              <w:t>K 8752</w:t>
            </w:r>
            <w:r w:rsidR="00D5215D">
              <w:rPr>
                <w:rFonts w:ascii="Times New Roman" w:hAnsi="Times New Roman" w:cs="Times New Roman"/>
                <w:i/>
                <w:sz w:val="24"/>
                <w:szCs w:val="24"/>
              </w:rPr>
              <w:t>*</w:t>
            </w:r>
          </w:p>
        </w:tc>
        <w:tc>
          <w:tcPr>
            <w:tcW w:w="4541" w:type="dxa"/>
          </w:tcPr>
          <w:p w:rsidR="00EA1D1E" w:rsidRDefault="00EA1D1E" w:rsidP="00EA1D1E">
            <w:pPr>
              <w:pStyle w:val="PlainText"/>
              <w:ind w:right="28"/>
              <w:rPr>
                <w:rFonts w:ascii="Times New Roman" w:hAnsi="Times New Roman" w:cs="Times New Roman"/>
                <w:i/>
                <w:sz w:val="24"/>
                <w:szCs w:val="24"/>
              </w:rPr>
            </w:pPr>
            <w:r w:rsidRPr="00671CC9">
              <w:rPr>
                <w:rFonts w:ascii="Times New Roman" w:hAnsi="Times New Roman" w:cs="Times New Roman"/>
                <w:i/>
                <w:sz w:val="24"/>
                <w:szCs w:val="24"/>
              </w:rPr>
              <w:t>Grāmatvedības uzskaites pamatprincipu maiņa</w:t>
            </w:r>
          </w:p>
        </w:tc>
      </w:tr>
    </w:tbl>
    <w:p w:rsidR="00EA1D1E" w:rsidRPr="00671CC9" w:rsidRDefault="00D5215D" w:rsidP="00D5215D">
      <w:pPr>
        <w:pStyle w:val="PlainText"/>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D5215D">
        <w:rPr>
          <w:rFonts w:ascii="Times New Roman" w:hAnsi="Times New Roman" w:cs="Times New Roman"/>
          <w:color w:val="FF0000"/>
          <w:sz w:val="24"/>
          <w:szCs w:val="24"/>
        </w:rPr>
        <w:t xml:space="preserve">piemēro </w:t>
      </w:r>
      <w:r>
        <w:rPr>
          <w:rFonts w:ascii="Times New Roman" w:hAnsi="Times New Roman" w:cs="Times New Roman"/>
          <w:color w:val="FF0000"/>
          <w:sz w:val="24"/>
          <w:szCs w:val="24"/>
        </w:rPr>
        <w:t>darījuma ekonomisk</w:t>
      </w:r>
      <w:r w:rsidR="00185D1A">
        <w:rPr>
          <w:rFonts w:ascii="Times New Roman" w:hAnsi="Times New Roman" w:cs="Times New Roman"/>
          <w:color w:val="FF0000"/>
          <w:sz w:val="24"/>
          <w:szCs w:val="24"/>
        </w:rPr>
        <w:t>ai</w:t>
      </w:r>
      <w:r>
        <w:rPr>
          <w:rFonts w:ascii="Times New Roman" w:hAnsi="Times New Roman" w:cs="Times New Roman"/>
          <w:color w:val="FF0000"/>
          <w:sz w:val="24"/>
          <w:szCs w:val="24"/>
        </w:rPr>
        <w:t xml:space="preserve"> būtība</w:t>
      </w:r>
      <w:r w:rsidR="00185D1A">
        <w:rPr>
          <w:rFonts w:ascii="Times New Roman" w:hAnsi="Times New Roman" w:cs="Times New Roman"/>
          <w:color w:val="FF0000"/>
          <w:sz w:val="24"/>
          <w:szCs w:val="24"/>
        </w:rPr>
        <w:t>i</w:t>
      </w:r>
      <w:r>
        <w:rPr>
          <w:rFonts w:ascii="Times New Roman" w:hAnsi="Times New Roman" w:cs="Times New Roman"/>
          <w:color w:val="FF0000"/>
          <w:sz w:val="24"/>
          <w:szCs w:val="24"/>
        </w:rPr>
        <w:t xml:space="preserve"> </w:t>
      </w:r>
      <w:r w:rsidRPr="00D5215D">
        <w:rPr>
          <w:rFonts w:ascii="Times New Roman" w:hAnsi="Times New Roman" w:cs="Times New Roman"/>
          <w:color w:val="FF0000"/>
          <w:sz w:val="24"/>
          <w:szCs w:val="24"/>
        </w:rPr>
        <w:t>atbilstošo ieņēmumu klasifikācijas kodu</w:t>
      </w:r>
      <w:r>
        <w:rPr>
          <w:rFonts w:ascii="Times New Roman" w:hAnsi="Times New Roman" w:cs="Times New Roman"/>
          <w:color w:val="FF0000"/>
          <w:sz w:val="24"/>
          <w:szCs w:val="24"/>
        </w:rPr>
        <w:t xml:space="preserve">, </w:t>
      </w:r>
      <w:r w:rsidRPr="00D5215D">
        <w:rPr>
          <w:rFonts w:ascii="Times New Roman" w:hAnsi="Times New Roman" w:cs="Times New Roman"/>
          <w:i/>
          <w:color w:val="FF0000"/>
          <w:sz w:val="24"/>
          <w:szCs w:val="24"/>
        </w:rPr>
        <w:t>piemēram, “23.4.1.0. Juridisku personu ziedojumi un dāvinājumi naudā”</w:t>
      </w:r>
      <w:r>
        <w:rPr>
          <w:rFonts w:ascii="Times New Roman" w:hAnsi="Times New Roman" w:cs="Times New Roman"/>
          <w:color w:val="FF0000"/>
          <w:sz w:val="24"/>
          <w:szCs w:val="24"/>
        </w:rPr>
        <w:t xml:space="preserve">, un uzrāda atbilstošajā </w:t>
      </w:r>
      <w:r w:rsidR="00185D1A">
        <w:rPr>
          <w:rFonts w:ascii="Times New Roman" w:hAnsi="Times New Roman" w:cs="Times New Roman"/>
          <w:color w:val="FF0000"/>
          <w:sz w:val="24"/>
          <w:szCs w:val="24"/>
        </w:rPr>
        <w:t>P</w:t>
      </w:r>
      <w:r>
        <w:rPr>
          <w:rFonts w:ascii="Times New Roman" w:hAnsi="Times New Roman" w:cs="Times New Roman"/>
          <w:color w:val="FF0000"/>
          <w:sz w:val="24"/>
          <w:szCs w:val="24"/>
        </w:rPr>
        <w:t xml:space="preserve">ārskata par darbības finansiālajiem rezultātiem postenī, </w:t>
      </w:r>
      <w:r w:rsidRPr="00D5215D">
        <w:rPr>
          <w:rFonts w:ascii="Times New Roman" w:hAnsi="Times New Roman" w:cs="Times New Roman"/>
          <w:i/>
          <w:color w:val="FF0000"/>
          <w:sz w:val="24"/>
          <w:szCs w:val="24"/>
        </w:rPr>
        <w:t>piemēram, “A16 Ziedojumi un dāvinājumi”</w:t>
      </w:r>
      <w:r>
        <w:rPr>
          <w:rFonts w:ascii="Times New Roman" w:hAnsi="Times New Roman" w:cs="Times New Roman"/>
          <w:color w:val="FF0000"/>
          <w:sz w:val="24"/>
          <w:szCs w:val="24"/>
        </w:rPr>
        <w:t>.</w:t>
      </w:r>
    </w:p>
    <w:p w:rsidR="003E7535" w:rsidRPr="0005300E" w:rsidRDefault="004B6B01" w:rsidP="00905B1B">
      <w:pPr>
        <w:pStyle w:val="1Virsraksts"/>
      </w:pPr>
      <w:bookmarkStart w:id="5" w:name="_Toc20303056"/>
      <w:r w:rsidRPr="0005300E">
        <w:lastRenderedPageBreak/>
        <w:t>Saistības pret budžetu</w:t>
      </w:r>
      <w:bookmarkEnd w:id="5"/>
      <w:r w:rsidRPr="0005300E">
        <w:t xml:space="preserve"> </w:t>
      </w:r>
    </w:p>
    <w:p w:rsidR="004B6B01" w:rsidRPr="008B18A9" w:rsidRDefault="004B6B01" w:rsidP="003E7535">
      <w:pPr>
        <w:pStyle w:val="PlainText"/>
        <w:rPr>
          <w:rFonts w:ascii="Times New Roman" w:hAnsi="Times New Roman" w:cs="Times New Roman"/>
          <w:color w:val="FF0000"/>
          <w:sz w:val="24"/>
          <w:szCs w:val="24"/>
        </w:rPr>
      </w:pPr>
    </w:p>
    <w:tbl>
      <w:tblPr>
        <w:tblStyle w:val="TableGrid"/>
        <w:tblW w:w="8784" w:type="dxa"/>
        <w:tblLook w:val="04A0" w:firstRow="1" w:lastRow="0" w:firstColumn="1" w:lastColumn="0" w:noHBand="0" w:noVBand="1"/>
      </w:tblPr>
      <w:tblGrid>
        <w:gridCol w:w="8784"/>
      </w:tblGrid>
      <w:tr w:rsidR="0005300E" w:rsidRPr="00DB54CB" w:rsidTr="00C917A3">
        <w:tc>
          <w:tcPr>
            <w:tcW w:w="8784" w:type="dxa"/>
            <w:shd w:val="clear" w:color="auto" w:fill="002060"/>
          </w:tcPr>
          <w:p w:rsidR="0005300E" w:rsidRPr="00DB54CB" w:rsidRDefault="0005300E" w:rsidP="00A01931">
            <w:pPr>
              <w:rPr>
                <w:rFonts w:ascii="Times New Roman" w:hAnsi="Times New Roman" w:cs="Times New Roman"/>
                <w:sz w:val="24"/>
              </w:rPr>
            </w:pPr>
            <w:r w:rsidRPr="00DB54CB">
              <w:rPr>
                <w:rFonts w:ascii="Times New Roman" w:hAnsi="Times New Roman" w:cs="Times New Roman"/>
                <w:sz w:val="24"/>
              </w:rPr>
              <w:t>Jautājums:</w:t>
            </w:r>
          </w:p>
          <w:p w:rsidR="0005300E" w:rsidRPr="0005300E" w:rsidRDefault="0005300E" w:rsidP="00C917A3">
            <w:pPr>
              <w:jc w:val="both"/>
              <w:rPr>
                <w:rFonts w:ascii="Times New Roman" w:hAnsi="Times New Roman" w:cs="Times New Roman"/>
                <w:sz w:val="24"/>
              </w:rPr>
            </w:pPr>
            <w:r>
              <w:rPr>
                <w:rFonts w:ascii="Times New Roman" w:hAnsi="Times New Roman" w:cs="Times New Roman"/>
                <w:sz w:val="24"/>
              </w:rPr>
              <w:t>Uzskaitot prasības par iepriekšē</w:t>
            </w:r>
            <w:r w:rsidRPr="0005300E">
              <w:rPr>
                <w:rFonts w:ascii="Times New Roman" w:hAnsi="Times New Roman" w:cs="Times New Roman"/>
                <w:sz w:val="24"/>
              </w:rPr>
              <w:t>jo periodu, k</w:t>
            </w:r>
            <w:r w:rsidR="00C917A3">
              <w:rPr>
                <w:rFonts w:ascii="Times New Roman" w:hAnsi="Times New Roman" w:cs="Times New Roman"/>
                <w:sz w:val="24"/>
              </w:rPr>
              <w:t>ur</w:t>
            </w:r>
            <w:r w:rsidRPr="0005300E">
              <w:rPr>
                <w:rFonts w:ascii="Times New Roman" w:hAnsi="Times New Roman" w:cs="Times New Roman"/>
                <w:sz w:val="24"/>
              </w:rPr>
              <w:t xml:space="preserve">as </w:t>
            </w:r>
            <w:r w:rsidR="00C917A3">
              <w:rPr>
                <w:rFonts w:ascii="Times New Roman" w:hAnsi="Times New Roman" w:cs="Times New Roman"/>
                <w:sz w:val="24"/>
              </w:rPr>
              <w:t>jā</w:t>
            </w:r>
            <w:r>
              <w:rPr>
                <w:rFonts w:ascii="Times New Roman" w:hAnsi="Times New Roman" w:cs="Times New Roman"/>
                <w:sz w:val="24"/>
              </w:rPr>
              <w:t>ieskaita valsts</w:t>
            </w:r>
            <w:r w:rsidRPr="0005300E">
              <w:rPr>
                <w:rFonts w:ascii="Times New Roman" w:hAnsi="Times New Roman" w:cs="Times New Roman"/>
                <w:sz w:val="24"/>
              </w:rPr>
              <w:t xml:space="preserve"> budžetā</w:t>
            </w:r>
            <w:r>
              <w:rPr>
                <w:rFonts w:ascii="Times New Roman" w:hAnsi="Times New Roman" w:cs="Times New Roman"/>
                <w:sz w:val="24"/>
              </w:rPr>
              <w:t>,</w:t>
            </w:r>
            <w:r w:rsidRPr="0005300E">
              <w:rPr>
                <w:rFonts w:ascii="Times New Roman" w:hAnsi="Times New Roman" w:cs="Times New Roman"/>
                <w:sz w:val="24"/>
              </w:rPr>
              <w:t xml:space="preserve"> izrakstot rēķinu (piemērām par mācību maksu) grāmatoja</w:t>
            </w:r>
            <w:r>
              <w:rPr>
                <w:rFonts w:ascii="Times New Roman" w:hAnsi="Times New Roman" w:cs="Times New Roman"/>
                <w:sz w:val="24"/>
              </w:rPr>
              <w:t>:</w:t>
            </w:r>
          </w:p>
          <w:p w:rsidR="0005300E" w:rsidRDefault="0005300E" w:rsidP="0005300E">
            <w:pPr>
              <w:ind w:left="878"/>
              <w:rPr>
                <w:rFonts w:ascii="Times New Roman" w:hAnsi="Times New Roman" w:cs="Times New Roman"/>
                <w:sz w:val="24"/>
              </w:rPr>
            </w:pPr>
            <w:r w:rsidRPr="0005300E">
              <w:rPr>
                <w:rFonts w:ascii="Times New Roman" w:hAnsi="Times New Roman" w:cs="Times New Roman"/>
                <w:sz w:val="24"/>
              </w:rPr>
              <w:t>D</w:t>
            </w:r>
            <w:r>
              <w:rPr>
                <w:rFonts w:ascii="Times New Roman" w:hAnsi="Times New Roman" w:cs="Times New Roman"/>
                <w:sz w:val="24"/>
              </w:rPr>
              <w:t xml:space="preserve"> </w:t>
            </w:r>
            <w:r w:rsidRPr="0005300E">
              <w:rPr>
                <w:rFonts w:ascii="Times New Roman" w:hAnsi="Times New Roman" w:cs="Times New Roman"/>
                <w:sz w:val="24"/>
              </w:rPr>
              <w:t xml:space="preserve">23XX </w:t>
            </w:r>
          </w:p>
          <w:p w:rsidR="0005300E" w:rsidRDefault="0005300E" w:rsidP="0005300E">
            <w:pPr>
              <w:ind w:left="878"/>
              <w:rPr>
                <w:rFonts w:ascii="Times New Roman" w:hAnsi="Times New Roman" w:cs="Times New Roman"/>
                <w:sz w:val="24"/>
              </w:rPr>
            </w:pPr>
            <w:r w:rsidRPr="0005300E">
              <w:rPr>
                <w:rFonts w:ascii="Times New Roman" w:hAnsi="Times New Roman" w:cs="Times New Roman"/>
                <w:sz w:val="24"/>
              </w:rPr>
              <w:t>K</w:t>
            </w:r>
            <w:r>
              <w:rPr>
                <w:rFonts w:ascii="Times New Roman" w:hAnsi="Times New Roman" w:cs="Times New Roman"/>
                <w:sz w:val="24"/>
              </w:rPr>
              <w:t xml:space="preserve"> </w:t>
            </w:r>
            <w:r w:rsidRPr="0005300E">
              <w:rPr>
                <w:rFonts w:ascii="Times New Roman" w:hAnsi="Times New Roman" w:cs="Times New Roman"/>
                <w:sz w:val="24"/>
              </w:rPr>
              <w:t>5815</w:t>
            </w:r>
          </w:p>
          <w:p w:rsidR="0005300E" w:rsidRPr="0005300E" w:rsidRDefault="0005300E" w:rsidP="0005300E">
            <w:pPr>
              <w:rPr>
                <w:rFonts w:ascii="Times New Roman" w:hAnsi="Times New Roman" w:cs="Times New Roman"/>
                <w:sz w:val="24"/>
              </w:rPr>
            </w:pPr>
            <w:r w:rsidRPr="0005300E">
              <w:rPr>
                <w:rFonts w:ascii="Times New Roman" w:hAnsi="Times New Roman" w:cs="Times New Roman"/>
                <w:sz w:val="24"/>
              </w:rPr>
              <w:t>Vairāk</w:t>
            </w:r>
            <w:r>
              <w:rPr>
                <w:rFonts w:ascii="Times New Roman" w:hAnsi="Times New Roman" w:cs="Times New Roman"/>
                <w:sz w:val="24"/>
              </w:rPr>
              <w:t xml:space="preserve">ām prasībām </w:t>
            </w:r>
            <w:r w:rsidRPr="0005300E">
              <w:rPr>
                <w:rFonts w:ascii="Times New Roman" w:hAnsi="Times New Roman" w:cs="Times New Roman"/>
                <w:sz w:val="24"/>
              </w:rPr>
              <w:t xml:space="preserve">ir izveidots vērtības samazinājums. </w:t>
            </w:r>
            <w:r>
              <w:rPr>
                <w:rFonts w:ascii="Times New Roman" w:hAnsi="Times New Roman" w:cs="Times New Roman"/>
                <w:sz w:val="24"/>
              </w:rPr>
              <w:t>A</w:t>
            </w:r>
            <w:r w:rsidRPr="0005300E">
              <w:rPr>
                <w:rFonts w:ascii="Times New Roman" w:hAnsi="Times New Roman" w:cs="Times New Roman"/>
                <w:sz w:val="24"/>
              </w:rPr>
              <w:t>tmaks</w:t>
            </w:r>
            <w:r>
              <w:rPr>
                <w:rFonts w:ascii="Times New Roman" w:hAnsi="Times New Roman" w:cs="Times New Roman"/>
                <w:sz w:val="24"/>
              </w:rPr>
              <w:t>as termiņš</w:t>
            </w:r>
            <w:r w:rsidRPr="0005300E">
              <w:rPr>
                <w:rFonts w:ascii="Times New Roman" w:hAnsi="Times New Roman" w:cs="Times New Roman"/>
                <w:sz w:val="24"/>
              </w:rPr>
              <w:t xml:space="preserve"> valsts budžet</w:t>
            </w:r>
            <w:r>
              <w:rPr>
                <w:rFonts w:ascii="Times New Roman" w:hAnsi="Times New Roman" w:cs="Times New Roman"/>
                <w:sz w:val="24"/>
              </w:rPr>
              <w:t>ā n</w:t>
            </w:r>
            <w:r w:rsidRPr="0005300E">
              <w:rPr>
                <w:rFonts w:ascii="Times New Roman" w:hAnsi="Times New Roman" w:cs="Times New Roman"/>
                <w:sz w:val="24"/>
              </w:rPr>
              <w:t xml:space="preserve">av zināms.  </w:t>
            </w:r>
          </w:p>
          <w:p w:rsidR="0005300E" w:rsidRPr="00DB54CB" w:rsidRDefault="0005300E" w:rsidP="0005300E">
            <w:pPr>
              <w:rPr>
                <w:rFonts w:ascii="Times New Roman" w:hAnsi="Times New Roman" w:cs="Times New Roman"/>
                <w:sz w:val="24"/>
              </w:rPr>
            </w:pPr>
            <w:r>
              <w:rPr>
                <w:rFonts w:ascii="Times New Roman" w:hAnsi="Times New Roman" w:cs="Times New Roman"/>
                <w:sz w:val="24"/>
              </w:rPr>
              <w:t>Kā uzskaitīt šo darījumu?</w:t>
            </w:r>
          </w:p>
        </w:tc>
      </w:tr>
    </w:tbl>
    <w:p w:rsidR="0005300E" w:rsidRDefault="0005300E" w:rsidP="0005300E">
      <w:pPr>
        <w:rPr>
          <w:rFonts w:ascii="Times New Roman" w:hAnsi="Times New Roman" w:cs="Times New Roman"/>
          <w:sz w:val="24"/>
        </w:rPr>
      </w:pPr>
      <w:r w:rsidRPr="00DB54CB">
        <w:rPr>
          <w:rFonts w:ascii="Times New Roman" w:hAnsi="Times New Roman" w:cs="Times New Roman"/>
          <w:sz w:val="24"/>
        </w:rPr>
        <w:t>Atbilde:</w:t>
      </w:r>
    </w:p>
    <w:p w:rsidR="005F0999" w:rsidRDefault="00C00117" w:rsidP="00C00117">
      <w:pPr>
        <w:pStyle w:val="PlainText"/>
        <w:jc w:val="both"/>
        <w:rPr>
          <w:rFonts w:ascii="Times New Roman" w:hAnsi="Times New Roman" w:cs="Times New Roman"/>
          <w:sz w:val="24"/>
          <w:szCs w:val="24"/>
        </w:rPr>
      </w:pPr>
      <w:r w:rsidRPr="008B18A9">
        <w:rPr>
          <w:rFonts w:ascii="Times New Roman" w:hAnsi="Times New Roman" w:cs="Times New Roman"/>
          <w:sz w:val="24"/>
          <w:szCs w:val="24"/>
        </w:rPr>
        <w:t>Saistības pret valsts budžetu par maksājumiem, kur</w:t>
      </w:r>
      <w:r w:rsidR="0005300E">
        <w:rPr>
          <w:rFonts w:ascii="Times New Roman" w:hAnsi="Times New Roman" w:cs="Times New Roman"/>
          <w:sz w:val="24"/>
          <w:szCs w:val="24"/>
        </w:rPr>
        <w:t>us</w:t>
      </w:r>
      <w:r w:rsidRPr="008B18A9">
        <w:rPr>
          <w:rFonts w:ascii="Times New Roman" w:hAnsi="Times New Roman" w:cs="Times New Roman"/>
          <w:sz w:val="24"/>
          <w:szCs w:val="24"/>
        </w:rPr>
        <w:t xml:space="preserve"> atbilstoši normatīvajiem aktiem ieskaita valsts budžeta ieņēmumos (piemēram, prasību atmaksa, kas atzīta ieņēmumos iepriekšējos pārskata periodos) var atzīt tikai tad, kad rodas pašreizējs pienākums. </w:t>
      </w:r>
    </w:p>
    <w:p w:rsidR="0005300E" w:rsidRDefault="0005300E" w:rsidP="00C00117">
      <w:pPr>
        <w:pStyle w:val="PlainText"/>
        <w:jc w:val="both"/>
        <w:rPr>
          <w:rFonts w:ascii="Times New Roman" w:hAnsi="Times New Roman" w:cs="Times New Roman"/>
          <w:sz w:val="24"/>
          <w:szCs w:val="24"/>
        </w:rPr>
      </w:pPr>
    </w:p>
    <w:p w:rsidR="00C00117" w:rsidRPr="008B18A9" w:rsidRDefault="00A24DEB" w:rsidP="0005300E">
      <w:pPr>
        <w:pStyle w:val="PlainText"/>
        <w:numPr>
          <w:ilvl w:val="0"/>
          <w:numId w:val="2"/>
        </w:numPr>
        <w:ind w:left="426"/>
        <w:jc w:val="both"/>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71552" behindDoc="1" locked="0" layoutInCell="1" allowOverlap="1" wp14:anchorId="5778E1F9" wp14:editId="2BE6B441">
                <wp:simplePos x="0" y="0"/>
                <wp:positionH relativeFrom="margin">
                  <wp:posOffset>3400425</wp:posOffset>
                </wp:positionH>
                <wp:positionV relativeFrom="paragraph">
                  <wp:posOffset>12065</wp:posOffset>
                </wp:positionV>
                <wp:extent cx="2207260" cy="1552575"/>
                <wp:effectExtent l="0" t="0" r="21590" b="28575"/>
                <wp:wrapTight wrapText="bothSides">
                  <wp:wrapPolygon edited="0">
                    <wp:start x="0" y="0"/>
                    <wp:lineTo x="0" y="21733"/>
                    <wp:lineTo x="21625" y="21733"/>
                    <wp:lineTo x="21625"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207260" cy="1552575"/>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7B3873" w:rsidP="00C917A3">
                            <w:pPr>
                              <w:jc w:val="both"/>
                              <w:rPr>
                                <w:rFonts w:ascii="Arial" w:hAnsi="Arial" w:cs="Arial"/>
                                <w:i/>
                                <w:color w:val="0070C0"/>
                                <w:sz w:val="16"/>
                                <w:szCs w:val="16"/>
                                <w:shd w:val="clear" w:color="auto" w:fill="FFFFFF"/>
                              </w:rPr>
                            </w:pPr>
                            <w:hyperlink r:id="rId53" w:anchor="p28" w:history="1">
                              <w:r w:rsidR="00A01931" w:rsidRPr="00A30913">
                                <w:rPr>
                                  <w:rStyle w:val="Hyperlink"/>
                                  <w:rFonts w:ascii="Arial" w:hAnsi="Arial" w:cs="Arial"/>
                                  <w:i/>
                                  <w:sz w:val="16"/>
                                  <w:szCs w:val="16"/>
                                  <w:shd w:val="clear" w:color="auto" w:fill="FFFFFF"/>
                                </w:rPr>
                                <w:t>28</w:t>
                              </w:r>
                            </w:hyperlink>
                            <w:r w:rsidR="00A01931" w:rsidRPr="00A30913">
                              <w:rPr>
                                <w:rFonts w:ascii="Arial" w:hAnsi="Arial" w:cs="Arial"/>
                                <w:i/>
                                <w:color w:val="0070C0"/>
                                <w:sz w:val="16"/>
                                <w:szCs w:val="16"/>
                                <w:shd w:val="clear" w:color="auto" w:fill="FFFFFF"/>
                              </w:rPr>
                              <w:t>. Saistības ir budžeta iestādes pašreizējs pienākums, kurš radies pagātnes notikumu rezultātā un kura izpildei ir nepieciešams resursu izlietojums.</w:t>
                            </w:r>
                          </w:p>
                          <w:p w:rsidR="00A01931" w:rsidRPr="00A30913" w:rsidRDefault="007B3873" w:rsidP="00C917A3">
                            <w:pPr>
                              <w:jc w:val="both"/>
                              <w:rPr>
                                <w:rFonts w:ascii="Arial" w:hAnsi="Arial" w:cs="Arial"/>
                                <w:i/>
                                <w:color w:val="0070C0"/>
                                <w:sz w:val="16"/>
                                <w:szCs w:val="16"/>
                                <w:shd w:val="clear" w:color="auto" w:fill="FFFFFF"/>
                              </w:rPr>
                            </w:pPr>
                            <w:hyperlink r:id="rId54" w:anchor="p29" w:history="1">
                              <w:r w:rsidR="00A01931" w:rsidRPr="00A30913">
                                <w:rPr>
                                  <w:rStyle w:val="Hyperlink"/>
                                  <w:rFonts w:ascii="Arial" w:hAnsi="Arial" w:cs="Arial"/>
                                  <w:i/>
                                  <w:sz w:val="16"/>
                                  <w:szCs w:val="16"/>
                                  <w:shd w:val="clear" w:color="auto" w:fill="FFFFFF"/>
                                </w:rPr>
                                <w:t>29</w:t>
                              </w:r>
                            </w:hyperlink>
                            <w:r w:rsidR="00A01931" w:rsidRPr="00A30913">
                              <w:rPr>
                                <w:rFonts w:ascii="Arial" w:hAnsi="Arial" w:cs="Arial"/>
                                <w:i/>
                                <w:color w:val="0070C0"/>
                                <w:sz w:val="16"/>
                                <w:szCs w:val="16"/>
                                <w:shd w:val="clear" w:color="auto" w:fill="FFFFFF"/>
                              </w:rPr>
                              <w:t>. Pagātnes notikums, kura dēļ izveidojas pašreizējs pienākums, rodas, ja:</w:t>
                            </w:r>
                          </w:p>
                          <w:p w:rsidR="00A01931" w:rsidRPr="00A30913" w:rsidRDefault="00A01931" w:rsidP="00C917A3">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29.1. pienākuma izpildi paredzēts nodrošināt tiesību aktos noteiktajā kārtībā;</w:t>
                            </w:r>
                          </w:p>
                          <w:p w:rsidR="00A01931" w:rsidRPr="00A30913" w:rsidRDefault="00A01931" w:rsidP="00C917A3">
                            <w:pPr>
                              <w:jc w:val="both"/>
                              <w:rPr>
                                <w:rFonts w:ascii="Arial" w:hAnsi="Arial" w:cs="Arial"/>
                                <w:sz w:val="16"/>
                                <w:szCs w:val="16"/>
                              </w:rPr>
                            </w:pPr>
                            <w:r w:rsidRPr="00A30913">
                              <w:rPr>
                                <w:rFonts w:ascii="Arial" w:hAnsi="Arial" w:cs="Arial"/>
                                <w:i/>
                                <w:color w:val="0070C0"/>
                                <w:sz w:val="16"/>
                                <w:szCs w:val="16"/>
                                <w:shd w:val="clear" w:color="auto" w:fill="FFFFFF"/>
                              </w:rPr>
                              <w:t>29.2. notikums (kas var būt budžeta iestādes darbība) ir devis citām personām pamatotu iemeslu sagaidīt, ka budžeta iestāde izpildīs attiecīgo pienākumu.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8E1F9" id="Text Box 7" o:spid="_x0000_s1046" type="#_x0000_t202" style="position:absolute;left:0;text-align:left;margin-left:267.75pt;margin-top:.95pt;width:173.8pt;height:122.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" fillcolor="window" strokecolor="#4472c4" strokeweight="1pt">
                <v:textbox>
                  <w:txbxContent>
                    <w:p w:rsidR="00A01931" w:rsidRPr="00A30913" w:rsidRDefault="00425C5C" w:rsidP="00C917A3">
                      <w:pPr>
                        <w:jc w:val="both"/>
                        <w:rPr>
                          <w:rFonts w:ascii="Arial" w:hAnsi="Arial" w:cs="Arial"/>
                          <w:i/>
                          <w:color w:val="0070C0"/>
                          <w:sz w:val="16"/>
                          <w:szCs w:val="16"/>
                          <w:shd w:val="clear" w:color="auto" w:fill="FFFFFF"/>
                        </w:rPr>
                      </w:pPr>
                      <w:hyperlink r:id="rId55" w:anchor="p28" w:history="1">
                        <w:r w:rsidR="00A01931" w:rsidRPr="00A30913">
                          <w:rPr>
                            <w:rStyle w:val="Hyperlink"/>
                            <w:rFonts w:ascii="Arial" w:hAnsi="Arial" w:cs="Arial"/>
                            <w:i/>
                            <w:sz w:val="16"/>
                            <w:szCs w:val="16"/>
                            <w:shd w:val="clear" w:color="auto" w:fill="FFFFFF"/>
                          </w:rPr>
                          <w:t>28</w:t>
                        </w:r>
                      </w:hyperlink>
                      <w:r w:rsidR="00A01931" w:rsidRPr="00A30913">
                        <w:rPr>
                          <w:rFonts w:ascii="Arial" w:hAnsi="Arial" w:cs="Arial"/>
                          <w:i/>
                          <w:color w:val="0070C0"/>
                          <w:sz w:val="16"/>
                          <w:szCs w:val="16"/>
                          <w:shd w:val="clear" w:color="auto" w:fill="FFFFFF"/>
                        </w:rPr>
                        <w:t>. Saistības ir budžeta iestādes pašreizējs pienākums, kurš radies pagātnes notikumu rezultātā un kura izpildei ir nepieciešams resursu izlietojums.</w:t>
                      </w:r>
                    </w:p>
                    <w:p w:rsidR="00A01931" w:rsidRPr="00A30913" w:rsidRDefault="00425C5C" w:rsidP="00C917A3">
                      <w:pPr>
                        <w:jc w:val="both"/>
                        <w:rPr>
                          <w:rFonts w:ascii="Arial" w:hAnsi="Arial" w:cs="Arial"/>
                          <w:i/>
                          <w:color w:val="0070C0"/>
                          <w:sz w:val="16"/>
                          <w:szCs w:val="16"/>
                          <w:shd w:val="clear" w:color="auto" w:fill="FFFFFF"/>
                        </w:rPr>
                      </w:pPr>
                      <w:hyperlink r:id="rId56" w:anchor="p29" w:history="1">
                        <w:r w:rsidR="00A01931" w:rsidRPr="00A30913">
                          <w:rPr>
                            <w:rStyle w:val="Hyperlink"/>
                            <w:rFonts w:ascii="Arial" w:hAnsi="Arial" w:cs="Arial"/>
                            <w:i/>
                            <w:sz w:val="16"/>
                            <w:szCs w:val="16"/>
                            <w:shd w:val="clear" w:color="auto" w:fill="FFFFFF"/>
                          </w:rPr>
                          <w:t>29</w:t>
                        </w:r>
                      </w:hyperlink>
                      <w:r w:rsidR="00A01931" w:rsidRPr="00A30913">
                        <w:rPr>
                          <w:rFonts w:ascii="Arial" w:hAnsi="Arial" w:cs="Arial"/>
                          <w:i/>
                          <w:color w:val="0070C0"/>
                          <w:sz w:val="16"/>
                          <w:szCs w:val="16"/>
                          <w:shd w:val="clear" w:color="auto" w:fill="FFFFFF"/>
                        </w:rPr>
                        <w:t>. Pagātnes notikums, kura dēļ izveidojas pašreizējs pienākums, rodas, ja:</w:t>
                      </w:r>
                    </w:p>
                    <w:p w:rsidR="00A01931" w:rsidRPr="00A30913" w:rsidRDefault="00A01931" w:rsidP="00C917A3">
                      <w:pPr>
                        <w:jc w:val="both"/>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29.1. pienākuma izpildi paredzēts nodrošināt tiesību aktos noteiktajā kārtībā;</w:t>
                      </w:r>
                    </w:p>
                    <w:p w:rsidR="00A01931" w:rsidRPr="00A30913" w:rsidRDefault="00A01931" w:rsidP="00C917A3">
                      <w:pPr>
                        <w:jc w:val="both"/>
                        <w:rPr>
                          <w:rFonts w:ascii="Arial" w:hAnsi="Arial" w:cs="Arial"/>
                          <w:sz w:val="16"/>
                          <w:szCs w:val="16"/>
                        </w:rPr>
                      </w:pPr>
                      <w:r w:rsidRPr="00A30913">
                        <w:rPr>
                          <w:rFonts w:ascii="Arial" w:hAnsi="Arial" w:cs="Arial"/>
                          <w:i/>
                          <w:color w:val="0070C0"/>
                          <w:sz w:val="16"/>
                          <w:szCs w:val="16"/>
                          <w:shd w:val="clear" w:color="auto" w:fill="FFFFFF"/>
                        </w:rPr>
                        <w:t>29.2. notikums (kas var būt budžeta iestādes darbība) ir devis citām personām pamatotu iemeslu sagaidīt, ka budžeta iestāde izpildīs attiecīgo pienākumu.</w:t>
                      </w:r>
                    </w:p>
                  </w:txbxContent>
                </v:textbox>
                <w10:wrap type="tight" anchorx="margin"/>
              </v:shape>
            </w:pict>
          </mc:Fallback>
        </mc:AlternateContent>
      </w:r>
      <w:r w:rsidR="00C00117" w:rsidRPr="008B18A9">
        <w:rPr>
          <w:rFonts w:ascii="Times New Roman" w:hAnsi="Times New Roman" w:cs="Times New Roman"/>
          <w:sz w:val="24"/>
          <w:szCs w:val="24"/>
        </w:rPr>
        <w:t>Ja izvērtējot darījuma būtību secina, ka pienākums veikt maksājumu valsts budžetā rodas tikai tad, kad naudas līdzekļi ir saņemti no parādnieka, tad saistības pret valsts budžetu un pārējos ieņēmumus atzīst saņemtā maksājuma dienā:</w:t>
      </w:r>
    </w:p>
    <w:p w:rsidR="00A24DEB" w:rsidRDefault="00C00117" w:rsidP="00A24DEB">
      <w:pPr>
        <w:pStyle w:val="PlainText"/>
        <w:ind w:left="426" w:firstLine="294"/>
        <w:jc w:val="both"/>
        <w:rPr>
          <w:rFonts w:ascii="Times New Roman" w:hAnsi="Times New Roman" w:cs="Times New Roman"/>
          <w:i/>
          <w:sz w:val="24"/>
          <w:szCs w:val="24"/>
        </w:rPr>
      </w:pPr>
      <w:r w:rsidRPr="008B18A9">
        <w:rPr>
          <w:rFonts w:ascii="Times New Roman" w:hAnsi="Times New Roman" w:cs="Times New Roman"/>
          <w:i/>
          <w:sz w:val="24"/>
          <w:szCs w:val="24"/>
        </w:rPr>
        <w:t xml:space="preserve">D </w:t>
      </w:r>
      <w:r w:rsidR="0034586F" w:rsidRPr="008B18A9">
        <w:rPr>
          <w:rFonts w:ascii="Times New Roman" w:hAnsi="Times New Roman" w:cs="Times New Roman"/>
          <w:i/>
          <w:sz w:val="24"/>
          <w:szCs w:val="24"/>
        </w:rPr>
        <w:t>8690</w:t>
      </w:r>
      <w:r w:rsidR="00623FC9" w:rsidRPr="008B18A9">
        <w:rPr>
          <w:rFonts w:ascii="Times New Roman" w:hAnsi="Times New Roman" w:cs="Times New Roman"/>
          <w:i/>
          <w:sz w:val="24"/>
          <w:szCs w:val="24"/>
        </w:rPr>
        <w:t xml:space="preserve"> Pārējie iepriekš neklasificētie</w:t>
      </w:r>
    </w:p>
    <w:p w:rsidR="00C00117" w:rsidRPr="008B18A9" w:rsidRDefault="00A24DEB" w:rsidP="00A24DEB">
      <w:pPr>
        <w:pStyle w:val="PlainText"/>
        <w:ind w:left="426" w:firstLine="294"/>
        <w:jc w:val="both"/>
        <w:rPr>
          <w:rFonts w:ascii="Times New Roman" w:hAnsi="Times New Roman" w:cs="Times New Roman"/>
          <w:i/>
          <w:sz w:val="24"/>
          <w:szCs w:val="24"/>
        </w:rPr>
      </w:pPr>
      <w:r>
        <w:rPr>
          <w:rFonts w:ascii="Times New Roman" w:hAnsi="Times New Roman" w:cs="Times New Roman"/>
          <w:i/>
          <w:sz w:val="24"/>
          <w:szCs w:val="24"/>
        </w:rPr>
        <w:t xml:space="preserve"> </w:t>
      </w:r>
      <w:r w:rsidR="00623FC9" w:rsidRPr="008B18A9">
        <w:rPr>
          <w:rFonts w:ascii="Times New Roman" w:hAnsi="Times New Roman" w:cs="Times New Roman"/>
          <w:i/>
          <w:sz w:val="24"/>
          <w:szCs w:val="24"/>
        </w:rPr>
        <w:t>izdevumi</w:t>
      </w:r>
    </w:p>
    <w:p w:rsidR="0034586F" w:rsidRPr="008B18A9" w:rsidRDefault="0034586F" w:rsidP="00623FC9">
      <w:pPr>
        <w:pStyle w:val="PlainText"/>
        <w:ind w:firstLine="720"/>
        <w:jc w:val="both"/>
        <w:rPr>
          <w:rFonts w:ascii="Times New Roman" w:hAnsi="Times New Roman" w:cs="Times New Roman"/>
          <w:i/>
          <w:sz w:val="24"/>
          <w:szCs w:val="24"/>
        </w:rPr>
      </w:pPr>
      <w:r w:rsidRPr="008B18A9">
        <w:rPr>
          <w:rFonts w:ascii="Times New Roman" w:hAnsi="Times New Roman" w:cs="Times New Roman"/>
          <w:i/>
          <w:sz w:val="24"/>
          <w:szCs w:val="24"/>
        </w:rPr>
        <w:t>K 5815</w:t>
      </w:r>
      <w:r w:rsidRPr="008B18A9">
        <w:rPr>
          <w:rFonts w:ascii="Times New Roman" w:hAnsi="Times New Roman" w:cs="Times New Roman"/>
          <w:i/>
          <w:sz w:val="24"/>
          <w:szCs w:val="24"/>
        </w:rPr>
        <w:tab/>
        <w:t>Saistības pret budžetu</w:t>
      </w:r>
    </w:p>
    <w:p w:rsidR="00C00117" w:rsidRPr="00C00117" w:rsidRDefault="00C00117" w:rsidP="00C00117">
      <w:pPr>
        <w:pStyle w:val="PlainText"/>
        <w:jc w:val="both"/>
      </w:pPr>
    </w:p>
    <w:p w:rsidR="00C00117" w:rsidRPr="008B18A9" w:rsidRDefault="0005300E" w:rsidP="0005300E">
      <w:pPr>
        <w:pStyle w:val="PlainText"/>
        <w:numPr>
          <w:ilvl w:val="0"/>
          <w:numId w:val="2"/>
        </w:numPr>
        <w:ind w:left="426"/>
        <w:rPr>
          <w:rFonts w:ascii="Times New Roman" w:hAnsi="Times New Roman" w:cs="Times New Roman"/>
          <w:sz w:val="24"/>
          <w:szCs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673600" behindDoc="1" locked="0" layoutInCell="1" allowOverlap="1" wp14:anchorId="1EA665BE" wp14:editId="76993A53">
                <wp:simplePos x="0" y="0"/>
                <wp:positionH relativeFrom="margin">
                  <wp:posOffset>3399155</wp:posOffset>
                </wp:positionH>
                <wp:positionV relativeFrom="paragraph">
                  <wp:posOffset>46355</wp:posOffset>
                </wp:positionV>
                <wp:extent cx="2218690" cy="920115"/>
                <wp:effectExtent l="0" t="0" r="10160" b="13335"/>
                <wp:wrapTight wrapText="bothSides">
                  <wp:wrapPolygon edited="0">
                    <wp:start x="0" y="0"/>
                    <wp:lineTo x="0" y="21466"/>
                    <wp:lineTo x="21513" y="21466"/>
                    <wp:lineTo x="21513"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2218690" cy="920115"/>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A01931" w:rsidP="00FF59FB">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8530 Ieņēmumi no saistību dzēšanas</w:t>
                            </w:r>
                            <w:r w:rsidRPr="00A30913">
                              <w:rPr>
                                <w:rFonts w:ascii="Arial" w:hAnsi="Arial" w:cs="Arial"/>
                                <w:i/>
                                <w:color w:val="0070C0"/>
                                <w:sz w:val="16"/>
                                <w:szCs w:val="16"/>
                                <w:shd w:val="clear" w:color="auto" w:fill="FFFFFF"/>
                              </w:rPr>
                              <w:tab/>
                            </w:r>
                          </w:p>
                          <w:p w:rsidR="00A01931" w:rsidRPr="00A30913" w:rsidRDefault="00A01931" w:rsidP="00FF59FB">
                            <w:pPr>
                              <w:rPr>
                                <w:rFonts w:ascii="Arial" w:hAnsi="Arial" w:cs="Arial"/>
                                <w:i/>
                                <w:color w:val="0070C0"/>
                                <w:sz w:val="16"/>
                                <w:szCs w:val="16"/>
                                <w:shd w:val="clear" w:color="auto" w:fill="FFFFFF"/>
                              </w:rPr>
                            </w:pPr>
                          </w:p>
                          <w:p w:rsidR="00A01931" w:rsidRPr="00A30913" w:rsidRDefault="00A01931" w:rsidP="00C2218B">
                            <w:pPr>
                              <w:jc w:val="both"/>
                              <w:rPr>
                                <w:sz w:val="16"/>
                                <w:szCs w:val="16"/>
                              </w:rPr>
                            </w:pPr>
                            <w:r w:rsidRPr="00A30913">
                              <w:rPr>
                                <w:rFonts w:ascii="Arial" w:hAnsi="Arial" w:cs="Arial"/>
                                <w:i/>
                                <w:color w:val="0070C0"/>
                                <w:sz w:val="16"/>
                                <w:szCs w:val="16"/>
                                <w:shd w:val="clear" w:color="auto" w:fill="FFFFFF"/>
                              </w:rPr>
                              <w:t>Kontā uzskaita ieņēmumus, kas rodas, ja budžeta iestādei nav jāatmaksā kāda no saistībām (piemēram, parādu vai pārmaksu dzēšana) vai iestādes saistību atmaksu veic cita persona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665BE" id="Text Box 9" o:spid="_x0000_s1047" type="#_x0000_t202" style="position:absolute;left:0;text-align:left;margin-left:267.65pt;margin-top:3.65pt;width:174.7pt;height:72.4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" fillcolor="window" strokecolor="#4472c4" strokeweight="1pt">
                <v:textbox>
                  <w:txbxContent>
                    <w:p w:rsidR="00A01931" w:rsidRPr="00A30913" w:rsidRDefault="00A01931" w:rsidP="00FF59FB">
                      <w:pPr>
                        <w:rPr>
                          <w:rFonts w:ascii="Arial" w:hAnsi="Arial" w:cs="Arial"/>
                          <w:i/>
                          <w:color w:val="0070C0"/>
                          <w:sz w:val="16"/>
                          <w:szCs w:val="16"/>
                          <w:shd w:val="clear" w:color="auto" w:fill="FFFFFF"/>
                        </w:rPr>
                      </w:pPr>
                      <w:r w:rsidRPr="00A30913">
                        <w:rPr>
                          <w:rFonts w:ascii="Arial" w:hAnsi="Arial" w:cs="Arial"/>
                          <w:i/>
                          <w:color w:val="0070C0"/>
                          <w:sz w:val="16"/>
                          <w:szCs w:val="16"/>
                          <w:shd w:val="clear" w:color="auto" w:fill="FFFFFF"/>
                        </w:rPr>
                        <w:t>8530 Ieņēmumi no saistību dzēšanas</w:t>
                      </w:r>
                      <w:r w:rsidRPr="00A30913">
                        <w:rPr>
                          <w:rFonts w:ascii="Arial" w:hAnsi="Arial" w:cs="Arial"/>
                          <w:i/>
                          <w:color w:val="0070C0"/>
                          <w:sz w:val="16"/>
                          <w:szCs w:val="16"/>
                          <w:shd w:val="clear" w:color="auto" w:fill="FFFFFF"/>
                        </w:rPr>
                        <w:tab/>
                      </w:r>
                    </w:p>
                    <w:p w:rsidR="00A01931" w:rsidRPr="00A30913" w:rsidRDefault="00A01931" w:rsidP="00FF59FB">
                      <w:pPr>
                        <w:rPr>
                          <w:rFonts w:ascii="Arial" w:hAnsi="Arial" w:cs="Arial"/>
                          <w:i/>
                          <w:color w:val="0070C0"/>
                          <w:sz w:val="16"/>
                          <w:szCs w:val="16"/>
                          <w:shd w:val="clear" w:color="auto" w:fill="FFFFFF"/>
                        </w:rPr>
                      </w:pPr>
                    </w:p>
                    <w:p w:rsidR="00A01931" w:rsidRPr="00A30913" w:rsidRDefault="00A01931" w:rsidP="00C2218B">
                      <w:pPr>
                        <w:jc w:val="both"/>
                        <w:rPr>
                          <w:sz w:val="16"/>
                          <w:szCs w:val="16"/>
                        </w:rPr>
                      </w:pPr>
                      <w:r w:rsidRPr="00A30913">
                        <w:rPr>
                          <w:rFonts w:ascii="Arial" w:hAnsi="Arial" w:cs="Arial"/>
                          <w:i/>
                          <w:color w:val="0070C0"/>
                          <w:sz w:val="16"/>
                          <w:szCs w:val="16"/>
                          <w:shd w:val="clear" w:color="auto" w:fill="FFFFFF"/>
                        </w:rPr>
                        <w:t>Kontā uzskaita ieņēmumus, kas rodas, ja budžeta iestādei nav jāatmaksā kāda no saistībām (piemēram, parādu vai pārmaksu dzēšana) vai iestādes saistību atmaksu veic cita persona</w:t>
                      </w:r>
                    </w:p>
                  </w:txbxContent>
                </v:textbox>
                <w10:wrap type="tight" anchorx="margin"/>
              </v:shape>
            </w:pict>
          </mc:Fallback>
        </mc:AlternateContent>
      </w:r>
      <w:r w:rsidR="00C00117" w:rsidRPr="008B18A9">
        <w:rPr>
          <w:rFonts w:ascii="Times New Roman" w:hAnsi="Times New Roman" w:cs="Times New Roman"/>
          <w:sz w:val="24"/>
          <w:szCs w:val="24"/>
        </w:rPr>
        <w:t xml:space="preserve">Ja budžeta iestāde ir atzinusi saistības pret valsts budžetu pirms </w:t>
      </w:r>
      <w:r w:rsidR="00623FC9" w:rsidRPr="008B18A9">
        <w:rPr>
          <w:rFonts w:ascii="Times New Roman" w:hAnsi="Times New Roman" w:cs="Times New Roman"/>
          <w:sz w:val="24"/>
          <w:szCs w:val="24"/>
        </w:rPr>
        <w:t xml:space="preserve">attiecīgais </w:t>
      </w:r>
      <w:r w:rsidR="00C00117" w:rsidRPr="008B18A9">
        <w:rPr>
          <w:rFonts w:ascii="Times New Roman" w:hAnsi="Times New Roman" w:cs="Times New Roman"/>
          <w:sz w:val="24"/>
          <w:szCs w:val="24"/>
        </w:rPr>
        <w:t>maksājums</w:t>
      </w:r>
      <w:r w:rsidR="00623FC9" w:rsidRPr="008B18A9">
        <w:rPr>
          <w:rFonts w:ascii="Times New Roman" w:hAnsi="Times New Roman" w:cs="Times New Roman"/>
          <w:sz w:val="24"/>
          <w:szCs w:val="24"/>
        </w:rPr>
        <w:t xml:space="preserve"> no parādnieka</w:t>
      </w:r>
      <w:r w:rsidR="00C00117" w:rsidRPr="008B18A9">
        <w:rPr>
          <w:rFonts w:ascii="Times New Roman" w:hAnsi="Times New Roman" w:cs="Times New Roman"/>
          <w:sz w:val="24"/>
          <w:szCs w:val="24"/>
        </w:rPr>
        <w:t xml:space="preserve"> ir saņemts, tad veic korekcijas:</w:t>
      </w:r>
    </w:p>
    <w:p w:rsidR="0034586F" w:rsidRPr="008B18A9" w:rsidRDefault="00C00117" w:rsidP="00623FC9">
      <w:pPr>
        <w:pStyle w:val="PlainText"/>
        <w:ind w:firstLine="720"/>
        <w:rPr>
          <w:rFonts w:ascii="Times New Roman" w:hAnsi="Times New Roman" w:cs="Times New Roman"/>
          <w:i/>
          <w:sz w:val="24"/>
          <w:szCs w:val="24"/>
        </w:rPr>
      </w:pPr>
      <w:r w:rsidRPr="008B18A9">
        <w:rPr>
          <w:rFonts w:ascii="Times New Roman" w:hAnsi="Times New Roman" w:cs="Times New Roman"/>
          <w:i/>
          <w:sz w:val="24"/>
          <w:szCs w:val="24"/>
        </w:rPr>
        <w:t xml:space="preserve">D </w:t>
      </w:r>
      <w:r w:rsidR="0034586F" w:rsidRPr="008B18A9">
        <w:rPr>
          <w:rFonts w:ascii="Times New Roman" w:hAnsi="Times New Roman" w:cs="Times New Roman"/>
          <w:i/>
          <w:sz w:val="24"/>
          <w:szCs w:val="24"/>
        </w:rPr>
        <w:t>5815</w:t>
      </w:r>
      <w:r w:rsidR="0034586F" w:rsidRPr="008B18A9">
        <w:rPr>
          <w:rFonts w:ascii="Times New Roman" w:hAnsi="Times New Roman" w:cs="Times New Roman"/>
          <w:i/>
          <w:sz w:val="24"/>
          <w:szCs w:val="24"/>
        </w:rPr>
        <w:tab/>
      </w:r>
      <w:r w:rsidR="0005300E">
        <w:rPr>
          <w:rFonts w:ascii="Times New Roman" w:hAnsi="Times New Roman" w:cs="Times New Roman"/>
          <w:i/>
          <w:sz w:val="24"/>
          <w:szCs w:val="24"/>
        </w:rPr>
        <w:t xml:space="preserve"> </w:t>
      </w:r>
      <w:r w:rsidR="0034586F" w:rsidRPr="008B18A9">
        <w:rPr>
          <w:rFonts w:ascii="Times New Roman" w:hAnsi="Times New Roman" w:cs="Times New Roman"/>
          <w:i/>
          <w:sz w:val="24"/>
          <w:szCs w:val="24"/>
        </w:rPr>
        <w:t>Saistības pret budžetu</w:t>
      </w:r>
    </w:p>
    <w:p w:rsidR="00C00117" w:rsidRPr="008B18A9" w:rsidRDefault="0034586F" w:rsidP="00623FC9">
      <w:pPr>
        <w:pStyle w:val="PlainText"/>
        <w:ind w:firstLine="720"/>
        <w:rPr>
          <w:rFonts w:ascii="Times New Roman" w:hAnsi="Times New Roman" w:cs="Times New Roman"/>
          <w:i/>
          <w:sz w:val="24"/>
          <w:szCs w:val="24"/>
        </w:rPr>
      </w:pPr>
      <w:r w:rsidRPr="008B18A9">
        <w:rPr>
          <w:rFonts w:ascii="Times New Roman" w:hAnsi="Times New Roman" w:cs="Times New Roman"/>
          <w:i/>
          <w:sz w:val="24"/>
          <w:szCs w:val="24"/>
        </w:rPr>
        <w:t>K 8530 Ieņēmumi no saistību dzēšanas</w:t>
      </w:r>
    </w:p>
    <w:p w:rsidR="00C00117" w:rsidRPr="008B18A9" w:rsidRDefault="00C00117" w:rsidP="003E7535">
      <w:pPr>
        <w:pStyle w:val="PlainText"/>
        <w:rPr>
          <w:rFonts w:ascii="Times New Roman" w:hAnsi="Times New Roman" w:cs="Times New Roman"/>
          <w:sz w:val="24"/>
          <w:szCs w:val="24"/>
        </w:rPr>
      </w:pPr>
    </w:p>
    <w:p w:rsidR="00FF59FB" w:rsidRDefault="00FF59FB" w:rsidP="003E7535">
      <w:pPr>
        <w:pStyle w:val="PlainText"/>
        <w:rPr>
          <w:rFonts w:ascii="Times New Roman" w:hAnsi="Times New Roman" w:cs="Times New Roman"/>
          <w:sz w:val="24"/>
          <w:szCs w:val="24"/>
        </w:rPr>
      </w:pPr>
    </w:p>
    <w:p w:rsidR="00A24DEB" w:rsidRDefault="00A24DEB" w:rsidP="003E7535">
      <w:pPr>
        <w:pStyle w:val="PlainText"/>
        <w:rPr>
          <w:rFonts w:ascii="Times New Roman" w:hAnsi="Times New Roman" w:cs="Times New Roman"/>
          <w:sz w:val="24"/>
          <w:szCs w:val="24"/>
        </w:rPr>
      </w:pPr>
    </w:p>
    <w:p w:rsidR="00A24DEB" w:rsidRPr="008B18A9" w:rsidRDefault="00A24DEB" w:rsidP="003E7535">
      <w:pPr>
        <w:pStyle w:val="PlainText"/>
        <w:rPr>
          <w:rFonts w:ascii="Times New Roman" w:hAnsi="Times New Roman" w:cs="Times New Roman"/>
          <w:sz w:val="24"/>
          <w:szCs w:val="24"/>
        </w:rPr>
      </w:pPr>
    </w:p>
    <w:p w:rsidR="00C00117" w:rsidRDefault="007B3873" w:rsidP="00C2218B">
      <w:pPr>
        <w:pStyle w:val="PlainText"/>
        <w:jc w:val="both"/>
        <w:rPr>
          <w:rFonts w:ascii="Times New Roman" w:hAnsi="Times New Roman" w:cs="Times New Roman"/>
          <w:sz w:val="24"/>
          <w:szCs w:val="24"/>
        </w:rPr>
      </w:pPr>
      <w:hyperlink r:id="rId57" w:history="1">
        <w:r w:rsidR="00623FC9" w:rsidRPr="0005300E">
          <w:rPr>
            <w:rStyle w:val="Hyperlink"/>
            <w:rFonts w:ascii="Times New Roman" w:hAnsi="Times New Roman" w:cs="Times New Roman"/>
            <w:i/>
            <w:sz w:val="24"/>
            <w:szCs w:val="24"/>
          </w:rPr>
          <w:t>Rokasgrāmat</w:t>
        </w:r>
        <w:r w:rsidR="0005300E">
          <w:rPr>
            <w:rStyle w:val="Hyperlink"/>
            <w:rFonts w:ascii="Times New Roman" w:hAnsi="Times New Roman" w:cs="Times New Roman"/>
            <w:i/>
            <w:sz w:val="24"/>
            <w:szCs w:val="24"/>
          </w:rPr>
          <w:t>ā</w:t>
        </w:r>
      </w:hyperlink>
      <w:r w:rsidR="00623FC9" w:rsidRPr="008B18A9">
        <w:rPr>
          <w:rFonts w:ascii="Times New Roman" w:hAnsi="Times New Roman" w:cs="Times New Roman"/>
          <w:i/>
          <w:color w:val="2E74B5" w:themeColor="accent1" w:themeShade="BF"/>
          <w:sz w:val="24"/>
          <w:szCs w:val="24"/>
        </w:rPr>
        <w:t xml:space="preserve"> par Ministru kabineta noteikumu prasību piemērošanu par grāmatvedības uzskait</w:t>
      </w:r>
      <w:r w:rsidR="0005300E">
        <w:rPr>
          <w:rFonts w:ascii="Times New Roman" w:hAnsi="Times New Roman" w:cs="Times New Roman"/>
          <w:i/>
          <w:color w:val="2E74B5" w:themeColor="accent1" w:themeShade="BF"/>
          <w:sz w:val="24"/>
          <w:szCs w:val="24"/>
        </w:rPr>
        <w:t xml:space="preserve">i un gada pārskata sagatavošanu </w:t>
      </w:r>
      <w:r w:rsidR="0005300E" w:rsidRPr="0005300E">
        <w:rPr>
          <w:rFonts w:ascii="Times New Roman" w:hAnsi="Times New Roman" w:cs="Times New Roman"/>
          <w:sz w:val="24"/>
          <w:szCs w:val="24"/>
        </w:rPr>
        <w:t>ir</w:t>
      </w:r>
      <w:r w:rsidR="00D67010">
        <w:rPr>
          <w:rFonts w:ascii="Times New Roman" w:hAnsi="Times New Roman" w:cs="Times New Roman"/>
          <w:sz w:val="24"/>
          <w:szCs w:val="24"/>
        </w:rPr>
        <w:t xml:space="preserve"> minēts līdzvēr</w:t>
      </w:r>
      <w:r w:rsidR="0005300E" w:rsidRPr="0005300E">
        <w:rPr>
          <w:rFonts w:ascii="Times New Roman" w:hAnsi="Times New Roman" w:cs="Times New Roman"/>
          <w:sz w:val="24"/>
          <w:szCs w:val="24"/>
        </w:rPr>
        <w:t>tīgs piemērs:</w:t>
      </w:r>
    </w:p>
    <w:p w:rsidR="00A24DEB" w:rsidRDefault="00A24DEB" w:rsidP="00C2218B">
      <w:pPr>
        <w:pStyle w:val="PlainText"/>
        <w:jc w:val="both"/>
        <w:rPr>
          <w:rFonts w:ascii="Times New Roman" w:hAnsi="Times New Roman" w:cs="Times New Roman"/>
          <w:sz w:val="24"/>
          <w:szCs w:val="24"/>
        </w:rPr>
      </w:pPr>
      <w:r w:rsidRPr="0005300E">
        <w:rPr>
          <w:rFonts w:ascii="Times New Roman" w:hAnsi="Times New Roman" w:cs="Times New Roman"/>
          <w:noProof/>
          <w:sz w:val="24"/>
          <w:szCs w:val="24"/>
          <w:lang w:eastAsia="lv-LV"/>
        </w:rPr>
        <w:drawing>
          <wp:inline distT="0" distB="0" distL="0" distR="0" wp14:anchorId="7E6FA5AF" wp14:editId="1C342AC7">
            <wp:extent cx="5075596" cy="1869743"/>
            <wp:effectExtent l="38100" t="76200" r="106045" b="736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l="32474" t="10357" r="31665" b="66157"/>
                    <a:stretch/>
                  </pic:blipFill>
                  <pic:spPr bwMode="auto">
                    <a:xfrm>
                      <a:off x="0" y="0"/>
                      <a:ext cx="5156504" cy="1899548"/>
                    </a:xfrm>
                    <a:prstGeom prst="rect">
                      <a:avLst/>
                    </a:prstGeom>
                    <a:ln w="19050" cap="sq">
                      <a:solidFill>
                        <a:schemeClr val="accent1">
                          <a:lumMod val="60000"/>
                          <a:lumOff val="40000"/>
                        </a:schemeClr>
                      </a:solidFill>
                      <a:prstDash val="solid"/>
                      <a:miter lim="800000"/>
                    </a:ln>
                    <a:effectLst>
                      <a:outerShdw blurRad="50800" dist="38100" algn="l" rotWithShape="0">
                        <a:prstClr val="black">
                          <a:alpha val="40000"/>
                        </a:prstClr>
                      </a:outerShdw>
                    </a:effectLst>
                    <a:extLst>
                      <a:ext uri="{53640926-AAD7-44D8-BBD7-CCE9431645EC}">
                        <a14:shadowObscured xmlns:a14="http://schemas.microsoft.com/office/drawing/2010/main"/>
                      </a:ext>
                    </a:extLst>
                  </pic:spPr>
                </pic:pic>
              </a:graphicData>
            </a:graphic>
          </wp:inline>
        </w:drawing>
      </w:r>
    </w:p>
    <w:p w:rsidR="00A24DEB" w:rsidRDefault="00A24DEB" w:rsidP="00C2218B">
      <w:pPr>
        <w:pStyle w:val="PlainText"/>
        <w:jc w:val="both"/>
        <w:rPr>
          <w:rFonts w:ascii="Times New Roman" w:hAnsi="Times New Roman" w:cs="Times New Roman"/>
          <w:sz w:val="24"/>
          <w:szCs w:val="24"/>
        </w:rPr>
      </w:pPr>
    </w:p>
    <w:p w:rsidR="00A30913" w:rsidRPr="00A30913" w:rsidRDefault="00A30913" w:rsidP="00A30913">
      <w:pPr>
        <w:pStyle w:val="1Virsraksts"/>
      </w:pPr>
      <w:bookmarkStart w:id="6" w:name="_Toc20303057"/>
      <w:r w:rsidRPr="00A30913">
        <w:lastRenderedPageBreak/>
        <w:t>Uzkrājumi un uzkrātās saistības</w:t>
      </w:r>
      <w:bookmarkEnd w:id="6"/>
    </w:p>
    <w:tbl>
      <w:tblPr>
        <w:tblStyle w:val="TableGrid"/>
        <w:tblW w:w="0" w:type="auto"/>
        <w:tblLook w:val="04A0" w:firstRow="1" w:lastRow="0" w:firstColumn="1" w:lastColumn="0" w:noHBand="0" w:noVBand="1"/>
      </w:tblPr>
      <w:tblGrid>
        <w:gridCol w:w="8296"/>
      </w:tblGrid>
      <w:tr w:rsidR="00A30913" w:rsidRPr="00A30913" w:rsidTr="00A01931">
        <w:tc>
          <w:tcPr>
            <w:tcW w:w="8296" w:type="dxa"/>
            <w:shd w:val="clear" w:color="auto" w:fill="002060"/>
          </w:tcPr>
          <w:p w:rsidR="00A30913" w:rsidRPr="00A30913" w:rsidRDefault="00A30913" w:rsidP="00A30913">
            <w:pPr>
              <w:rPr>
                <w:rFonts w:ascii="Times New Roman" w:hAnsi="Times New Roman" w:cs="Times New Roman"/>
                <w:sz w:val="24"/>
              </w:rPr>
            </w:pPr>
            <w:r w:rsidRPr="00A30913">
              <w:rPr>
                <w:rFonts w:ascii="Times New Roman" w:hAnsi="Times New Roman" w:cs="Times New Roman"/>
                <w:sz w:val="24"/>
              </w:rPr>
              <w:t>Jautājums:</w:t>
            </w:r>
          </w:p>
          <w:p w:rsidR="00A30913" w:rsidRPr="00A30913" w:rsidRDefault="00A30913" w:rsidP="00A30913">
            <w:pPr>
              <w:jc w:val="both"/>
              <w:rPr>
                <w:rFonts w:ascii="Times New Roman" w:hAnsi="Times New Roman" w:cs="Times New Roman"/>
                <w:sz w:val="24"/>
              </w:rPr>
            </w:pPr>
            <w:r w:rsidRPr="00A30913">
              <w:rPr>
                <w:rFonts w:ascii="Times New Roman" w:hAnsi="Times New Roman" w:cs="Times New Roman"/>
                <w:sz w:val="24"/>
              </w:rPr>
              <w:t>Uzkrātās saistības bijušiem darbiniekiem (bijušiem pagasta vadītājiem)</w:t>
            </w:r>
          </w:p>
        </w:tc>
      </w:tr>
    </w:tbl>
    <w:p w:rsidR="00A30913" w:rsidRPr="00A30913" w:rsidRDefault="00A30913" w:rsidP="00A30913">
      <w:pPr>
        <w:rPr>
          <w:rFonts w:ascii="Times New Roman" w:hAnsi="Times New Roman" w:cs="Times New Roman"/>
          <w:sz w:val="24"/>
        </w:rPr>
      </w:pPr>
      <w:r w:rsidRPr="00A30913">
        <w:rPr>
          <w:rFonts w:ascii="Times New Roman" w:hAnsi="Times New Roman" w:cs="Times New Roman"/>
          <w:sz w:val="24"/>
        </w:rPr>
        <w:t>Atbilde:</w:t>
      </w:r>
    </w:p>
    <w:p w:rsidR="00A30913" w:rsidRPr="00A30913" w:rsidRDefault="00A30913" w:rsidP="00A30913">
      <w:pPr>
        <w:jc w:val="both"/>
        <w:rPr>
          <w:rFonts w:ascii="Times New Roman" w:hAnsi="Times New Roman" w:cs="Times New Roman"/>
          <w:sz w:val="24"/>
        </w:rPr>
      </w:pPr>
      <w:r w:rsidRPr="008B18A9">
        <w:rPr>
          <w:rFonts w:ascii="Times New Roman" w:eastAsia="Calibri" w:hAnsi="Times New Roman" w:cs="Times New Roman"/>
          <w:b/>
          <w:noProof/>
          <w:sz w:val="24"/>
          <w:szCs w:val="24"/>
          <w:lang w:eastAsia="lv-LV"/>
        </w:rPr>
        <mc:AlternateContent>
          <mc:Choice Requires="wps">
            <w:drawing>
              <wp:anchor distT="0" distB="0" distL="114300" distR="114300" simplePos="0" relativeHeight="251717632" behindDoc="1" locked="0" layoutInCell="1" allowOverlap="1" wp14:anchorId="7083547F" wp14:editId="5266393A">
                <wp:simplePos x="0" y="0"/>
                <wp:positionH relativeFrom="margin">
                  <wp:posOffset>2759710</wp:posOffset>
                </wp:positionH>
                <wp:positionV relativeFrom="paragraph">
                  <wp:posOffset>30455</wp:posOffset>
                </wp:positionV>
                <wp:extent cx="2486025" cy="2400300"/>
                <wp:effectExtent l="0" t="0" r="28575" b="19050"/>
                <wp:wrapTight wrapText="bothSides">
                  <wp:wrapPolygon edited="0">
                    <wp:start x="0" y="0"/>
                    <wp:lineTo x="0" y="21600"/>
                    <wp:lineTo x="21683" y="21600"/>
                    <wp:lineTo x="21683" y="0"/>
                    <wp:lineTo x="0" y="0"/>
                  </wp:wrapPolygon>
                </wp:wrapTight>
                <wp:docPr id="1380" name="Text Box 1380"/>
                <wp:cNvGraphicFramePr/>
                <a:graphic xmlns:a="http://schemas.openxmlformats.org/drawingml/2006/main">
                  <a:graphicData uri="http://schemas.microsoft.com/office/word/2010/wordprocessingShape">
                    <wps:wsp>
                      <wps:cNvSpPr txBox="1"/>
                      <wps:spPr>
                        <a:xfrm>
                          <a:off x="0" y="0"/>
                          <a:ext cx="2486025" cy="240030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A30913" w:rsidRDefault="007B3873" w:rsidP="00A30913">
                            <w:pPr>
                              <w:spacing w:after="120"/>
                              <w:jc w:val="both"/>
                              <w:rPr>
                                <w:rFonts w:ascii="Arial" w:hAnsi="Arial" w:cs="Arial"/>
                                <w:i/>
                                <w:color w:val="0070C0"/>
                                <w:sz w:val="16"/>
                                <w:szCs w:val="16"/>
                              </w:rPr>
                            </w:pPr>
                            <w:hyperlink r:id="rId59" w:anchor="p28" w:history="1">
                              <w:r w:rsidR="00A01931" w:rsidRPr="00A30913">
                                <w:rPr>
                                  <w:rStyle w:val="Hyperlink"/>
                                  <w:rFonts w:ascii="Arial" w:hAnsi="Arial" w:cs="Arial"/>
                                  <w:i/>
                                  <w:sz w:val="16"/>
                                  <w:szCs w:val="16"/>
                                </w:rPr>
                                <w:t>28</w:t>
                              </w:r>
                            </w:hyperlink>
                            <w:r w:rsidR="00A01931" w:rsidRPr="00A30913">
                              <w:rPr>
                                <w:rFonts w:ascii="Arial" w:hAnsi="Arial" w:cs="Arial"/>
                                <w:i/>
                                <w:color w:val="0070C0"/>
                                <w:sz w:val="16"/>
                                <w:szCs w:val="16"/>
                              </w:rPr>
                              <w:t>. Saistības ir budžeta iestādes pašreizējs pienākums, kurš radies pagātnes notikumu rezultātā un kura izpildei ir nepieciešams resursu izlietojums.</w:t>
                            </w:r>
                          </w:p>
                          <w:p w:rsidR="00A01931" w:rsidRPr="00A30913" w:rsidRDefault="007B3873" w:rsidP="00A30913">
                            <w:pPr>
                              <w:spacing w:after="120"/>
                              <w:jc w:val="both"/>
                              <w:rPr>
                                <w:rFonts w:ascii="Arial" w:hAnsi="Arial" w:cs="Arial"/>
                                <w:i/>
                                <w:color w:val="0070C0"/>
                                <w:sz w:val="16"/>
                                <w:szCs w:val="16"/>
                              </w:rPr>
                            </w:pPr>
                            <w:hyperlink r:id="rId60" w:anchor="p237" w:history="1">
                              <w:r w:rsidR="00A01931" w:rsidRPr="00A30913">
                                <w:rPr>
                                  <w:rStyle w:val="Hyperlink"/>
                                  <w:rFonts w:ascii="Arial" w:hAnsi="Arial" w:cs="Arial"/>
                                  <w:i/>
                                  <w:sz w:val="16"/>
                                  <w:szCs w:val="16"/>
                                </w:rPr>
                                <w:t>237</w:t>
                              </w:r>
                            </w:hyperlink>
                            <w:r w:rsidR="00A01931" w:rsidRPr="00A30913">
                              <w:rPr>
                                <w:rFonts w:ascii="Arial" w:hAnsi="Arial" w:cs="Arial"/>
                                <w:i/>
                                <w:color w:val="0070C0"/>
                                <w:sz w:val="16"/>
                                <w:szCs w:val="16"/>
                              </w:rPr>
                              <w:t>. Uzkrājumi ir paredzēti, lai segtu saistības, kuras attiecas uz pārskata gada vai iepriekšējo gadu darījumiem un pārskata sagatavošanas laikā ir paredzamas vai zināmas, bet kuru vērtība vai konkrētu saistību rašanās vai segšanas datums nav precīzi zināms.</w:t>
                            </w:r>
                          </w:p>
                          <w:p w:rsidR="00A01931" w:rsidRPr="00A30913" w:rsidRDefault="007B3873" w:rsidP="00A30913">
                            <w:pPr>
                              <w:jc w:val="both"/>
                              <w:rPr>
                                <w:rFonts w:ascii="Arial" w:hAnsi="Arial" w:cs="Arial"/>
                                <w:i/>
                                <w:color w:val="0070C0"/>
                                <w:sz w:val="16"/>
                                <w:szCs w:val="16"/>
                              </w:rPr>
                            </w:pPr>
                            <w:hyperlink r:id="rId61" w:anchor="p268" w:history="1">
                              <w:r w:rsidR="00A01931" w:rsidRPr="00A30913">
                                <w:rPr>
                                  <w:rStyle w:val="Hyperlink"/>
                                  <w:rFonts w:ascii="Arial" w:hAnsi="Arial" w:cs="Arial"/>
                                  <w:i/>
                                  <w:sz w:val="16"/>
                                  <w:szCs w:val="16"/>
                                </w:rPr>
                                <w:t>268</w:t>
                              </w:r>
                            </w:hyperlink>
                            <w:r w:rsidR="00A01931" w:rsidRPr="00A30913">
                              <w:rPr>
                                <w:rFonts w:ascii="Arial" w:hAnsi="Arial" w:cs="Arial"/>
                                <w:i/>
                                <w:color w:val="0070C0"/>
                                <w:sz w:val="16"/>
                                <w:szCs w:val="16"/>
                              </w:rPr>
                              <w:t>. Uzkrātās saistības atzīst, ja saistību lielums un apmaksas termiņi ir samērā precīzi aprēķināmi un nenoteiktības pakāpe ir daudz mazāka nekā uzkrājumiem. Uzkrāto saistību summu nosaka saskaņā ar tiesību aktiem, noslēgtajiem līgumiem, tāmēm, saņemtajiem attaisnojuma dokumentiem vai pēc iepriekšējās pieredzes par izdevumu apmēru.</w:t>
                            </w:r>
                          </w:p>
                          <w:p w:rsidR="00A01931" w:rsidRPr="00A30913" w:rsidRDefault="00A01931" w:rsidP="00A30913">
                            <w:pPr>
                              <w:jc w:val="both"/>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3547F" id="Text Box 1380" o:spid="_x0000_s1048" type="#_x0000_t202" style="position:absolute;left:0;text-align:left;margin-left:217.3pt;margin-top:2.4pt;width:195.75pt;height:189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" fillcolor="window" strokecolor="#4472c4" strokeweight="1pt">
                <v:textbox>
                  <w:txbxContent>
                    <w:p w:rsidR="00A01931" w:rsidRPr="00A30913" w:rsidRDefault="00425C5C" w:rsidP="00A30913">
                      <w:pPr>
                        <w:spacing w:after="120"/>
                        <w:jc w:val="both"/>
                        <w:rPr>
                          <w:rFonts w:ascii="Arial" w:hAnsi="Arial" w:cs="Arial"/>
                          <w:i/>
                          <w:color w:val="0070C0"/>
                          <w:sz w:val="16"/>
                          <w:szCs w:val="16"/>
                        </w:rPr>
                      </w:pPr>
                      <w:hyperlink r:id="rId62" w:anchor="p28" w:history="1">
                        <w:r w:rsidR="00A01931" w:rsidRPr="00A30913">
                          <w:rPr>
                            <w:rStyle w:val="Hyperlink"/>
                            <w:rFonts w:ascii="Arial" w:hAnsi="Arial" w:cs="Arial"/>
                            <w:i/>
                            <w:sz w:val="16"/>
                            <w:szCs w:val="16"/>
                          </w:rPr>
                          <w:t>28</w:t>
                        </w:r>
                      </w:hyperlink>
                      <w:r w:rsidR="00A01931" w:rsidRPr="00A30913">
                        <w:rPr>
                          <w:rFonts w:ascii="Arial" w:hAnsi="Arial" w:cs="Arial"/>
                          <w:i/>
                          <w:color w:val="0070C0"/>
                          <w:sz w:val="16"/>
                          <w:szCs w:val="16"/>
                        </w:rPr>
                        <w:t>. Saistības ir budžeta iestādes pašreizējs pienākums, kurš radies pagātnes notikumu rezultātā un kura izpildei ir nepieciešams resursu izlietojums.</w:t>
                      </w:r>
                    </w:p>
                    <w:p w:rsidR="00A01931" w:rsidRPr="00A30913" w:rsidRDefault="00425C5C" w:rsidP="00A30913">
                      <w:pPr>
                        <w:spacing w:after="120"/>
                        <w:jc w:val="both"/>
                        <w:rPr>
                          <w:rFonts w:ascii="Arial" w:hAnsi="Arial" w:cs="Arial"/>
                          <w:i/>
                          <w:color w:val="0070C0"/>
                          <w:sz w:val="16"/>
                          <w:szCs w:val="16"/>
                        </w:rPr>
                      </w:pPr>
                      <w:hyperlink r:id="rId63" w:anchor="p237" w:history="1">
                        <w:r w:rsidR="00A01931" w:rsidRPr="00A30913">
                          <w:rPr>
                            <w:rStyle w:val="Hyperlink"/>
                            <w:rFonts w:ascii="Arial" w:hAnsi="Arial" w:cs="Arial"/>
                            <w:i/>
                            <w:sz w:val="16"/>
                            <w:szCs w:val="16"/>
                          </w:rPr>
                          <w:t>237</w:t>
                        </w:r>
                      </w:hyperlink>
                      <w:r w:rsidR="00A01931" w:rsidRPr="00A30913">
                        <w:rPr>
                          <w:rFonts w:ascii="Arial" w:hAnsi="Arial" w:cs="Arial"/>
                          <w:i/>
                          <w:color w:val="0070C0"/>
                          <w:sz w:val="16"/>
                          <w:szCs w:val="16"/>
                        </w:rPr>
                        <w:t>. Uzkrājumi ir paredzēti, lai segtu saistības, kuras attiecas uz pārskata gada vai iepriekšējo gadu darījumiem un pārskata sagatavošanas laikā ir paredzamas vai zināmas, bet kuru vērtība vai konkrētu saistību rašanās vai segšanas datums nav precīzi zināms.</w:t>
                      </w:r>
                    </w:p>
                    <w:p w:rsidR="00A01931" w:rsidRPr="00A30913" w:rsidRDefault="00425C5C" w:rsidP="00A30913">
                      <w:pPr>
                        <w:jc w:val="both"/>
                        <w:rPr>
                          <w:rFonts w:ascii="Arial" w:hAnsi="Arial" w:cs="Arial"/>
                          <w:i/>
                          <w:color w:val="0070C0"/>
                          <w:sz w:val="16"/>
                          <w:szCs w:val="16"/>
                        </w:rPr>
                      </w:pPr>
                      <w:hyperlink r:id="rId64" w:anchor="p268" w:history="1">
                        <w:r w:rsidR="00A01931" w:rsidRPr="00A30913">
                          <w:rPr>
                            <w:rStyle w:val="Hyperlink"/>
                            <w:rFonts w:ascii="Arial" w:hAnsi="Arial" w:cs="Arial"/>
                            <w:i/>
                            <w:sz w:val="16"/>
                            <w:szCs w:val="16"/>
                          </w:rPr>
                          <w:t>268</w:t>
                        </w:r>
                      </w:hyperlink>
                      <w:r w:rsidR="00A01931" w:rsidRPr="00A30913">
                        <w:rPr>
                          <w:rFonts w:ascii="Arial" w:hAnsi="Arial" w:cs="Arial"/>
                          <w:i/>
                          <w:color w:val="0070C0"/>
                          <w:sz w:val="16"/>
                          <w:szCs w:val="16"/>
                        </w:rPr>
                        <w:t>. Uzkrātās saistības atzīst, ja saistību lielums un apmaksas termiņi ir samērā precīzi aprēķināmi un nenoteiktības pakāpe ir daudz mazāka nekā uzkrājumiem. Uzkrāto saistību summu nosaka saskaņā ar tiesību aktiem, noslēgtajiem līgumiem, tāmēm, saņemtajiem attaisnojuma dokumentiem vai pēc iepriekšējās pieredzes par izdevumu apmēru.</w:t>
                      </w:r>
                    </w:p>
                    <w:p w:rsidR="00A01931" w:rsidRPr="00A30913" w:rsidRDefault="00A01931" w:rsidP="00A30913">
                      <w:pPr>
                        <w:jc w:val="both"/>
                        <w:rPr>
                          <w:rFonts w:ascii="Arial" w:hAnsi="Arial" w:cs="Arial"/>
                          <w:sz w:val="16"/>
                          <w:szCs w:val="16"/>
                        </w:rPr>
                      </w:pPr>
                    </w:p>
                  </w:txbxContent>
                </v:textbox>
                <w10:wrap type="tight" anchorx="margin"/>
              </v:shape>
            </w:pict>
          </mc:Fallback>
        </mc:AlternateContent>
      </w:r>
      <w:r w:rsidRPr="00A30913">
        <w:rPr>
          <w:rFonts w:ascii="Times New Roman" w:hAnsi="Times New Roman" w:cs="Times New Roman"/>
          <w:sz w:val="24"/>
        </w:rPr>
        <w:t xml:space="preserve">Budžeta iestāde izvērtē tiesību aktus, lai noteiktu, vai pārskata datumā </w:t>
      </w:r>
      <w:r w:rsidRPr="00A30913">
        <w:rPr>
          <w:rFonts w:ascii="Times New Roman" w:hAnsi="Times New Roman" w:cs="Times New Roman"/>
          <w:b/>
          <w:sz w:val="24"/>
        </w:rPr>
        <w:t>pastāv pašreizējs pienākums</w:t>
      </w:r>
      <w:r w:rsidRPr="00A30913">
        <w:rPr>
          <w:rFonts w:ascii="Times New Roman" w:hAnsi="Times New Roman" w:cs="Times New Roman"/>
          <w:sz w:val="24"/>
        </w:rPr>
        <w:t xml:space="preserve"> veikt maksājumus paredzamā laika periodā. Ja šāds pienākums pastāv un laika periods, kad veicamas izmaksas, ir nosakāms, tad budžeta iestāde, atzīst uzkrājumus vai, ņemot vērā MK noteikumu Nr.87 268.punktu, uzkrātās saistības, ja summas un izmaksas termiņa nenoteiktības pakāpe ir zema.</w:t>
      </w: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tbl>
      <w:tblPr>
        <w:tblStyle w:val="TableGrid"/>
        <w:tblW w:w="0" w:type="auto"/>
        <w:tblLook w:val="04A0" w:firstRow="1" w:lastRow="0" w:firstColumn="1" w:lastColumn="0" w:noHBand="0" w:noVBand="1"/>
      </w:tblPr>
      <w:tblGrid>
        <w:gridCol w:w="8296"/>
      </w:tblGrid>
      <w:tr w:rsidR="00FB3110" w:rsidRPr="00FB3110" w:rsidTr="00A01931">
        <w:tc>
          <w:tcPr>
            <w:tcW w:w="9530" w:type="dxa"/>
            <w:shd w:val="clear" w:color="auto" w:fill="002060"/>
          </w:tcPr>
          <w:p w:rsidR="00FB3110" w:rsidRPr="00FB3110" w:rsidRDefault="00FB3110" w:rsidP="00FB3110">
            <w:pPr>
              <w:rPr>
                <w:rFonts w:ascii="Times New Roman" w:eastAsia="Calibri" w:hAnsi="Times New Roman" w:cs="Times New Roman"/>
                <w:bCs/>
                <w:iCs/>
                <w:color w:val="FFFFFF"/>
              </w:rPr>
            </w:pPr>
            <w:r w:rsidRPr="00FB3110">
              <w:rPr>
                <w:rFonts w:ascii="Times New Roman" w:eastAsia="Calibri" w:hAnsi="Times New Roman" w:cs="Times New Roman"/>
                <w:bCs/>
                <w:iCs/>
                <w:color w:val="FFFFFF"/>
              </w:rPr>
              <w:t>Jautājums:</w:t>
            </w:r>
          </w:p>
          <w:p w:rsidR="00FB3110" w:rsidRPr="00FB3110" w:rsidRDefault="00FB3110" w:rsidP="00FB3110">
            <w:pPr>
              <w:rPr>
                <w:rFonts w:ascii="Times New Roman" w:eastAsia="Calibri" w:hAnsi="Times New Roman" w:cs="Times New Roman"/>
                <w:bCs/>
                <w:iCs/>
                <w:color w:val="FFFFFF"/>
              </w:rPr>
            </w:pPr>
            <w:r w:rsidRPr="00FB3110">
              <w:rPr>
                <w:rFonts w:ascii="Times New Roman" w:eastAsia="Calibri" w:hAnsi="Times New Roman" w:cs="Times New Roman"/>
                <w:bCs/>
                <w:iCs/>
                <w:color w:val="FFFFFF"/>
              </w:rPr>
              <w:t>Budžeta iestāde nodrošina dažādos normatīvajos aktos noteiktu sociālo garantiju izmaksas darbiniekiem. Vai ir nepieciešams veidot uzkrājumus, kāds ir tā veidošanas periods un diskontēšanas piemērošana šīm izmaksām.</w:t>
            </w:r>
          </w:p>
        </w:tc>
      </w:tr>
    </w:tbl>
    <w:p w:rsidR="00FB3110" w:rsidRPr="00FB3110" w:rsidRDefault="00FB3110" w:rsidP="00FB3110">
      <w:pPr>
        <w:rPr>
          <w:rFonts w:ascii="Times New Roman" w:eastAsia="Calibri" w:hAnsi="Times New Roman" w:cs="Times New Roman"/>
          <w:bCs/>
          <w:iCs/>
        </w:rPr>
      </w:pPr>
    </w:p>
    <w:p w:rsidR="00FB3110" w:rsidRPr="00FB3110" w:rsidRDefault="00FB3110" w:rsidP="00FB3110">
      <w:pPr>
        <w:rPr>
          <w:rFonts w:ascii="Times New Roman" w:eastAsia="Calibri" w:hAnsi="Times New Roman" w:cs="Times New Roman"/>
          <w:bCs/>
          <w:iCs/>
        </w:rPr>
      </w:pPr>
      <w:r w:rsidRPr="00FB3110">
        <w:rPr>
          <w:rFonts w:ascii="Times New Roman" w:eastAsia="Calibri" w:hAnsi="Times New Roman" w:cs="Times New Roman"/>
          <w:bCs/>
          <w:iCs/>
        </w:rPr>
        <w:t>Atbilde:</w:t>
      </w: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
          <w:noProof/>
          <w:sz w:val="24"/>
          <w:szCs w:val="24"/>
          <w:lang w:eastAsia="lv-LV"/>
        </w:rPr>
        <mc:AlternateContent>
          <mc:Choice Requires="wps">
            <w:drawing>
              <wp:anchor distT="0" distB="0" distL="114300" distR="114300" simplePos="0" relativeHeight="251721728" behindDoc="1" locked="0" layoutInCell="1" allowOverlap="1" wp14:anchorId="6C46EE98" wp14:editId="5E1E8487">
                <wp:simplePos x="0" y="0"/>
                <wp:positionH relativeFrom="margin">
                  <wp:posOffset>3702050</wp:posOffset>
                </wp:positionH>
                <wp:positionV relativeFrom="paragraph">
                  <wp:posOffset>411480</wp:posOffset>
                </wp:positionV>
                <wp:extent cx="2398395" cy="1327150"/>
                <wp:effectExtent l="0" t="0" r="20955" b="25400"/>
                <wp:wrapTight wrapText="bothSides">
                  <wp:wrapPolygon edited="0">
                    <wp:start x="0" y="0"/>
                    <wp:lineTo x="0" y="21703"/>
                    <wp:lineTo x="21617" y="21703"/>
                    <wp:lineTo x="21617" y="0"/>
                    <wp:lineTo x="0" y="0"/>
                  </wp:wrapPolygon>
                </wp:wrapTight>
                <wp:docPr id="12" name="Text Box 12"/>
                <wp:cNvGraphicFramePr/>
                <a:graphic xmlns:a="http://schemas.openxmlformats.org/drawingml/2006/main">
                  <a:graphicData uri="http://schemas.microsoft.com/office/word/2010/wordprocessingShape">
                    <wps:wsp>
                      <wps:cNvSpPr txBox="1"/>
                      <wps:spPr>
                        <a:xfrm>
                          <a:off x="0" y="0"/>
                          <a:ext cx="2398395" cy="1327150"/>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w:t>
                            </w:r>
                            <w:r w:rsidRPr="00FB3110">
                              <w:rPr>
                                <w:rStyle w:val="Hyperlink"/>
                                <w:rFonts w:ascii="Arial" w:hAnsi="Arial" w:cs="Arial"/>
                                <w:i/>
                                <w:sz w:val="16"/>
                                <w:szCs w:val="16"/>
                                <w:u w:val="none"/>
                              </w:rPr>
                              <w:tab/>
                              <w:t>Uzkrājumus atzīst tikai tad, ja ir spēkā visi šie nosacījumi:</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241.1.</w:t>
                            </w:r>
                            <w:r w:rsidRPr="00FB3110">
                              <w:rPr>
                                <w:rStyle w:val="Hyperlink"/>
                                <w:rFonts w:ascii="Arial" w:hAnsi="Arial" w:cs="Arial"/>
                                <w:i/>
                                <w:sz w:val="16"/>
                                <w:szCs w:val="16"/>
                                <w:u w:val="none"/>
                              </w:rPr>
                              <w:tab/>
                              <w:t>ir pašreizējs pienākums (juridisks vai prakses radīts), kuru izraisījis pagātnes notikums;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241.2.</w:t>
                            </w:r>
                            <w:r w:rsidRPr="00FB3110">
                              <w:rPr>
                                <w:rStyle w:val="Hyperlink"/>
                                <w:rFonts w:ascii="Arial" w:hAnsi="Arial" w:cs="Arial"/>
                                <w:i/>
                                <w:sz w:val="16"/>
                                <w:szCs w:val="16"/>
                                <w:u w:val="none"/>
                              </w:rPr>
                              <w:tab/>
                              <w:t>ir ticams, ka šā pienākuma izpildei būs nepieciešams resursu</w:t>
                            </w:r>
                            <w:r w:rsidRPr="00FB3110">
                              <w:rPr>
                                <w:rStyle w:val="Hyperlink"/>
                                <w:rFonts w:ascii="Arial" w:hAnsi="Arial" w:cs="Arial"/>
                                <w:i/>
                                <w:color w:val="0E57C4"/>
                                <w:u w:val="none"/>
                              </w:rPr>
                              <w:t xml:space="preserve"> </w:t>
                            </w:r>
                            <w:r w:rsidRPr="00FB3110">
                              <w:rPr>
                                <w:rStyle w:val="Hyperlink"/>
                                <w:rFonts w:ascii="Arial" w:hAnsi="Arial" w:cs="Arial"/>
                                <w:i/>
                                <w:sz w:val="16"/>
                                <w:szCs w:val="16"/>
                                <w:u w:val="none"/>
                              </w:rPr>
                              <w:t>izlietojums;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241.3.</w:t>
                            </w:r>
                            <w:r w:rsidRPr="00FB3110">
                              <w:rPr>
                                <w:rStyle w:val="Hyperlink"/>
                                <w:rFonts w:ascii="Arial" w:hAnsi="Arial" w:cs="Arial"/>
                                <w:i/>
                                <w:sz w:val="16"/>
                                <w:szCs w:val="16"/>
                                <w:u w:val="none"/>
                              </w:rPr>
                              <w:tab/>
                              <w:t>pienākuma izpildei nepieciešamās summas var ticami novērtēt.</w:t>
                            </w:r>
                          </w:p>
                          <w:p w:rsidR="00A01931" w:rsidRPr="00FB3110" w:rsidRDefault="00A01931" w:rsidP="00FB3110">
                            <w:pPr>
                              <w:jc w:val="both"/>
                              <w:rPr>
                                <w:rFonts w:ascii="Arial" w:hAnsi="Arial" w:cs="Arial"/>
                                <w:color w:val="0E57C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6EE98" id="Text Box 12" o:spid="_x0000_s1049" type="#_x0000_t202" style="position:absolute;left:0;text-align:left;margin-left:291.5pt;margin-top:32.4pt;width:188.85pt;height:104.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" fillcolor="window" strokecolor="#4472c4" strokeweight="1pt">
                <v:textbox>
                  <w:txbxContent>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w:t>
                      </w:r>
                      <w:r w:rsidRPr="00FB3110">
                        <w:rPr>
                          <w:rStyle w:val="Hyperlink"/>
                          <w:rFonts w:ascii="Arial" w:hAnsi="Arial" w:cs="Arial"/>
                          <w:i/>
                          <w:sz w:val="16"/>
                          <w:szCs w:val="16"/>
                          <w:u w:val="none"/>
                        </w:rPr>
                        <w:tab/>
                        <w:t>Uzkrājumus atzīst tikai tad, ja ir spēkā visi šie nosacījumi:</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241.1.</w:t>
                      </w:r>
                      <w:r w:rsidRPr="00FB3110">
                        <w:rPr>
                          <w:rStyle w:val="Hyperlink"/>
                          <w:rFonts w:ascii="Arial" w:hAnsi="Arial" w:cs="Arial"/>
                          <w:i/>
                          <w:sz w:val="16"/>
                          <w:szCs w:val="16"/>
                          <w:u w:val="none"/>
                        </w:rPr>
                        <w:tab/>
                        <w:t>ir pašreizējs pienākums (juridisks vai prakses radīts), kuru izraisījis pagātnes notikums;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241.2.</w:t>
                      </w:r>
                      <w:r w:rsidRPr="00FB3110">
                        <w:rPr>
                          <w:rStyle w:val="Hyperlink"/>
                          <w:rFonts w:ascii="Arial" w:hAnsi="Arial" w:cs="Arial"/>
                          <w:i/>
                          <w:sz w:val="16"/>
                          <w:szCs w:val="16"/>
                          <w:u w:val="none"/>
                        </w:rPr>
                        <w:tab/>
                        <w:t>ir ticams, ka šā pienākuma izpildei būs nepieciešams resursu</w:t>
                      </w:r>
                      <w:r w:rsidRPr="00FB3110">
                        <w:rPr>
                          <w:rStyle w:val="Hyperlink"/>
                          <w:rFonts w:ascii="Arial" w:hAnsi="Arial" w:cs="Arial"/>
                          <w:i/>
                          <w:color w:val="0E57C4"/>
                          <w:u w:val="none"/>
                        </w:rPr>
                        <w:t xml:space="preserve"> </w:t>
                      </w:r>
                      <w:r w:rsidRPr="00FB3110">
                        <w:rPr>
                          <w:rStyle w:val="Hyperlink"/>
                          <w:rFonts w:ascii="Arial" w:hAnsi="Arial" w:cs="Arial"/>
                          <w:i/>
                          <w:sz w:val="16"/>
                          <w:szCs w:val="16"/>
                          <w:u w:val="none"/>
                        </w:rPr>
                        <w:t>izlietojums;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241.3.</w:t>
                      </w:r>
                      <w:r w:rsidRPr="00FB3110">
                        <w:rPr>
                          <w:rStyle w:val="Hyperlink"/>
                          <w:rFonts w:ascii="Arial" w:hAnsi="Arial" w:cs="Arial"/>
                          <w:i/>
                          <w:sz w:val="16"/>
                          <w:szCs w:val="16"/>
                          <w:u w:val="none"/>
                        </w:rPr>
                        <w:tab/>
                        <w:t>pienākuma izpildei nepieciešamās summas var ticami novērtēt.</w:t>
                      </w:r>
                    </w:p>
                    <w:p w:rsidR="00A01931" w:rsidRPr="00FB3110" w:rsidRDefault="00A01931" w:rsidP="00FB3110">
                      <w:pPr>
                        <w:jc w:val="both"/>
                        <w:rPr>
                          <w:rFonts w:ascii="Arial" w:hAnsi="Arial" w:cs="Arial"/>
                          <w:color w:val="0E57C4"/>
                          <w:sz w:val="16"/>
                          <w:szCs w:val="16"/>
                        </w:rPr>
                      </w:pPr>
                    </w:p>
                  </w:txbxContent>
                </v:textbox>
                <w10:wrap type="tight" anchorx="margin"/>
              </v:shape>
            </w:pict>
          </mc:Fallback>
        </mc:AlternateContent>
      </w:r>
      <w:r w:rsidRPr="00FB3110">
        <w:rPr>
          <w:rFonts w:ascii="Times New Roman" w:eastAsia="Calibri" w:hAnsi="Times New Roman" w:cs="Times New Roman"/>
          <w:bCs/>
          <w:iCs/>
        </w:rPr>
        <w:t>Lai noteiktu, vai minētajiem atlīdzības veidiem veido uzkrājumus vai atzīst saistības, nepieciešams izvērtēt konkrētās atlīdzības atbilstību MK noteikumos Nr.87 noteiktām prasībām:</w:t>
      </w:r>
    </w:p>
    <w:p w:rsidR="00FB3110" w:rsidRPr="00FB3110" w:rsidRDefault="00FB3110" w:rsidP="00FB3110">
      <w:pPr>
        <w:numPr>
          <w:ilvl w:val="0"/>
          <w:numId w:val="9"/>
        </w:numPr>
        <w:ind w:left="426" w:hanging="426"/>
        <w:rPr>
          <w:rFonts w:ascii="Times New Roman" w:eastAsia="Calibri" w:hAnsi="Times New Roman" w:cs="Times New Roman"/>
          <w:bCs/>
          <w:iCs/>
        </w:rPr>
      </w:pPr>
      <w:r w:rsidRPr="00FB3110">
        <w:rPr>
          <w:rFonts w:ascii="Times New Roman" w:eastAsia="Calibri" w:hAnsi="Times New Roman" w:cs="Times New Roman"/>
          <w:bCs/>
          <w:iCs/>
        </w:rPr>
        <w:t>izvērtē, vai:</w:t>
      </w:r>
    </w:p>
    <w:p w:rsidR="00FB3110" w:rsidRPr="00FB3110" w:rsidRDefault="00FB3110" w:rsidP="00FB3110">
      <w:pPr>
        <w:numPr>
          <w:ilvl w:val="1"/>
          <w:numId w:val="9"/>
        </w:numPr>
        <w:tabs>
          <w:tab w:val="left" w:pos="709"/>
        </w:tabs>
        <w:ind w:left="426" w:firstLine="0"/>
        <w:jc w:val="both"/>
        <w:rPr>
          <w:rFonts w:ascii="Times New Roman" w:eastAsia="Calibri" w:hAnsi="Times New Roman" w:cs="Times New Roman"/>
          <w:bCs/>
          <w:iCs/>
        </w:rPr>
      </w:pPr>
      <w:r w:rsidRPr="00FB3110">
        <w:rPr>
          <w:rFonts w:ascii="Times New Roman" w:eastAsia="Calibri" w:hAnsi="Times New Roman" w:cs="Times New Roman"/>
          <w:bCs/>
          <w:iCs/>
        </w:rPr>
        <w:t xml:space="preserve">budžeta iestādei ir pašreizējs pienākums, </w:t>
      </w:r>
    </w:p>
    <w:p w:rsidR="00FB3110" w:rsidRPr="00FB3110" w:rsidRDefault="00FB3110" w:rsidP="00FB3110">
      <w:pPr>
        <w:numPr>
          <w:ilvl w:val="1"/>
          <w:numId w:val="9"/>
        </w:numPr>
        <w:tabs>
          <w:tab w:val="left" w:pos="709"/>
        </w:tabs>
        <w:ind w:left="426" w:firstLine="0"/>
        <w:jc w:val="both"/>
        <w:rPr>
          <w:rFonts w:ascii="Times New Roman" w:eastAsia="Calibri" w:hAnsi="Times New Roman" w:cs="Times New Roman"/>
          <w:bCs/>
          <w:iCs/>
        </w:rPr>
      </w:pPr>
      <w:r w:rsidRPr="00FB3110">
        <w:rPr>
          <w:rFonts w:ascii="Times New Roman" w:eastAsia="Calibri" w:hAnsi="Times New Roman" w:cs="Times New Roman"/>
          <w:bCs/>
          <w:iCs/>
        </w:rPr>
        <w:t xml:space="preserve">pienākuma izpildei būs nepieciešami resursu izlietojums </w:t>
      </w:r>
    </w:p>
    <w:p w:rsidR="00FB3110" w:rsidRPr="00FB3110" w:rsidRDefault="00FB3110" w:rsidP="00FB3110">
      <w:pPr>
        <w:numPr>
          <w:ilvl w:val="1"/>
          <w:numId w:val="9"/>
        </w:numPr>
        <w:tabs>
          <w:tab w:val="left" w:pos="709"/>
        </w:tabs>
        <w:ind w:left="426" w:firstLine="0"/>
        <w:jc w:val="both"/>
        <w:rPr>
          <w:rFonts w:ascii="Times New Roman" w:eastAsia="Calibri" w:hAnsi="Times New Roman" w:cs="Times New Roman"/>
          <w:bCs/>
          <w:iCs/>
        </w:rPr>
      </w:pPr>
      <w:r w:rsidRPr="00FB3110">
        <w:rPr>
          <w:rFonts w:ascii="Times New Roman" w:eastAsia="Calibri" w:hAnsi="Times New Roman" w:cs="Times New Roman"/>
          <w:bCs/>
          <w:iCs/>
        </w:rPr>
        <w:t>var ticami novērtēt pienākuma izpildei</w:t>
      </w:r>
      <w:r w:rsidRPr="00FB3110">
        <w:rPr>
          <w:rFonts w:ascii="Times New Roman" w:eastAsia="Calibri" w:hAnsi="Times New Roman" w:cs="Times New Roman"/>
          <w:sz w:val="28"/>
          <w:szCs w:val="28"/>
        </w:rPr>
        <w:t xml:space="preserve"> </w:t>
      </w:r>
      <w:r w:rsidRPr="00FB3110">
        <w:rPr>
          <w:rFonts w:ascii="Times New Roman" w:eastAsia="Calibri" w:hAnsi="Times New Roman" w:cs="Times New Roman"/>
          <w:bCs/>
          <w:iCs/>
        </w:rPr>
        <w:t>nepieciešamo summu;</w:t>
      </w:r>
    </w:p>
    <w:p w:rsidR="00FB3110" w:rsidRPr="00FB3110" w:rsidRDefault="00FB3110" w:rsidP="00FB3110">
      <w:pPr>
        <w:ind w:left="426" w:hanging="426"/>
        <w:rPr>
          <w:rFonts w:ascii="Times New Roman" w:eastAsia="Calibri" w:hAnsi="Times New Roman" w:cs="Times New Roman"/>
          <w:bCs/>
          <w:iCs/>
        </w:rPr>
      </w:pPr>
    </w:p>
    <w:p w:rsidR="00FB3110" w:rsidRPr="00FB3110" w:rsidRDefault="00FB3110" w:rsidP="00FB3110">
      <w:pPr>
        <w:numPr>
          <w:ilvl w:val="0"/>
          <w:numId w:val="9"/>
        </w:numPr>
        <w:ind w:left="426" w:hanging="426"/>
        <w:jc w:val="both"/>
        <w:rPr>
          <w:rFonts w:ascii="Times New Roman" w:eastAsia="Calibri" w:hAnsi="Times New Roman" w:cs="Times New Roman"/>
          <w:bCs/>
          <w:iCs/>
        </w:rPr>
      </w:pPr>
      <w:r w:rsidRPr="00FB3110">
        <w:rPr>
          <w:rFonts w:ascii="Times New Roman" w:eastAsia="Calibri" w:hAnsi="Times New Roman" w:cs="Times New Roman"/>
          <w:bCs/>
          <w:iCs/>
          <w:u w:val="single"/>
        </w:rPr>
        <w:t>uzkrājumus atzīst</w:t>
      </w:r>
      <w:r w:rsidRPr="00FB3110">
        <w:rPr>
          <w:rFonts w:ascii="Times New Roman" w:eastAsia="Calibri" w:hAnsi="Times New Roman" w:cs="Times New Roman"/>
          <w:bCs/>
          <w:iCs/>
        </w:rPr>
        <w:t xml:space="preserve">, ja ir noticis notikums, kura rezultātā budžeta iestādei ir radies pienākums, bet resursu izlietojuma apjoms vai izmaksas laiks </w:t>
      </w:r>
      <w:r w:rsidRPr="00FB3110">
        <w:rPr>
          <w:rFonts w:ascii="Times New Roman" w:eastAsia="Calibri" w:hAnsi="Times New Roman" w:cs="Times New Roman"/>
          <w:b/>
          <w:bCs/>
          <w:iCs/>
        </w:rPr>
        <w:t>nav precīzi</w:t>
      </w:r>
      <w:r w:rsidRPr="00FB3110">
        <w:rPr>
          <w:rFonts w:ascii="Times New Roman" w:eastAsia="Calibri" w:hAnsi="Times New Roman" w:cs="Times New Roman"/>
          <w:bCs/>
          <w:iCs/>
        </w:rPr>
        <w:t xml:space="preserve"> zināms (piemēram, uzkrājumus veido izdienas pensiju un veselības aprūpes pakalpojumu izmaksām personām, kurām saskaņā ar normatīviem aktiem ir tiesības uz šādu atlīdzības saņemšanu):</w:t>
      </w:r>
    </w:p>
    <w:p w:rsidR="00FB3110" w:rsidRPr="00FB3110" w:rsidRDefault="00FB3110" w:rsidP="00FB3110">
      <w:pPr>
        <w:numPr>
          <w:ilvl w:val="1"/>
          <w:numId w:val="9"/>
        </w:numPr>
        <w:ind w:left="709" w:hanging="283"/>
        <w:contextualSpacing/>
        <w:jc w:val="both"/>
        <w:rPr>
          <w:rFonts w:ascii="Times New Roman" w:eastAsia="Calibri" w:hAnsi="Times New Roman" w:cs="Times New Roman"/>
          <w:bCs/>
          <w:iCs/>
        </w:rPr>
      </w:pPr>
      <w:r w:rsidRPr="00FB3110">
        <w:rPr>
          <w:rFonts w:ascii="Calibri" w:eastAsia="Calibri" w:hAnsi="Calibri" w:cs="Times New Roman"/>
          <w:noProof/>
          <w:sz w:val="24"/>
          <w:szCs w:val="24"/>
          <w:lang w:eastAsia="lv-LV"/>
        </w:rPr>
        <w:lastRenderedPageBreak/>
        <mc:AlternateContent>
          <mc:Choice Requires="wps">
            <w:drawing>
              <wp:anchor distT="0" distB="0" distL="114300" distR="114300" simplePos="0" relativeHeight="251722752" behindDoc="1" locked="0" layoutInCell="1" allowOverlap="1" wp14:anchorId="39D3AC92" wp14:editId="08901CCF">
                <wp:simplePos x="0" y="0"/>
                <wp:positionH relativeFrom="margin">
                  <wp:posOffset>3492500</wp:posOffset>
                </wp:positionH>
                <wp:positionV relativeFrom="paragraph">
                  <wp:posOffset>8255</wp:posOffset>
                </wp:positionV>
                <wp:extent cx="2696210" cy="3175000"/>
                <wp:effectExtent l="0" t="0" r="27940" b="25400"/>
                <wp:wrapTight wrapText="bothSides">
                  <wp:wrapPolygon edited="0">
                    <wp:start x="0" y="0"/>
                    <wp:lineTo x="0" y="21643"/>
                    <wp:lineTo x="21671" y="21643"/>
                    <wp:lineTo x="21671" y="0"/>
                    <wp:lineTo x="0" y="0"/>
                  </wp:wrapPolygon>
                </wp:wrapTight>
                <wp:docPr id="14" name="Rectangle 14"/>
                <wp:cNvGraphicFramePr/>
                <a:graphic xmlns:a="http://schemas.openxmlformats.org/drawingml/2006/main">
                  <a:graphicData uri="http://schemas.microsoft.com/office/word/2010/wordprocessingShape">
                    <wps:wsp>
                      <wps:cNvSpPr/>
                      <wps:spPr>
                        <a:xfrm>
                          <a:off x="0" y="0"/>
                          <a:ext cx="2696210" cy="3175000"/>
                        </a:xfrm>
                        <a:prstGeom prst="rect">
                          <a:avLst/>
                        </a:prstGeom>
                        <a:solidFill>
                          <a:sysClr val="window" lastClr="FFFFFF"/>
                        </a:solidFill>
                        <a:ln w="12700" cap="flat" cmpd="sng" algn="ctr">
                          <a:solidFill>
                            <a:srgbClr val="5B9BD5"/>
                          </a:solidFill>
                          <a:prstDash val="solid"/>
                          <a:miter lim="800000"/>
                        </a:ln>
                        <a:effectLst/>
                      </wps:spPr>
                      <wps:txbx>
                        <w:txbxContent>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w:t>
                            </w:r>
                            <w:r w:rsidRPr="00FB3110">
                              <w:rPr>
                                <w:rStyle w:val="Hyperlink"/>
                                <w:rFonts w:ascii="Arial" w:hAnsi="Arial" w:cs="Arial"/>
                                <w:i/>
                                <w:sz w:val="16"/>
                                <w:szCs w:val="16"/>
                                <w:u w:val="none"/>
                              </w:rPr>
                              <w:tab/>
                              <w:t>Uzkrājumus atzīst vērtībā, kas atbilst izdevumu iespējami precīzākajai pašreizējās vērtības aplēsei bilances datumā. Iespējami precīzāko aplēsi nosaka, piemērojot vispāratzītas vērtēšanas metodes un ņemot vērā riskus un nenoteiktības, kas ietekmēs uzkrājumu segšanai nepieciešamo resursu vērtību, un veic šādas darbības: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247.1.</w:t>
                            </w:r>
                            <w:r w:rsidRPr="00FB3110">
                              <w:rPr>
                                <w:rStyle w:val="Hyperlink"/>
                                <w:rFonts w:ascii="Arial" w:hAnsi="Arial" w:cs="Arial"/>
                                <w:i/>
                                <w:sz w:val="16"/>
                                <w:szCs w:val="16"/>
                                <w:u w:val="none"/>
                              </w:rPr>
                              <w:tab/>
                              <w:t>nosaka summu, kādu budžeta iestāde pamatoti maksātu, lai izpildītu pašreizēju pienākumu bilances datumā vai arī nodotu tā izpildi trešajai personai bilances datumā;</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247.2.</w:t>
                            </w:r>
                            <w:r w:rsidRPr="00FB3110">
                              <w:rPr>
                                <w:rStyle w:val="Hyperlink"/>
                                <w:rFonts w:ascii="Arial" w:hAnsi="Arial" w:cs="Arial"/>
                                <w:i/>
                                <w:sz w:val="16"/>
                                <w:szCs w:val="16"/>
                                <w:u w:val="none"/>
                              </w:rPr>
                              <w:tab/>
                              <w:t>veic uzkrājumu vērtības aplēsi, izmantojot pieejamo informāciju, pierādījumus, tai skaitā notikumus pēc bilances datuma, un pieredzi. Ja nav iespējams veikt ticamu uzkrājumu aplēsi,</w:t>
                            </w:r>
                            <w:r w:rsidRPr="00FB3110">
                              <w:rPr>
                                <w:rStyle w:val="Hyperlink"/>
                                <w:rFonts w:ascii="Arial" w:hAnsi="Arial" w:cs="Arial"/>
                                <w:i/>
                                <w:color w:val="0E57C4"/>
                              </w:rPr>
                              <w:t xml:space="preserve"> </w:t>
                            </w:r>
                            <w:r w:rsidRPr="00FB3110">
                              <w:rPr>
                                <w:rStyle w:val="Hyperlink"/>
                                <w:rFonts w:ascii="Arial" w:hAnsi="Arial" w:cs="Arial"/>
                                <w:i/>
                                <w:sz w:val="16"/>
                                <w:szCs w:val="16"/>
                                <w:u w:val="none"/>
                              </w:rPr>
                              <w:t>uzkrājumus neatzīst, bet zembilancē norāda informāciju par iespējamām saistībām;</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247.3.</w:t>
                            </w:r>
                            <w:r w:rsidRPr="00FB3110">
                              <w:rPr>
                                <w:rStyle w:val="Hyperlink"/>
                                <w:rFonts w:ascii="Arial" w:hAnsi="Arial" w:cs="Arial"/>
                                <w:i/>
                                <w:sz w:val="16"/>
                                <w:szCs w:val="16"/>
                                <w:u w:val="none"/>
                              </w:rPr>
                              <w:tab/>
                              <w:t>uzkrājumu pašreizējās vērtības aprēķināšanai lieto Valsts kases  interneta vietnē publicēto atbilstošo diskonta likmi, ja maksājums paredzēts vēlāk nekā gadu pēc bilances datuma. Šo noteikumu 1.2. apakšpunktā minētās uzskaites nodrošināšanai diskonta likmi nosaka Valsts kases iekšējos normatīvajos aktos noteiktajā kārtībā.</w:t>
                            </w:r>
                          </w:p>
                          <w:p w:rsidR="00A01931" w:rsidRPr="00FB3110" w:rsidRDefault="00A01931" w:rsidP="00FB3110">
                            <w:pPr>
                              <w:pStyle w:val="tv213"/>
                              <w:shd w:val="clear" w:color="auto" w:fill="FFFFFF"/>
                              <w:spacing w:before="0" w:beforeAutospacing="0" w:after="0" w:afterAutospacing="0"/>
                              <w:jc w:val="both"/>
                              <w:rPr>
                                <w:rFonts w:ascii="Arial" w:eastAsia="Calibri" w:hAnsi="Arial" w:cs="Arial"/>
                                <w:i/>
                                <w:color w:val="0070C0"/>
                                <w:sz w:val="16"/>
                                <w:szCs w:val="16"/>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3AC92" id="Rectangle 14" o:spid="_x0000_s1050" style="position:absolute;left:0;text-align:left;margin-left:275pt;margin-top:.65pt;width:212.3pt;height:250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" fillcolor="window" strokecolor="#5b9bd5" strokeweight="1pt">
                <v:textbox>
                  <w:txbxContent>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w:t>
                      </w:r>
                      <w:r w:rsidRPr="00FB3110">
                        <w:rPr>
                          <w:rStyle w:val="Hyperlink"/>
                          <w:rFonts w:ascii="Arial" w:hAnsi="Arial" w:cs="Arial"/>
                          <w:i/>
                          <w:sz w:val="16"/>
                          <w:szCs w:val="16"/>
                          <w:u w:val="none"/>
                        </w:rPr>
                        <w:tab/>
                        <w:t>Uzkrājumus atzīst vērtībā, kas atbilst izdevumu iespējami precīzākajai pašreizējās vērtības aplēsei bilances datumā. Iespējami precīzāko aplēsi nosaka, piemērojot vispāratzītas vērtēšanas metodes un ņemot vērā riskus un nenoteiktības, kas ietekmēs uzkrājumu segšanai nepieciešamo resursu vērtību, un veic šādas darbības:</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247.1.</w:t>
                      </w:r>
                      <w:r w:rsidRPr="00FB3110">
                        <w:rPr>
                          <w:rStyle w:val="Hyperlink"/>
                          <w:rFonts w:ascii="Arial" w:hAnsi="Arial" w:cs="Arial"/>
                          <w:i/>
                          <w:sz w:val="16"/>
                          <w:szCs w:val="16"/>
                          <w:u w:val="none"/>
                        </w:rPr>
                        <w:tab/>
                        <w:t>nosaka summu, kādu budžeta iestāde pamatoti maksātu, lai izpildītu pašreizēju pienākumu bilances datumā vai arī nodotu tā izpildi trešajai personai bilances datumā;</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247.2.</w:t>
                      </w:r>
                      <w:r w:rsidRPr="00FB3110">
                        <w:rPr>
                          <w:rStyle w:val="Hyperlink"/>
                          <w:rFonts w:ascii="Arial" w:hAnsi="Arial" w:cs="Arial"/>
                          <w:i/>
                          <w:sz w:val="16"/>
                          <w:szCs w:val="16"/>
                          <w:u w:val="none"/>
                        </w:rPr>
                        <w:tab/>
                        <w:t>veic uzkrājumu vērtības aplēsi, izmantojot pieejamo informāciju, pierādījumus, tai skaitā notikumus pēc bilances datuma, un pieredzi. Ja nav iespējams veikt ticamu uzkrājumu aplēsi,</w:t>
                      </w:r>
                      <w:r w:rsidRPr="00FB3110">
                        <w:rPr>
                          <w:rStyle w:val="Hyperlink"/>
                          <w:rFonts w:ascii="Arial" w:hAnsi="Arial" w:cs="Arial"/>
                          <w:i/>
                          <w:color w:val="0E57C4"/>
                        </w:rPr>
                        <w:t xml:space="preserve"> </w:t>
                      </w:r>
                      <w:r w:rsidRPr="00FB3110">
                        <w:rPr>
                          <w:rStyle w:val="Hyperlink"/>
                          <w:rFonts w:ascii="Arial" w:hAnsi="Arial" w:cs="Arial"/>
                          <w:i/>
                          <w:sz w:val="16"/>
                          <w:szCs w:val="16"/>
                          <w:u w:val="none"/>
                        </w:rPr>
                        <w:t>uzkrājumus neatzīst, bet zembilancē norāda informāciju par iespējamām saistībām;</w:t>
                      </w:r>
                    </w:p>
                    <w:p w:rsidR="00A01931" w:rsidRPr="00FB3110" w:rsidRDefault="00A01931" w:rsidP="00FB3110">
                      <w:pPr>
                        <w:spacing w:after="120" w:line="240" w:lineRule="auto"/>
                        <w:jc w:val="both"/>
                        <w:rPr>
                          <w:rStyle w:val="Hyperlink"/>
                          <w:rFonts w:ascii="Arial" w:hAnsi="Arial" w:cs="Arial"/>
                          <w:i/>
                          <w:sz w:val="16"/>
                          <w:szCs w:val="16"/>
                          <w:u w:val="none"/>
                        </w:rPr>
                      </w:pPr>
                      <w:r w:rsidRPr="00FB3110">
                        <w:rPr>
                          <w:rStyle w:val="Hyperlink"/>
                          <w:rFonts w:ascii="Arial" w:hAnsi="Arial" w:cs="Arial"/>
                          <w:i/>
                          <w:sz w:val="16"/>
                          <w:szCs w:val="16"/>
                          <w:u w:val="none"/>
                        </w:rPr>
                        <w:t>247.3.</w:t>
                      </w:r>
                      <w:r w:rsidRPr="00FB3110">
                        <w:rPr>
                          <w:rStyle w:val="Hyperlink"/>
                          <w:rFonts w:ascii="Arial" w:hAnsi="Arial" w:cs="Arial"/>
                          <w:i/>
                          <w:sz w:val="16"/>
                          <w:szCs w:val="16"/>
                          <w:u w:val="none"/>
                        </w:rPr>
                        <w:tab/>
                        <w:t>uzkrājumu pašreizējās vērtības aprēķināšanai lieto Valsts kases  interneta vietnē publicēto atbilstošo diskonta likmi, ja maksājums paredzēts vēlāk nekā gadu pēc bilances datuma. Šo noteikumu 1.2. apakšpunktā minētās uzskaites nodrošināšanai diskonta likmi nosaka Valsts kases iekšējos normatīvajos aktos noteiktajā kārtībā.</w:t>
                      </w:r>
                    </w:p>
                    <w:p w:rsidR="00A01931" w:rsidRPr="00FB3110" w:rsidRDefault="00A01931" w:rsidP="00FB3110">
                      <w:pPr>
                        <w:pStyle w:val="tv213"/>
                        <w:shd w:val="clear" w:color="auto" w:fill="FFFFFF"/>
                        <w:spacing w:before="0" w:beforeAutospacing="0" w:after="0" w:afterAutospacing="0"/>
                        <w:jc w:val="both"/>
                        <w:rPr>
                          <w:rFonts w:ascii="Arial" w:eastAsia="Calibri" w:hAnsi="Arial" w:cs="Arial"/>
                          <w:i/>
                          <w:color w:val="0070C0"/>
                          <w:sz w:val="16"/>
                          <w:szCs w:val="16"/>
                          <w:lang w:eastAsia="en-US"/>
                        </w:rPr>
                      </w:pPr>
                    </w:p>
                  </w:txbxContent>
                </v:textbox>
                <w10:wrap type="tight" anchorx="margin"/>
              </v:rect>
            </w:pict>
          </mc:Fallback>
        </mc:AlternateContent>
      </w:r>
      <w:r w:rsidRPr="00FB3110">
        <w:rPr>
          <w:rFonts w:ascii="Times New Roman" w:eastAsia="Calibri" w:hAnsi="Times New Roman" w:cs="Times New Roman"/>
          <w:bCs/>
          <w:iCs/>
          <w:u w:val="single"/>
        </w:rPr>
        <w:t>uzkrājumu vērtību</w:t>
      </w:r>
      <w:r w:rsidRPr="00FB3110">
        <w:rPr>
          <w:rFonts w:ascii="Times New Roman" w:eastAsia="Calibri" w:hAnsi="Times New Roman" w:cs="Times New Roman"/>
          <w:bCs/>
          <w:iCs/>
        </w:rPr>
        <w:t xml:space="preserve"> aprēķina katrai personai, ņemot vērā ar izmaksu saistītos riskus un nenoteiktības. </w:t>
      </w:r>
      <w:r w:rsidRPr="00FB3110">
        <w:rPr>
          <w:rFonts w:ascii="Times New Roman" w:eastAsia="Calibri" w:hAnsi="Times New Roman" w:cs="Times New Roman"/>
          <w:bCs/>
          <w:i/>
          <w:iCs/>
        </w:rPr>
        <w:t>Piemēram</w:t>
      </w:r>
      <w:r w:rsidRPr="00FB3110">
        <w:rPr>
          <w:rFonts w:ascii="Times New Roman" w:eastAsia="Calibri" w:hAnsi="Times New Roman" w:cs="Times New Roman"/>
          <w:bCs/>
          <w:iCs/>
        </w:rPr>
        <w:t>,</w:t>
      </w:r>
      <w:r w:rsidRPr="00FB3110">
        <w:rPr>
          <w:rFonts w:ascii="Times New Roman" w:eastAsia="Calibri" w:hAnsi="Times New Roman" w:cs="Times New Roman"/>
          <w:noProof/>
          <w:sz w:val="24"/>
          <w:szCs w:val="24"/>
          <w:lang w:eastAsia="lv-LV"/>
        </w:rPr>
        <w:t xml:space="preserve"> </w:t>
      </w:r>
      <w:r w:rsidRPr="00FB3110">
        <w:rPr>
          <w:rFonts w:ascii="Times New Roman" w:eastAsia="Calibri" w:hAnsi="Times New Roman" w:cs="Times New Roman"/>
          <w:bCs/>
          <w:iCs/>
        </w:rPr>
        <w:t xml:space="preserve"> mūža ilgumu, personāla mainības rādītājus. </w:t>
      </w:r>
    </w:p>
    <w:p w:rsidR="00FB3110" w:rsidRPr="00FB3110" w:rsidRDefault="00FB3110" w:rsidP="00FB3110">
      <w:pPr>
        <w:numPr>
          <w:ilvl w:val="1"/>
          <w:numId w:val="9"/>
        </w:numPr>
        <w:ind w:left="709" w:hanging="283"/>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uzkrājumu pašreizējās vērtības aprēķināšanai lieto </w:t>
      </w:r>
      <w:hyperlink r:id="rId65" w:history="1">
        <w:r w:rsidRPr="00FB3110">
          <w:rPr>
            <w:rFonts w:ascii="Times New Roman" w:eastAsia="Calibri" w:hAnsi="Times New Roman" w:cs="Times New Roman"/>
            <w:bCs/>
            <w:iCs/>
            <w:color w:val="0E57C4"/>
            <w:u w:val="single"/>
          </w:rPr>
          <w:t>Valsts kases  interneta vietnē publicēto atbilstošo diskonta likmi</w:t>
        </w:r>
      </w:hyperlink>
      <w:r w:rsidRPr="00FB3110">
        <w:rPr>
          <w:rFonts w:ascii="Times New Roman" w:eastAsia="Calibri" w:hAnsi="Times New Roman" w:cs="Times New Roman"/>
          <w:bCs/>
          <w:iCs/>
          <w:color w:val="0E57C4"/>
        </w:rPr>
        <w:t>,</w:t>
      </w:r>
      <w:r w:rsidRPr="00FB3110">
        <w:rPr>
          <w:rFonts w:ascii="Times New Roman" w:eastAsia="Calibri" w:hAnsi="Times New Roman" w:cs="Times New Roman"/>
          <w:bCs/>
          <w:iCs/>
        </w:rPr>
        <w:t xml:space="preserve"> ja maksājums paredzēts vēlāk nekā gadu pēc bilances datuma. Piemēru var skatīt Grāmatvedības uzskaites rokasgrāmatas sadaļā “Saistību pret darbiniekiem par darba samaksu uzskaite” 13.5.piemērā. </w:t>
      </w:r>
    </w:p>
    <w:p w:rsidR="00FB3110" w:rsidRPr="00FB3110" w:rsidRDefault="00FB3110" w:rsidP="00FB3110">
      <w:pPr>
        <w:numPr>
          <w:ilvl w:val="1"/>
          <w:numId w:val="9"/>
        </w:numPr>
        <w:ind w:left="709"/>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ja kāda no nepieciešamās informācijas nav pieejama, pieņem lēmumu uzkrājumu neveidot un noteikt nepieciešamās informācijas uzkrāšanas un aprēķina veikšanas periodu. </w:t>
      </w:r>
      <w:r w:rsidRPr="00FB3110">
        <w:rPr>
          <w:rFonts w:ascii="Times New Roman" w:eastAsia="Calibri" w:hAnsi="Times New Roman" w:cs="Times New Roman"/>
          <w:bCs/>
          <w:i/>
          <w:iCs/>
        </w:rPr>
        <w:t>Piemēram</w:t>
      </w:r>
      <w:r w:rsidRPr="00FB3110">
        <w:rPr>
          <w:rFonts w:ascii="Times New Roman" w:eastAsia="Calibri" w:hAnsi="Times New Roman" w:cs="Times New Roman"/>
          <w:bCs/>
          <w:iCs/>
        </w:rPr>
        <w:t>, ja nav pieejams personāla mainības rādītājs, tad pieņem lēmumu veikt personāla mainības rādītāja uzkrāšanu (</w:t>
      </w:r>
      <w:r w:rsidRPr="00FB3110">
        <w:rPr>
          <w:rFonts w:ascii="Times New Roman" w:eastAsia="Calibri" w:hAnsi="Times New Roman" w:cs="Times New Roman"/>
          <w:bCs/>
          <w:i/>
          <w:iCs/>
        </w:rPr>
        <w:t>piemēram</w:t>
      </w:r>
      <w:r w:rsidRPr="00FB3110">
        <w:rPr>
          <w:rFonts w:ascii="Times New Roman" w:eastAsia="Calibri" w:hAnsi="Times New Roman" w:cs="Times New Roman"/>
          <w:bCs/>
          <w:iCs/>
        </w:rPr>
        <w:t>, amata grupas, darba ilgums, u.c.);</w:t>
      </w:r>
    </w:p>
    <w:p w:rsidR="00FB3110" w:rsidRPr="00FB3110" w:rsidRDefault="00FB3110" w:rsidP="00FB3110">
      <w:pPr>
        <w:ind w:left="426"/>
        <w:contextualSpacing/>
        <w:jc w:val="both"/>
        <w:rPr>
          <w:rFonts w:ascii="Times New Roman" w:eastAsia="Calibri" w:hAnsi="Times New Roman" w:cs="Times New Roman"/>
          <w:bCs/>
          <w:iCs/>
        </w:rPr>
      </w:pPr>
    </w:p>
    <w:p w:rsidR="00FB3110" w:rsidRPr="00FB3110" w:rsidRDefault="00FB3110" w:rsidP="00FB3110">
      <w:pPr>
        <w:numPr>
          <w:ilvl w:val="0"/>
          <w:numId w:val="12"/>
        </w:numPr>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ne retāk kā reizi gadā </w:t>
      </w:r>
      <w:r w:rsidRPr="00FB3110">
        <w:rPr>
          <w:rFonts w:ascii="Times New Roman" w:eastAsia="Calibri" w:hAnsi="Times New Roman" w:cs="Times New Roman"/>
          <w:b/>
          <w:bCs/>
          <w:iCs/>
        </w:rPr>
        <w:t>pārskata aplēsi</w:t>
      </w:r>
      <w:r w:rsidRPr="00FB3110">
        <w:rPr>
          <w:rFonts w:ascii="Times New Roman" w:eastAsia="Calibri" w:hAnsi="Times New Roman" w:cs="Times New Roman"/>
          <w:bCs/>
          <w:iCs/>
        </w:rPr>
        <w:t xml:space="preserve">. Uzkrājumu palielinājumu diskontēšanas rezultātā atzīst procentu izdevumos, bet ja diskonta likme ir negatīva – procentu ieņēmumos. </w:t>
      </w:r>
    </w:p>
    <w:p w:rsidR="00FB3110" w:rsidRPr="00FB3110" w:rsidRDefault="00FB3110" w:rsidP="00FB3110">
      <w:pPr>
        <w:ind w:left="720"/>
        <w:jc w:val="both"/>
        <w:rPr>
          <w:rFonts w:ascii="Times New Roman" w:eastAsia="Calibri" w:hAnsi="Times New Roman" w:cs="Times New Roman"/>
          <w:bCs/>
          <w:iCs/>
        </w:rPr>
      </w:pPr>
    </w:p>
    <w:p w:rsidR="00FB3110" w:rsidRPr="00FB3110" w:rsidRDefault="00FB3110" w:rsidP="00FB3110">
      <w:pPr>
        <w:numPr>
          <w:ilvl w:val="0"/>
          <w:numId w:val="9"/>
        </w:numPr>
        <w:ind w:left="426"/>
        <w:jc w:val="both"/>
        <w:rPr>
          <w:rFonts w:ascii="Times New Roman" w:eastAsia="Calibri" w:hAnsi="Times New Roman" w:cs="Times New Roman"/>
          <w:bCs/>
          <w:iCs/>
        </w:rPr>
      </w:pPr>
      <w:r w:rsidRPr="00FB3110">
        <w:rPr>
          <w:rFonts w:ascii="Times New Roman" w:eastAsia="Calibri" w:hAnsi="Times New Roman" w:cs="Times New Roman"/>
          <w:b/>
          <w:noProof/>
          <w:sz w:val="24"/>
          <w:szCs w:val="24"/>
          <w:lang w:eastAsia="lv-LV"/>
        </w:rPr>
        <mc:AlternateContent>
          <mc:Choice Requires="wps">
            <w:drawing>
              <wp:anchor distT="0" distB="0" distL="114300" distR="114300" simplePos="0" relativeHeight="251723776" behindDoc="1" locked="0" layoutInCell="1" allowOverlap="1" wp14:anchorId="1BADD46B" wp14:editId="76BACE95">
                <wp:simplePos x="0" y="0"/>
                <wp:positionH relativeFrom="margin">
                  <wp:posOffset>4218709</wp:posOffset>
                </wp:positionH>
                <wp:positionV relativeFrom="paragraph">
                  <wp:posOffset>2400</wp:posOffset>
                </wp:positionV>
                <wp:extent cx="1784985" cy="819397"/>
                <wp:effectExtent l="0" t="0" r="24765" b="19050"/>
                <wp:wrapTight wrapText="bothSides">
                  <wp:wrapPolygon edited="0">
                    <wp:start x="0" y="0"/>
                    <wp:lineTo x="0" y="21600"/>
                    <wp:lineTo x="21669" y="21600"/>
                    <wp:lineTo x="21669"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1784985" cy="819397"/>
                        </a:xfrm>
                        <a:prstGeom prst="rect">
                          <a:avLst/>
                        </a:prstGeom>
                        <a:solidFill>
                          <a:sysClr val="window" lastClr="FFFFFF"/>
                        </a:solidFill>
                        <a:ln w="12700" cap="flat" cmpd="sng" algn="ctr">
                          <a:solidFill>
                            <a:srgbClr val="4472C4"/>
                          </a:solidFill>
                          <a:prstDash val="solid"/>
                          <a:miter lim="800000"/>
                        </a:ln>
                        <a:effectLst/>
                      </wps:spPr>
                      <wps:txbx>
                        <w:txbxContent>
                          <w:p w:rsidR="00A01931" w:rsidRPr="004B3368" w:rsidRDefault="007B3873" w:rsidP="004B3368">
                            <w:pPr>
                              <w:spacing w:after="120"/>
                              <w:jc w:val="both"/>
                              <w:rPr>
                                <w:rStyle w:val="Hyperlink"/>
                                <w:rFonts w:ascii="Arial" w:hAnsi="Arial" w:cs="Arial"/>
                                <w:i/>
                                <w:sz w:val="16"/>
                                <w:szCs w:val="16"/>
                                <w:u w:val="none"/>
                              </w:rPr>
                            </w:pPr>
                            <w:hyperlink r:id="rId66" w:anchor="p28" w:history="1">
                              <w:r w:rsidR="00A01931" w:rsidRPr="004B3368">
                                <w:rPr>
                                  <w:rStyle w:val="Hyperlink"/>
                                  <w:rFonts w:ascii="Arial" w:hAnsi="Arial" w:cs="Arial"/>
                                  <w:i/>
                                  <w:sz w:val="16"/>
                                  <w:szCs w:val="16"/>
                                  <w:u w:val="none"/>
                                </w:rPr>
                                <w:t>28</w:t>
                              </w:r>
                            </w:hyperlink>
                            <w:r w:rsidR="00A01931" w:rsidRPr="004B3368">
                              <w:rPr>
                                <w:rStyle w:val="Hyperlink"/>
                                <w:rFonts w:ascii="Arial" w:hAnsi="Arial" w:cs="Arial"/>
                                <w:i/>
                                <w:sz w:val="16"/>
                                <w:szCs w:val="16"/>
                                <w:u w:val="none"/>
                              </w:rPr>
                              <w:t>. Saistības ir budžeta iestādes pašreizējs pienākums, kurš radies pagātnes notikumu rezultātā un kura izpildei</w:t>
                            </w:r>
                            <w:r w:rsidR="00A01931" w:rsidRPr="004B3368">
                              <w:rPr>
                                <w:rStyle w:val="Hyperlink"/>
                                <w:u w:val="none"/>
                              </w:rPr>
                              <w:t xml:space="preserve"> </w:t>
                            </w:r>
                            <w:r w:rsidR="00A01931" w:rsidRPr="004B3368">
                              <w:rPr>
                                <w:rStyle w:val="Hyperlink"/>
                                <w:rFonts w:ascii="Arial" w:hAnsi="Arial" w:cs="Arial"/>
                                <w:i/>
                                <w:sz w:val="16"/>
                                <w:szCs w:val="16"/>
                                <w:u w:val="none"/>
                              </w:rPr>
                              <w:t>ir nepieciešams resursu izlietojums.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DD46B" id="Text Box 15" o:spid="_x0000_s1051" type="#_x0000_t202" style="position:absolute;left:0;text-align:left;margin-left:332.2pt;margin-top:.2pt;width:140.55pt;height:64.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" fillcolor="window" strokecolor="#4472c4" strokeweight="1pt">
                <v:textbox>
                  <w:txbxContent>
                    <w:p w:rsidR="00A01931" w:rsidRPr="004B3368" w:rsidRDefault="00425C5C" w:rsidP="004B3368">
                      <w:pPr>
                        <w:spacing w:after="120"/>
                        <w:jc w:val="both"/>
                        <w:rPr>
                          <w:rStyle w:val="Hyperlink"/>
                          <w:rFonts w:ascii="Arial" w:hAnsi="Arial" w:cs="Arial"/>
                          <w:i/>
                          <w:sz w:val="16"/>
                          <w:szCs w:val="16"/>
                          <w:u w:val="none"/>
                        </w:rPr>
                      </w:pPr>
                      <w:hyperlink r:id="rId67" w:anchor="p28" w:history="1">
                        <w:r w:rsidR="00A01931" w:rsidRPr="004B3368">
                          <w:rPr>
                            <w:rStyle w:val="Hyperlink"/>
                            <w:rFonts w:ascii="Arial" w:hAnsi="Arial" w:cs="Arial"/>
                            <w:i/>
                            <w:sz w:val="16"/>
                            <w:szCs w:val="16"/>
                            <w:u w:val="none"/>
                          </w:rPr>
                          <w:t>28</w:t>
                        </w:r>
                      </w:hyperlink>
                      <w:r w:rsidR="00A01931" w:rsidRPr="004B3368">
                        <w:rPr>
                          <w:rStyle w:val="Hyperlink"/>
                          <w:rFonts w:ascii="Arial" w:hAnsi="Arial" w:cs="Arial"/>
                          <w:i/>
                          <w:sz w:val="16"/>
                          <w:szCs w:val="16"/>
                          <w:u w:val="none"/>
                        </w:rPr>
                        <w:t>. Saistības ir budžeta iestādes pašreizējs pienākums, kurš radies pagātnes notikumu rezultātā un kura izpildei</w:t>
                      </w:r>
                      <w:r w:rsidR="00A01931" w:rsidRPr="004B3368">
                        <w:rPr>
                          <w:rStyle w:val="Hyperlink"/>
                          <w:u w:val="none"/>
                        </w:rPr>
                        <w:t xml:space="preserve"> </w:t>
                      </w:r>
                      <w:r w:rsidR="00A01931" w:rsidRPr="004B3368">
                        <w:rPr>
                          <w:rStyle w:val="Hyperlink"/>
                          <w:rFonts w:ascii="Arial" w:hAnsi="Arial" w:cs="Arial"/>
                          <w:i/>
                          <w:sz w:val="16"/>
                          <w:szCs w:val="16"/>
                          <w:u w:val="none"/>
                        </w:rPr>
                        <w:t>ir nepieciešams resursu izlietojums.</w:t>
                      </w:r>
                    </w:p>
                  </w:txbxContent>
                </v:textbox>
                <w10:wrap type="tight" anchorx="margin"/>
              </v:shape>
            </w:pict>
          </mc:Fallback>
        </mc:AlternateContent>
      </w:r>
      <w:r w:rsidRPr="00FB3110">
        <w:rPr>
          <w:rFonts w:ascii="Times New Roman" w:eastAsia="Calibri" w:hAnsi="Times New Roman" w:cs="Times New Roman"/>
          <w:bCs/>
          <w:iCs/>
          <w:u w:val="single"/>
        </w:rPr>
        <w:t>saistības atzīst</w:t>
      </w:r>
      <w:r w:rsidRPr="00FB3110">
        <w:rPr>
          <w:rFonts w:ascii="Times New Roman" w:eastAsia="Calibri" w:hAnsi="Times New Roman" w:cs="Times New Roman"/>
          <w:bCs/>
          <w:iCs/>
        </w:rPr>
        <w:t xml:space="preserve">, ja ir noticis notikums, kura rezultātā budžeta iestādei ir radies pienākums un resursu izlietojuma apjoms un laiks </w:t>
      </w:r>
      <w:r w:rsidRPr="00FB3110">
        <w:rPr>
          <w:rFonts w:ascii="Times New Roman" w:eastAsia="Calibri" w:hAnsi="Times New Roman" w:cs="Times New Roman"/>
          <w:b/>
          <w:bCs/>
          <w:iCs/>
        </w:rPr>
        <w:t>ir precīzi zināms</w:t>
      </w:r>
      <w:r w:rsidRPr="00FB3110">
        <w:rPr>
          <w:rFonts w:ascii="Times New Roman" w:eastAsia="Calibri" w:hAnsi="Times New Roman" w:cs="Times New Roman"/>
          <w:bCs/>
          <w:iCs/>
        </w:rPr>
        <w:t xml:space="preserve"> (piemēram, saistības vienreizēja pabalsta par veselības bojājumu/traumu izmaksai atzīst, kad attiecīgai personai ir tiesības saņemt šādu atlīdzību);</w:t>
      </w:r>
    </w:p>
    <w:p w:rsidR="00FB3110" w:rsidRPr="00FB3110" w:rsidRDefault="00FB3110" w:rsidP="00FB3110">
      <w:pPr>
        <w:numPr>
          <w:ilvl w:val="0"/>
          <w:numId w:val="11"/>
        </w:numPr>
        <w:contextualSpacing/>
        <w:jc w:val="both"/>
        <w:rPr>
          <w:rFonts w:ascii="Times New Roman" w:eastAsia="Calibri" w:hAnsi="Times New Roman" w:cs="Times New Roman"/>
          <w:bCs/>
          <w:iCs/>
        </w:rPr>
      </w:pPr>
      <w:r w:rsidRPr="00FB3110">
        <w:rPr>
          <w:rFonts w:ascii="Times New Roman" w:eastAsia="Calibri" w:hAnsi="Times New Roman" w:cs="Times New Roman"/>
          <w:bCs/>
          <w:iCs/>
        </w:rPr>
        <w:t>saistību vērtību nosaka atbilstoši aprēķinātajai atlīdzības summai un atzīst atbilstošos pamatdarbības izdevumus.</w:t>
      </w:r>
    </w:p>
    <w:p w:rsidR="00FB3110" w:rsidRPr="00FB3110" w:rsidRDefault="00FB3110" w:rsidP="00FB3110">
      <w:pPr>
        <w:jc w:val="both"/>
        <w:rPr>
          <w:rFonts w:ascii="Times New Roman" w:eastAsia="Calibri" w:hAnsi="Times New Roman" w:cs="Times New Roman"/>
          <w:bCs/>
          <w:iCs/>
        </w:rPr>
      </w:pP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 xml:space="preserve">Katrs normatīvais akts </w:t>
      </w:r>
      <w:r w:rsidRPr="00FB3110">
        <w:rPr>
          <w:rFonts w:ascii="Times New Roman" w:eastAsia="Calibri" w:hAnsi="Times New Roman" w:cs="Times New Roman"/>
          <w:bCs/>
          <w:iCs/>
          <w:u w:val="single"/>
        </w:rPr>
        <w:t>jāvērtē atsevišķi</w:t>
      </w:r>
      <w:r w:rsidRPr="00FB3110">
        <w:rPr>
          <w:rFonts w:ascii="Times New Roman" w:eastAsia="Calibri" w:hAnsi="Times New Roman" w:cs="Times New Roman"/>
          <w:bCs/>
          <w:iCs/>
        </w:rPr>
        <w:t xml:space="preserve"> un katram jāveido </w:t>
      </w:r>
      <w:r w:rsidRPr="00FB3110">
        <w:rPr>
          <w:rFonts w:ascii="Times New Roman" w:eastAsia="Calibri" w:hAnsi="Times New Roman" w:cs="Times New Roman"/>
          <w:bCs/>
          <w:iCs/>
          <w:u w:val="single"/>
        </w:rPr>
        <w:t>atsevišķi aprēķini</w:t>
      </w:r>
      <w:r w:rsidRPr="00FB3110">
        <w:rPr>
          <w:rFonts w:ascii="Times New Roman" w:eastAsia="Calibri" w:hAnsi="Times New Roman" w:cs="Times New Roman"/>
          <w:bCs/>
          <w:iCs/>
        </w:rPr>
        <w:t xml:space="preserve"> ar kritēriju izvērtējumu, kas būtu jāapraksta nozares/ pašvaldības grāmatvedības uzskaites kārtībā. </w:t>
      </w:r>
    </w:p>
    <w:p w:rsidR="00FB3110" w:rsidRPr="00FB3110" w:rsidRDefault="00FB3110" w:rsidP="00FB3110">
      <w:pPr>
        <w:jc w:val="both"/>
        <w:rPr>
          <w:rFonts w:ascii="Times New Roman" w:eastAsia="Calibri" w:hAnsi="Times New Roman" w:cs="Times New Roman"/>
          <w:bCs/>
          <w:iCs/>
        </w:rPr>
      </w:pPr>
    </w:p>
    <w:tbl>
      <w:tblPr>
        <w:tblStyle w:val="GridTable4-Accent31"/>
        <w:tblW w:w="9559" w:type="dxa"/>
        <w:tblLook w:val="04A0" w:firstRow="1" w:lastRow="0" w:firstColumn="1" w:lastColumn="0" w:noHBand="0" w:noVBand="1"/>
      </w:tblPr>
      <w:tblGrid>
        <w:gridCol w:w="9559"/>
      </w:tblGrid>
      <w:tr w:rsidR="00FB3110" w:rsidRPr="00FB3110" w:rsidTr="00FB3110">
        <w:trPr>
          <w:cnfStyle w:val="100000000000" w:firstRow="1" w:lastRow="0" w:firstColumn="0" w:lastColumn="0" w:oddVBand="0" w:evenVBand="0" w:oddHBand="0"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9559" w:type="dxa"/>
          </w:tcPr>
          <w:p w:rsidR="00FB3110" w:rsidRPr="00FB3110" w:rsidRDefault="00FB3110" w:rsidP="00FB3110">
            <w:pPr>
              <w:rPr>
                <w:rFonts w:ascii="Times New Roman" w:eastAsia="Calibri" w:hAnsi="Times New Roman" w:cs="Times New Roman"/>
                <w:b w:val="0"/>
                <w:iCs/>
              </w:rPr>
            </w:pPr>
            <w:r w:rsidRPr="00FB3110">
              <w:rPr>
                <w:rFonts w:ascii="Times New Roman" w:eastAsia="Calibri" w:hAnsi="Times New Roman" w:cs="Times New Roman"/>
                <w:b w:val="0"/>
                <w:iCs/>
              </w:rPr>
              <w:t xml:space="preserve">Piemērs: </w:t>
            </w:r>
          </w:p>
          <w:p w:rsidR="00FB3110" w:rsidRPr="00FB3110" w:rsidRDefault="00FB3110" w:rsidP="00FB3110">
            <w:pPr>
              <w:rPr>
                <w:rFonts w:eastAsia="Calibri"/>
                <w:iCs/>
              </w:rPr>
            </w:pPr>
            <w:r w:rsidRPr="00FB3110">
              <w:rPr>
                <w:rFonts w:ascii="Times New Roman" w:eastAsia="Calibri" w:hAnsi="Times New Roman" w:cs="Times New Roman"/>
                <w:b w:val="0"/>
                <w:iCs/>
              </w:rPr>
              <w:t>Saskaņā ar Valsts un pašvaldību institūciju amatpersonu un darbinieku atlīdzības likuma (turpmāk – Atlīdzības likums) 25.pantu izdienas pabalstu izmaksā ik pēc pieciem profesionālā dienestā nostrādātajiem gadiem.</w:t>
            </w:r>
            <w:r w:rsidRPr="00FB3110">
              <w:rPr>
                <w:rFonts w:eastAsia="Calibri"/>
                <w:iCs/>
              </w:rPr>
              <w:t xml:space="preserve"> </w:t>
            </w:r>
          </w:p>
        </w:tc>
      </w:tr>
    </w:tbl>
    <w:p w:rsidR="00FB3110" w:rsidRPr="00FB3110" w:rsidRDefault="00FB3110" w:rsidP="00FB3110">
      <w:pPr>
        <w:jc w:val="both"/>
        <w:rPr>
          <w:rFonts w:ascii="Times New Roman" w:eastAsia="Calibri" w:hAnsi="Times New Roman" w:cs="Times New Roman"/>
          <w:bCs/>
          <w:iCs/>
        </w:rPr>
      </w:pP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Minēto darījumu izvērtē</w:t>
      </w:r>
      <w:r w:rsidRPr="00FB3110">
        <w:rPr>
          <w:rFonts w:ascii="Times New Roman" w:eastAsia="Calibri" w:hAnsi="Times New Roman" w:cs="Times New Roman"/>
          <w:sz w:val="24"/>
          <w:szCs w:val="24"/>
          <w:lang w:eastAsia="lv-LV"/>
        </w:rPr>
        <w:t xml:space="preserve"> </w:t>
      </w:r>
      <w:r w:rsidRPr="00FB3110">
        <w:rPr>
          <w:rFonts w:ascii="Times New Roman" w:eastAsia="Calibri" w:hAnsi="Times New Roman" w:cs="Times New Roman"/>
          <w:bCs/>
          <w:iCs/>
        </w:rPr>
        <w:t>atbilstoši MK noteikumu Nr.87 241.punktam:</w:t>
      </w: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Uzkrājumu atzīšanas kritēriju izvērtējums:</w:t>
      </w:r>
    </w:p>
    <w:tbl>
      <w:tblPr>
        <w:tblStyle w:val="TableGrid"/>
        <w:tblW w:w="0" w:type="auto"/>
        <w:tblLook w:val="04A0" w:firstRow="1" w:lastRow="0" w:firstColumn="1" w:lastColumn="0" w:noHBand="0" w:noVBand="1"/>
      </w:tblPr>
      <w:tblGrid>
        <w:gridCol w:w="2931"/>
        <w:gridCol w:w="2627"/>
        <w:gridCol w:w="2738"/>
      </w:tblGrid>
      <w:tr w:rsidR="00FB3110" w:rsidRPr="00FB3110" w:rsidTr="00A01931">
        <w:tc>
          <w:tcPr>
            <w:tcW w:w="3341"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Jautājums</w:t>
            </w:r>
          </w:p>
        </w:tc>
        <w:tc>
          <w:tcPr>
            <w:tcW w:w="2965"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Pamatojums</w:t>
            </w:r>
          </w:p>
        </w:tc>
        <w:tc>
          <w:tcPr>
            <w:tcW w:w="3224"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Atbilde</w:t>
            </w:r>
          </w:p>
        </w:tc>
      </w:tr>
      <w:tr w:rsidR="00FB3110" w:rsidRPr="00FB3110" w:rsidTr="00A01931">
        <w:tc>
          <w:tcPr>
            <w:tcW w:w="3341"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lastRenderedPageBreak/>
              <w:t>Vai pastāv pašreizējs juridisks pienākums?</w:t>
            </w:r>
          </w:p>
        </w:tc>
        <w:tc>
          <w:tcPr>
            <w:tcW w:w="2965"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Atlīdzības likuma 25.pants</w:t>
            </w: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Spēkā esošs līgums ar darbinieku</w:t>
            </w:r>
          </w:p>
        </w:tc>
        <w:tc>
          <w:tcPr>
            <w:tcW w:w="3224"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Jā</w:t>
            </w:r>
          </w:p>
        </w:tc>
      </w:tr>
      <w:tr w:rsidR="00FB3110" w:rsidRPr="00FB3110" w:rsidTr="00A01931">
        <w:tc>
          <w:tcPr>
            <w:tcW w:w="3341"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Vai pienākuma izpildei būs nepieciešams resursu izlietojums?</w:t>
            </w:r>
          </w:p>
        </w:tc>
        <w:tc>
          <w:tcPr>
            <w:tcW w:w="2965"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Normatīvos aktos noteiktā izmaksājamā summa</w:t>
            </w:r>
          </w:p>
        </w:tc>
        <w:tc>
          <w:tcPr>
            <w:tcW w:w="3224"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Jā</w:t>
            </w:r>
          </w:p>
        </w:tc>
      </w:tr>
      <w:tr w:rsidR="00FB3110" w:rsidRPr="00FB3110" w:rsidTr="00A01931">
        <w:tc>
          <w:tcPr>
            <w:tcW w:w="3341" w:type="dxa"/>
            <w:vMerge w:val="restart"/>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Vai saistību summu var ticami novērtēt?</w:t>
            </w:r>
          </w:p>
        </w:tc>
        <w:tc>
          <w:tcPr>
            <w:tcW w:w="2965"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darbinieka atlīdzība</w:t>
            </w:r>
          </w:p>
        </w:tc>
        <w:tc>
          <w:tcPr>
            <w:tcW w:w="3224"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Jā</w:t>
            </w:r>
          </w:p>
        </w:tc>
      </w:tr>
      <w:tr w:rsidR="00FB3110" w:rsidRPr="00FB3110" w:rsidTr="00A01931">
        <w:tc>
          <w:tcPr>
            <w:tcW w:w="3341" w:type="dxa"/>
            <w:vMerge/>
          </w:tcPr>
          <w:p w:rsidR="00FB3110" w:rsidRPr="00FB3110" w:rsidRDefault="00FB3110" w:rsidP="00FB3110">
            <w:pPr>
              <w:jc w:val="both"/>
              <w:rPr>
                <w:rFonts w:ascii="Times New Roman" w:eastAsia="Calibri" w:hAnsi="Times New Roman" w:cs="Times New Roman"/>
                <w:bCs/>
                <w:iCs/>
              </w:rPr>
            </w:pPr>
          </w:p>
        </w:tc>
        <w:tc>
          <w:tcPr>
            <w:tcW w:w="2965" w:type="dxa"/>
          </w:tcPr>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informācija par darbinieku mainību – cik darbinieki nostrādā 5 gadus:</w:t>
            </w:r>
          </w:p>
          <w:p w:rsidR="00FB3110" w:rsidRPr="00FB3110" w:rsidRDefault="00FB3110" w:rsidP="00FB3110">
            <w:pPr>
              <w:ind w:left="236"/>
              <w:jc w:val="both"/>
              <w:rPr>
                <w:rFonts w:ascii="Times New Roman" w:eastAsia="Calibri" w:hAnsi="Times New Roman" w:cs="Times New Roman"/>
                <w:bCs/>
                <w:iCs/>
              </w:rPr>
            </w:pPr>
            <w:r w:rsidRPr="00FB3110">
              <w:rPr>
                <w:rFonts w:ascii="Times New Roman" w:eastAsia="Calibri" w:hAnsi="Times New Roman" w:cs="Times New Roman"/>
                <w:bCs/>
                <w:iCs/>
              </w:rPr>
              <w:t>jaunie darbinieki – 1 – 5 gadu stāžs pie darba devēja</w:t>
            </w:r>
          </w:p>
          <w:p w:rsidR="00FB3110" w:rsidRPr="00FB3110" w:rsidRDefault="00FB3110" w:rsidP="00FB3110">
            <w:pPr>
              <w:ind w:left="236"/>
              <w:jc w:val="both"/>
              <w:rPr>
                <w:rFonts w:ascii="Times New Roman" w:eastAsia="Calibri" w:hAnsi="Times New Roman" w:cs="Times New Roman"/>
                <w:bCs/>
                <w:iCs/>
              </w:rPr>
            </w:pPr>
            <w:r w:rsidRPr="00FB3110">
              <w:rPr>
                <w:rFonts w:ascii="Times New Roman" w:eastAsia="Calibri" w:hAnsi="Times New Roman" w:cs="Times New Roman"/>
                <w:bCs/>
                <w:iCs/>
              </w:rPr>
              <w:t>darbinieki ar 6 – 10 gadu stāžu</w:t>
            </w:r>
          </w:p>
          <w:p w:rsidR="00FB3110" w:rsidRPr="00FB3110" w:rsidRDefault="00FB3110" w:rsidP="00FB3110">
            <w:pPr>
              <w:ind w:left="236"/>
              <w:jc w:val="both"/>
              <w:rPr>
                <w:rFonts w:ascii="Times New Roman" w:eastAsia="Calibri" w:hAnsi="Times New Roman" w:cs="Times New Roman"/>
                <w:bCs/>
                <w:iCs/>
              </w:rPr>
            </w:pPr>
            <w:r w:rsidRPr="00FB3110">
              <w:rPr>
                <w:rFonts w:ascii="Times New Roman" w:eastAsia="Calibri" w:hAnsi="Times New Roman" w:cs="Times New Roman"/>
                <w:bCs/>
                <w:iCs/>
              </w:rPr>
              <w:t>darbinieki ar 11 – 15 gadu stāžu</w:t>
            </w:r>
          </w:p>
        </w:tc>
        <w:tc>
          <w:tcPr>
            <w:tcW w:w="3224" w:type="dxa"/>
          </w:tcPr>
          <w:p w:rsidR="00FB3110" w:rsidRPr="00FB3110" w:rsidRDefault="00FB3110" w:rsidP="00FB3110">
            <w:pPr>
              <w:jc w:val="center"/>
              <w:rPr>
                <w:rFonts w:ascii="Times New Roman" w:eastAsia="Calibri" w:hAnsi="Times New Roman" w:cs="Times New Roman"/>
                <w:bCs/>
                <w:iCs/>
              </w:rPr>
            </w:pPr>
            <w:r w:rsidRPr="00FB3110">
              <w:rPr>
                <w:rFonts w:ascii="Times New Roman" w:eastAsia="Calibri" w:hAnsi="Times New Roman" w:cs="Times New Roman"/>
                <w:bCs/>
                <w:iCs/>
              </w:rPr>
              <w:t>Jā</w:t>
            </w:r>
          </w:p>
        </w:tc>
      </w:tr>
    </w:tbl>
    <w:p w:rsidR="00FB3110" w:rsidRPr="00FB3110" w:rsidRDefault="00FB3110" w:rsidP="00FB3110">
      <w:pPr>
        <w:jc w:val="both"/>
        <w:rPr>
          <w:rFonts w:ascii="Times New Roman" w:eastAsia="Calibri" w:hAnsi="Times New Roman" w:cs="Times New Roman"/>
          <w:sz w:val="24"/>
          <w:szCs w:val="24"/>
          <w:lang w:eastAsia="lv-LV"/>
        </w:rPr>
      </w:pPr>
    </w:p>
    <w:p w:rsidR="00FB3110" w:rsidRPr="00FB3110" w:rsidRDefault="00FB3110" w:rsidP="00FB3110">
      <w:pPr>
        <w:jc w:val="both"/>
        <w:rPr>
          <w:rFonts w:ascii="Times New Roman" w:eastAsia="Calibri" w:hAnsi="Times New Roman" w:cs="Times New Roman"/>
          <w:bCs/>
          <w:iCs/>
        </w:rPr>
      </w:pPr>
      <w:r w:rsidRPr="00FB3110">
        <w:rPr>
          <w:rFonts w:ascii="Times New Roman" w:eastAsia="Calibri" w:hAnsi="Times New Roman" w:cs="Times New Roman"/>
          <w:bCs/>
          <w:iCs/>
        </w:rPr>
        <w:t xml:space="preserve">Pabalsta izmaksai par katriem 5 izdienas gadiem veido uzkrājumus, jo pienākums pārskata sagatavošanas laikā ir zināms, bet konkrēta saistību vērtība vai norēķinu datums nav precīzi zināms: </w:t>
      </w:r>
    </w:p>
    <w:p w:rsidR="00FB3110" w:rsidRPr="00FB3110" w:rsidRDefault="00FB3110" w:rsidP="00FB3110">
      <w:pPr>
        <w:numPr>
          <w:ilvl w:val="0"/>
          <w:numId w:val="10"/>
        </w:numPr>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ņemot vērā nostrādātos gadus pārskata datumā. Pēc 5 nostrādātiem gadiem saņemamo summu attiecinot uz nostrādātiem gadiem pārskata datumā, katru gadu izdevumos atzīstot 1/5 daļu ņemot vērā nākotnes notikumus, kas var ietekmēt pienākuma izpildi, jo iestādei ir pienākums izmaksāt pabalstu par noteiktu periodu un izdevumus jāatzīst tad, ja tie ir paredzami un attiecināmi uz pārskata periodu – katrs nostrādātais gads palielina budžeta iestādes pienākuma summu, </w:t>
      </w:r>
    </w:p>
    <w:p w:rsidR="00FB3110" w:rsidRPr="00FB3110" w:rsidRDefault="00FB3110" w:rsidP="00FB3110">
      <w:pPr>
        <w:numPr>
          <w:ilvl w:val="0"/>
          <w:numId w:val="10"/>
        </w:numPr>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ņemot vērā summas nenoteiktību (personāla mainības rādītājus, izmaiņas atalgojumā), </w:t>
      </w:r>
    </w:p>
    <w:p w:rsidR="00FB3110" w:rsidRPr="00FB3110" w:rsidRDefault="00FB3110" w:rsidP="00FB3110">
      <w:pPr>
        <w:numPr>
          <w:ilvl w:val="0"/>
          <w:numId w:val="10"/>
        </w:numPr>
        <w:contextualSpacing/>
        <w:jc w:val="both"/>
        <w:rPr>
          <w:rFonts w:ascii="Times New Roman" w:eastAsia="Calibri" w:hAnsi="Times New Roman" w:cs="Times New Roman"/>
          <w:bCs/>
          <w:iCs/>
        </w:rPr>
      </w:pPr>
      <w:r w:rsidRPr="00FB3110">
        <w:rPr>
          <w:rFonts w:ascii="Times New Roman" w:eastAsia="Calibri" w:hAnsi="Times New Roman" w:cs="Times New Roman"/>
          <w:bCs/>
          <w:iCs/>
        </w:rPr>
        <w:t xml:space="preserve">šīs saistības uzskaita uzkrājumu sastāvā un diskontē atbilstoši Valsts kases  interneta vietnē publicētai atbilstošai diskonta likmei. </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Piemēram:</w:t>
      </w:r>
    </w:p>
    <w:p w:rsidR="00FB3110" w:rsidRPr="00FB3110" w:rsidRDefault="00FB3110" w:rsidP="00FB3110">
      <w:pPr>
        <w:jc w:val="both"/>
        <w:rPr>
          <w:rFonts w:ascii="Times New Roman" w:eastAsia="Calibri" w:hAnsi="Times New Roman" w:cs="Times New Roman"/>
          <w:i/>
        </w:rPr>
      </w:pPr>
      <w:r w:rsidRPr="00FB3110">
        <w:rPr>
          <w:rFonts w:ascii="Times New Roman" w:eastAsia="Calibri" w:hAnsi="Times New Roman" w:cs="Times New Roman"/>
          <w:i/>
        </w:rPr>
        <w:t xml:space="preserve">Nosacījums no normatīvā akta: Karavīrs ik pēc pieciem profesionālā dienesta gadiem saņem vienreizēju pabalstu pēdējo triju mēnešu mēnešalgas un piemaksu apmērā, kāds viņam noteikts pamatdienesta vietā Latvijā, ja profesionālā dienesta līgums ir pagarināts un, sasniedzot piecu gadu izdienu, atlikušais profesionālā dienesta līguma termiņš nav īsāks par vienu gadu. </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 xml:space="preserve">Izvērtējums: Karavīrs dienestu uzsācis 2017.gadā, izdienas pabalsts ik pēc pieciem nostrādātajiem gadiem būtu jāsaņem  2022. gada beigās. Kareivis (matrozis) saņem summu mēnesī 910.73 </w:t>
      </w:r>
      <w:r w:rsidRPr="00FB3110">
        <w:rPr>
          <w:rFonts w:ascii="Times New Roman" w:eastAsia="Calibri" w:hAnsi="Times New Roman" w:cs="Times New Roman"/>
          <w:i/>
        </w:rPr>
        <w:t>euro,</w:t>
      </w:r>
      <w:r w:rsidRPr="00FB3110">
        <w:rPr>
          <w:rFonts w:ascii="Times New Roman" w:eastAsia="Calibri" w:hAnsi="Times New Roman" w:cs="Times New Roman"/>
        </w:rPr>
        <w:t xml:space="preserve"> veidojas no minimālās mēnešalgas, papildu kompensācijas dzīvojamās telpas īres izdevumiem un karavīra dienas pamata uzturdevai. </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 xml:space="preserve">Aplēstās izmaksas 910.73*3 = </w:t>
      </w:r>
      <w:r w:rsidRPr="00FB3110">
        <w:rPr>
          <w:rFonts w:ascii="Times New Roman" w:eastAsia="Calibri" w:hAnsi="Times New Roman" w:cs="Times New Roman"/>
          <w:b/>
        </w:rPr>
        <w:t xml:space="preserve">1092.88 </w:t>
      </w:r>
      <w:r w:rsidRPr="00FB3110">
        <w:rPr>
          <w:rFonts w:ascii="Times New Roman" w:eastAsia="Calibri" w:hAnsi="Times New Roman" w:cs="Times New Roman"/>
          <w:b/>
          <w:i/>
        </w:rPr>
        <w:t>euro</w:t>
      </w:r>
      <w:r w:rsidRPr="00FB3110">
        <w:rPr>
          <w:rFonts w:ascii="Times New Roman" w:eastAsia="Calibri" w:hAnsi="Times New Roman" w:cs="Times New Roman"/>
          <w:i/>
        </w:rPr>
        <w:t xml:space="preserve"> (triju mēnešu mēnešalgu un piemaksu kopsummu dala ar 5 gadiem un reizina ar 2 gadiem, lai aprēķinātu no 2017.gada līdz 2019.gadam attiecināmo izdevumu summu par nostrādātajiem gadiem).</w:t>
      </w:r>
      <w:r w:rsidRPr="00FB3110">
        <w:rPr>
          <w:rFonts w:ascii="Times New Roman" w:eastAsia="Calibri" w:hAnsi="Times New Roman" w:cs="Times New Roman"/>
        </w:rPr>
        <w:t xml:space="preserve"> </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Budžeta iestāde, izmantojot Valsts kases tīmekļvietnē publicēto diskonta likmi attiecīgajam laika periodam, nosaka uzkrājumu pašreizējo vērtību. Pabalsta izmaksa paredzēta 2023.gadā, uzkrājumu vērtību aprēķina līdz iepriekšējā pārskata gada beigām –</w:t>
      </w:r>
      <w:r w:rsidRPr="00FB3110">
        <w:rPr>
          <w:rFonts w:ascii="Times New Roman" w:eastAsia="Calibri" w:hAnsi="Times New Roman" w:cs="Times New Roman"/>
          <w:b/>
        </w:rPr>
        <w:t xml:space="preserve"> 31.12.2022.</w:t>
      </w:r>
      <w:r w:rsidRPr="00FB3110">
        <w:rPr>
          <w:rFonts w:ascii="Times New Roman" w:eastAsia="Calibri" w:hAnsi="Times New Roman" w:cs="Times New Roman"/>
        </w:rPr>
        <w:t xml:space="preserve"> </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lastRenderedPageBreak/>
        <w:t>Piemērā izmantota diskonta likme 2019.gada 4. ceturksnim -</w:t>
      </w:r>
      <w:r w:rsidRPr="00FB3110">
        <w:rPr>
          <w:rFonts w:ascii="Times New Roman" w:eastAsia="Calibri" w:hAnsi="Times New Roman" w:cs="Times New Roman"/>
          <w:b/>
        </w:rPr>
        <w:t>0.57%</w:t>
      </w:r>
      <w:r w:rsidRPr="00FB3110">
        <w:rPr>
          <w:rFonts w:ascii="Times New Roman" w:eastAsia="Calibri" w:hAnsi="Times New Roman" w:cs="Times New Roman"/>
        </w:rPr>
        <w:t xml:space="preserve">. Sagatavojot 2019. gada finanšu pārskatu, budžeta iestāde aprēķina uzkrājumu (paredzamo izmaksu) pašreizējo vērtību, kas atzīstama izdevumos 2019.gadā, sekojoši: </w:t>
      </w:r>
    </w:p>
    <w:tbl>
      <w:tblPr>
        <w:tblStyle w:val="TableGrid"/>
        <w:tblpPr w:leftFromText="180" w:rightFromText="180" w:vertAnchor="text" w:horzAnchor="margin" w:tblpY="269"/>
        <w:tblOverlap w:val="never"/>
        <w:tblW w:w="5240" w:type="dxa"/>
        <w:tblLook w:val="04A0" w:firstRow="1" w:lastRow="0" w:firstColumn="1" w:lastColumn="0" w:noHBand="0" w:noVBand="1"/>
      </w:tblPr>
      <w:tblGrid>
        <w:gridCol w:w="2329"/>
        <w:gridCol w:w="2911"/>
      </w:tblGrid>
      <w:tr w:rsidR="00FB3110" w:rsidRPr="00FB3110" w:rsidTr="00CA34EB">
        <w:trPr>
          <w:trHeight w:val="552"/>
        </w:trPr>
        <w:tc>
          <w:tcPr>
            <w:tcW w:w="2329"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b/>
                <w:bCs/>
                <w:color w:val="333333"/>
                <w:lang w:eastAsia="lv-LV"/>
              </w:rPr>
              <w:t>Iespējamā zaudējumu summa bilances datumā</w:t>
            </w:r>
          </w:p>
        </w:tc>
        <w:tc>
          <w:tcPr>
            <w:tcW w:w="2911"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color w:val="333333"/>
                <w:lang w:eastAsia="lv-LV"/>
              </w:rPr>
              <w:t>1092.88</w:t>
            </w:r>
          </w:p>
        </w:tc>
      </w:tr>
      <w:tr w:rsidR="00FB3110" w:rsidRPr="00FB3110" w:rsidTr="00CA34EB">
        <w:tc>
          <w:tcPr>
            <w:tcW w:w="2329"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b/>
                <w:bCs/>
                <w:color w:val="333333"/>
                <w:lang w:eastAsia="lv-LV"/>
              </w:rPr>
              <w:t>Valūta</w:t>
            </w:r>
          </w:p>
        </w:tc>
        <w:tc>
          <w:tcPr>
            <w:tcW w:w="2911"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color w:val="333333"/>
                <w:lang w:eastAsia="lv-LV"/>
              </w:rPr>
              <w:t>EUR</w:t>
            </w:r>
          </w:p>
        </w:tc>
      </w:tr>
      <w:tr w:rsidR="00FB3110" w:rsidRPr="00FB3110" w:rsidTr="00CA34EB">
        <w:tc>
          <w:tcPr>
            <w:tcW w:w="2329"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b/>
                <w:bCs/>
                <w:color w:val="333333"/>
                <w:lang w:eastAsia="lv-LV"/>
              </w:rPr>
              <w:t>Periods</w:t>
            </w:r>
          </w:p>
        </w:tc>
        <w:tc>
          <w:tcPr>
            <w:tcW w:w="2911"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color w:val="333333"/>
                <w:lang w:eastAsia="lv-LV"/>
              </w:rPr>
              <w:t>31.12.2019 - 31.12.2022</w:t>
            </w:r>
          </w:p>
        </w:tc>
      </w:tr>
      <w:tr w:rsidR="00FB3110" w:rsidRPr="00FB3110" w:rsidTr="00CA34EB">
        <w:tc>
          <w:tcPr>
            <w:tcW w:w="2329" w:type="dxa"/>
          </w:tcPr>
          <w:p w:rsidR="00FB3110" w:rsidRPr="00FB3110" w:rsidRDefault="00FB3110" w:rsidP="00FB3110">
            <w:pPr>
              <w:spacing w:after="300"/>
              <w:rPr>
                <w:rFonts w:ascii="Times New Roman" w:eastAsia="Times New Roman" w:hAnsi="Times New Roman" w:cs="Times New Roman"/>
                <w:b/>
                <w:bCs/>
                <w:color w:val="333333"/>
                <w:lang w:eastAsia="lv-LV"/>
              </w:rPr>
            </w:pPr>
            <w:r w:rsidRPr="00FB3110">
              <w:rPr>
                <w:rFonts w:ascii="Times New Roman" w:eastAsia="Times New Roman" w:hAnsi="Times New Roman" w:cs="Times New Roman"/>
                <w:b/>
                <w:bCs/>
                <w:color w:val="333333"/>
                <w:lang w:eastAsia="lv-LV"/>
              </w:rPr>
              <w:t>Diskonta likme</w:t>
            </w:r>
          </w:p>
        </w:tc>
        <w:tc>
          <w:tcPr>
            <w:tcW w:w="2911" w:type="dxa"/>
          </w:tcPr>
          <w:p w:rsidR="00FB3110" w:rsidRPr="00FB3110" w:rsidRDefault="00FB3110" w:rsidP="00FB3110">
            <w:pPr>
              <w:spacing w:after="300"/>
              <w:rPr>
                <w:rFonts w:ascii="Times New Roman" w:eastAsia="Times New Roman" w:hAnsi="Times New Roman" w:cs="Times New Roman"/>
                <w:color w:val="333333"/>
                <w:lang w:eastAsia="lv-LV"/>
              </w:rPr>
            </w:pPr>
            <w:r w:rsidRPr="00FB3110">
              <w:rPr>
                <w:rFonts w:ascii="Times New Roman" w:eastAsia="Times New Roman" w:hAnsi="Times New Roman" w:cs="Times New Roman"/>
                <w:color w:val="333333"/>
                <w:lang w:eastAsia="lv-LV"/>
              </w:rPr>
              <w:t>-0.57%</w:t>
            </w:r>
          </w:p>
        </w:tc>
      </w:tr>
    </w:tbl>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Dati:</w:t>
      </w:r>
    </w:p>
    <w:p w:rsidR="00FB3110" w:rsidRPr="00FB3110" w:rsidRDefault="00FB3110" w:rsidP="00FB3110">
      <w:pPr>
        <w:jc w:val="both"/>
        <w:rPr>
          <w:rFonts w:ascii="Times New Roman" w:eastAsia="Calibri" w:hAnsi="Times New Roman" w:cs="Times New Roman"/>
        </w:rPr>
      </w:pPr>
    </w:p>
    <w:p w:rsidR="00FB3110" w:rsidRPr="00FB3110" w:rsidRDefault="00FB3110" w:rsidP="00FB3110">
      <w:pPr>
        <w:jc w:val="both"/>
        <w:rPr>
          <w:rFonts w:ascii="Times New Roman" w:eastAsia="Calibri" w:hAnsi="Times New Roman" w:cs="Times New Roman"/>
        </w:rPr>
      </w:pPr>
    </w:p>
    <w:p w:rsidR="00FB3110" w:rsidRPr="00FB3110" w:rsidRDefault="00FB3110" w:rsidP="00FB3110">
      <w:pPr>
        <w:ind w:right="184"/>
        <w:jc w:val="both"/>
        <w:rPr>
          <w:rFonts w:ascii="Times New Roman" w:eastAsia="Calibri" w:hAnsi="Times New Roman" w:cs="Times New Roman"/>
        </w:rPr>
      </w:pP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 xml:space="preserve"> </w:t>
      </w:r>
    </w:p>
    <w:p w:rsidR="00FB3110" w:rsidRPr="00FB3110" w:rsidRDefault="00FB3110" w:rsidP="00FB3110">
      <w:pPr>
        <w:jc w:val="both"/>
        <w:rPr>
          <w:rFonts w:ascii="Times New Roman" w:eastAsia="Calibri" w:hAnsi="Times New Roman" w:cs="Times New Roman"/>
        </w:rPr>
      </w:pPr>
    </w:p>
    <w:p w:rsidR="00FB3110" w:rsidRPr="00FB3110" w:rsidRDefault="00FB3110" w:rsidP="00FB3110">
      <w:pPr>
        <w:jc w:val="both"/>
        <w:rPr>
          <w:rFonts w:ascii="Times New Roman" w:eastAsia="Calibri" w:hAnsi="Times New Roman" w:cs="Times New Roman"/>
        </w:rPr>
      </w:pPr>
    </w:p>
    <w:p w:rsidR="00FB3110" w:rsidRPr="00FB3110" w:rsidRDefault="00FB3110" w:rsidP="00CD746A">
      <w:pPr>
        <w:jc w:val="both"/>
        <w:rPr>
          <w:rFonts w:ascii="Times New Roman" w:eastAsia="Calibri" w:hAnsi="Times New Roman" w:cs="Times New Roman"/>
        </w:rPr>
      </w:pPr>
      <w:r w:rsidRPr="00FB3110">
        <w:rPr>
          <w:rFonts w:ascii="Times New Roman" w:eastAsia="Calibri" w:hAnsi="Times New Roman" w:cs="Times New Roman"/>
        </w:rPr>
        <w:t>Aprēķins: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2"/>
        <w:gridCol w:w="1260"/>
        <w:gridCol w:w="1872"/>
        <w:gridCol w:w="2183"/>
        <w:gridCol w:w="1928"/>
        <w:gridCol w:w="1701"/>
      </w:tblGrid>
      <w:tr w:rsidR="00FB3110" w:rsidRPr="00FB3110" w:rsidTr="00A01931">
        <w:trPr>
          <w:trHeight w:val="743"/>
          <w:tblHeader/>
        </w:trPr>
        <w:tc>
          <w:tcPr>
            <w:tcW w:w="0" w:type="auto"/>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Gads pēc kārtas</w:t>
            </w:r>
          </w:p>
        </w:tc>
        <w:tc>
          <w:tcPr>
            <w:tcW w:w="1260" w:type="dxa"/>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Gads</w:t>
            </w:r>
          </w:p>
        </w:tc>
        <w:tc>
          <w:tcPr>
            <w:tcW w:w="1869" w:type="dxa"/>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Aplēstā uzkrājumu/iespējamo saistību vērtība bilances datumā</w:t>
            </w:r>
          </w:p>
        </w:tc>
        <w:tc>
          <w:tcPr>
            <w:tcW w:w="2183" w:type="dxa"/>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Uzkrājumu/iespējamo saistību pašreizējā vērtība pārskata gada beigās</w:t>
            </w:r>
          </w:p>
        </w:tc>
        <w:tc>
          <w:tcPr>
            <w:tcW w:w="1928" w:type="dxa"/>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Procentu izdevumi*</w:t>
            </w:r>
          </w:p>
        </w:tc>
        <w:tc>
          <w:tcPr>
            <w:tcW w:w="1701" w:type="dxa"/>
            <w:shd w:val="clear" w:color="auto" w:fill="auto"/>
            <w:tcMar>
              <w:top w:w="75" w:type="dxa"/>
              <w:left w:w="75" w:type="dxa"/>
              <w:bottom w:w="75" w:type="dxa"/>
              <w:right w:w="75" w:type="dxa"/>
            </w:tcMar>
            <w:vAlign w:val="cente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Grāmatvedības uzskaitē atzīstamās summas</w:t>
            </w:r>
          </w:p>
        </w:tc>
      </w:tr>
      <w:tr w:rsidR="00FB3110" w:rsidRPr="00FB3110" w:rsidTr="00A01931">
        <w:trPr>
          <w:trHeight w:val="284"/>
        </w:trPr>
        <w:tc>
          <w:tcPr>
            <w:tcW w:w="0" w:type="auto"/>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1</w:t>
            </w:r>
          </w:p>
        </w:tc>
        <w:tc>
          <w:tcPr>
            <w:tcW w:w="1260" w:type="dxa"/>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2</w:t>
            </w:r>
          </w:p>
        </w:tc>
        <w:tc>
          <w:tcPr>
            <w:tcW w:w="1869" w:type="dxa"/>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3</w:t>
            </w:r>
          </w:p>
        </w:tc>
        <w:tc>
          <w:tcPr>
            <w:tcW w:w="2183" w:type="dxa"/>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4</w:t>
            </w:r>
          </w:p>
        </w:tc>
        <w:tc>
          <w:tcPr>
            <w:tcW w:w="1928" w:type="dxa"/>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5</w:t>
            </w:r>
          </w:p>
        </w:tc>
        <w:tc>
          <w:tcPr>
            <w:tcW w:w="1701" w:type="dxa"/>
            <w:shd w:val="clear" w:color="auto" w:fill="auto"/>
            <w:noWrap/>
            <w:tcMar>
              <w:top w:w="75" w:type="dxa"/>
              <w:left w:w="75" w:type="dxa"/>
              <w:bottom w:w="75" w:type="dxa"/>
              <w:right w:w="75" w:type="dxa"/>
            </w:tcMar>
            <w:hideMark/>
          </w:tcPr>
          <w:p w:rsidR="00FB3110" w:rsidRPr="00FB3110" w:rsidRDefault="00FB3110" w:rsidP="00FB3110">
            <w:pPr>
              <w:jc w:val="center"/>
              <w:rPr>
                <w:rFonts w:ascii="Times New Roman" w:eastAsia="Times New Roman" w:hAnsi="Times New Roman" w:cs="Times New Roman"/>
                <w:i/>
                <w:color w:val="333333"/>
                <w:sz w:val="20"/>
                <w:szCs w:val="20"/>
                <w:lang w:eastAsia="lv-LV"/>
              </w:rPr>
            </w:pPr>
            <w:r w:rsidRPr="00FB3110">
              <w:rPr>
                <w:rFonts w:ascii="Times New Roman" w:eastAsia="Times New Roman" w:hAnsi="Times New Roman" w:cs="Times New Roman"/>
                <w:i/>
                <w:color w:val="333333"/>
                <w:sz w:val="20"/>
                <w:szCs w:val="20"/>
                <w:lang w:eastAsia="lv-LV"/>
              </w:rPr>
              <w:t>6</w:t>
            </w:r>
          </w:p>
        </w:tc>
      </w:tr>
      <w:tr w:rsidR="00FB3110" w:rsidRPr="00FB3110" w:rsidTr="00A01931">
        <w:tc>
          <w:tcPr>
            <w:tcW w:w="0" w:type="auto"/>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0</w:t>
            </w:r>
          </w:p>
        </w:tc>
        <w:tc>
          <w:tcPr>
            <w:tcW w:w="1260"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31.12.2019.</w:t>
            </w:r>
          </w:p>
        </w:tc>
        <w:tc>
          <w:tcPr>
            <w:tcW w:w="1869"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1092.88</w:t>
            </w:r>
          </w:p>
        </w:tc>
        <w:tc>
          <w:tcPr>
            <w:tcW w:w="2183"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Calibri" w:hAnsi="Times New Roman" w:cs="Times New Roman"/>
                <w:sz w:val="20"/>
                <w:szCs w:val="20"/>
              </w:rPr>
              <w:t>1 111.78</w:t>
            </w:r>
          </w:p>
        </w:tc>
        <w:tc>
          <w:tcPr>
            <w:tcW w:w="1928"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p>
        </w:tc>
        <w:tc>
          <w:tcPr>
            <w:tcW w:w="1701" w:type="dxa"/>
            <w:shd w:val="clear" w:color="auto" w:fill="auto"/>
            <w:noWrap/>
            <w:tcMar>
              <w:top w:w="75" w:type="dxa"/>
              <w:left w:w="75" w:type="dxa"/>
              <w:bottom w:w="75" w:type="dxa"/>
              <w:right w:w="75" w:type="dxa"/>
            </w:tcMar>
            <w:hideMark/>
          </w:tcPr>
          <w:p w:rsidR="00FB3110" w:rsidRPr="00FB3110" w:rsidRDefault="00FB3110" w:rsidP="00FB3110">
            <w:pPr>
              <w:spacing w:after="300"/>
              <w:ind w:right="203"/>
              <w:jc w:val="center"/>
              <w:rPr>
                <w:rFonts w:ascii="Times New Roman" w:eastAsia="Times New Roman" w:hAnsi="Times New Roman" w:cs="Times New Roman"/>
                <w:color w:val="333333"/>
                <w:sz w:val="20"/>
                <w:szCs w:val="20"/>
                <w:lang w:eastAsia="lv-LV"/>
              </w:rPr>
            </w:pPr>
            <w:r w:rsidRPr="00FB3110">
              <w:rPr>
                <w:rFonts w:ascii="Times New Roman" w:eastAsia="Calibri" w:hAnsi="Times New Roman" w:cs="Times New Roman"/>
                <w:sz w:val="20"/>
                <w:szCs w:val="20"/>
              </w:rPr>
              <w:t>1 111.78</w:t>
            </w:r>
          </w:p>
        </w:tc>
      </w:tr>
      <w:tr w:rsidR="00FB3110" w:rsidRPr="00FB3110" w:rsidTr="00A01931">
        <w:tc>
          <w:tcPr>
            <w:tcW w:w="0" w:type="auto"/>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w:t>
            </w:r>
          </w:p>
        </w:tc>
        <w:tc>
          <w:tcPr>
            <w:tcW w:w="1260"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31.12.2020.</w:t>
            </w:r>
          </w:p>
        </w:tc>
        <w:tc>
          <w:tcPr>
            <w:tcW w:w="1869"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p>
        </w:tc>
        <w:tc>
          <w:tcPr>
            <w:tcW w:w="2183"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1 105.45</w:t>
            </w:r>
          </w:p>
        </w:tc>
        <w:tc>
          <w:tcPr>
            <w:tcW w:w="1928"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-6.33</w:t>
            </w:r>
          </w:p>
        </w:tc>
        <w:tc>
          <w:tcPr>
            <w:tcW w:w="1701"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-6.33</w:t>
            </w:r>
          </w:p>
        </w:tc>
      </w:tr>
      <w:tr w:rsidR="00FB3110" w:rsidRPr="00FB3110" w:rsidTr="00A01931">
        <w:tc>
          <w:tcPr>
            <w:tcW w:w="0" w:type="auto"/>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2</w:t>
            </w:r>
          </w:p>
        </w:tc>
        <w:tc>
          <w:tcPr>
            <w:tcW w:w="1260"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31.12.2021.</w:t>
            </w:r>
          </w:p>
        </w:tc>
        <w:tc>
          <w:tcPr>
            <w:tcW w:w="1869"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p>
        </w:tc>
        <w:tc>
          <w:tcPr>
            <w:tcW w:w="2183"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1 099.15</w:t>
            </w:r>
          </w:p>
        </w:tc>
        <w:tc>
          <w:tcPr>
            <w:tcW w:w="1928"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-6.30</w:t>
            </w:r>
          </w:p>
        </w:tc>
        <w:tc>
          <w:tcPr>
            <w:tcW w:w="1701"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-6.30</w:t>
            </w:r>
          </w:p>
        </w:tc>
      </w:tr>
      <w:tr w:rsidR="00FB3110" w:rsidRPr="00FB3110" w:rsidTr="00A01931">
        <w:tc>
          <w:tcPr>
            <w:tcW w:w="0" w:type="auto"/>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3</w:t>
            </w:r>
          </w:p>
        </w:tc>
        <w:tc>
          <w:tcPr>
            <w:tcW w:w="1260"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31.12.2022.</w:t>
            </w:r>
          </w:p>
        </w:tc>
        <w:tc>
          <w:tcPr>
            <w:tcW w:w="1869"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p>
        </w:tc>
        <w:tc>
          <w:tcPr>
            <w:tcW w:w="2183"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1 092.88</w:t>
            </w:r>
          </w:p>
        </w:tc>
        <w:tc>
          <w:tcPr>
            <w:tcW w:w="1928"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-6.27</w:t>
            </w:r>
          </w:p>
        </w:tc>
        <w:tc>
          <w:tcPr>
            <w:tcW w:w="1701"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-6.27</w:t>
            </w:r>
          </w:p>
        </w:tc>
      </w:tr>
      <w:tr w:rsidR="00FB3110" w:rsidRPr="00FB3110" w:rsidTr="00A01931">
        <w:tc>
          <w:tcPr>
            <w:tcW w:w="0" w:type="auto"/>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Kopā</w:t>
            </w:r>
          </w:p>
        </w:tc>
        <w:tc>
          <w:tcPr>
            <w:tcW w:w="1260"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 xml:space="preserve"> </w:t>
            </w:r>
          </w:p>
        </w:tc>
        <w:tc>
          <w:tcPr>
            <w:tcW w:w="1869"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1 092.88</w:t>
            </w:r>
          </w:p>
        </w:tc>
        <w:tc>
          <w:tcPr>
            <w:tcW w:w="2183"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 xml:space="preserve"> </w:t>
            </w:r>
          </w:p>
        </w:tc>
        <w:tc>
          <w:tcPr>
            <w:tcW w:w="1928"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-18.90</w:t>
            </w:r>
          </w:p>
        </w:tc>
        <w:tc>
          <w:tcPr>
            <w:tcW w:w="1701" w:type="dxa"/>
            <w:shd w:val="clear" w:color="auto" w:fill="auto"/>
            <w:noWrap/>
            <w:tcMar>
              <w:top w:w="75" w:type="dxa"/>
              <w:left w:w="75" w:type="dxa"/>
              <w:bottom w:w="75" w:type="dxa"/>
              <w:right w:w="75" w:type="dxa"/>
            </w:tcMar>
            <w:hideMark/>
          </w:tcPr>
          <w:p w:rsidR="00FB3110" w:rsidRPr="00FB3110" w:rsidRDefault="00FB3110" w:rsidP="00FB3110">
            <w:pPr>
              <w:spacing w:after="300"/>
              <w:jc w:val="center"/>
              <w:rPr>
                <w:rFonts w:ascii="Times New Roman" w:eastAsia="Times New Roman" w:hAnsi="Times New Roman" w:cs="Times New Roman"/>
                <w:color w:val="333333"/>
                <w:sz w:val="20"/>
                <w:szCs w:val="20"/>
                <w:lang w:eastAsia="lv-LV"/>
              </w:rPr>
            </w:pPr>
            <w:r w:rsidRPr="00FB3110">
              <w:rPr>
                <w:rFonts w:ascii="Times New Roman" w:eastAsia="Times New Roman" w:hAnsi="Times New Roman" w:cs="Times New Roman"/>
                <w:color w:val="333333"/>
                <w:sz w:val="20"/>
                <w:szCs w:val="20"/>
                <w:lang w:eastAsia="lv-LV"/>
              </w:rPr>
              <w:t>1 092.88</w:t>
            </w:r>
          </w:p>
        </w:tc>
      </w:tr>
    </w:tbl>
    <w:p w:rsidR="00FB3110" w:rsidRPr="00FB3110" w:rsidRDefault="00FB3110" w:rsidP="00FB3110">
      <w:pPr>
        <w:jc w:val="both"/>
        <w:rPr>
          <w:rFonts w:ascii="Times New Roman" w:eastAsia="Calibri" w:hAnsi="Times New Roman" w:cs="Times New Roman"/>
        </w:rPr>
      </w:pP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*Piemērojot negatīvu diskonta likmi, atzīst procentu ieņēmumus.</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t>2020.gadā, 2021.gadā un 2022.gadā veic uzkrājumu summas pārrēķinu, palielinot aplēstās izmaksas atbilstoši nostrādātajiem gadiem un mēnešalgas un piemaksu izmaiņām un piemērojot aktuālo diskonta likmi.</w:t>
      </w:r>
    </w:p>
    <w:p w:rsidR="00FB3110" w:rsidRPr="00FB3110" w:rsidRDefault="00FB3110" w:rsidP="00FB3110">
      <w:pPr>
        <w:jc w:val="both"/>
        <w:rPr>
          <w:rFonts w:ascii="Times New Roman" w:eastAsia="Calibri" w:hAnsi="Times New Roman" w:cs="Times New Roman"/>
        </w:rPr>
      </w:pPr>
      <w:r w:rsidRPr="00FB3110">
        <w:rPr>
          <w:rFonts w:ascii="Times New Roman" w:eastAsia="Calibri" w:hAnsi="Times New Roman" w:cs="Times New Roman"/>
        </w:rPr>
        <w:lastRenderedPageBreak/>
        <w:t xml:space="preserve">2023.gadā atbilstoši pabalsta izmaksas kritēriju izpildei atzīst uzkrājuma samazinājumu un saistību palielinājumu. </w:t>
      </w: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30913" w:rsidRDefault="00A30913" w:rsidP="00A30913">
      <w:pPr>
        <w:spacing w:before="100" w:beforeAutospacing="1" w:after="100" w:afterAutospacing="1"/>
      </w:pPr>
    </w:p>
    <w:p w:rsidR="00A24DEB" w:rsidRDefault="00A24DEB" w:rsidP="00A30913">
      <w:pPr>
        <w:spacing w:before="100" w:beforeAutospacing="1" w:after="100" w:afterAutospacing="1"/>
      </w:pPr>
    </w:p>
    <w:p w:rsidR="00A24DEB" w:rsidRDefault="00A24DEB" w:rsidP="00A30913">
      <w:pPr>
        <w:spacing w:before="100" w:beforeAutospacing="1" w:after="100" w:afterAutospacing="1"/>
      </w:pPr>
    </w:p>
    <w:p w:rsidR="00A30913" w:rsidRPr="00A30913" w:rsidRDefault="00A30913" w:rsidP="00A30913">
      <w:pPr>
        <w:spacing w:before="100" w:beforeAutospacing="1" w:after="100" w:afterAutospacing="1"/>
      </w:pPr>
    </w:p>
    <w:p w:rsidR="008409A7" w:rsidRDefault="008409A7" w:rsidP="003E7535">
      <w:pPr>
        <w:pStyle w:val="PlainText"/>
      </w:pPr>
    </w:p>
    <w:p w:rsidR="008409A7" w:rsidRDefault="008409A7" w:rsidP="003E7535">
      <w:pPr>
        <w:pStyle w:val="PlainText"/>
      </w:pPr>
    </w:p>
    <w:p w:rsidR="008409A7" w:rsidRPr="00B733C9" w:rsidRDefault="008409A7" w:rsidP="008409A7">
      <w:pPr>
        <w:rPr>
          <w:rFonts w:ascii="Times New Roman" w:hAnsi="Times New Roman" w:cs="Times New Roman"/>
          <w:i/>
          <w:color w:val="2E74B5" w:themeColor="accent1" w:themeShade="BF"/>
          <w:sz w:val="20"/>
          <w:szCs w:val="24"/>
        </w:rPr>
      </w:pPr>
      <w:r w:rsidRPr="00B733C9">
        <w:rPr>
          <w:rFonts w:ascii="Times New Roman" w:hAnsi="Times New Roman" w:cs="Times New Roman"/>
          <w:i/>
          <w:color w:val="2E74B5" w:themeColor="accent1" w:themeShade="BF"/>
          <w:sz w:val="20"/>
          <w:szCs w:val="24"/>
        </w:rPr>
        <w:t>Informācijai:</w:t>
      </w:r>
    </w:p>
    <w:p w:rsidR="008409A7" w:rsidRDefault="008409A7" w:rsidP="00645276">
      <w:r w:rsidRPr="00B733C9">
        <w:rPr>
          <w:rFonts w:ascii="Times New Roman" w:hAnsi="Times New Roman" w:cs="Times New Roman"/>
          <w:i/>
          <w:color w:val="2E74B5" w:themeColor="accent1" w:themeShade="BF"/>
          <w:sz w:val="20"/>
          <w:szCs w:val="24"/>
        </w:rPr>
        <w:t>Jautājumus par uzskaiti un pārskatu sagatavošanu var sūtīt uz: parskati@kase.gov.lv.</w:t>
      </w:r>
    </w:p>
    <w:sectPr w:rsidR="008409A7" w:rsidSect="002C21F8">
      <w:footerReference w:type="default" r:id="rId68"/>
      <w:footerReference w:type="first" r:id="rId6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C5C" w:rsidRDefault="00425C5C" w:rsidP="007E6BA3">
      <w:r>
        <w:separator/>
      </w:r>
    </w:p>
  </w:endnote>
  <w:endnote w:type="continuationSeparator" w:id="0">
    <w:p w:rsidR="00425C5C" w:rsidRDefault="00425C5C" w:rsidP="007E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813056"/>
      <w:docPartObj>
        <w:docPartGallery w:val="Page Numbers (Bottom of Page)"/>
        <w:docPartUnique/>
      </w:docPartObj>
    </w:sdtPr>
    <w:sdtEndPr>
      <w:rPr>
        <w:noProof/>
      </w:rPr>
    </w:sdtEndPr>
    <w:sdtContent>
      <w:p w:rsidR="00A01931" w:rsidRDefault="00A01931">
        <w:pPr>
          <w:pStyle w:val="Footer"/>
          <w:jc w:val="center"/>
        </w:pPr>
        <w:r>
          <w:fldChar w:fldCharType="begin"/>
        </w:r>
        <w:r>
          <w:instrText xml:space="preserve"> PAGE   \* MERGEFORMAT </w:instrText>
        </w:r>
        <w:r>
          <w:fldChar w:fldCharType="separate"/>
        </w:r>
        <w:r w:rsidR="007B3873">
          <w:rPr>
            <w:noProof/>
          </w:rPr>
          <w:t>3</w:t>
        </w:r>
        <w:r>
          <w:rPr>
            <w:noProof/>
          </w:rPr>
          <w:fldChar w:fldCharType="end"/>
        </w:r>
      </w:p>
    </w:sdtContent>
  </w:sdt>
  <w:p w:rsidR="00A01931" w:rsidRPr="00A24DEB" w:rsidRDefault="007B3873" w:rsidP="00A24DEB">
    <w:pPr>
      <w:pStyle w:val="Footer"/>
      <w:tabs>
        <w:tab w:val="clear" w:pos="4153"/>
        <w:tab w:val="clear" w:pos="8306"/>
      </w:tabs>
      <w:rPr>
        <w:sz w:val="14"/>
      </w:rPr>
    </w:pPr>
    <w:hyperlink r:id="rId1" w:history="1">
      <w:r w:rsidR="00A01931" w:rsidRPr="008416A3">
        <w:rPr>
          <w:rStyle w:val="Hyperlink"/>
          <w:sz w:val="14"/>
        </w:rPr>
        <w:t>https://www.kase.gov.lv/metodika/gramatvedibas-uzskaite/jautajumi-un-atbildes</w:t>
      </w:r>
    </w:hyperlink>
    <w:r w:rsidR="00A01931">
      <w:rPr>
        <w:sz w:val="14"/>
      </w:rPr>
      <w:tab/>
    </w:r>
    <w:r w:rsidR="00A01931">
      <w:rPr>
        <w:sz w:val="14"/>
      </w:rPr>
      <w:tab/>
    </w:r>
    <w:r w:rsidR="00A01931">
      <w:rPr>
        <w:sz w:val="14"/>
      </w:rPr>
      <w:tab/>
    </w:r>
    <w:r w:rsidR="00A01931">
      <w:rPr>
        <w:sz w:val="14"/>
      </w:rPr>
      <w:tab/>
    </w:r>
    <w:r w:rsidR="00386403">
      <w:rPr>
        <w:sz w:val="14"/>
      </w:rPr>
      <w:fldChar w:fldCharType="begin"/>
    </w:r>
    <w:r w:rsidR="00386403">
      <w:rPr>
        <w:sz w:val="14"/>
      </w:rPr>
      <w:instrText xml:space="preserve"> TIME \@ "dd.MM.yyyy HH:mm" </w:instrText>
    </w:r>
    <w:r w:rsidR="00386403">
      <w:rPr>
        <w:sz w:val="14"/>
      </w:rPr>
      <w:fldChar w:fldCharType="separate"/>
    </w:r>
    <w:r>
      <w:rPr>
        <w:noProof/>
        <w:sz w:val="14"/>
      </w:rPr>
      <w:t>29.11.2019 08:43</w:t>
    </w:r>
    <w:r w:rsidR="00386403">
      <w:rPr>
        <w:sz w:val="14"/>
      </w:rPr>
      <w:fldChar w:fldCharType="end"/>
    </w:r>
  </w:p>
  <w:p w:rsidR="00A01931" w:rsidRDefault="00A01931" w:rsidP="00A24DEB">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31" w:rsidRPr="008416A3" w:rsidRDefault="007B3873" w:rsidP="000C5CCE">
    <w:pPr>
      <w:pStyle w:val="Footer"/>
      <w:tabs>
        <w:tab w:val="clear" w:pos="4153"/>
        <w:tab w:val="clear" w:pos="8306"/>
      </w:tabs>
      <w:rPr>
        <w:sz w:val="14"/>
      </w:rPr>
    </w:pPr>
    <w:hyperlink r:id="rId1" w:history="1">
      <w:r w:rsidR="00A01931" w:rsidRPr="008416A3">
        <w:rPr>
          <w:rStyle w:val="Hyperlink"/>
          <w:sz w:val="14"/>
        </w:rPr>
        <w:t>https://www.kase.gov.lv/metodika/gramatvedibas-uzskaite/jautajumi-un-atbildes</w:t>
      </w:r>
    </w:hyperlink>
    <w:r w:rsidR="00386403">
      <w:rPr>
        <w:sz w:val="14"/>
      </w:rPr>
      <w:tab/>
    </w:r>
    <w:r w:rsidR="00386403">
      <w:rPr>
        <w:sz w:val="14"/>
      </w:rPr>
      <w:tab/>
    </w:r>
    <w:r w:rsidR="00386403">
      <w:rPr>
        <w:sz w:val="14"/>
      </w:rPr>
      <w:tab/>
    </w:r>
    <w:r w:rsidR="00386403">
      <w:rPr>
        <w:sz w:val="14"/>
      </w:rPr>
      <w:fldChar w:fldCharType="begin"/>
    </w:r>
    <w:r w:rsidR="00386403">
      <w:rPr>
        <w:sz w:val="14"/>
      </w:rPr>
      <w:instrText xml:space="preserve"> TIME \@ "dd.MM.yyyy HH:mm" </w:instrText>
    </w:r>
    <w:r w:rsidR="00386403">
      <w:rPr>
        <w:sz w:val="14"/>
      </w:rPr>
      <w:fldChar w:fldCharType="separate"/>
    </w:r>
    <w:r>
      <w:rPr>
        <w:noProof/>
        <w:sz w:val="14"/>
      </w:rPr>
      <w:t>29.11.2019 08:43</w:t>
    </w:r>
    <w:r w:rsidR="00386403">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C5C" w:rsidRDefault="00425C5C" w:rsidP="007E6BA3">
      <w:r>
        <w:separator/>
      </w:r>
    </w:p>
  </w:footnote>
  <w:footnote w:type="continuationSeparator" w:id="0">
    <w:p w:rsidR="00425C5C" w:rsidRDefault="00425C5C" w:rsidP="007E6BA3">
      <w:r>
        <w:continuationSeparator/>
      </w:r>
    </w:p>
  </w:footnote>
  <w:footnote w:id="1">
    <w:p w:rsidR="00A01931" w:rsidRPr="007E6BA3" w:rsidRDefault="00A01931" w:rsidP="007E6BA3">
      <w:pPr>
        <w:pStyle w:val="FootnoteText"/>
        <w:jc w:val="both"/>
        <w:rPr>
          <w:rFonts w:ascii="Times New Roman" w:hAnsi="Times New Roman" w:cs="Times New Roman"/>
        </w:rPr>
      </w:pPr>
      <w:r w:rsidRPr="007E6BA3">
        <w:rPr>
          <w:rStyle w:val="FootnoteReference"/>
          <w:rFonts w:ascii="Times New Roman" w:hAnsi="Times New Roman" w:cs="Times New Roman"/>
        </w:rPr>
        <w:footnoteRef/>
      </w:r>
      <w:r w:rsidRPr="007E6BA3">
        <w:rPr>
          <w:rFonts w:ascii="Times New Roman" w:hAnsi="Times New Roman" w:cs="Times New Roman"/>
        </w:rPr>
        <w:t xml:space="preserve"> </w:t>
      </w:r>
      <w:r w:rsidRPr="007E6BA3">
        <w:rPr>
          <w:rFonts w:ascii="Times New Roman" w:hAnsi="Times New Roman" w:cs="Times New Roman"/>
          <w:color w:val="363636"/>
          <w:shd w:val="clear" w:color="auto" w:fill="FFFFFF"/>
        </w:rPr>
        <w:t>Būtiskuma līmeni piemēro katrai kļūdai (piemēram, aktīvam noteikta nepareiza sākotnējā vērtība) un pēc ekonomiskās būtības vienādām kļūdām (piemēram, kontu grupai norādīta nepareiza nolietojuma likme), kuras atklātas un iegrāmatotas norādītajā periodā.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EEC"/>
    <w:multiLevelType w:val="hybridMultilevel"/>
    <w:tmpl w:val="23EA1D3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0A02CA"/>
    <w:multiLevelType w:val="hybridMultilevel"/>
    <w:tmpl w:val="5D6A42B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433A33"/>
    <w:multiLevelType w:val="hybridMultilevel"/>
    <w:tmpl w:val="91A4AB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D17620"/>
    <w:multiLevelType w:val="hybridMultilevel"/>
    <w:tmpl w:val="E04A197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45481051"/>
    <w:multiLevelType w:val="multilevel"/>
    <w:tmpl w:val="F6885456"/>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1B4E65"/>
    <w:multiLevelType w:val="hybridMultilevel"/>
    <w:tmpl w:val="27E87CC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E856E2"/>
    <w:multiLevelType w:val="hybridMultilevel"/>
    <w:tmpl w:val="367C8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89568A"/>
    <w:multiLevelType w:val="hybridMultilevel"/>
    <w:tmpl w:val="068ED7D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6A820D0"/>
    <w:multiLevelType w:val="hybridMultilevel"/>
    <w:tmpl w:val="135E53C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15:restartNumberingAfterBreak="0">
    <w:nsid w:val="61D45FA3"/>
    <w:multiLevelType w:val="hybridMultilevel"/>
    <w:tmpl w:val="9CC474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8414558"/>
    <w:multiLevelType w:val="hybridMultilevel"/>
    <w:tmpl w:val="FE8E14A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79E65243"/>
    <w:multiLevelType w:val="hybridMultilevel"/>
    <w:tmpl w:val="36C8FF76"/>
    <w:lvl w:ilvl="0" w:tplc="0426000D">
      <w:start w:val="1"/>
      <w:numFmt w:val="bullet"/>
      <w:lvlText w:val=""/>
      <w:lvlJc w:val="left"/>
      <w:pPr>
        <w:ind w:left="426" w:hanging="360"/>
      </w:pPr>
      <w:rPr>
        <w:rFonts w:ascii="Wingdings" w:hAnsi="Wingdings" w:hint="default"/>
      </w:rPr>
    </w:lvl>
    <w:lvl w:ilvl="1" w:tplc="04260003" w:tentative="1">
      <w:start w:val="1"/>
      <w:numFmt w:val="bullet"/>
      <w:lvlText w:val="o"/>
      <w:lvlJc w:val="left"/>
      <w:pPr>
        <w:ind w:left="1146" w:hanging="360"/>
      </w:pPr>
      <w:rPr>
        <w:rFonts w:ascii="Courier New" w:hAnsi="Courier New" w:cs="Courier New" w:hint="default"/>
      </w:rPr>
    </w:lvl>
    <w:lvl w:ilvl="2" w:tplc="04260005" w:tentative="1">
      <w:start w:val="1"/>
      <w:numFmt w:val="bullet"/>
      <w:lvlText w:val=""/>
      <w:lvlJc w:val="left"/>
      <w:pPr>
        <w:ind w:left="1866" w:hanging="360"/>
      </w:pPr>
      <w:rPr>
        <w:rFonts w:ascii="Wingdings" w:hAnsi="Wingdings" w:hint="default"/>
      </w:rPr>
    </w:lvl>
    <w:lvl w:ilvl="3" w:tplc="04260001" w:tentative="1">
      <w:start w:val="1"/>
      <w:numFmt w:val="bullet"/>
      <w:lvlText w:val=""/>
      <w:lvlJc w:val="left"/>
      <w:pPr>
        <w:ind w:left="2586" w:hanging="360"/>
      </w:pPr>
      <w:rPr>
        <w:rFonts w:ascii="Symbol" w:hAnsi="Symbol" w:hint="default"/>
      </w:rPr>
    </w:lvl>
    <w:lvl w:ilvl="4" w:tplc="04260003" w:tentative="1">
      <w:start w:val="1"/>
      <w:numFmt w:val="bullet"/>
      <w:lvlText w:val="o"/>
      <w:lvlJc w:val="left"/>
      <w:pPr>
        <w:ind w:left="3306" w:hanging="360"/>
      </w:pPr>
      <w:rPr>
        <w:rFonts w:ascii="Courier New" w:hAnsi="Courier New" w:cs="Courier New" w:hint="default"/>
      </w:rPr>
    </w:lvl>
    <w:lvl w:ilvl="5" w:tplc="04260005" w:tentative="1">
      <w:start w:val="1"/>
      <w:numFmt w:val="bullet"/>
      <w:lvlText w:val=""/>
      <w:lvlJc w:val="left"/>
      <w:pPr>
        <w:ind w:left="4026" w:hanging="360"/>
      </w:pPr>
      <w:rPr>
        <w:rFonts w:ascii="Wingdings" w:hAnsi="Wingdings" w:hint="default"/>
      </w:rPr>
    </w:lvl>
    <w:lvl w:ilvl="6" w:tplc="04260001" w:tentative="1">
      <w:start w:val="1"/>
      <w:numFmt w:val="bullet"/>
      <w:lvlText w:val=""/>
      <w:lvlJc w:val="left"/>
      <w:pPr>
        <w:ind w:left="4746" w:hanging="360"/>
      </w:pPr>
      <w:rPr>
        <w:rFonts w:ascii="Symbol" w:hAnsi="Symbol" w:hint="default"/>
      </w:rPr>
    </w:lvl>
    <w:lvl w:ilvl="7" w:tplc="04260003" w:tentative="1">
      <w:start w:val="1"/>
      <w:numFmt w:val="bullet"/>
      <w:lvlText w:val="o"/>
      <w:lvlJc w:val="left"/>
      <w:pPr>
        <w:ind w:left="5466" w:hanging="360"/>
      </w:pPr>
      <w:rPr>
        <w:rFonts w:ascii="Courier New" w:hAnsi="Courier New" w:cs="Courier New" w:hint="default"/>
      </w:rPr>
    </w:lvl>
    <w:lvl w:ilvl="8" w:tplc="04260005" w:tentative="1">
      <w:start w:val="1"/>
      <w:numFmt w:val="bullet"/>
      <w:lvlText w:val=""/>
      <w:lvlJc w:val="left"/>
      <w:pPr>
        <w:ind w:left="6186" w:hanging="360"/>
      </w:pPr>
      <w:rPr>
        <w:rFonts w:ascii="Wingdings" w:hAnsi="Wingdings" w:hint="default"/>
      </w:rPr>
    </w:lvl>
  </w:abstractNum>
  <w:num w:numId="1">
    <w:abstractNumId w:val="2"/>
  </w:num>
  <w:num w:numId="2">
    <w:abstractNumId w:val="9"/>
  </w:num>
  <w:num w:numId="3">
    <w:abstractNumId w:val="3"/>
  </w:num>
  <w:num w:numId="4">
    <w:abstractNumId w:val="8"/>
  </w:num>
  <w:num w:numId="5">
    <w:abstractNumId w:val="4"/>
  </w:num>
  <w:num w:numId="6">
    <w:abstractNumId w:val="10"/>
  </w:num>
  <w:num w:numId="7">
    <w:abstractNumId w:val="7"/>
  </w:num>
  <w:num w:numId="8">
    <w:abstractNumId w:val="6"/>
  </w:num>
  <w:num w:numId="9">
    <w:abstractNumId w:val="0"/>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35"/>
    <w:rsid w:val="0003351D"/>
    <w:rsid w:val="0005300E"/>
    <w:rsid w:val="000806C2"/>
    <w:rsid w:val="00092F82"/>
    <w:rsid w:val="000A4186"/>
    <w:rsid w:val="000B725C"/>
    <w:rsid w:val="000C41DE"/>
    <w:rsid w:val="000C5CCE"/>
    <w:rsid w:val="000D61B3"/>
    <w:rsid w:val="0014408D"/>
    <w:rsid w:val="00185D1A"/>
    <w:rsid w:val="0024348A"/>
    <w:rsid w:val="002612A4"/>
    <w:rsid w:val="002B48C2"/>
    <w:rsid w:val="002C21F8"/>
    <w:rsid w:val="00325ACC"/>
    <w:rsid w:val="003362CF"/>
    <w:rsid w:val="0034586F"/>
    <w:rsid w:val="00386403"/>
    <w:rsid w:val="003D0EA9"/>
    <w:rsid w:val="003D7062"/>
    <w:rsid w:val="003E7535"/>
    <w:rsid w:val="003F13F2"/>
    <w:rsid w:val="003F1F16"/>
    <w:rsid w:val="003F6D8A"/>
    <w:rsid w:val="00414DF9"/>
    <w:rsid w:val="00425C5C"/>
    <w:rsid w:val="0043277B"/>
    <w:rsid w:val="0046552B"/>
    <w:rsid w:val="00470DDB"/>
    <w:rsid w:val="004B3368"/>
    <w:rsid w:val="004B6B01"/>
    <w:rsid w:val="004E2F78"/>
    <w:rsid w:val="00510489"/>
    <w:rsid w:val="005420BA"/>
    <w:rsid w:val="005F0999"/>
    <w:rsid w:val="00623FC9"/>
    <w:rsid w:val="00645276"/>
    <w:rsid w:val="00671CC9"/>
    <w:rsid w:val="006D3991"/>
    <w:rsid w:val="006F77A7"/>
    <w:rsid w:val="007B3873"/>
    <w:rsid w:val="007E6BA3"/>
    <w:rsid w:val="007F304D"/>
    <w:rsid w:val="00817FEC"/>
    <w:rsid w:val="008409A7"/>
    <w:rsid w:val="008416A3"/>
    <w:rsid w:val="00855C91"/>
    <w:rsid w:val="00867937"/>
    <w:rsid w:val="00873AD8"/>
    <w:rsid w:val="00882538"/>
    <w:rsid w:val="00886ED2"/>
    <w:rsid w:val="008B18A9"/>
    <w:rsid w:val="008D7B75"/>
    <w:rsid w:val="00904781"/>
    <w:rsid w:val="00905B1B"/>
    <w:rsid w:val="00920458"/>
    <w:rsid w:val="00992469"/>
    <w:rsid w:val="009A400A"/>
    <w:rsid w:val="00A01931"/>
    <w:rsid w:val="00A149F7"/>
    <w:rsid w:val="00A2191C"/>
    <w:rsid w:val="00A24DEB"/>
    <w:rsid w:val="00A30913"/>
    <w:rsid w:val="00AC1E72"/>
    <w:rsid w:val="00B07DB4"/>
    <w:rsid w:val="00C00117"/>
    <w:rsid w:val="00C2218B"/>
    <w:rsid w:val="00C260A7"/>
    <w:rsid w:val="00C917A3"/>
    <w:rsid w:val="00CA34EB"/>
    <w:rsid w:val="00CD746A"/>
    <w:rsid w:val="00D15502"/>
    <w:rsid w:val="00D5215D"/>
    <w:rsid w:val="00D67010"/>
    <w:rsid w:val="00E147A0"/>
    <w:rsid w:val="00E51B90"/>
    <w:rsid w:val="00EA1D1E"/>
    <w:rsid w:val="00EB0F27"/>
    <w:rsid w:val="00EC3BC4"/>
    <w:rsid w:val="00EC628C"/>
    <w:rsid w:val="00EE412A"/>
    <w:rsid w:val="00EF3826"/>
    <w:rsid w:val="00F45A9B"/>
    <w:rsid w:val="00FA7C17"/>
    <w:rsid w:val="00FB3110"/>
    <w:rsid w:val="00FE3199"/>
    <w:rsid w:val="00FF59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231C1-DEA7-4D49-A4B3-868974B6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lv-LV"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B75"/>
  </w:style>
  <w:style w:type="paragraph" w:styleId="Heading1">
    <w:name w:val="heading 1"/>
    <w:basedOn w:val="Normal"/>
    <w:next w:val="Normal"/>
    <w:link w:val="Heading1Char"/>
    <w:uiPriority w:val="9"/>
    <w:qFormat/>
    <w:rsid w:val="008D7B7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8D7B7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8D7B7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8D7B7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8D7B7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8D7B7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D7B7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D7B7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8D7B7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7535"/>
    <w:rPr>
      <w:rFonts w:ascii="Calibri" w:hAnsi="Calibri"/>
    </w:rPr>
  </w:style>
  <w:style w:type="character" w:customStyle="1" w:styleId="PlainTextChar">
    <w:name w:val="Plain Text Char"/>
    <w:basedOn w:val="DefaultParagraphFont"/>
    <w:link w:val="PlainText"/>
    <w:uiPriority w:val="99"/>
    <w:rsid w:val="003E7535"/>
    <w:rPr>
      <w:rFonts w:ascii="Calibri" w:hAnsi="Calibri"/>
      <w:szCs w:val="21"/>
    </w:rPr>
  </w:style>
  <w:style w:type="character" w:styleId="Hyperlink">
    <w:name w:val="Hyperlink"/>
    <w:basedOn w:val="DefaultParagraphFont"/>
    <w:uiPriority w:val="99"/>
    <w:unhideWhenUsed/>
    <w:rsid w:val="00B07DB4"/>
    <w:rPr>
      <w:color w:val="0563C1" w:themeColor="hyperlink"/>
      <w:u w:val="single"/>
    </w:rPr>
  </w:style>
  <w:style w:type="character" w:styleId="CommentReference">
    <w:name w:val="annotation reference"/>
    <w:basedOn w:val="DefaultParagraphFont"/>
    <w:uiPriority w:val="99"/>
    <w:semiHidden/>
    <w:unhideWhenUsed/>
    <w:rsid w:val="005420BA"/>
    <w:rPr>
      <w:sz w:val="16"/>
      <w:szCs w:val="16"/>
    </w:rPr>
  </w:style>
  <w:style w:type="paragraph" w:styleId="CommentText">
    <w:name w:val="annotation text"/>
    <w:basedOn w:val="Normal"/>
    <w:link w:val="CommentTextChar"/>
    <w:uiPriority w:val="99"/>
    <w:semiHidden/>
    <w:unhideWhenUsed/>
    <w:rsid w:val="005420BA"/>
    <w:rPr>
      <w:sz w:val="20"/>
      <w:szCs w:val="20"/>
    </w:rPr>
  </w:style>
  <w:style w:type="character" w:customStyle="1" w:styleId="CommentTextChar">
    <w:name w:val="Comment Text Char"/>
    <w:basedOn w:val="DefaultParagraphFont"/>
    <w:link w:val="CommentText"/>
    <w:uiPriority w:val="99"/>
    <w:semiHidden/>
    <w:rsid w:val="005420BA"/>
    <w:rPr>
      <w:sz w:val="20"/>
      <w:szCs w:val="20"/>
    </w:rPr>
  </w:style>
  <w:style w:type="paragraph" w:styleId="CommentSubject">
    <w:name w:val="annotation subject"/>
    <w:basedOn w:val="CommentText"/>
    <w:next w:val="CommentText"/>
    <w:link w:val="CommentSubjectChar"/>
    <w:uiPriority w:val="99"/>
    <w:semiHidden/>
    <w:unhideWhenUsed/>
    <w:rsid w:val="005420BA"/>
    <w:rPr>
      <w:b/>
      <w:bCs/>
    </w:rPr>
  </w:style>
  <w:style w:type="character" w:customStyle="1" w:styleId="CommentSubjectChar">
    <w:name w:val="Comment Subject Char"/>
    <w:basedOn w:val="CommentTextChar"/>
    <w:link w:val="CommentSubject"/>
    <w:uiPriority w:val="99"/>
    <w:semiHidden/>
    <w:rsid w:val="005420BA"/>
    <w:rPr>
      <w:b/>
      <w:bCs/>
      <w:sz w:val="20"/>
      <w:szCs w:val="20"/>
    </w:rPr>
  </w:style>
  <w:style w:type="paragraph" w:styleId="BalloonText">
    <w:name w:val="Balloon Text"/>
    <w:basedOn w:val="Normal"/>
    <w:link w:val="BalloonTextChar"/>
    <w:uiPriority w:val="99"/>
    <w:semiHidden/>
    <w:unhideWhenUsed/>
    <w:rsid w:val="00542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0BA"/>
    <w:rPr>
      <w:rFonts w:ascii="Segoe UI" w:hAnsi="Segoe UI" w:cs="Segoe UI"/>
      <w:sz w:val="18"/>
      <w:szCs w:val="18"/>
    </w:rPr>
  </w:style>
  <w:style w:type="paragraph" w:customStyle="1" w:styleId="tv213">
    <w:name w:val="tv213"/>
    <w:basedOn w:val="Normal"/>
    <w:rsid w:val="005F0999"/>
    <w:pPr>
      <w:spacing w:before="100" w:beforeAutospacing="1" w:after="100" w:afterAutospacing="1"/>
    </w:pPr>
    <w:rPr>
      <w:rFonts w:ascii="Times New Roman" w:eastAsia="Times New Roman" w:hAnsi="Times New Roman" w:cs="Times New Roman"/>
      <w:sz w:val="24"/>
      <w:szCs w:val="24"/>
      <w:lang w:eastAsia="lv-LV"/>
    </w:rPr>
  </w:style>
  <w:style w:type="table" w:styleId="TableGrid">
    <w:name w:val="Table Grid"/>
    <w:basedOn w:val="TableNormal"/>
    <w:uiPriority w:val="39"/>
    <w:rsid w:val="00FA7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irsraksts">
    <w:name w:val="1Virsraksts"/>
    <w:basedOn w:val="Heading1"/>
    <w:link w:val="1VirsrakstsChar"/>
    <w:autoRedefine/>
    <w:rsid w:val="00905B1B"/>
    <w:pPr>
      <w:pageBreakBefore/>
      <w:spacing w:before="0" w:line="259" w:lineRule="auto"/>
      <w:ind w:right="57"/>
      <w:jc w:val="both"/>
    </w:pPr>
    <w:rPr>
      <w:rFonts w:ascii="Times New Roman" w:eastAsiaTheme="minorHAnsi" w:hAnsi="Times New Roman" w:cs="Times New Roman"/>
      <w:color w:val="012169"/>
      <w:sz w:val="56"/>
      <w:lang w:eastAsia="ja-JP"/>
      <w14:shadow w14:blurRad="38100" w14:dist="19050" w14:dir="2700000" w14:sx="1000" w14:sy="1000" w14:kx="0" w14:ky="0" w14:algn="tl">
        <w14:schemeClr w14:val="dk1"/>
      </w14:shadow>
      <w14:textOutline w14:w="9525" w14:cap="flat" w14:cmpd="sng" w14:algn="ctr">
        <w14:noFill/>
        <w14:prstDash w14:val="solid"/>
        <w14:round/>
      </w14:textOutline>
    </w:rPr>
  </w:style>
  <w:style w:type="character" w:customStyle="1" w:styleId="1VirsrakstsChar">
    <w:name w:val="1Virsraksts Char"/>
    <w:basedOn w:val="DefaultParagraphFont"/>
    <w:link w:val="1Virsraksts"/>
    <w:rsid w:val="00905B1B"/>
    <w:rPr>
      <w:rFonts w:ascii="Times New Roman" w:hAnsi="Times New Roman" w:cs="Times New Roman"/>
      <w:color w:val="012169"/>
      <w:sz w:val="56"/>
      <w:szCs w:val="32"/>
      <w:lang w:eastAsia="ja-JP"/>
      <w14:shadow w14:blurRad="38100" w14:dist="19050" w14:dir="2700000" w14:sx="1000" w14:sy="1000" w14:kx="0" w14:ky="0" w14:algn="tl">
        <w14:schemeClr w14:val="dk1"/>
      </w14:shadow>
      <w14:textOutline w14:w="9525" w14:cap="flat" w14:cmpd="sng" w14:algn="ctr">
        <w14:noFill/>
        <w14:prstDash w14:val="solid"/>
        <w14:round/>
      </w14:textOutline>
    </w:rPr>
  </w:style>
  <w:style w:type="character" w:customStyle="1" w:styleId="Heading1Char">
    <w:name w:val="Heading 1 Char"/>
    <w:basedOn w:val="DefaultParagraphFont"/>
    <w:link w:val="Heading1"/>
    <w:uiPriority w:val="9"/>
    <w:rsid w:val="008D7B75"/>
    <w:rPr>
      <w:rFonts w:asciiTheme="majorHAnsi" w:eastAsiaTheme="majorEastAsia" w:hAnsiTheme="majorHAnsi" w:cstheme="majorBidi"/>
      <w:color w:val="538135" w:themeColor="accent6" w:themeShade="BF"/>
      <w:sz w:val="40"/>
      <w:szCs w:val="40"/>
    </w:rPr>
  </w:style>
  <w:style w:type="paragraph" w:styleId="FootnoteText">
    <w:name w:val="footnote text"/>
    <w:basedOn w:val="Normal"/>
    <w:link w:val="FootnoteTextChar"/>
    <w:uiPriority w:val="99"/>
    <w:semiHidden/>
    <w:unhideWhenUsed/>
    <w:rsid w:val="007E6BA3"/>
    <w:rPr>
      <w:sz w:val="20"/>
      <w:szCs w:val="20"/>
    </w:rPr>
  </w:style>
  <w:style w:type="character" w:customStyle="1" w:styleId="FootnoteTextChar">
    <w:name w:val="Footnote Text Char"/>
    <w:basedOn w:val="DefaultParagraphFont"/>
    <w:link w:val="FootnoteText"/>
    <w:uiPriority w:val="99"/>
    <w:semiHidden/>
    <w:rsid w:val="007E6BA3"/>
    <w:rPr>
      <w:sz w:val="20"/>
      <w:szCs w:val="20"/>
    </w:rPr>
  </w:style>
  <w:style w:type="character" w:styleId="FootnoteReference">
    <w:name w:val="footnote reference"/>
    <w:basedOn w:val="DefaultParagraphFont"/>
    <w:uiPriority w:val="99"/>
    <w:semiHidden/>
    <w:unhideWhenUsed/>
    <w:rsid w:val="007E6BA3"/>
    <w:rPr>
      <w:vertAlign w:val="superscript"/>
    </w:rPr>
  </w:style>
  <w:style w:type="paragraph" w:styleId="TOCHeading">
    <w:name w:val="TOC Heading"/>
    <w:basedOn w:val="Heading1"/>
    <w:next w:val="Normal"/>
    <w:uiPriority w:val="39"/>
    <w:unhideWhenUsed/>
    <w:qFormat/>
    <w:rsid w:val="008D7B75"/>
    <w:pPr>
      <w:outlineLvl w:val="9"/>
    </w:pPr>
  </w:style>
  <w:style w:type="paragraph" w:styleId="TOC1">
    <w:name w:val="toc 1"/>
    <w:basedOn w:val="Normal"/>
    <w:next w:val="Normal"/>
    <w:autoRedefine/>
    <w:uiPriority w:val="39"/>
    <w:unhideWhenUsed/>
    <w:rsid w:val="00EE412A"/>
    <w:pPr>
      <w:spacing w:after="100"/>
    </w:pPr>
  </w:style>
  <w:style w:type="paragraph" w:styleId="Header">
    <w:name w:val="header"/>
    <w:basedOn w:val="Normal"/>
    <w:link w:val="HeaderChar"/>
    <w:uiPriority w:val="99"/>
    <w:unhideWhenUsed/>
    <w:rsid w:val="002C21F8"/>
    <w:pPr>
      <w:tabs>
        <w:tab w:val="center" w:pos="4153"/>
        <w:tab w:val="right" w:pos="8306"/>
      </w:tabs>
    </w:pPr>
  </w:style>
  <w:style w:type="character" w:customStyle="1" w:styleId="HeaderChar">
    <w:name w:val="Header Char"/>
    <w:basedOn w:val="DefaultParagraphFont"/>
    <w:link w:val="Header"/>
    <w:uiPriority w:val="99"/>
    <w:rsid w:val="002C21F8"/>
  </w:style>
  <w:style w:type="paragraph" w:styleId="Footer">
    <w:name w:val="footer"/>
    <w:basedOn w:val="Normal"/>
    <w:link w:val="FooterChar"/>
    <w:uiPriority w:val="99"/>
    <w:unhideWhenUsed/>
    <w:rsid w:val="002C21F8"/>
    <w:pPr>
      <w:tabs>
        <w:tab w:val="center" w:pos="4153"/>
        <w:tab w:val="right" w:pos="8306"/>
      </w:tabs>
    </w:pPr>
  </w:style>
  <w:style w:type="character" w:customStyle="1" w:styleId="FooterChar">
    <w:name w:val="Footer Char"/>
    <w:basedOn w:val="DefaultParagraphFont"/>
    <w:link w:val="Footer"/>
    <w:uiPriority w:val="99"/>
    <w:rsid w:val="002C21F8"/>
  </w:style>
  <w:style w:type="character" w:styleId="FollowedHyperlink">
    <w:name w:val="FollowedHyperlink"/>
    <w:basedOn w:val="DefaultParagraphFont"/>
    <w:uiPriority w:val="99"/>
    <w:semiHidden/>
    <w:unhideWhenUsed/>
    <w:rsid w:val="00905B1B"/>
    <w:rPr>
      <w:color w:val="954F72" w:themeColor="followedHyperlink"/>
      <w:u w:val="single"/>
    </w:rPr>
  </w:style>
  <w:style w:type="table" w:customStyle="1" w:styleId="GridTable4-Accent31">
    <w:name w:val="Grid Table 4 - Accent 31"/>
    <w:basedOn w:val="TableNormal"/>
    <w:next w:val="GridTable4-Accent3"/>
    <w:uiPriority w:val="49"/>
    <w:rsid w:val="00FB3110"/>
    <w:pPr>
      <w:spacing w:after="0" w:line="240" w:lineRule="auto"/>
    </w:p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styleId="GridTable4-Accent3">
    <w:name w:val="Grid Table 4 Accent 3"/>
    <w:basedOn w:val="TableNormal"/>
    <w:uiPriority w:val="49"/>
    <w:rsid w:val="00FB31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semiHidden/>
    <w:rsid w:val="008D7B7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8D7B7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8D7B7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8D7B7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D7B7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D7B7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D7B7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D7B7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8D7B75"/>
    <w:pPr>
      <w:spacing w:line="240" w:lineRule="auto"/>
    </w:pPr>
    <w:rPr>
      <w:b/>
      <w:bCs/>
      <w:smallCaps/>
      <w:color w:val="595959" w:themeColor="text1" w:themeTint="A6"/>
    </w:rPr>
  </w:style>
  <w:style w:type="paragraph" w:styleId="Title">
    <w:name w:val="Title"/>
    <w:basedOn w:val="Normal"/>
    <w:next w:val="Normal"/>
    <w:link w:val="TitleChar"/>
    <w:uiPriority w:val="10"/>
    <w:qFormat/>
    <w:rsid w:val="008D7B7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D7B7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8D7B7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D7B75"/>
    <w:rPr>
      <w:rFonts w:asciiTheme="majorHAnsi" w:eastAsiaTheme="majorEastAsia" w:hAnsiTheme="majorHAnsi" w:cstheme="majorBidi"/>
      <w:sz w:val="30"/>
      <w:szCs w:val="30"/>
    </w:rPr>
  </w:style>
  <w:style w:type="character" w:styleId="Strong">
    <w:name w:val="Strong"/>
    <w:basedOn w:val="DefaultParagraphFont"/>
    <w:uiPriority w:val="22"/>
    <w:qFormat/>
    <w:rsid w:val="008D7B75"/>
    <w:rPr>
      <w:b/>
      <w:bCs/>
    </w:rPr>
  </w:style>
  <w:style w:type="character" w:styleId="Emphasis">
    <w:name w:val="Emphasis"/>
    <w:basedOn w:val="DefaultParagraphFont"/>
    <w:uiPriority w:val="20"/>
    <w:qFormat/>
    <w:rsid w:val="008D7B75"/>
    <w:rPr>
      <w:i/>
      <w:iCs/>
      <w:color w:val="70AD47" w:themeColor="accent6"/>
    </w:rPr>
  </w:style>
  <w:style w:type="paragraph" w:styleId="NoSpacing">
    <w:name w:val="No Spacing"/>
    <w:uiPriority w:val="1"/>
    <w:qFormat/>
    <w:rsid w:val="008D7B75"/>
    <w:pPr>
      <w:spacing w:after="0" w:line="240" w:lineRule="auto"/>
    </w:pPr>
  </w:style>
  <w:style w:type="paragraph" w:styleId="Quote">
    <w:name w:val="Quote"/>
    <w:basedOn w:val="Normal"/>
    <w:next w:val="Normal"/>
    <w:link w:val="QuoteChar"/>
    <w:uiPriority w:val="29"/>
    <w:qFormat/>
    <w:rsid w:val="008D7B7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D7B75"/>
    <w:rPr>
      <w:i/>
      <w:iCs/>
      <w:color w:val="262626" w:themeColor="text1" w:themeTint="D9"/>
    </w:rPr>
  </w:style>
  <w:style w:type="paragraph" w:styleId="IntenseQuote">
    <w:name w:val="Intense Quote"/>
    <w:basedOn w:val="Normal"/>
    <w:next w:val="Normal"/>
    <w:link w:val="IntenseQuoteChar"/>
    <w:uiPriority w:val="30"/>
    <w:qFormat/>
    <w:rsid w:val="008D7B7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D7B7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D7B75"/>
    <w:rPr>
      <w:i/>
      <w:iCs/>
    </w:rPr>
  </w:style>
  <w:style w:type="character" w:styleId="IntenseEmphasis">
    <w:name w:val="Intense Emphasis"/>
    <w:basedOn w:val="DefaultParagraphFont"/>
    <w:uiPriority w:val="21"/>
    <w:qFormat/>
    <w:rsid w:val="008D7B75"/>
    <w:rPr>
      <w:b/>
      <w:bCs/>
      <w:i/>
      <w:iCs/>
    </w:rPr>
  </w:style>
  <w:style w:type="character" w:styleId="SubtleReference">
    <w:name w:val="Subtle Reference"/>
    <w:basedOn w:val="DefaultParagraphFont"/>
    <w:uiPriority w:val="31"/>
    <w:qFormat/>
    <w:rsid w:val="008D7B75"/>
    <w:rPr>
      <w:smallCaps/>
      <w:color w:val="595959" w:themeColor="text1" w:themeTint="A6"/>
    </w:rPr>
  </w:style>
  <w:style w:type="character" w:styleId="IntenseReference">
    <w:name w:val="Intense Reference"/>
    <w:basedOn w:val="DefaultParagraphFont"/>
    <w:uiPriority w:val="32"/>
    <w:qFormat/>
    <w:rsid w:val="008D7B75"/>
    <w:rPr>
      <w:b/>
      <w:bCs/>
      <w:smallCaps/>
      <w:color w:val="70AD47" w:themeColor="accent6"/>
    </w:rPr>
  </w:style>
  <w:style w:type="character" w:styleId="BookTitle">
    <w:name w:val="Book Title"/>
    <w:basedOn w:val="DefaultParagraphFont"/>
    <w:uiPriority w:val="33"/>
    <w:qFormat/>
    <w:rsid w:val="008D7B75"/>
    <w:rPr>
      <w:b/>
      <w:bCs/>
      <w:caps w:val="0"/>
      <w:smallCaps/>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04228">
      <w:bodyDiv w:val="1"/>
      <w:marLeft w:val="0"/>
      <w:marRight w:val="0"/>
      <w:marTop w:val="0"/>
      <w:marBottom w:val="0"/>
      <w:divBdr>
        <w:top w:val="none" w:sz="0" w:space="0" w:color="auto"/>
        <w:left w:val="none" w:sz="0" w:space="0" w:color="auto"/>
        <w:bottom w:val="none" w:sz="0" w:space="0" w:color="auto"/>
        <w:right w:val="none" w:sz="0" w:space="0" w:color="auto"/>
      </w:divBdr>
    </w:div>
    <w:div w:id="532772796">
      <w:bodyDiv w:val="1"/>
      <w:marLeft w:val="0"/>
      <w:marRight w:val="0"/>
      <w:marTop w:val="0"/>
      <w:marBottom w:val="0"/>
      <w:divBdr>
        <w:top w:val="none" w:sz="0" w:space="0" w:color="auto"/>
        <w:left w:val="none" w:sz="0" w:space="0" w:color="auto"/>
        <w:bottom w:val="none" w:sz="0" w:space="0" w:color="auto"/>
        <w:right w:val="none" w:sz="0" w:space="0" w:color="auto"/>
      </w:divBdr>
    </w:div>
    <w:div w:id="1337003949">
      <w:bodyDiv w:val="1"/>
      <w:marLeft w:val="0"/>
      <w:marRight w:val="0"/>
      <w:marTop w:val="0"/>
      <w:marBottom w:val="0"/>
      <w:divBdr>
        <w:top w:val="none" w:sz="0" w:space="0" w:color="auto"/>
        <w:left w:val="none" w:sz="0" w:space="0" w:color="auto"/>
        <w:bottom w:val="none" w:sz="0" w:space="0" w:color="auto"/>
        <w:right w:val="none" w:sz="0" w:space="0" w:color="auto"/>
      </w:divBdr>
    </w:div>
    <w:div w:id="1391537354">
      <w:bodyDiv w:val="1"/>
      <w:marLeft w:val="0"/>
      <w:marRight w:val="0"/>
      <w:marTop w:val="0"/>
      <w:marBottom w:val="0"/>
      <w:divBdr>
        <w:top w:val="none" w:sz="0" w:space="0" w:color="auto"/>
        <w:left w:val="none" w:sz="0" w:space="0" w:color="auto"/>
        <w:bottom w:val="none" w:sz="0" w:space="0" w:color="auto"/>
        <w:right w:val="none" w:sz="0" w:space="0" w:color="auto"/>
      </w:divBdr>
      <w:divsChild>
        <w:div w:id="192039302">
          <w:marLeft w:val="0"/>
          <w:marRight w:val="0"/>
          <w:marTop w:val="0"/>
          <w:marBottom w:val="0"/>
          <w:divBdr>
            <w:top w:val="none" w:sz="0" w:space="0" w:color="auto"/>
            <w:left w:val="none" w:sz="0" w:space="0" w:color="auto"/>
            <w:bottom w:val="none" w:sz="0" w:space="0" w:color="auto"/>
            <w:right w:val="none" w:sz="0" w:space="0" w:color="auto"/>
          </w:divBdr>
        </w:div>
        <w:div w:id="933586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297134" TargetMode="External"/><Relationship Id="rId18" Type="http://schemas.openxmlformats.org/officeDocument/2006/relationships/hyperlink" Target="https://likumi.lv/ta/id/297134" TargetMode="External"/><Relationship Id="rId26" Type="http://schemas.openxmlformats.org/officeDocument/2006/relationships/hyperlink" Target="https://likumi.lv/ta/id/297134" TargetMode="External"/><Relationship Id="rId39" Type="http://schemas.openxmlformats.org/officeDocument/2006/relationships/hyperlink" Target="https://likumi.lv/ta/id/297134" TargetMode="External"/><Relationship Id="rId21" Type="http://schemas.openxmlformats.org/officeDocument/2006/relationships/hyperlink" Target="https://likumi.lv/ta/id/297134" TargetMode="External"/><Relationship Id="rId34" Type="http://schemas.openxmlformats.org/officeDocument/2006/relationships/hyperlink" Target="https://likumi.lv/ta/id/297134" TargetMode="External"/><Relationship Id="rId42" Type="http://schemas.openxmlformats.org/officeDocument/2006/relationships/hyperlink" Target="https://likumi.lv/ta/id/297134" TargetMode="External"/><Relationship Id="rId47" Type="http://schemas.openxmlformats.org/officeDocument/2006/relationships/hyperlink" Target="https://likumi.lv/ta/id/297134" TargetMode="External"/><Relationship Id="rId50" Type="http://schemas.openxmlformats.org/officeDocument/2006/relationships/hyperlink" Target="https://likumi.lv/ta/id/297134" TargetMode="External"/><Relationship Id="rId55" Type="http://schemas.openxmlformats.org/officeDocument/2006/relationships/hyperlink" Target="https://likumi.lv/ta/id/297134" TargetMode="External"/><Relationship Id="rId63" Type="http://schemas.openxmlformats.org/officeDocument/2006/relationships/hyperlink" Target="https://likumi.lv/ta/id/297134"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ase.gov.lv/metodika/butiskums" TargetMode="External"/><Relationship Id="rId29" Type="http://schemas.openxmlformats.org/officeDocument/2006/relationships/hyperlink" Target="https://likumi.lv/ta/id/297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se.gov.lv/metodika/butiskums" TargetMode="External"/><Relationship Id="rId24" Type="http://schemas.openxmlformats.org/officeDocument/2006/relationships/hyperlink" Target="https://likumi.lv/ta/id/297134" TargetMode="External"/><Relationship Id="rId32" Type="http://schemas.openxmlformats.org/officeDocument/2006/relationships/hyperlink" Target="https://likumi.lv/ta/id/297134" TargetMode="External"/><Relationship Id="rId37" Type="http://schemas.openxmlformats.org/officeDocument/2006/relationships/hyperlink" Target="https://likumi.lv/ta/id/297134" TargetMode="External"/><Relationship Id="rId40" Type="http://schemas.openxmlformats.org/officeDocument/2006/relationships/hyperlink" Target="https://likumi.lv/ta/id/297134" TargetMode="External"/><Relationship Id="rId45" Type="http://schemas.openxmlformats.org/officeDocument/2006/relationships/hyperlink" Target="https://likumi.lv/ta/id/297134" TargetMode="External"/><Relationship Id="rId53" Type="http://schemas.openxmlformats.org/officeDocument/2006/relationships/hyperlink" Target="https://likumi.lv/ta/id/297134" TargetMode="External"/><Relationship Id="rId58" Type="http://schemas.openxmlformats.org/officeDocument/2006/relationships/image" Target="media/image2.png"/><Relationship Id="rId66" Type="http://schemas.openxmlformats.org/officeDocument/2006/relationships/hyperlink" Target="https://likumi.lv/ta/id/297134" TargetMode="External"/><Relationship Id="rId5" Type="http://schemas.openxmlformats.org/officeDocument/2006/relationships/webSettings" Target="webSettings.xml"/><Relationship Id="rId15" Type="http://schemas.openxmlformats.org/officeDocument/2006/relationships/hyperlink" Target="https://likumi.lv/ta/id/297134" TargetMode="External"/><Relationship Id="rId23" Type="http://schemas.openxmlformats.org/officeDocument/2006/relationships/hyperlink" Target="https://likumi.lv/ta/id/297134" TargetMode="External"/><Relationship Id="rId28" Type="http://schemas.openxmlformats.org/officeDocument/2006/relationships/hyperlink" Target="https://likumi.lv/ta/id/297134" TargetMode="External"/><Relationship Id="rId36" Type="http://schemas.openxmlformats.org/officeDocument/2006/relationships/hyperlink" Target="https://likumi.lv/ta/id/297134" TargetMode="External"/><Relationship Id="rId49" Type="http://schemas.openxmlformats.org/officeDocument/2006/relationships/hyperlink" Target="https://likumi.lv/ta/id/297134" TargetMode="External"/><Relationship Id="rId57" Type="http://schemas.openxmlformats.org/officeDocument/2006/relationships/hyperlink" Target="https://www.kase.gov.lv/metodika/rokasgramatas-un-vadlinijas/gramatvedibas-uzskaites-rokasgramatas" TargetMode="External"/><Relationship Id="rId61" Type="http://schemas.openxmlformats.org/officeDocument/2006/relationships/hyperlink" Target="https://likumi.lv/ta/id/297134" TargetMode="External"/><Relationship Id="rId10" Type="http://schemas.openxmlformats.org/officeDocument/2006/relationships/hyperlink" Target="https://likumi.lv/ta/id/297134-gramatvedibas-uzskaites-kartiba-budzeta-iestades" TargetMode="External"/><Relationship Id="rId19" Type="http://schemas.openxmlformats.org/officeDocument/2006/relationships/hyperlink" Target="https://likumi.lv/ta/id/297134" TargetMode="External"/><Relationship Id="rId31" Type="http://schemas.openxmlformats.org/officeDocument/2006/relationships/hyperlink" Target="https://likumi.lv/ta/id/297134" TargetMode="External"/><Relationship Id="rId44" Type="http://schemas.openxmlformats.org/officeDocument/2006/relationships/hyperlink" Target="https://likumi.lv/ta/id/297134" TargetMode="External"/><Relationship Id="rId52" Type="http://schemas.openxmlformats.org/officeDocument/2006/relationships/hyperlink" Target="https://likumi.lv/ta/id/297134" TargetMode="External"/><Relationship Id="rId60" Type="http://schemas.openxmlformats.org/officeDocument/2006/relationships/hyperlink" Target="https://likumi.lv/ta/id/297134" TargetMode="External"/><Relationship Id="rId65" Type="http://schemas.openxmlformats.org/officeDocument/2006/relationships/hyperlink" Target="https://www.kase.gov.lv/metodika/diskonta-likmes" TargetMode="External"/><Relationship Id="rId4" Type="http://schemas.openxmlformats.org/officeDocument/2006/relationships/settings" Target="settings.xml"/><Relationship Id="rId9" Type="http://schemas.openxmlformats.org/officeDocument/2006/relationships/hyperlink" Target="https://likumi.lv/ta/id/297134-gramatvedibas-uzskaites-kartiba-budzeta-iestades" TargetMode="External"/><Relationship Id="rId14" Type="http://schemas.openxmlformats.org/officeDocument/2006/relationships/hyperlink" Target="https://likumi.lv/ta/id/297134" TargetMode="External"/><Relationship Id="rId22" Type="http://schemas.openxmlformats.org/officeDocument/2006/relationships/hyperlink" Target="https://likumi.lv/ta/id/297134" TargetMode="External"/><Relationship Id="rId27" Type="http://schemas.openxmlformats.org/officeDocument/2006/relationships/hyperlink" Target="https://likumi.lv/ta/id/297134" TargetMode="External"/><Relationship Id="rId30" Type="http://schemas.openxmlformats.org/officeDocument/2006/relationships/hyperlink" Target="https://likumi.lv/ta/id/297134" TargetMode="External"/><Relationship Id="rId35" Type="http://schemas.openxmlformats.org/officeDocument/2006/relationships/hyperlink" Target="https://likumi.lv/ta/id/297134" TargetMode="External"/><Relationship Id="rId43" Type="http://schemas.openxmlformats.org/officeDocument/2006/relationships/hyperlink" Target="https://likumi.lv/ta/id/297134" TargetMode="External"/><Relationship Id="rId48" Type="http://schemas.openxmlformats.org/officeDocument/2006/relationships/hyperlink" Target="https://likumi.lv/ta/id/297134" TargetMode="External"/><Relationship Id="rId56" Type="http://schemas.openxmlformats.org/officeDocument/2006/relationships/hyperlink" Target="https://likumi.lv/ta/id/297134" TargetMode="External"/><Relationship Id="rId64" Type="http://schemas.openxmlformats.org/officeDocument/2006/relationships/hyperlink" Target="https://likumi.lv/ta/id/297134"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likumi.lv/ta/id/297134" TargetMode="External"/><Relationship Id="rId3" Type="http://schemas.openxmlformats.org/officeDocument/2006/relationships/styles" Target="styles.xml"/><Relationship Id="rId12" Type="http://schemas.openxmlformats.org/officeDocument/2006/relationships/hyperlink" Target="https://likumi.lv/ta/id/297134" TargetMode="External"/><Relationship Id="rId17" Type="http://schemas.openxmlformats.org/officeDocument/2006/relationships/hyperlink" Target="https://likumi.lv/ta/id/297134" TargetMode="External"/><Relationship Id="rId25" Type="http://schemas.openxmlformats.org/officeDocument/2006/relationships/hyperlink" Target="https://likumi.lv/ta/id/297134" TargetMode="External"/><Relationship Id="rId33" Type="http://schemas.openxmlformats.org/officeDocument/2006/relationships/hyperlink" Target="https://likumi.lv/ta/id/297134" TargetMode="External"/><Relationship Id="rId38" Type="http://schemas.openxmlformats.org/officeDocument/2006/relationships/hyperlink" Target="https://likumi.lv/ta/id/297134" TargetMode="External"/><Relationship Id="rId46" Type="http://schemas.openxmlformats.org/officeDocument/2006/relationships/hyperlink" Target="https://likumi.lv/ta/id/297134" TargetMode="External"/><Relationship Id="rId59" Type="http://schemas.openxmlformats.org/officeDocument/2006/relationships/hyperlink" Target="https://likumi.lv/ta/id/297134" TargetMode="External"/><Relationship Id="rId67" Type="http://schemas.openxmlformats.org/officeDocument/2006/relationships/hyperlink" Target="https://likumi.lv/ta/id/297134" TargetMode="External"/><Relationship Id="rId20" Type="http://schemas.openxmlformats.org/officeDocument/2006/relationships/hyperlink" Target="https://likumi.lv/ta/id/297134" TargetMode="External"/><Relationship Id="rId41" Type="http://schemas.openxmlformats.org/officeDocument/2006/relationships/hyperlink" Target="https://likumi.lv/ta/id/297134" TargetMode="External"/><Relationship Id="rId54" Type="http://schemas.openxmlformats.org/officeDocument/2006/relationships/hyperlink" Target="https://likumi.lv/ta/id/297134" TargetMode="External"/><Relationship Id="rId62" Type="http://schemas.openxmlformats.org/officeDocument/2006/relationships/hyperlink" Target="https://likumi.lv/ta/id/297134"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kase.gov.lv/metodika/gramatvedibas-uzskaite/jautajumi-un-atbild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kase.gov.lv/metodika/gramatvedibas-uzskaite/jautajumi-un-atbil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20E5-9B14-457C-9FCA-33F40A8D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15070</Words>
  <Characters>8590</Characters>
  <Application>Microsoft Office Word</Application>
  <DocSecurity>4</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kase</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Sirbu</dc:creator>
  <cp:keywords/>
  <dc:description/>
  <cp:lastModifiedBy>Sandija Krūmiņa-Pēkšena</cp:lastModifiedBy>
  <cp:revision>2</cp:revision>
  <cp:lastPrinted>2019-09-25T13:00:00Z</cp:lastPrinted>
  <dcterms:created xsi:type="dcterms:W3CDTF">2019-11-29T06:44:00Z</dcterms:created>
  <dcterms:modified xsi:type="dcterms:W3CDTF">2019-11-29T06:44:00Z</dcterms:modified>
</cp:coreProperties>
</file>