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3E" w:rsidRPr="008C7D7B" w:rsidRDefault="008C7D7B">
      <w:pPr>
        <w:rPr>
          <w:rStyle w:val="ui-provider"/>
          <w:b/>
        </w:rPr>
      </w:pPr>
      <w:r w:rsidRPr="008C7D7B">
        <w:rPr>
          <w:rStyle w:val="ui-provider"/>
          <w:b/>
        </w:rPr>
        <w:t>Atbildes uz jautājumiem 28.novembra seminārā</w:t>
      </w:r>
    </w:p>
    <w:p w:rsidR="0025623E" w:rsidRDefault="0025623E"/>
    <w:tbl>
      <w:tblPr>
        <w:tblStyle w:val="TableGrid"/>
        <w:tblW w:w="10349" w:type="dxa"/>
        <w:tblInd w:w="-998" w:type="dxa"/>
        <w:tblLook w:val="04A0" w:firstRow="1" w:lastRow="0" w:firstColumn="1" w:lastColumn="0" w:noHBand="0" w:noVBand="1"/>
      </w:tblPr>
      <w:tblGrid>
        <w:gridCol w:w="5146"/>
        <w:gridCol w:w="5203"/>
      </w:tblGrid>
      <w:tr w:rsidR="00577E57" w:rsidTr="008C7D7B">
        <w:tc>
          <w:tcPr>
            <w:tcW w:w="5146" w:type="dxa"/>
          </w:tcPr>
          <w:p w:rsidR="00577E57" w:rsidRPr="00577E57" w:rsidRDefault="00577E57" w:rsidP="0025623E">
            <w:r w:rsidRPr="00577E57">
              <w:t>Jautājums</w:t>
            </w:r>
          </w:p>
        </w:tc>
        <w:tc>
          <w:tcPr>
            <w:tcW w:w="5203" w:type="dxa"/>
          </w:tcPr>
          <w:p w:rsidR="00577E57" w:rsidRDefault="00577E57" w:rsidP="00577E57">
            <w:r>
              <w:t>Atbilde</w:t>
            </w:r>
          </w:p>
        </w:tc>
      </w:tr>
      <w:tr w:rsidR="0025623E" w:rsidTr="008C7D7B">
        <w:tc>
          <w:tcPr>
            <w:tcW w:w="5146" w:type="dxa"/>
          </w:tcPr>
          <w:p w:rsidR="0025623E" w:rsidRDefault="0025623E" w:rsidP="0025623E">
            <w:pPr>
              <w:rPr>
                <w:rStyle w:val="ui-provider"/>
              </w:rPr>
            </w:pPr>
            <w:r>
              <w:rPr>
                <w:rStyle w:val="ui-provider"/>
              </w:rPr>
              <w:t>Kuras ir pirmās nozares, kas pāriet ar 2025. gadā?</w:t>
            </w:r>
          </w:p>
          <w:p w:rsidR="0025623E" w:rsidRDefault="0025623E"/>
        </w:tc>
        <w:tc>
          <w:tcPr>
            <w:tcW w:w="5203" w:type="dxa"/>
          </w:tcPr>
          <w:p w:rsidR="00577E57" w:rsidRDefault="00577E57" w:rsidP="00577E57">
            <w:r>
              <w:t xml:space="preserve">Nozaru pāreja uz vienoto pakalpojumu centru plānota saskaņā ar 04.07.2023. Ministru kabineta rīkojumu Nr. 404 “Par </w:t>
            </w:r>
          </w:p>
          <w:p w:rsidR="00577E57" w:rsidRDefault="00577E57" w:rsidP="00577E57">
            <w:r>
              <w:t xml:space="preserve">konceptuālo ziņojumu “Par vienotā </w:t>
            </w:r>
          </w:p>
          <w:p w:rsidR="0025623E" w:rsidRDefault="00577E57" w:rsidP="00577E57">
            <w:r>
              <w:t xml:space="preserve">pakalpojumu centra izveidi valsts pārvaldē”” apstiprinātā ziņojuma </w:t>
            </w:r>
            <w:hyperlink r:id="rId4" w:anchor="piel4" w:history="1">
              <w:r w:rsidRPr="00577E57">
                <w:rPr>
                  <w:rStyle w:val="Hyperlink"/>
                </w:rPr>
                <w:t>4. pielikumu “Provizoriskais rīcības plāns”</w:t>
              </w:r>
            </w:hyperlink>
            <w:r>
              <w:t xml:space="preserve"> .</w:t>
            </w:r>
          </w:p>
        </w:tc>
      </w:tr>
      <w:tr w:rsidR="0025623E" w:rsidTr="008C7D7B">
        <w:tc>
          <w:tcPr>
            <w:tcW w:w="5146" w:type="dxa"/>
          </w:tcPr>
          <w:p w:rsidR="0025623E" w:rsidRDefault="0025623E" w:rsidP="0025623E">
            <w:pPr>
              <w:rPr>
                <w:rStyle w:val="ui-provider"/>
              </w:rPr>
            </w:pPr>
            <w:r>
              <w:rPr>
                <w:rStyle w:val="ui-provider"/>
              </w:rPr>
              <w:t>Jautājums par pievienotās vērtības nodokli! 10.57</w:t>
            </w:r>
          </w:p>
          <w:p w:rsidR="0025623E" w:rsidRDefault="0025623E"/>
        </w:tc>
        <w:tc>
          <w:tcPr>
            <w:tcW w:w="5203" w:type="dxa"/>
          </w:tcPr>
          <w:p w:rsidR="0025623E" w:rsidRDefault="00577E57" w:rsidP="00577E57">
            <w:r>
              <w:t>Visu nodokļu , tai skaitā pievienotās vērtības nodokļa, maksājumu uzskaitei piemērojams Valsts kases rokasgrāmatā aprakstītais uzskaites risinājums iedzīvotāju ienākuma nodokļa un valsts sociālās apdrošināšanas obligāto iemaksu maksājumiem pirms deklarācijas iesniegšanas.</w:t>
            </w:r>
          </w:p>
        </w:tc>
      </w:tr>
      <w:tr w:rsidR="000565F1" w:rsidTr="008C7D7B">
        <w:tc>
          <w:tcPr>
            <w:tcW w:w="5146" w:type="dxa"/>
          </w:tcPr>
          <w:p w:rsidR="000565F1" w:rsidRDefault="000565F1" w:rsidP="000565F1">
            <w:r>
              <w:t>Kā korekti uzskaitīt EKK un izdevumi attiecināšana uz konkrētu valdības funkciju. Respektīvi EKK un valdības funkciju pielietošana ar grāmatojumiem?</w:t>
            </w:r>
          </w:p>
        </w:tc>
        <w:tc>
          <w:tcPr>
            <w:tcW w:w="5203" w:type="dxa"/>
          </w:tcPr>
          <w:p w:rsidR="000565F1" w:rsidRDefault="000565F1" w:rsidP="000565F1">
            <w:r>
              <w:t>Lūdzu atsūtīt precīzāku jautājumu ar situācijas aprakstu, kur nepieciešams skaidrojums par klasifikācijas piemērošanu.</w:t>
            </w:r>
          </w:p>
        </w:tc>
      </w:tr>
      <w:tr w:rsidR="0025623E" w:rsidTr="008C7D7B">
        <w:tc>
          <w:tcPr>
            <w:tcW w:w="5146" w:type="dxa"/>
          </w:tcPr>
          <w:p w:rsidR="0025623E" w:rsidRDefault="0025623E" w:rsidP="0025623E">
            <w:r w:rsidRPr="0025623E">
              <w:t xml:space="preserve">Vai </w:t>
            </w:r>
            <w:proofErr w:type="spellStart"/>
            <w:r w:rsidRPr="0025623E">
              <w:t>datorkomplekti</w:t>
            </w:r>
            <w:proofErr w:type="spellEnd"/>
            <w:r w:rsidRPr="0025623E">
              <w:t>, kas nav pareizi salikti pēc šodien stāstītā, būtu tagad jāsadala?</w:t>
            </w:r>
          </w:p>
          <w:p w:rsidR="0025623E" w:rsidRDefault="0025623E"/>
        </w:tc>
        <w:tc>
          <w:tcPr>
            <w:tcW w:w="5203" w:type="dxa"/>
          </w:tcPr>
          <w:p w:rsidR="0025623E" w:rsidRDefault="00577E57">
            <w:proofErr w:type="spellStart"/>
            <w:r>
              <w:t>Datorkomplektu</w:t>
            </w:r>
            <w:proofErr w:type="spellEnd"/>
            <w:r>
              <w:t xml:space="preserve"> uzskaites risinājumu aicinām piemērot turpmāk no jauna iegādātām precēm. </w:t>
            </w:r>
            <w:r w:rsidRPr="008C7D7B">
              <w:t>Ja nepieciešams iekšējās kontroles uzskaites nodrošināšanai, tad var sadalīt arī iepriekš uzskaitē atzītos aktīvus.</w:t>
            </w:r>
          </w:p>
        </w:tc>
      </w:tr>
      <w:tr w:rsidR="0025623E" w:rsidTr="008C7D7B">
        <w:tc>
          <w:tcPr>
            <w:tcW w:w="5146" w:type="dxa"/>
          </w:tcPr>
          <w:p w:rsidR="0025623E" w:rsidRDefault="0025623E" w:rsidP="0025623E">
            <w:r>
              <w:t>MK noteikumi Nr.652 (29.3.apakšpunkts) nosaka, ka konsolidētā saimnieciskā gada pārskata finanšu pārskatus apvieno, izslēdzot konsolidācijā iesaistīto iestāžu savstarpējo darījumu (izņemot nodokļu darījumus) rezultātu un atbilstošo bilances posteņu summas. Ja gada beigās gan iestādes, gan VID būs uzrādījušas gan prasības, gan saistības par nodokļu atlikumiem, vai konsolidētā saimnieciskā gada pārskatā nodokļu atlikumi neuzrādīsies dubultā?</w:t>
            </w:r>
          </w:p>
          <w:p w:rsidR="0025623E" w:rsidRDefault="0025623E"/>
        </w:tc>
        <w:tc>
          <w:tcPr>
            <w:tcW w:w="5203" w:type="dxa"/>
          </w:tcPr>
          <w:p w:rsidR="0025623E" w:rsidRDefault="00151C5F" w:rsidP="00151C5F">
            <w:r>
              <w:t>Ņemot vērā vienotā nodokļu konta izstrādē īstenotos risinājumus, avansā samaksātos nodokļus budžeta iestādes un Valsts ieņēmumu dienests uzrāda gan aktīvu, gad saistību sastāvā.</w:t>
            </w:r>
          </w:p>
        </w:tc>
      </w:tr>
      <w:tr w:rsidR="0025623E" w:rsidTr="008C7D7B">
        <w:tc>
          <w:tcPr>
            <w:tcW w:w="5146" w:type="dxa"/>
          </w:tcPr>
          <w:p w:rsidR="0025623E" w:rsidRDefault="0025623E" w:rsidP="0025623E">
            <w:r>
              <w:t>Par zembilances uzskaiti</w:t>
            </w:r>
          </w:p>
          <w:p w:rsidR="0025623E" w:rsidRDefault="0025623E" w:rsidP="0025623E">
            <w:r>
              <w:t xml:space="preserve"> </w:t>
            </w:r>
          </w:p>
          <w:p w:rsidR="0025623E" w:rsidRDefault="0025623E" w:rsidP="0025623E">
            <w:r>
              <w:t>Kā pareizi uzskaitīt līgumu summu atlikumus par projektiem, kas ir pārejoši no gada uz gadu? Piemēram, ir noslēgts līgums par  projekta īstenošanu, kas paredz, ka projekta finansējuma daļa (60%) tiek maksāta vienā pārskata gadā un otra projekta finansējums daļa (40%) tiks maksāta pēc atskaites iesniegšanas, kas būs nākamais pārskata gads. Projekts finansēts no pamatbudžeta.</w:t>
            </w:r>
          </w:p>
          <w:p w:rsidR="0025623E" w:rsidRDefault="0025623E" w:rsidP="0025623E">
            <w:r>
              <w:t>Turklāt otra finansējuma daļa tiks maksāta tikai pēc atskaites apstiprināšanas par pirmo projekta finansējuma daļu. Tātad ir zināma nenoteiktība, jo atskaite par finansējuma izlietojumu varbūt arī netiks apstiprināta.</w:t>
            </w:r>
          </w:p>
          <w:p w:rsidR="0025623E" w:rsidRDefault="0025623E" w:rsidP="0025623E">
            <w:r>
              <w:lastRenderedPageBreak/>
              <w:t>Vai pareizi saprotu, ka otra finansējuma daļa (40%) jeb līguma atlikums būtu jāuzskaita zembilances pasīvu postenī? Paldies!</w:t>
            </w:r>
          </w:p>
        </w:tc>
        <w:tc>
          <w:tcPr>
            <w:tcW w:w="5203" w:type="dxa"/>
          </w:tcPr>
          <w:p w:rsidR="0025623E" w:rsidRDefault="00151C5F">
            <w:r>
              <w:lastRenderedPageBreak/>
              <w:t>Noslēdzot līgumu par ilgtermiņa ieguldījumu iegādi, visu summu 100 % apmērā reģistrē zembilancē iespējamo saistību sastāvā. Uzsākot līguma izpildi, piemēram, veicot avansa maksājumu par 60%, šo daļu no zembilances izslēdz, jo uzskaita bilancē.</w:t>
            </w:r>
          </w:p>
          <w:p w:rsidR="00151C5F" w:rsidRDefault="00151C5F">
            <w:r>
              <w:t>Pārskata gada beigās šajā gadījumā zembilancē iespējamo saistību sastāvā būs uzrādīta summa 40% apmērā.</w:t>
            </w:r>
          </w:p>
        </w:tc>
      </w:tr>
      <w:tr w:rsidR="0025623E" w:rsidTr="008C7D7B">
        <w:tc>
          <w:tcPr>
            <w:tcW w:w="5146" w:type="dxa"/>
          </w:tcPr>
          <w:p w:rsidR="0025623E" w:rsidRDefault="0025623E" w:rsidP="0025623E">
            <w:r w:rsidRPr="0025623E">
              <w:t>Vai Valsts kase piemēros sodus par savlaicīgu pārskatu neiesniegšanu, ņemot vērā, ka pārskats jāiesniedz par mēnesi ātrāk?</w:t>
            </w:r>
          </w:p>
        </w:tc>
        <w:tc>
          <w:tcPr>
            <w:tcW w:w="5203" w:type="dxa"/>
          </w:tcPr>
          <w:p w:rsidR="0025623E" w:rsidRDefault="0025623E" w:rsidP="0025623E">
            <w:r>
              <w:t>Likums par budžeta un finanšu vadību nosaka iestādes vadītāja atbildību:</w:t>
            </w:r>
          </w:p>
          <w:p w:rsidR="0025623E" w:rsidRDefault="00151C5F" w:rsidP="0025623E">
            <w:r>
              <w:t>“</w:t>
            </w:r>
            <w:r w:rsidR="0025623E" w:rsidRPr="00151C5F">
              <w:rPr>
                <w:i/>
              </w:rPr>
              <w:t>49. pants. Pārskata neiesniegšana Valsts kasei</w:t>
            </w:r>
          </w:p>
          <w:p w:rsidR="0025623E" w:rsidRDefault="0025623E" w:rsidP="0025623E">
            <w:r>
              <w:t>Par pārskata neiesniegšanu Valsts kasei šajā likumā noteiktajā termiņā piemēro brīdinājumu vai naudas sodu budžeta finansētas institūcijas vadītājam vai budžeta nefinansētas iestādes vadītājam no četrpadsmit līdz septiņdesmit naudas soda vienībām.</w:t>
            </w:r>
            <w:r w:rsidR="00151C5F">
              <w:t>”</w:t>
            </w:r>
          </w:p>
        </w:tc>
      </w:tr>
      <w:tr w:rsidR="0025623E" w:rsidTr="008C7D7B">
        <w:tc>
          <w:tcPr>
            <w:tcW w:w="5146" w:type="dxa"/>
          </w:tcPr>
          <w:p w:rsidR="0025623E" w:rsidRDefault="0025623E" w:rsidP="0025623E">
            <w:pPr>
              <w:rPr>
                <w:rStyle w:val="ui-provider"/>
              </w:rPr>
            </w:pPr>
            <w:bookmarkStart w:id="0" w:name="_GoBack"/>
            <w:bookmarkEnd w:id="0"/>
            <w:r>
              <w:rPr>
                <w:rStyle w:val="ui-provider"/>
              </w:rPr>
              <w:t xml:space="preserve">2023.gada salīdzināšanās periodā </w:t>
            </w:r>
            <w:r>
              <w:rPr>
                <w:rStyle w:val="Strong"/>
              </w:rPr>
              <w:t>“Izziņu pārcelšana”</w:t>
            </w:r>
            <w:r>
              <w:rPr>
                <w:rStyle w:val="ui-provider"/>
              </w:rPr>
              <w:t xml:space="preserve"> no </w:t>
            </w:r>
            <w:proofErr w:type="spellStart"/>
            <w:r>
              <w:rPr>
                <w:rStyle w:val="ui-provider"/>
              </w:rPr>
              <w:t>SAL_pirms</w:t>
            </w:r>
            <w:proofErr w:type="spellEnd"/>
            <w:r>
              <w:rPr>
                <w:rStyle w:val="ui-provider"/>
              </w:rPr>
              <w:t xml:space="preserve">  būs iespējama tikai </w:t>
            </w:r>
            <w:r>
              <w:rPr>
                <w:rStyle w:val="Strong"/>
              </w:rPr>
              <w:t>2_BEZ</w:t>
            </w:r>
            <w:r>
              <w:rPr>
                <w:rStyle w:val="ui-provider"/>
              </w:rPr>
              <w:t xml:space="preserve"> salīdzināšanās izziņām. Tāds paziņojums ir VK pārskatos. Vai tas tiks mainīts?</w:t>
            </w:r>
          </w:p>
        </w:tc>
        <w:tc>
          <w:tcPr>
            <w:tcW w:w="5203" w:type="dxa"/>
          </w:tcPr>
          <w:p w:rsidR="0025623E" w:rsidRDefault="0025623E" w:rsidP="0025623E">
            <w:pPr>
              <w:rPr>
                <w:rStyle w:val="ui-provider"/>
              </w:rPr>
            </w:pPr>
            <w:r>
              <w:rPr>
                <w:rStyle w:val="ui-provider"/>
              </w:rPr>
              <w:t>Šogad varēs pārcelt tikai 2_BEZ. 2-SAL un 8_SAL nevarēs pārcelt jo mainās izziņas struktūras.</w:t>
            </w:r>
          </w:p>
          <w:p w:rsidR="0025623E" w:rsidRDefault="0025623E" w:rsidP="0025623E">
            <w:r>
              <w:rPr>
                <w:rStyle w:val="ui-provider"/>
              </w:rPr>
              <w:t>Salīdzināšanās periods būs atvērts no 1.decembra.</w:t>
            </w:r>
          </w:p>
        </w:tc>
      </w:tr>
    </w:tbl>
    <w:p w:rsidR="0025623E" w:rsidRDefault="0025623E"/>
    <w:p w:rsidR="0025623E" w:rsidRDefault="0025623E"/>
    <w:sectPr w:rsidR="002562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3E"/>
    <w:rsid w:val="000565F1"/>
    <w:rsid w:val="00151C5F"/>
    <w:rsid w:val="0025623E"/>
    <w:rsid w:val="004710AA"/>
    <w:rsid w:val="00553C10"/>
    <w:rsid w:val="00577E57"/>
    <w:rsid w:val="0077618D"/>
    <w:rsid w:val="008C7D7B"/>
    <w:rsid w:val="00911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AE0E"/>
  <w15:chartTrackingRefBased/>
  <w15:docId w15:val="{7808BD8A-CAB9-40EB-AD4C-F04926D2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23E"/>
    <w:rPr>
      <w:color w:val="0563C1" w:themeColor="hyperlink"/>
      <w:u w:val="single"/>
    </w:rPr>
  </w:style>
  <w:style w:type="character" w:customStyle="1" w:styleId="ui-provider">
    <w:name w:val="ui-provider"/>
    <w:basedOn w:val="DefaultParagraphFont"/>
    <w:rsid w:val="0025623E"/>
  </w:style>
  <w:style w:type="table" w:styleId="TableGrid">
    <w:name w:val="Table Grid"/>
    <w:basedOn w:val="TableNormal"/>
    <w:uiPriority w:val="39"/>
    <w:rsid w:val="0025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6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ta/id/343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2457</Words>
  <Characters>1402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Sirbu</dc:creator>
  <cp:keywords/>
  <dc:description/>
  <cp:lastModifiedBy>Inese Sirbu</cp:lastModifiedBy>
  <cp:revision>3</cp:revision>
  <dcterms:created xsi:type="dcterms:W3CDTF">2023-12-07T11:50:00Z</dcterms:created>
  <dcterms:modified xsi:type="dcterms:W3CDTF">2023-12-07T11:51:00Z</dcterms:modified>
</cp:coreProperties>
</file>