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A7320" w14:textId="1779A4BB" w:rsidR="00954F0C" w:rsidRPr="00A27896" w:rsidRDefault="00954F0C" w:rsidP="002B196D">
      <w:pPr>
        <w:pStyle w:val="Heading1"/>
        <w:rPr>
          <w:color w:val="17365D"/>
        </w:rPr>
      </w:pPr>
      <w:r w:rsidRPr="00A27896">
        <w:rPr>
          <w:color w:val="17365D"/>
        </w:rPr>
        <w:t>Finanšu pārskata pielikums</w:t>
      </w:r>
    </w:p>
    <w:p w14:paraId="2E55EC01" w14:textId="21465400" w:rsidR="00954F0C" w:rsidRPr="00A27896" w:rsidRDefault="00954F0C" w:rsidP="008E6DF7">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20</w:t>
      </w:r>
      <w:r w:rsidR="00640280" w:rsidRPr="00A27896">
        <w:rPr>
          <w:rFonts w:eastAsiaTheme="minorHAnsi"/>
          <w:noProof w:val="0"/>
          <w:color w:val="17365D"/>
          <w:szCs w:val="22"/>
          <w:lang w:eastAsia="en-US"/>
        </w:rPr>
        <w:t>2</w:t>
      </w:r>
      <w:r w:rsidR="00FB5C3F" w:rsidRPr="00A27896">
        <w:rPr>
          <w:rFonts w:eastAsiaTheme="minorHAnsi"/>
          <w:noProof w:val="0"/>
          <w:color w:val="17365D"/>
          <w:szCs w:val="22"/>
          <w:lang w:eastAsia="en-US"/>
        </w:rPr>
        <w:t>2</w:t>
      </w:r>
      <w:r w:rsidR="00640280" w:rsidRPr="00A27896">
        <w:rPr>
          <w:rFonts w:eastAsiaTheme="minorHAnsi"/>
          <w:noProof w:val="0"/>
          <w:color w:val="17365D"/>
          <w:szCs w:val="22"/>
          <w:lang w:eastAsia="en-US"/>
        </w:rPr>
        <w:t>. gada</w:t>
      </w:r>
      <w:r w:rsidRPr="00A27896">
        <w:rPr>
          <w:rFonts w:eastAsiaTheme="minorHAnsi"/>
          <w:noProof w:val="0"/>
          <w:color w:val="17365D"/>
          <w:szCs w:val="22"/>
          <w:lang w:eastAsia="en-US"/>
        </w:rPr>
        <w:t xml:space="preserve"> finanšu pārskats sagatavots atbilstoši likumam “Par grāmatvedību”, Likumam par budžetu un finanšu vadību, likumam “Par valsts budžetu 20</w:t>
      </w:r>
      <w:r w:rsidR="00640280" w:rsidRPr="00A27896">
        <w:rPr>
          <w:rFonts w:eastAsiaTheme="minorHAnsi"/>
          <w:noProof w:val="0"/>
          <w:color w:val="17365D"/>
          <w:szCs w:val="22"/>
          <w:lang w:eastAsia="en-US"/>
        </w:rPr>
        <w:t>2</w:t>
      </w:r>
      <w:r w:rsidR="00FB5C3F" w:rsidRPr="00A27896">
        <w:rPr>
          <w:rFonts w:eastAsiaTheme="minorHAnsi"/>
          <w:noProof w:val="0"/>
          <w:color w:val="17365D"/>
          <w:szCs w:val="22"/>
          <w:lang w:eastAsia="en-US"/>
        </w:rPr>
        <w:t>2</w:t>
      </w:r>
      <w:r w:rsidRPr="00A27896">
        <w:rPr>
          <w:rFonts w:eastAsiaTheme="minorHAnsi"/>
          <w:noProof w:val="0"/>
          <w:color w:val="17365D"/>
          <w:szCs w:val="22"/>
          <w:lang w:eastAsia="en-US"/>
        </w:rPr>
        <w:t>. gadam”, likumam “Par pašvaldību budžetiem” un citiem normatīviem aktiem, kas nosaka budžeta iestāžu grāmatvedības uzskaiti un pārskatu sagatavošanu.</w:t>
      </w:r>
    </w:p>
    <w:p w14:paraId="314BA833" w14:textId="2E5CAA86" w:rsidR="00954F0C" w:rsidRPr="00A27896" w:rsidRDefault="00954F0C" w:rsidP="008E6DF7">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Finanšu pārskats sagatavots</w:t>
      </w:r>
      <w:r w:rsidR="00B7141A" w:rsidRPr="00A27896">
        <w:rPr>
          <w:rFonts w:eastAsiaTheme="minorHAnsi"/>
          <w:noProof w:val="0"/>
          <w:color w:val="17365D"/>
          <w:szCs w:val="22"/>
          <w:lang w:eastAsia="en-US"/>
        </w:rPr>
        <w:t>,</w:t>
      </w:r>
      <w:r w:rsidRPr="00A27896">
        <w:rPr>
          <w:rFonts w:eastAsiaTheme="minorHAnsi"/>
          <w:noProof w:val="0"/>
          <w:color w:val="17365D"/>
          <w:szCs w:val="22"/>
          <w:lang w:eastAsia="en-US"/>
        </w:rPr>
        <w:t xml:space="preserve"> ievērojot uzkrāšanas, naudas plūsmas</w:t>
      </w:r>
      <w:r w:rsidR="00E6638C" w:rsidRPr="00A27896">
        <w:rPr>
          <w:rFonts w:eastAsiaTheme="minorHAnsi"/>
          <w:noProof w:val="0"/>
          <w:color w:val="17365D"/>
          <w:szCs w:val="22"/>
          <w:lang w:eastAsia="en-US"/>
        </w:rPr>
        <w:t xml:space="preserve"> (piemēram, attiecībā uz naudas plūsmas pārskatu)</w:t>
      </w:r>
      <w:r w:rsidRPr="00A27896">
        <w:rPr>
          <w:rFonts w:eastAsiaTheme="minorHAnsi"/>
          <w:noProof w:val="0"/>
          <w:color w:val="17365D"/>
          <w:szCs w:val="22"/>
          <w:lang w:eastAsia="en-US"/>
        </w:rPr>
        <w:t xml:space="preserve">, piesardzības un darbības turpināšanas principus. Finanšu un </w:t>
      </w:r>
      <w:proofErr w:type="spellStart"/>
      <w:r w:rsidRPr="00A27896">
        <w:rPr>
          <w:rFonts w:eastAsiaTheme="minorHAnsi"/>
          <w:noProof w:val="0"/>
          <w:color w:val="17365D"/>
          <w:szCs w:val="22"/>
          <w:lang w:eastAsia="en-US"/>
        </w:rPr>
        <w:t>nefinanšu</w:t>
      </w:r>
      <w:proofErr w:type="spellEnd"/>
      <w:r w:rsidRPr="00A27896">
        <w:rPr>
          <w:rFonts w:eastAsiaTheme="minorHAnsi"/>
          <w:noProof w:val="0"/>
          <w:color w:val="17365D"/>
          <w:szCs w:val="22"/>
          <w:lang w:eastAsia="en-US"/>
        </w:rPr>
        <w:t xml:space="preserve"> informācija sagatavota atbilstoši vispārpieņemtām pārskatu kvalitātes prasībām – patiesums, nozīmīgums, saprotamība, savlaicīgums, salīdzināmība un pārbaudāmība.</w:t>
      </w:r>
    </w:p>
    <w:p w14:paraId="3E806B18" w14:textId="0C43E779" w:rsidR="00954F0C" w:rsidRPr="00A27896" w:rsidRDefault="00954F0C" w:rsidP="008E6DF7">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Finanšu pārskatā konsolidēti ministriju, centrālo valsts iestāžu un pašvaldību (turpmāk – budžeta iestādes) konsolidētie gada pārskati</w:t>
      </w:r>
      <w:r w:rsidR="003F6C71" w:rsidRPr="00A27896">
        <w:rPr>
          <w:rFonts w:eastAsiaTheme="minorHAnsi"/>
          <w:noProof w:val="0"/>
          <w:color w:val="17365D"/>
          <w:szCs w:val="22"/>
          <w:lang w:eastAsia="en-US"/>
        </w:rPr>
        <w:t xml:space="preserve">, ikgadējais pārskats par Valsts ieņēmumu dienesta </w:t>
      </w:r>
      <w:r w:rsidR="00141376" w:rsidRPr="00A27896">
        <w:rPr>
          <w:rFonts w:eastAsiaTheme="minorHAnsi"/>
          <w:noProof w:val="0"/>
          <w:color w:val="17365D"/>
          <w:szCs w:val="22"/>
          <w:lang w:eastAsia="en-US"/>
        </w:rPr>
        <w:t xml:space="preserve">(turpmāk – VID) </w:t>
      </w:r>
      <w:r w:rsidR="003F6C71" w:rsidRPr="00A27896">
        <w:rPr>
          <w:rFonts w:eastAsiaTheme="minorHAnsi"/>
          <w:noProof w:val="0"/>
          <w:color w:val="17365D"/>
          <w:szCs w:val="22"/>
          <w:lang w:eastAsia="en-US"/>
        </w:rPr>
        <w:t>administrētajiem nodokļiem, nodevām un citiem tā administrētajiem uz valsts budžetu attiecināmiem maksājumiem</w:t>
      </w:r>
      <w:r w:rsidRPr="00A27896">
        <w:rPr>
          <w:rFonts w:eastAsiaTheme="minorHAnsi"/>
          <w:noProof w:val="0"/>
          <w:color w:val="17365D"/>
          <w:szCs w:val="22"/>
          <w:lang w:eastAsia="en-US"/>
        </w:rPr>
        <w:t xml:space="preserve"> un</w:t>
      </w:r>
      <w:r w:rsidR="003F6C71" w:rsidRPr="00A27896">
        <w:rPr>
          <w:rFonts w:eastAsiaTheme="minorHAnsi"/>
          <w:noProof w:val="0"/>
          <w:color w:val="17365D"/>
          <w:szCs w:val="22"/>
          <w:lang w:eastAsia="en-US"/>
        </w:rPr>
        <w:t xml:space="preserve"> ikgadējais pārskats</w:t>
      </w:r>
      <w:r w:rsidRPr="00A27896">
        <w:rPr>
          <w:rFonts w:eastAsiaTheme="minorHAnsi"/>
          <w:noProof w:val="0"/>
          <w:color w:val="17365D"/>
          <w:szCs w:val="22"/>
          <w:lang w:eastAsia="en-US"/>
        </w:rPr>
        <w:t xml:space="preserve"> </w:t>
      </w:r>
      <w:r w:rsidR="003F6C71" w:rsidRPr="00A27896">
        <w:rPr>
          <w:rFonts w:eastAsiaTheme="minorHAnsi"/>
          <w:noProof w:val="0"/>
          <w:color w:val="17365D"/>
          <w:szCs w:val="22"/>
          <w:lang w:eastAsia="en-US"/>
        </w:rPr>
        <w:t>par</w:t>
      </w:r>
      <w:r w:rsidRPr="00A27896">
        <w:rPr>
          <w:rFonts w:eastAsiaTheme="minorHAnsi"/>
          <w:noProof w:val="0"/>
          <w:color w:val="17365D"/>
          <w:szCs w:val="22"/>
          <w:lang w:eastAsia="en-US"/>
        </w:rPr>
        <w:t xml:space="preserve"> valsts budžeta finanšu uzskait</w:t>
      </w:r>
      <w:r w:rsidR="003F6C71" w:rsidRPr="00A27896">
        <w:rPr>
          <w:rFonts w:eastAsiaTheme="minorHAnsi"/>
          <w:noProof w:val="0"/>
          <w:color w:val="17365D"/>
          <w:szCs w:val="22"/>
          <w:lang w:eastAsia="en-US"/>
        </w:rPr>
        <w:t>i</w:t>
      </w:r>
      <w:r w:rsidRPr="00A27896">
        <w:rPr>
          <w:rFonts w:eastAsiaTheme="minorHAnsi"/>
          <w:noProof w:val="0"/>
          <w:color w:val="17365D"/>
          <w:szCs w:val="22"/>
          <w:lang w:eastAsia="en-US"/>
        </w:rPr>
        <w:t>.</w:t>
      </w:r>
    </w:p>
    <w:p w14:paraId="5F9944E5" w14:textId="77777777" w:rsidR="00954F0C" w:rsidRPr="00A27896" w:rsidRDefault="00954F0C" w:rsidP="008E6DF7">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Ministriju un centrālo valsts iestāžu konsolidētajos gada pārskatos ir iekļauti valsts budžeta iestāžu, no valsts budžeta daļēji finansētu atvasinātu publisku personu un budžeta nefinansētu iestāžu gada pārskati.</w:t>
      </w:r>
    </w:p>
    <w:p w14:paraId="15F4E27B" w14:textId="77777777" w:rsidR="00954F0C" w:rsidRPr="00A27896" w:rsidRDefault="00954F0C" w:rsidP="008E6DF7">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 xml:space="preserve">Pašvaldību konsolidētajos gada pārskatos ir iekļauti pašvaldību budžeta iestāžu un kopīgo iestāžu gada pārskati. </w:t>
      </w:r>
    </w:p>
    <w:p w14:paraId="6EA141A0" w14:textId="74F0308F" w:rsidR="00954F0C" w:rsidRPr="00A27896" w:rsidRDefault="00954F0C" w:rsidP="008E6DF7">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20</w:t>
      </w:r>
      <w:r w:rsidR="00640280" w:rsidRPr="00A27896">
        <w:rPr>
          <w:rFonts w:eastAsiaTheme="minorHAnsi"/>
          <w:noProof w:val="0"/>
          <w:color w:val="17365D"/>
          <w:szCs w:val="22"/>
          <w:lang w:eastAsia="en-US"/>
        </w:rPr>
        <w:t>2</w:t>
      </w:r>
      <w:r w:rsidR="002140F3" w:rsidRPr="00A27896">
        <w:rPr>
          <w:rFonts w:eastAsiaTheme="minorHAnsi"/>
          <w:noProof w:val="0"/>
          <w:color w:val="17365D"/>
          <w:szCs w:val="22"/>
          <w:lang w:eastAsia="en-US"/>
        </w:rPr>
        <w:t>2</w:t>
      </w:r>
      <w:r w:rsidRPr="00A27896">
        <w:rPr>
          <w:rFonts w:eastAsiaTheme="minorHAnsi"/>
          <w:noProof w:val="0"/>
          <w:color w:val="17365D"/>
          <w:szCs w:val="22"/>
          <w:lang w:eastAsia="en-US"/>
        </w:rPr>
        <w:t>. gadā budžeta iestādes grāmatvedības uzskaiti kārtoja un gada pārskatus sagatavoja atbilstoši 2018.</w:t>
      </w:r>
      <w:r w:rsidR="003021FC" w:rsidRPr="00A27896">
        <w:rPr>
          <w:rFonts w:eastAsiaTheme="minorHAnsi"/>
          <w:noProof w:val="0"/>
          <w:color w:val="17365D"/>
          <w:szCs w:val="22"/>
          <w:lang w:eastAsia="en-US"/>
        </w:rPr>
        <w:t> </w:t>
      </w:r>
      <w:r w:rsidRPr="00A27896">
        <w:rPr>
          <w:rFonts w:eastAsiaTheme="minorHAnsi"/>
          <w:noProof w:val="0"/>
          <w:color w:val="17365D"/>
          <w:szCs w:val="22"/>
          <w:lang w:eastAsia="en-US"/>
        </w:rPr>
        <w:t>gada 13.</w:t>
      </w:r>
      <w:r w:rsidR="003021FC" w:rsidRPr="00A27896">
        <w:rPr>
          <w:rFonts w:eastAsiaTheme="minorHAnsi"/>
          <w:noProof w:val="0"/>
          <w:color w:val="17365D"/>
          <w:szCs w:val="22"/>
          <w:lang w:eastAsia="en-US"/>
        </w:rPr>
        <w:t> </w:t>
      </w:r>
      <w:r w:rsidRPr="00A27896">
        <w:rPr>
          <w:rFonts w:eastAsiaTheme="minorHAnsi"/>
          <w:noProof w:val="0"/>
          <w:color w:val="17365D"/>
          <w:szCs w:val="22"/>
          <w:lang w:eastAsia="en-US"/>
        </w:rPr>
        <w:t>februāra noteikumiem Nr.</w:t>
      </w:r>
      <w:r w:rsidR="003021FC" w:rsidRPr="00A27896">
        <w:rPr>
          <w:rFonts w:eastAsiaTheme="minorHAnsi"/>
          <w:noProof w:val="0"/>
          <w:color w:val="17365D"/>
          <w:szCs w:val="22"/>
          <w:lang w:eastAsia="en-US"/>
        </w:rPr>
        <w:t> </w:t>
      </w:r>
      <w:r w:rsidRPr="00A27896">
        <w:rPr>
          <w:rFonts w:eastAsiaTheme="minorHAnsi"/>
          <w:noProof w:val="0"/>
          <w:color w:val="17365D"/>
          <w:szCs w:val="22"/>
          <w:lang w:eastAsia="en-US"/>
        </w:rPr>
        <w:t xml:space="preserve">87 “Grāmatvedības uzskaites kārtība budžeta iestādēs” (turpmāk – MK noteikumi Nr. 87) un Ministru kabineta 2018. gada 19. jūnija noteikumiem Nr. 344 “Gada pārskata sagatavošanas kārtība” (turpmāk – MK noteikumi Nr. 344) un ievērojot arī citu normatīvo aktu prasības, kas bija spēkā un piemērojamas </w:t>
      </w:r>
      <w:r w:rsidR="003F6C71" w:rsidRPr="00A27896">
        <w:rPr>
          <w:rFonts w:eastAsiaTheme="minorHAnsi"/>
          <w:noProof w:val="0"/>
          <w:color w:val="17365D"/>
          <w:szCs w:val="22"/>
          <w:lang w:eastAsia="en-US"/>
        </w:rPr>
        <w:t>202</w:t>
      </w:r>
      <w:r w:rsidR="002140F3" w:rsidRPr="00A27896">
        <w:rPr>
          <w:rFonts w:eastAsiaTheme="minorHAnsi"/>
          <w:noProof w:val="0"/>
          <w:color w:val="17365D"/>
          <w:szCs w:val="22"/>
          <w:lang w:eastAsia="en-US"/>
        </w:rPr>
        <w:t>2</w:t>
      </w:r>
      <w:r w:rsidRPr="00A27896">
        <w:rPr>
          <w:rFonts w:eastAsiaTheme="minorHAnsi"/>
          <w:noProof w:val="0"/>
          <w:color w:val="17365D"/>
          <w:szCs w:val="22"/>
          <w:lang w:eastAsia="en-US"/>
        </w:rPr>
        <w:t xml:space="preserve">. gadā. </w:t>
      </w:r>
    </w:p>
    <w:p w14:paraId="342A2804" w14:textId="04AA94EE" w:rsidR="007C6DFF" w:rsidRPr="00A27896" w:rsidRDefault="007C6DFF" w:rsidP="007C6DFF">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 xml:space="preserve">Normatīvie akti valsts un pašvaldību budžeta iestāžu grāmatvedības uzskaites un pārskatu sagatavošanas jomā izstrādāti, izvērtējot Starptautisko publiskā sektora grāmatvedības standartu (turpmāk – SPSGS) prasības atbilstoši Latvijas iespējām. </w:t>
      </w:r>
      <w:r w:rsidR="00150177" w:rsidRPr="00A27896">
        <w:rPr>
          <w:rFonts w:eastAsiaTheme="minorHAnsi"/>
          <w:noProof w:val="0"/>
          <w:color w:val="17365D"/>
          <w:szCs w:val="22"/>
          <w:lang w:eastAsia="en-US"/>
        </w:rPr>
        <w:t xml:space="preserve">Valsts kases pašnovērtējums normatīvo aktu atbilstībai SPSGS </w:t>
      </w:r>
      <w:r w:rsidR="00C13C80" w:rsidRPr="00A27896">
        <w:rPr>
          <w:rFonts w:eastAsiaTheme="minorHAnsi"/>
          <w:noProof w:val="0"/>
          <w:color w:val="17365D"/>
          <w:szCs w:val="22"/>
          <w:lang w:eastAsia="en-US"/>
        </w:rPr>
        <w:t xml:space="preserve">2021. gadā </w:t>
      </w:r>
      <w:r w:rsidR="00150177" w:rsidRPr="00A27896">
        <w:rPr>
          <w:rFonts w:eastAsiaTheme="minorHAnsi"/>
          <w:noProof w:val="0"/>
          <w:color w:val="17365D"/>
          <w:szCs w:val="22"/>
          <w:lang w:eastAsia="en-US"/>
        </w:rPr>
        <w:t xml:space="preserve">bija 90,6 %. </w:t>
      </w:r>
      <w:r w:rsidRPr="00A27896">
        <w:rPr>
          <w:rFonts w:eastAsiaTheme="minorHAnsi"/>
          <w:noProof w:val="0"/>
          <w:color w:val="17365D"/>
          <w:szCs w:val="22"/>
          <w:lang w:eastAsia="en-US"/>
        </w:rPr>
        <w:t>Latvijas normatīvo aktu atbilstīb</w:t>
      </w:r>
      <w:r w:rsidR="00150177" w:rsidRPr="00A27896">
        <w:rPr>
          <w:rFonts w:eastAsiaTheme="minorHAnsi"/>
          <w:noProof w:val="0"/>
          <w:color w:val="17365D"/>
          <w:szCs w:val="22"/>
          <w:lang w:eastAsia="en-US"/>
        </w:rPr>
        <w:t>u</w:t>
      </w:r>
      <w:r w:rsidRPr="00A27896">
        <w:rPr>
          <w:rFonts w:eastAsiaTheme="minorHAnsi"/>
          <w:noProof w:val="0"/>
          <w:color w:val="17365D"/>
          <w:szCs w:val="22"/>
          <w:lang w:eastAsia="en-US"/>
        </w:rPr>
        <w:t xml:space="preserve"> SPSGS </w:t>
      </w:r>
      <w:r w:rsidR="00150177" w:rsidRPr="00A27896">
        <w:rPr>
          <w:rFonts w:eastAsiaTheme="minorHAnsi"/>
          <w:noProof w:val="0"/>
          <w:color w:val="17365D"/>
          <w:szCs w:val="22"/>
          <w:lang w:eastAsia="en-US"/>
        </w:rPr>
        <w:t>vērtēja arī</w:t>
      </w:r>
      <w:r w:rsidRPr="00A27896">
        <w:rPr>
          <w:rFonts w:eastAsiaTheme="minorHAnsi"/>
          <w:noProof w:val="0"/>
          <w:color w:val="17365D"/>
          <w:szCs w:val="22"/>
          <w:lang w:eastAsia="en-US"/>
        </w:rPr>
        <w:t xml:space="preserve"> EUROSTAT</w:t>
      </w:r>
      <w:r w:rsidR="00C13C80" w:rsidRPr="00A27896">
        <w:rPr>
          <w:rFonts w:eastAsiaTheme="minorHAnsi"/>
          <w:noProof w:val="0"/>
          <w:color w:val="17365D"/>
          <w:szCs w:val="22"/>
          <w:lang w:eastAsia="en-US"/>
        </w:rPr>
        <w:t xml:space="preserve"> un šis novērtējums</w:t>
      </w:r>
      <w:r w:rsidRPr="00A27896">
        <w:rPr>
          <w:rFonts w:eastAsiaTheme="minorHAnsi"/>
          <w:noProof w:val="0"/>
          <w:color w:val="17365D"/>
          <w:szCs w:val="22"/>
          <w:lang w:eastAsia="en-US"/>
        </w:rPr>
        <w:t xml:space="preserve"> sasnie</w:t>
      </w:r>
      <w:r w:rsidR="00C13C80" w:rsidRPr="00A27896">
        <w:rPr>
          <w:rFonts w:eastAsiaTheme="minorHAnsi"/>
          <w:noProof w:val="0"/>
          <w:color w:val="17365D"/>
          <w:szCs w:val="22"/>
          <w:lang w:eastAsia="en-US"/>
        </w:rPr>
        <w:t>dza 93 %, kas</w:t>
      </w:r>
      <w:r w:rsidR="00931B92" w:rsidRPr="00A27896">
        <w:rPr>
          <w:rFonts w:eastAsiaTheme="minorHAnsi"/>
          <w:noProof w:val="0"/>
          <w:color w:val="17365D"/>
          <w:szCs w:val="22"/>
          <w:lang w:eastAsia="en-US"/>
        </w:rPr>
        <w:t xml:space="preserve"> </w:t>
      </w:r>
      <w:r w:rsidR="00C13C80" w:rsidRPr="00A27896">
        <w:rPr>
          <w:rFonts w:eastAsiaTheme="minorHAnsi"/>
          <w:noProof w:val="0"/>
          <w:color w:val="17365D"/>
          <w:szCs w:val="22"/>
          <w:lang w:eastAsia="en-US"/>
        </w:rPr>
        <w:t>pārsniedz Valsts kases novērtēto atbilstību.</w:t>
      </w:r>
    </w:p>
    <w:p w14:paraId="5D824028" w14:textId="05B6D32B" w:rsidR="00954F0C" w:rsidRPr="00A27896" w:rsidRDefault="00954F0C" w:rsidP="008E6DF7">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Atbilstoši Likumam par budžetu un finanšu vadību 20</w:t>
      </w:r>
      <w:r w:rsidR="00640280" w:rsidRPr="00A27896">
        <w:rPr>
          <w:rFonts w:eastAsiaTheme="minorHAnsi"/>
          <w:noProof w:val="0"/>
          <w:color w:val="17365D"/>
          <w:szCs w:val="22"/>
          <w:lang w:eastAsia="en-US"/>
        </w:rPr>
        <w:t>2</w:t>
      </w:r>
      <w:r w:rsidR="002140F3" w:rsidRPr="00A27896">
        <w:rPr>
          <w:rFonts w:eastAsiaTheme="minorHAnsi"/>
          <w:noProof w:val="0"/>
          <w:color w:val="17365D"/>
          <w:szCs w:val="22"/>
          <w:lang w:eastAsia="en-US"/>
        </w:rPr>
        <w:t>2</w:t>
      </w:r>
      <w:r w:rsidRPr="00A27896">
        <w:rPr>
          <w:rFonts w:eastAsiaTheme="minorHAnsi"/>
          <w:noProof w:val="0"/>
          <w:color w:val="17365D"/>
          <w:szCs w:val="22"/>
          <w:lang w:eastAsia="en-US"/>
        </w:rPr>
        <w:t xml:space="preserve">. gada finanšu pārskatā ir apkopoti </w:t>
      </w:r>
      <w:r w:rsidRPr="00A27896">
        <w:rPr>
          <w:rFonts w:eastAsiaTheme="minorHAnsi"/>
          <w:color w:val="17365D"/>
          <w:szCs w:val="22"/>
          <w:lang w:eastAsia="en-US"/>
        </w:rPr>
        <w:t>13</w:t>
      </w:r>
      <w:r w:rsidR="00905AEC" w:rsidRPr="00A27896">
        <w:rPr>
          <w:rFonts w:eastAsiaTheme="minorHAnsi"/>
          <w:noProof w:val="0"/>
          <w:color w:val="17365D"/>
          <w:szCs w:val="22"/>
          <w:lang w:eastAsia="en-US"/>
        </w:rPr>
        <w:t> </w:t>
      </w:r>
      <w:r w:rsidRPr="00A27896">
        <w:rPr>
          <w:rFonts w:eastAsiaTheme="minorHAnsi"/>
          <w:noProof w:val="0"/>
          <w:color w:val="17365D"/>
          <w:szCs w:val="22"/>
          <w:lang w:eastAsia="en-US"/>
        </w:rPr>
        <w:t xml:space="preserve">ministriju, </w:t>
      </w:r>
      <w:r w:rsidR="00683457" w:rsidRPr="00A27896">
        <w:rPr>
          <w:rFonts w:eastAsiaTheme="minorHAnsi"/>
          <w:color w:val="17365D"/>
          <w:szCs w:val="22"/>
          <w:lang w:eastAsia="en-US"/>
        </w:rPr>
        <w:t>1</w:t>
      </w:r>
      <w:r w:rsidR="001578FB" w:rsidRPr="00A27896">
        <w:rPr>
          <w:rFonts w:eastAsiaTheme="minorHAnsi"/>
          <w:noProof w:val="0"/>
          <w:color w:val="17365D"/>
          <w:szCs w:val="22"/>
          <w:lang w:eastAsia="en-US"/>
        </w:rPr>
        <w:t>5</w:t>
      </w:r>
      <w:r w:rsidR="00683457" w:rsidRPr="00A27896">
        <w:rPr>
          <w:rFonts w:eastAsiaTheme="minorHAnsi"/>
          <w:noProof w:val="0"/>
          <w:color w:val="17365D"/>
          <w:szCs w:val="22"/>
          <w:lang w:eastAsia="en-US"/>
        </w:rPr>
        <w:t xml:space="preserve"> </w:t>
      </w:r>
      <w:r w:rsidRPr="00A27896">
        <w:rPr>
          <w:rFonts w:eastAsiaTheme="minorHAnsi"/>
          <w:noProof w:val="0"/>
          <w:color w:val="17365D"/>
          <w:szCs w:val="22"/>
          <w:lang w:eastAsia="en-US"/>
        </w:rPr>
        <w:t xml:space="preserve">centrālo valsts iestāžu un </w:t>
      </w:r>
      <w:r w:rsidR="00DE0029" w:rsidRPr="00A27896">
        <w:rPr>
          <w:rFonts w:eastAsiaTheme="minorHAnsi"/>
          <w:noProof w:val="0"/>
          <w:color w:val="17365D"/>
          <w:szCs w:val="22"/>
          <w:lang w:eastAsia="en-US"/>
        </w:rPr>
        <w:t>4</w:t>
      </w:r>
      <w:r w:rsidR="001F12AE" w:rsidRPr="00A27896">
        <w:rPr>
          <w:rFonts w:eastAsiaTheme="minorHAnsi"/>
          <w:noProof w:val="0"/>
          <w:color w:val="17365D"/>
          <w:szCs w:val="22"/>
          <w:lang w:eastAsia="en-US"/>
        </w:rPr>
        <w:t>3</w:t>
      </w:r>
      <w:r w:rsidR="00DE0029" w:rsidRPr="00A27896">
        <w:rPr>
          <w:rFonts w:eastAsiaTheme="minorHAnsi"/>
          <w:noProof w:val="0"/>
          <w:color w:val="17365D"/>
          <w:szCs w:val="22"/>
          <w:lang w:eastAsia="en-US"/>
        </w:rPr>
        <w:t xml:space="preserve"> </w:t>
      </w:r>
      <w:r w:rsidRPr="00A27896">
        <w:rPr>
          <w:rFonts w:eastAsiaTheme="minorHAnsi"/>
          <w:noProof w:val="0"/>
          <w:color w:val="17365D"/>
          <w:szCs w:val="22"/>
          <w:lang w:eastAsia="en-US"/>
        </w:rPr>
        <w:t>pašvaldību 20</w:t>
      </w:r>
      <w:r w:rsidR="00640280" w:rsidRPr="00A27896">
        <w:rPr>
          <w:rFonts w:eastAsiaTheme="minorHAnsi"/>
          <w:noProof w:val="0"/>
          <w:color w:val="17365D"/>
          <w:szCs w:val="22"/>
          <w:lang w:eastAsia="en-US"/>
        </w:rPr>
        <w:t>2</w:t>
      </w:r>
      <w:r w:rsidR="002140F3" w:rsidRPr="00A27896">
        <w:rPr>
          <w:rFonts w:eastAsiaTheme="minorHAnsi"/>
          <w:noProof w:val="0"/>
          <w:color w:val="17365D"/>
          <w:szCs w:val="22"/>
          <w:lang w:eastAsia="en-US"/>
        </w:rPr>
        <w:t>2</w:t>
      </w:r>
      <w:r w:rsidRPr="00A27896">
        <w:rPr>
          <w:rFonts w:eastAsiaTheme="minorHAnsi"/>
          <w:noProof w:val="0"/>
          <w:color w:val="17365D"/>
          <w:szCs w:val="22"/>
          <w:lang w:eastAsia="en-US"/>
        </w:rPr>
        <w:t>. gada konsolidētie gada pārskati</w:t>
      </w:r>
      <w:r w:rsidR="005A1903" w:rsidRPr="00A27896">
        <w:rPr>
          <w:rFonts w:eastAsiaTheme="minorHAnsi"/>
          <w:noProof w:val="0"/>
          <w:color w:val="17365D"/>
          <w:szCs w:val="22"/>
          <w:lang w:eastAsia="en-US"/>
        </w:rPr>
        <w:t xml:space="preserve"> </w:t>
      </w:r>
      <w:r w:rsidR="005A1903" w:rsidRPr="00A27896">
        <w:rPr>
          <w:color w:val="17365D"/>
        </w:rPr>
        <w:t>un divi ikgadējie pārskati</w:t>
      </w:r>
      <w:r w:rsidRPr="00A27896">
        <w:rPr>
          <w:rFonts w:eastAsiaTheme="minorHAnsi"/>
          <w:noProof w:val="0"/>
          <w:color w:val="17365D"/>
          <w:szCs w:val="22"/>
          <w:lang w:eastAsia="en-US"/>
        </w:rPr>
        <w:t>.</w:t>
      </w:r>
    </w:p>
    <w:p w14:paraId="68E42F12" w14:textId="77777777" w:rsidR="00954F0C" w:rsidRPr="00A27896" w:rsidRDefault="00954F0C" w:rsidP="00815152">
      <w:pPr>
        <w:pStyle w:val="Pamatteksts"/>
        <w:spacing w:before="120" w:after="0"/>
        <w:ind w:firstLine="284"/>
        <w:contextualSpacing/>
        <w:rPr>
          <w:rFonts w:eastAsiaTheme="minorHAnsi"/>
          <w:noProof w:val="0"/>
          <w:color w:val="17365D"/>
          <w:szCs w:val="22"/>
          <w:lang w:eastAsia="en-US"/>
        </w:rPr>
      </w:pPr>
      <w:r w:rsidRPr="00A27896">
        <w:rPr>
          <w:rFonts w:eastAsiaTheme="minorHAnsi"/>
          <w:noProof w:val="0"/>
          <w:color w:val="17365D"/>
          <w:szCs w:val="22"/>
          <w:lang w:eastAsia="en-US"/>
        </w:rPr>
        <w:t>Finanšu pārskata sagatavošanā izmantoti šādi konsolidācijas veidi:</w:t>
      </w:r>
    </w:p>
    <w:p w14:paraId="14EEBF00"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pārskatu apvienošana, summējot visus pārskatos minētos rādītājus un veidojot pārskatu kopsavilkumus;</w:t>
      </w:r>
    </w:p>
    <w:p w14:paraId="26222756" w14:textId="11D342B1"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savstarpējo darījumu rezultāta vai atlikumu (pēc uzkrāšanas principa) izslēgšana, kas veikta s</w:t>
      </w:r>
      <w:r w:rsidR="005B508B" w:rsidRPr="00A27896">
        <w:rPr>
          <w:color w:val="17365D"/>
          <w:sz w:val="24"/>
          <w:szCs w:val="24"/>
        </w:rPr>
        <w:t>tarp konsolidācijā iesaistītaj</w:t>
      </w:r>
      <w:r w:rsidRPr="00A27896">
        <w:rPr>
          <w:color w:val="17365D"/>
          <w:sz w:val="24"/>
          <w:szCs w:val="24"/>
        </w:rPr>
        <w:t>ām institucionālo sektoru struktūrām;</w:t>
      </w:r>
    </w:p>
    <w:p w14:paraId="074BDAE6"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savstarpējo </w:t>
      </w:r>
      <w:proofErr w:type="spellStart"/>
      <w:r w:rsidRPr="00A27896">
        <w:rPr>
          <w:color w:val="17365D"/>
          <w:sz w:val="24"/>
          <w:szCs w:val="24"/>
        </w:rPr>
        <w:t>transferta</w:t>
      </w:r>
      <w:proofErr w:type="spellEnd"/>
      <w:r w:rsidRPr="00A27896">
        <w:rPr>
          <w:color w:val="17365D"/>
          <w:sz w:val="24"/>
          <w:szCs w:val="24"/>
        </w:rPr>
        <w:t xml:space="preserve"> ieņēmumu un </w:t>
      </w:r>
      <w:proofErr w:type="spellStart"/>
      <w:r w:rsidRPr="00A27896">
        <w:rPr>
          <w:color w:val="17365D"/>
          <w:sz w:val="24"/>
          <w:szCs w:val="24"/>
        </w:rPr>
        <w:t>transferta</w:t>
      </w:r>
      <w:proofErr w:type="spellEnd"/>
      <w:r w:rsidRPr="00A27896">
        <w:rPr>
          <w:color w:val="17365D"/>
          <w:sz w:val="24"/>
          <w:szCs w:val="24"/>
        </w:rPr>
        <w:t xml:space="preserve"> izdevumu darījumu rezultāta izslēgšana pa budžeta veidiem un starp budžeta veidiem (pēc naudas plūsmas principa), kas notikusi starp darījuma pusēm saimnieciskā gada ietvaros.</w:t>
      </w:r>
    </w:p>
    <w:p w14:paraId="04195611" w14:textId="7BAC7697" w:rsidR="00954F0C" w:rsidRPr="00A27896" w:rsidRDefault="00954F0C" w:rsidP="00AD1BD1">
      <w:pPr>
        <w:pStyle w:val="Pamatteksts"/>
        <w:ind w:firstLine="284"/>
        <w:rPr>
          <w:rFonts w:eastAsiaTheme="minorHAnsi"/>
          <w:noProof w:val="0"/>
          <w:color w:val="17365D"/>
          <w:szCs w:val="22"/>
          <w:lang w:eastAsia="en-US"/>
        </w:rPr>
      </w:pPr>
      <w:r w:rsidRPr="00A27896">
        <w:rPr>
          <w:rFonts w:eastAsiaTheme="minorHAnsi"/>
          <w:noProof w:val="0"/>
          <w:color w:val="17365D"/>
          <w:szCs w:val="22"/>
          <w:lang w:eastAsia="en-US"/>
        </w:rPr>
        <w:t>Finanšu pārskatā iekļ</w:t>
      </w:r>
      <w:bookmarkStart w:id="0" w:name="_GoBack"/>
      <w:bookmarkEnd w:id="0"/>
      <w:r w:rsidRPr="00A27896">
        <w:rPr>
          <w:rFonts w:eastAsiaTheme="minorHAnsi"/>
          <w:noProof w:val="0"/>
          <w:color w:val="17365D"/>
          <w:szCs w:val="22"/>
          <w:lang w:eastAsia="en-US"/>
        </w:rPr>
        <w:t>auta šāda finanšu informācija:</w:t>
      </w:r>
      <w:r w:rsidR="00D50D19" w:rsidRPr="00A27896">
        <w:rPr>
          <w:rFonts w:eastAsiaTheme="minorHAnsi"/>
          <w:noProof w:val="0"/>
          <w:color w:val="17365D"/>
          <w:szCs w:val="22"/>
          <w:lang w:eastAsia="en-US"/>
        </w:rPr>
        <w:t xml:space="preserve"> </w:t>
      </w:r>
    </w:p>
    <w:p w14:paraId="5B07799B"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valsts konsolidētā grāmatvedības bilance un tās pielikumi;</w:t>
      </w:r>
    </w:p>
    <w:p w14:paraId="48D10853"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konsolidētais pārskats par darbības finansiālajiem rezultātiem;</w:t>
      </w:r>
    </w:p>
    <w:p w14:paraId="163929E7"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konsolidētais pašu kapitāla izmaiņu pārskats;</w:t>
      </w:r>
    </w:p>
    <w:p w14:paraId="2A093CEA"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konsolidētais naudas plūsmas pārskats;</w:t>
      </w:r>
    </w:p>
    <w:p w14:paraId="3F72A71D"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lastRenderedPageBreak/>
        <w:t>finanšu pārskata pielikums, kurā sniegti skaidrojumi par:</w:t>
      </w:r>
    </w:p>
    <w:p w14:paraId="2C81CFAA" w14:textId="77777777" w:rsidR="00954F0C" w:rsidRPr="00A27896" w:rsidRDefault="00954F0C" w:rsidP="007C6C15">
      <w:pPr>
        <w:pStyle w:val="Pamatteksts"/>
        <w:numPr>
          <w:ilvl w:val="1"/>
          <w:numId w:val="28"/>
        </w:numPr>
        <w:spacing w:after="0"/>
        <w:ind w:left="1134" w:hanging="284"/>
        <w:rPr>
          <w:rFonts w:eastAsiaTheme="minorHAnsi"/>
          <w:noProof w:val="0"/>
          <w:color w:val="17365D"/>
          <w:szCs w:val="22"/>
          <w:lang w:eastAsia="en-US"/>
        </w:rPr>
      </w:pPr>
      <w:r w:rsidRPr="00A27896">
        <w:rPr>
          <w:rFonts w:eastAsiaTheme="minorHAnsi"/>
          <w:noProof w:val="0"/>
          <w:color w:val="17365D"/>
          <w:szCs w:val="22"/>
          <w:lang w:eastAsia="en-US"/>
        </w:rPr>
        <w:t>grāmatvedības uzskaites principiem;</w:t>
      </w:r>
    </w:p>
    <w:p w14:paraId="0B087538" w14:textId="77777777" w:rsidR="00954F0C" w:rsidRPr="00A27896" w:rsidRDefault="00954F0C" w:rsidP="007C6C15">
      <w:pPr>
        <w:pStyle w:val="Pamatteksts"/>
        <w:numPr>
          <w:ilvl w:val="1"/>
          <w:numId w:val="28"/>
        </w:numPr>
        <w:spacing w:after="0"/>
        <w:ind w:left="1134" w:hanging="284"/>
        <w:rPr>
          <w:rFonts w:eastAsiaTheme="minorHAnsi"/>
          <w:noProof w:val="0"/>
          <w:color w:val="17365D"/>
          <w:szCs w:val="22"/>
          <w:lang w:eastAsia="en-US"/>
        </w:rPr>
      </w:pPr>
      <w:r w:rsidRPr="00A27896">
        <w:rPr>
          <w:rFonts w:eastAsiaTheme="minorHAnsi"/>
          <w:noProof w:val="0"/>
          <w:color w:val="17365D"/>
          <w:szCs w:val="22"/>
          <w:lang w:eastAsia="en-US"/>
        </w:rPr>
        <w:t>pārskata sagatavošanas principiem;</w:t>
      </w:r>
    </w:p>
    <w:p w14:paraId="5E858B42" w14:textId="77777777" w:rsidR="00954F0C" w:rsidRPr="00A27896" w:rsidRDefault="00954F0C" w:rsidP="007C6C15">
      <w:pPr>
        <w:pStyle w:val="Pamatteksts"/>
        <w:numPr>
          <w:ilvl w:val="1"/>
          <w:numId w:val="28"/>
        </w:numPr>
        <w:spacing w:after="0"/>
        <w:ind w:left="1134" w:hanging="284"/>
        <w:rPr>
          <w:rFonts w:eastAsiaTheme="minorHAnsi"/>
          <w:noProof w:val="0"/>
          <w:color w:val="17365D"/>
          <w:szCs w:val="22"/>
          <w:lang w:eastAsia="en-US"/>
        </w:rPr>
      </w:pPr>
      <w:r w:rsidRPr="00A27896">
        <w:rPr>
          <w:rFonts w:eastAsiaTheme="minorHAnsi"/>
          <w:noProof w:val="0"/>
          <w:color w:val="17365D"/>
          <w:szCs w:val="22"/>
          <w:lang w:eastAsia="en-US"/>
        </w:rPr>
        <w:t>finanšu instrumentu risku pārvaldīšanu;</w:t>
      </w:r>
    </w:p>
    <w:p w14:paraId="443C395E" w14:textId="77777777" w:rsidR="00954F0C" w:rsidRPr="00A27896" w:rsidRDefault="00954F0C" w:rsidP="007C6C15">
      <w:pPr>
        <w:pStyle w:val="Pamatteksts"/>
        <w:numPr>
          <w:ilvl w:val="1"/>
          <w:numId w:val="28"/>
        </w:numPr>
        <w:spacing w:after="0"/>
        <w:ind w:left="1134" w:hanging="284"/>
        <w:rPr>
          <w:rFonts w:eastAsiaTheme="minorHAnsi"/>
          <w:noProof w:val="0"/>
          <w:color w:val="17365D"/>
          <w:szCs w:val="22"/>
          <w:lang w:eastAsia="en-US"/>
        </w:rPr>
      </w:pPr>
      <w:r w:rsidRPr="00A27896">
        <w:rPr>
          <w:rFonts w:eastAsiaTheme="minorHAnsi"/>
          <w:noProof w:val="0"/>
          <w:color w:val="17365D"/>
          <w:szCs w:val="22"/>
          <w:lang w:eastAsia="en-US"/>
        </w:rPr>
        <w:t>finanšu pārskata posteņiem.</w:t>
      </w:r>
    </w:p>
    <w:p w14:paraId="1FD30A58" w14:textId="5D41477D" w:rsidR="00DE0029" w:rsidRPr="00A27896" w:rsidRDefault="00954F0C" w:rsidP="007C6C15">
      <w:pPr>
        <w:pStyle w:val="Pamatteksts"/>
        <w:numPr>
          <w:ilvl w:val="0"/>
          <w:numId w:val="28"/>
        </w:numPr>
        <w:spacing w:after="0"/>
        <w:ind w:left="851"/>
        <w:rPr>
          <w:noProof w:val="0"/>
          <w:color w:val="17365D"/>
        </w:rPr>
      </w:pPr>
      <w:r w:rsidRPr="00A27896">
        <w:rPr>
          <w:noProof w:val="0"/>
          <w:color w:val="17365D"/>
        </w:rPr>
        <w:t>pārskats par valsts konsolidēto parādu un tā pielikumi, kuros sniegti skaidrojumi par</w:t>
      </w:r>
      <w:r w:rsidRPr="00A27896">
        <w:rPr>
          <w:rFonts w:eastAsiaTheme="minorHAnsi"/>
          <w:noProof w:val="0"/>
          <w:color w:val="17365D"/>
          <w:szCs w:val="22"/>
          <w:lang w:eastAsia="en-US"/>
        </w:rPr>
        <w:t xml:space="preserve"> </w:t>
      </w:r>
      <w:r w:rsidRPr="00A27896">
        <w:rPr>
          <w:noProof w:val="0"/>
          <w:color w:val="17365D"/>
        </w:rPr>
        <w:t>valsts konsolidēto parādu.</w:t>
      </w:r>
    </w:p>
    <w:p w14:paraId="63DE6EE3" w14:textId="45898F41" w:rsidR="00683457" w:rsidRPr="00A27896" w:rsidRDefault="00683457" w:rsidP="004957AA">
      <w:pPr>
        <w:pStyle w:val="Heading3"/>
      </w:pPr>
      <w:r w:rsidRPr="00A27896">
        <w:t>Str</w:t>
      </w:r>
      <w:r w:rsidR="00B30E2D" w:rsidRPr="00A27896">
        <w:t>u</w:t>
      </w:r>
      <w:r w:rsidRPr="00A27896">
        <w:t>kturālās izmaiņas</w:t>
      </w:r>
    </w:p>
    <w:p w14:paraId="513374A9" w14:textId="2C79B619" w:rsidR="00CF0474" w:rsidRPr="00A27896" w:rsidRDefault="004925EC" w:rsidP="00B30E2D">
      <w:pPr>
        <w:pStyle w:val="Pamatteksts"/>
        <w:spacing w:after="0"/>
        <w:ind w:firstLine="284"/>
        <w:rPr>
          <w:noProof w:val="0"/>
          <w:color w:val="17365D"/>
        </w:rPr>
      </w:pPr>
      <w:r w:rsidRPr="00A27896">
        <w:rPr>
          <w:noProof w:val="0"/>
          <w:color w:val="17365D"/>
        </w:rPr>
        <w:t>2022.</w:t>
      </w:r>
      <w:r w:rsidR="0057470D" w:rsidRPr="00A27896">
        <w:rPr>
          <w:noProof w:val="0"/>
          <w:color w:val="17365D"/>
        </w:rPr>
        <w:t xml:space="preserve"> </w:t>
      </w:r>
      <w:r w:rsidRPr="00A27896">
        <w:rPr>
          <w:noProof w:val="0"/>
          <w:color w:val="17365D"/>
        </w:rPr>
        <w:t xml:space="preserve">gadā </w:t>
      </w:r>
      <w:r w:rsidR="00CF0474" w:rsidRPr="00A27896">
        <w:rPr>
          <w:noProof w:val="0"/>
          <w:color w:val="17365D"/>
        </w:rPr>
        <w:t>Izglītības un zinātnes ministrijas nozarē</w:t>
      </w:r>
      <w:r w:rsidRPr="00A27896">
        <w:rPr>
          <w:noProof w:val="0"/>
          <w:color w:val="17365D"/>
        </w:rPr>
        <w:t xml:space="preserve"> veiktas šādas strukturālas izmaiņas</w:t>
      </w:r>
      <w:r w:rsidR="00CF0474" w:rsidRPr="00A27896">
        <w:rPr>
          <w:noProof w:val="0"/>
          <w:color w:val="17365D"/>
        </w:rPr>
        <w:t>:</w:t>
      </w:r>
    </w:p>
    <w:p w14:paraId="658638A6" w14:textId="235A3F3B" w:rsidR="00CF0474" w:rsidRPr="00A27896" w:rsidRDefault="00CF0474" w:rsidP="001D4D3D">
      <w:pPr>
        <w:pStyle w:val="Pamatteksts"/>
        <w:numPr>
          <w:ilvl w:val="0"/>
          <w:numId w:val="42"/>
        </w:numPr>
        <w:spacing w:after="0"/>
        <w:ind w:left="851" w:hanging="349"/>
        <w:rPr>
          <w:noProof w:val="0"/>
          <w:color w:val="17365D"/>
        </w:rPr>
      </w:pPr>
      <w:r w:rsidRPr="00A27896">
        <w:rPr>
          <w:noProof w:val="0"/>
          <w:color w:val="17365D"/>
        </w:rPr>
        <w:t>ar 1. jūliju reorganizētas profesionālās izglītības iestādes Daugavpils Tirdzniecības profesionālā vidusskola un Daugavpils tehnikums, tās apvienojot un izveidojot ministrijas pakļautībā esošu profesionālās izglītības iestādi – Daugavpils Tehnoloģiju un tūrisma tehnikumu;</w:t>
      </w:r>
    </w:p>
    <w:p w14:paraId="5279BFDD" w14:textId="1BCDE3C5" w:rsidR="00CF0474" w:rsidRPr="00A27896" w:rsidRDefault="00CF0474" w:rsidP="001D4D3D">
      <w:pPr>
        <w:pStyle w:val="Pamatteksts"/>
        <w:numPr>
          <w:ilvl w:val="0"/>
          <w:numId w:val="42"/>
        </w:numPr>
        <w:spacing w:after="0"/>
        <w:ind w:left="851" w:hanging="349"/>
        <w:rPr>
          <w:noProof w:val="0"/>
          <w:color w:val="17365D"/>
        </w:rPr>
      </w:pPr>
      <w:r w:rsidRPr="00A27896">
        <w:rPr>
          <w:noProof w:val="0"/>
          <w:color w:val="17365D"/>
        </w:rPr>
        <w:t>ar 1. oktobri likvidēta ministrijas padotībā esošā sociālās korekcijas i</w:t>
      </w:r>
      <w:r w:rsidR="00E83900" w:rsidRPr="00A27896">
        <w:rPr>
          <w:noProof w:val="0"/>
          <w:color w:val="17365D"/>
        </w:rPr>
        <w:t>zglītības iestāde "Naukšēni".</w:t>
      </w:r>
    </w:p>
    <w:p w14:paraId="67C79E81" w14:textId="77777777" w:rsidR="00E83900" w:rsidRPr="00A27896" w:rsidRDefault="00E83900" w:rsidP="00B30E2D">
      <w:pPr>
        <w:pStyle w:val="Pamatteksts"/>
        <w:spacing w:after="0"/>
        <w:ind w:firstLine="284"/>
        <w:rPr>
          <w:noProof w:val="0"/>
          <w:color w:val="17365D"/>
        </w:rPr>
      </w:pPr>
    </w:p>
    <w:p w14:paraId="2E18144D" w14:textId="74234C61" w:rsidR="00ED437E" w:rsidRPr="00A27896" w:rsidRDefault="00D24A69" w:rsidP="00B30E2D">
      <w:pPr>
        <w:pStyle w:val="Pamatteksts"/>
        <w:spacing w:after="0"/>
        <w:ind w:firstLine="284"/>
        <w:rPr>
          <w:noProof w:val="0"/>
          <w:color w:val="17365D"/>
        </w:rPr>
      </w:pPr>
      <w:r w:rsidRPr="00A27896">
        <w:rPr>
          <w:noProof w:val="0"/>
          <w:color w:val="17365D"/>
        </w:rPr>
        <w:t>2022.</w:t>
      </w:r>
      <w:r w:rsidR="0057470D" w:rsidRPr="00A27896">
        <w:rPr>
          <w:noProof w:val="0"/>
          <w:color w:val="17365D"/>
        </w:rPr>
        <w:t xml:space="preserve"> </w:t>
      </w:r>
      <w:r w:rsidRPr="00A27896">
        <w:rPr>
          <w:noProof w:val="0"/>
          <w:color w:val="17365D"/>
        </w:rPr>
        <w:t>gadā turpinājās pašvaldību reorganizācija Administratīvi teritoriālās reformas ietvaros. Pašvaldības samazināja budžeta iestāžu skaitu, apvienojo</w:t>
      </w:r>
      <w:r w:rsidR="00C64FB7" w:rsidRPr="00A27896">
        <w:rPr>
          <w:noProof w:val="0"/>
          <w:color w:val="17365D"/>
        </w:rPr>
        <w:t>t</w:t>
      </w:r>
      <w:r w:rsidRPr="00A27896">
        <w:rPr>
          <w:noProof w:val="0"/>
          <w:color w:val="17365D"/>
        </w:rPr>
        <w:t xml:space="preserve"> iestādes kā vienu nodokļu maksātāju</w:t>
      </w:r>
      <w:r w:rsidR="00360EBA" w:rsidRPr="00A27896">
        <w:rPr>
          <w:noProof w:val="0"/>
          <w:color w:val="17365D"/>
        </w:rPr>
        <w:t>, piemēram</w:t>
      </w:r>
      <w:r w:rsidR="004925EC" w:rsidRPr="00A27896">
        <w:rPr>
          <w:noProof w:val="0"/>
          <w:color w:val="17365D"/>
        </w:rPr>
        <w:t>,</w:t>
      </w:r>
      <w:r w:rsidR="00360EBA" w:rsidRPr="00A27896">
        <w:rPr>
          <w:noProof w:val="0"/>
          <w:color w:val="17365D"/>
        </w:rPr>
        <w:t xml:space="preserve"> reorganizētas izglītības iestādes un paga</w:t>
      </w:r>
      <w:r w:rsidR="00542F01" w:rsidRPr="00A27896">
        <w:rPr>
          <w:noProof w:val="0"/>
          <w:color w:val="17365D"/>
        </w:rPr>
        <w:t>stu</w:t>
      </w:r>
      <w:r w:rsidR="00360EBA" w:rsidRPr="00A27896">
        <w:rPr>
          <w:noProof w:val="0"/>
          <w:color w:val="17365D"/>
        </w:rPr>
        <w:t xml:space="preserve"> pārvaldes</w:t>
      </w:r>
      <w:r w:rsidRPr="00A27896">
        <w:rPr>
          <w:noProof w:val="0"/>
          <w:color w:val="17365D"/>
        </w:rPr>
        <w:t>.</w:t>
      </w:r>
      <w:r w:rsidR="00542F01" w:rsidRPr="00A27896">
        <w:rPr>
          <w:noProof w:val="0"/>
          <w:color w:val="17365D"/>
        </w:rPr>
        <w:t xml:space="preserve"> Pārskata gadā turpinājās arī pašvaldību administratīvo funkciju centralizācija.</w:t>
      </w:r>
    </w:p>
    <w:p w14:paraId="064E9301" w14:textId="77777777" w:rsidR="00954F0C" w:rsidRPr="00A27896" w:rsidRDefault="00954F0C" w:rsidP="00FD10CC">
      <w:pPr>
        <w:pStyle w:val="Heading3"/>
      </w:pPr>
      <w:bookmarkStart w:id="1" w:name="_Toc42846488"/>
      <w:r w:rsidRPr="00A27896">
        <w:t>Naudas vienība</w:t>
      </w:r>
      <w:bookmarkEnd w:id="1"/>
    </w:p>
    <w:p w14:paraId="0F6A4A5C" w14:textId="77777777" w:rsidR="00954F0C" w:rsidRPr="00A27896" w:rsidRDefault="00954F0C" w:rsidP="008E6DF7">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 xml:space="preserve">Grāmatvedības uzskaitē par vērtības mēru lietota naudas vienība </w:t>
      </w:r>
      <w:proofErr w:type="spellStart"/>
      <w:r w:rsidRPr="00A27896">
        <w:rPr>
          <w:rFonts w:eastAsiaTheme="minorHAnsi"/>
          <w:i/>
          <w:noProof w:val="0"/>
          <w:color w:val="17365D"/>
          <w:szCs w:val="22"/>
          <w:lang w:eastAsia="en-US"/>
        </w:rPr>
        <w:t>euro</w:t>
      </w:r>
      <w:proofErr w:type="spellEnd"/>
      <w:r w:rsidRPr="00A27896">
        <w:rPr>
          <w:rFonts w:eastAsiaTheme="minorHAnsi"/>
          <w:noProof w:val="0"/>
          <w:color w:val="17365D"/>
          <w:szCs w:val="22"/>
          <w:lang w:eastAsia="en-US"/>
        </w:rPr>
        <w:t xml:space="preserve">. Gada pārskata pielikumi un skaidrojumi sagatavoti </w:t>
      </w:r>
      <w:proofErr w:type="spellStart"/>
      <w:r w:rsidRPr="00A27896">
        <w:rPr>
          <w:rFonts w:eastAsiaTheme="minorHAnsi"/>
          <w:i/>
          <w:noProof w:val="0"/>
          <w:color w:val="17365D"/>
          <w:szCs w:val="22"/>
          <w:lang w:eastAsia="en-US"/>
        </w:rPr>
        <w:t>euro</w:t>
      </w:r>
      <w:proofErr w:type="spellEnd"/>
      <w:r w:rsidRPr="00A27896">
        <w:rPr>
          <w:rFonts w:eastAsiaTheme="minorHAnsi"/>
          <w:noProof w:val="0"/>
          <w:color w:val="17365D"/>
          <w:szCs w:val="22"/>
          <w:lang w:eastAsia="en-US"/>
        </w:rPr>
        <w:t xml:space="preserve"> un uzrādītie skaitļi noapaļoti līdz veseliem skaitļiem.</w:t>
      </w:r>
    </w:p>
    <w:p w14:paraId="7BB35959" w14:textId="77777777" w:rsidR="00954F0C" w:rsidRPr="00A27896" w:rsidRDefault="00954F0C" w:rsidP="00FD10CC">
      <w:pPr>
        <w:pStyle w:val="Heading3"/>
      </w:pPr>
      <w:bookmarkStart w:id="2" w:name="_Toc42846489"/>
      <w:r w:rsidRPr="00A27896">
        <w:t>Ārvalstu valūtu pārvērtēšana</w:t>
      </w:r>
      <w:bookmarkEnd w:id="2"/>
    </w:p>
    <w:p w14:paraId="2A77B8CC" w14:textId="77777777" w:rsidR="00954F0C" w:rsidRPr="00A27896" w:rsidRDefault="00954F0C" w:rsidP="008E6DF7">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 xml:space="preserve">Budžeta iestādēs visi darījumi ārvalstu valūtās pārvērtēti </w:t>
      </w:r>
      <w:proofErr w:type="spellStart"/>
      <w:r w:rsidRPr="00A27896">
        <w:rPr>
          <w:rFonts w:eastAsiaTheme="minorHAnsi"/>
          <w:i/>
          <w:noProof w:val="0"/>
          <w:color w:val="17365D"/>
          <w:szCs w:val="22"/>
          <w:lang w:eastAsia="en-US"/>
        </w:rPr>
        <w:t>euro</w:t>
      </w:r>
      <w:proofErr w:type="spellEnd"/>
      <w:r w:rsidRPr="00A27896">
        <w:rPr>
          <w:rFonts w:eastAsiaTheme="minorHAnsi"/>
          <w:noProof w:val="0"/>
          <w:color w:val="17365D"/>
          <w:szCs w:val="22"/>
          <w:lang w:eastAsia="en-US"/>
        </w:rPr>
        <w:t xml:space="preserve">, izmantojot Eiropas Centrālās bankas publicēto </w:t>
      </w:r>
      <w:proofErr w:type="spellStart"/>
      <w:r w:rsidRPr="00A27896">
        <w:rPr>
          <w:rFonts w:eastAsiaTheme="minorHAnsi"/>
          <w:i/>
          <w:noProof w:val="0"/>
          <w:color w:val="17365D"/>
          <w:szCs w:val="22"/>
          <w:lang w:eastAsia="en-US"/>
        </w:rPr>
        <w:t>euro</w:t>
      </w:r>
      <w:proofErr w:type="spellEnd"/>
      <w:r w:rsidRPr="00A27896">
        <w:rPr>
          <w:rFonts w:eastAsiaTheme="minorHAnsi"/>
          <w:noProof w:val="0"/>
          <w:color w:val="17365D"/>
          <w:szCs w:val="22"/>
          <w:lang w:eastAsia="en-US"/>
        </w:rPr>
        <w:t xml:space="preserve"> atsauces kursus, bet, ja konkrētai ārvalstu valūtai nav Eiropas Centrālās bankas publicētā </w:t>
      </w:r>
      <w:proofErr w:type="spellStart"/>
      <w:r w:rsidRPr="00A27896">
        <w:rPr>
          <w:rFonts w:eastAsiaTheme="minorHAnsi"/>
          <w:i/>
          <w:noProof w:val="0"/>
          <w:color w:val="17365D"/>
          <w:szCs w:val="22"/>
          <w:lang w:eastAsia="en-US"/>
        </w:rPr>
        <w:t>euro</w:t>
      </w:r>
      <w:proofErr w:type="spellEnd"/>
      <w:r w:rsidRPr="00A27896">
        <w:rPr>
          <w:rFonts w:eastAsiaTheme="minorHAnsi"/>
          <w:noProof w:val="0"/>
          <w:color w:val="17365D"/>
          <w:szCs w:val="22"/>
          <w:lang w:eastAsia="en-US"/>
        </w:rPr>
        <w:t xml:space="preserve"> atsauces kursa, tad izmantota pasaules finanšu tirgus atzīta finanšu informācijas sniedzēja periodiskajā izdevumā vai tā tīmekļa vietnē publicēto valūtas tirgus kursu attiecība pret </w:t>
      </w:r>
      <w:proofErr w:type="spellStart"/>
      <w:r w:rsidRPr="00A27896">
        <w:rPr>
          <w:rFonts w:eastAsiaTheme="minorHAnsi"/>
          <w:i/>
          <w:noProof w:val="0"/>
          <w:color w:val="17365D"/>
          <w:szCs w:val="22"/>
          <w:lang w:eastAsia="en-US"/>
        </w:rPr>
        <w:t>euro</w:t>
      </w:r>
      <w:proofErr w:type="spellEnd"/>
      <w:r w:rsidRPr="00A27896">
        <w:rPr>
          <w:rFonts w:eastAsiaTheme="minorHAnsi"/>
          <w:noProof w:val="0"/>
          <w:color w:val="17365D"/>
          <w:szCs w:val="22"/>
          <w:lang w:eastAsia="en-US"/>
        </w:rPr>
        <w:t>, piemēram “</w:t>
      </w:r>
      <w:proofErr w:type="spellStart"/>
      <w:r w:rsidRPr="00A27896">
        <w:rPr>
          <w:rFonts w:eastAsiaTheme="minorHAnsi"/>
          <w:noProof w:val="0"/>
          <w:color w:val="17365D"/>
          <w:szCs w:val="22"/>
          <w:lang w:eastAsia="en-US"/>
        </w:rPr>
        <w:t>The</w:t>
      </w:r>
      <w:proofErr w:type="spellEnd"/>
      <w:r w:rsidRPr="00A27896">
        <w:rPr>
          <w:rFonts w:eastAsiaTheme="minorHAnsi"/>
          <w:noProof w:val="0"/>
          <w:color w:val="17365D"/>
          <w:szCs w:val="22"/>
          <w:lang w:eastAsia="en-US"/>
        </w:rPr>
        <w:t xml:space="preserve"> </w:t>
      </w:r>
      <w:proofErr w:type="spellStart"/>
      <w:r w:rsidRPr="00A27896">
        <w:rPr>
          <w:rFonts w:eastAsiaTheme="minorHAnsi"/>
          <w:noProof w:val="0"/>
          <w:color w:val="17365D"/>
          <w:szCs w:val="22"/>
          <w:lang w:eastAsia="en-US"/>
        </w:rPr>
        <w:t>Financial</w:t>
      </w:r>
      <w:proofErr w:type="spellEnd"/>
      <w:r w:rsidRPr="00A27896">
        <w:rPr>
          <w:rFonts w:eastAsiaTheme="minorHAnsi"/>
          <w:noProof w:val="0"/>
          <w:color w:val="17365D"/>
          <w:szCs w:val="22"/>
          <w:lang w:eastAsia="en-US"/>
        </w:rPr>
        <w:t xml:space="preserve"> </w:t>
      </w:r>
      <w:proofErr w:type="spellStart"/>
      <w:r w:rsidRPr="00A27896">
        <w:rPr>
          <w:rFonts w:eastAsiaTheme="minorHAnsi"/>
          <w:noProof w:val="0"/>
          <w:color w:val="17365D"/>
          <w:szCs w:val="22"/>
          <w:lang w:eastAsia="en-US"/>
        </w:rPr>
        <w:t>Times</w:t>
      </w:r>
      <w:proofErr w:type="spellEnd"/>
      <w:r w:rsidRPr="00A27896">
        <w:rPr>
          <w:rFonts w:eastAsiaTheme="minorHAnsi"/>
          <w:noProof w:val="0"/>
          <w:color w:val="17365D"/>
          <w:szCs w:val="22"/>
          <w:lang w:eastAsia="en-US"/>
        </w:rPr>
        <w:t xml:space="preserve">” publicētie ārvalstu valūtu kursi, (turpmāk – grāmatvedībā izmantotais ārvalstu valūtas kurss), kas ir spēkā darījuma dienas sākumā. </w:t>
      </w:r>
    </w:p>
    <w:p w14:paraId="4DF9418D" w14:textId="77777777" w:rsidR="00954F0C" w:rsidRPr="00A27896" w:rsidRDefault="00954F0C" w:rsidP="008E6DF7">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 xml:space="preserve">Ieņēmumus vai izdevumus, kas rodas no valūtas kursa svārstībām starp ieņēmumu vai izdevumu atzīšanas dienu un naudas saņemšanas vai samaksāšanas dienu, atzīst attiecīgā pārskata perioda finanšu ieņēmumos vai izdevumos. </w:t>
      </w:r>
    </w:p>
    <w:p w14:paraId="6E549716" w14:textId="77777777" w:rsidR="00954F0C" w:rsidRPr="00A27896" w:rsidRDefault="00954F0C" w:rsidP="008E6DF7">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 xml:space="preserve">Monetāro posteņu – naudas līdzekļu ārvalstu valūtā, prasību un saistību, kas saņemamas vai maksājamas ārvalstu valūtā, atlikumi pārrēķināti </w:t>
      </w:r>
      <w:proofErr w:type="spellStart"/>
      <w:r w:rsidRPr="00A27896">
        <w:rPr>
          <w:rFonts w:eastAsiaTheme="minorHAnsi"/>
          <w:i/>
          <w:noProof w:val="0"/>
          <w:color w:val="17365D"/>
          <w:szCs w:val="22"/>
          <w:lang w:eastAsia="en-US"/>
        </w:rPr>
        <w:t>euro</w:t>
      </w:r>
      <w:proofErr w:type="spellEnd"/>
      <w:r w:rsidRPr="00A27896">
        <w:rPr>
          <w:rFonts w:eastAsiaTheme="minorHAnsi"/>
          <w:noProof w:val="0"/>
          <w:color w:val="17365D"/>
          <w:szCs w:val="22"/>
          <w:lang w:eastAsia="en-US"/>
        </w:rPr>
        <w:t xml:space="preserve"> atbilstoši grāmatvedībā izmantotajam ārvalstu valūtas kursam, kas ir spēkā pārskata gada pēdējās darba dienas beigās. Atlikumu izmaiņas no valūtas kursa svārstībām atzītas pārskata perioda finanšu ieņēmumos vai izdevumos.</w:t>
      </w:r>
    </w:p>
    <w:p w14:paraId="3E35112B" w14:textId="77777777" w:rsidR="00954F0C" w:rsidRPr="00A27896" w:rsidRDefault="00954F0C" w:rsidP="00815152">
      <w:pPr>
        <w:pStyle w:val="Tabulasnosaukums1"/>
        <w:rPr>
          <w:rFonts w:cs="Times New Roman"/>
          <w:i/>
          <w:color w:val="17365D"/>
          <w:szCs w:val="22"/>
        </w:rPr>
      </w:pPr>
      <w:r w:rsidRPr="00A27896">
        <w:rPr>
          <w:rFonts w:cs="Times New Roman"/>
          <w:i/>
          <w:color w:val="17365D"/>
          <w:szCs w:val="22"/>
        </w:rPr>
        <w:t>1. tabula. Grāmatvedībā izmantotie ārvalstu valūtas kursi (</w:t>
      </w:r>
      <w:proofErr w:type="spellStart"/>
      <w:r w:rsidRPr="00A27896">
        <w:rPr>
          <w:rFonts w:cs="Times New Roman"/>
          <w:i/>
          <w:color w:val="17365D"/>
          <w:szCs w:val="22"/>
        </w:rPr>
        <w:t>euro</w:t>
      </w:r>
      <w:proofErr w:type="spellEnd"/>
      <w:r w:rsidRPr="00A27896">
        <w:rPr>
          <w:rFonts w:cs="Times New Roman"/>
          <w:i/>
          <w:color w:val="17365D"/>
          <w:szCs w:val="22"/>
        </w:rPr>
        <w:t>)</w:t>
      </w:r>
    </w:p>
    <w:tbl>
      <w:tblPr>
        <w:tblW w:w="4999" w:type="pct"/>
        <w:jc w:val="center"/>
        <w:tblLook w:val="01E0" w:firstRow="1" w:lastRow="1" w:firstColumn="1" w:lastColumn="1" w:noHBand="0" w:noVBand="0"/>
      </w:tblPr>
      <w:tblGrid>
        <w:gridCol w:w="3118"/>
        <w:gridCol w:w="3118"/>
        <w:gridCol w:w="3116"/>
      </w:tblGrid>
      <w:tr w:rsidR="000C1009" w:rsidRPr="00A27896" w14:paraId="6253664F" w14:textId="77777777" w:rsidTr="00905AEC">
        <w:trPr>
          <w:jc w:val="center"/>
        </w:trPr>
        <w:tc>
          <w:tcPr>
            <w:tcW w:w="1667" w:type="pct"/>
            <w:tcBorders>
              <w:bottom w:val="single" w:sz="4" w:space="0" w:color="17365D"/>
            </w:tcBorders>
            <w:shd w:val="clear" w:color="auto" w:fill="B9CDE5"/>
            <w:vAlign w:val="center"/>
          </w:tcPr>
          <w:p w14:paraId="14E060F0" w14:textId="77777777" w:rsidR="00640280" w:rsidRPr="00A27896" w:rsidRDefault="00640280" w:rsidP="00640280">
            <w:pPr>
              <w:pStyle w:val="Pamatteksts"/>
              <w:spacing w:after="0"/>
              <w:jc w:val="left"/>
              <w:rPr>
                <w:rFonts w:eastAsiaTheme="minorHAnsi"/>
                <w:b/>
                <w:noProof w:val="0"/>
                <w:color w:val="17365D"/>
                <w:sz w:val="20"/>
                <w:szCs w:val="22"/>
                <w:lang w:eastAsia="en-US"/>
              </w:rPr>
            </w:pPr>
            <w:r w:rsidRPr="00A27896">
              <w:rPr>
                <w:rFonts w:eastAsiaTheme="minorHAnsi"/>
                <w:b/>
                <w:noProof w:val="0"/>
                <w:color w:val="17365D"/>
                <w:sz w:val="20"/>
                <w:szCs w:val="22"/>
                <w:lang w:eastAsia="en-US"/>
              </w:rPr>
              <w:t>Valūta</w:t>
            </w:r>
          </w:p>
        </w:tc>
        <w:tc>
          <w:tcPr>
            <w:tcW w:w="1667" w:type="pct"/>
            <w:tcBorders>
              <w:bottom w:val="single" w:sz="4" w:space="0" w:color="17365D"/>
            </w:tcBorders>
            <w:shd w:val="clear" w:color="auto" w:fill="B9CDE5"/>
            <w:vAlign w:val="center"/>
          </w:tcPr>
          <w:p w14:paraId="7EF38125" w14:textId="4786126A" w:rsidR="00640280" w:rsidRPr="00A27896" w:rsidRDefault="00640280" w:rsidP="00640280">
            <w:pPr>
              <w:pStyle w:val="Pamatteksts"/>
              <w:spacing w:after="0"/>
              <w:jc w:val="left"/>
              <w:rPr>
                <w:rFonts w:eastAsiaTheme="minorHAnsi"/>
                <w:b/>
                <w:noProof w:val="0"/>
                <w:color w:val="17365D"/>
                <w:sz w:val="20"/>
                <w:szCs w:val="22"/>
                <w:lang w:eastAsia="en-US"/>
              </w:rPr>
            </w:pPr>
            <w:r w:rsidRPr="00A27896">
              <w:rPr>
                <w:rFonts w:eastAsiaTheme="minorHAnsi"/>
                <w:b/>
                <w:noProof w:val="0"/>
                <w:color w:val="17365D"/>
                <w:sz w:val="20"/>
                <w:szCs w:val="22"/>
                <w:lang w:eastAsia="en-US"/>
              </w:rPr>
              <w:t>31.12.202</w:t>
            </w:r>
            <w:r w:rsidR="00AC394C" w:rsidRPr="00A27896">
              <w:rPr>
                <w:rFonts w:eastAsiaTheme="minorHAnsi"/>
                <w:b/>
                <w:noProof w:val="0"/>
                <w:color w:val="17365D"/>
                <w:sz w:val="20"/>
                <w:szCs w:val="22"/>
                <w:lang w:eastAsia="en-US"/>
              </w:rPr>
              <w:t>2</w:t>
            </w:r>
            <w:r w:rsidRPr="00A27896">
              <w:rPr>
                <w:rFonts w:eastAsiaTheme="minorHAnsi"/>
                <w:b/>
                <w:noProof w:val="0"/>
                <w:color w:val="17365D"/>
                <w:sz w:val="20"/>
                <w:szCs w:val="22"/>
                <w:lang w:eastAsia="en-US"/>
              </w:rPr>
              <w:t>.</w:t>
            </w:r>
          </w:p>
        </w:tc>
        <w:tc>
          <w:tcPr>
            <w:tcW w:w="1666" w:type="pct"/>
            <w:tcBorders>
              <w:bottom w:val="single" w:sz="4" w:space="0" w:color="17365D"/>
            </w:tcBorders>
            <w:shd w:val="clear" w:color="auto" w:fill="B9CDE5"/>
            <w:vAlign w:val="center"/>
          </w:tcPr>
          <w:p w14:paraId="5EAE5DDA" w14:textId="05F153AC" w:rsidR="00640280" w:rsidRPr="00A27896" w:rsidRDefault="00640280" w:rsidP="00640280">
            <w:pPr>
              <w:pStyle w:val="Pamatteksts"/>
              <w:spacing w:after="0"/>
              <w:jc w:val="left"/>
              <w:rPr>
                <w:rFonts w:eastAsiaTheme="minorHAnsi"/>
                <w:b/>
                <w:noProof w:val="0"/>
                <w:color w:val="17365D"/>
                <w:sz w:val="20"/>
                <w:szCs w:val="22"/>
                <w:lang w:eastAsia="en-US"/>
              </w:rPr>
            </w:pPr>
            <w:r w:rsidRPr="00A27896">
              <w:rPr>
                <w:rFonts w:eastAsiaTheme="minorHAnsi"/>
                <w:b/>
                <w:noProof w:val="0"/>
                <w:color w:val="17365D"/>
                <w:sz w:val="20"/>
                <w:szCs w:val="22"/>
                <w:lang w:eastAsia="en-US"/>
              </w:rPr>
              <w:t>31.12.20</w:t>
            </w:r>
            <w:r w:rsidR="00B15B87" w:rsidRPr="00A27896">
              <w:rPr>
                <w:rFonts w:eastAsiaTheme="minorHAnsi"/>
                <w:b/>
                <w:noProof w:val="0"/>
                <w:color w:val="17365D"/>
                <w:sz w:val="20"/>
                <w:szCs w:val="22"/>
                <w:lang w:eastAsia="en-US"/>
              </w:rPr>
              <w:t>2</w:t>
            </w:r>
            <w:r w:rsidR="00AA3540" w:rsidRPr="00A27896">
              <w:rPr>
                <w:rFonts w:eastAsiaTheme="minorHAnsi"/>
                <w:b/>
                <w:noProof w:val="0"/>
                <w:color w:val="17365D"/>
                <w:sz w:val="20"/>
                <w:szCs w:val="22"/>
                <w:lang w:eastAsia="en-US"/>
              </w:rPr>
              <w:t>1</w:t>
            </w:r>
            <w:r w:rsidRPr="00A27896">
              <w:rPr>
                <w:rFonts w:eastAsiaTheme="minorHAnsi"/>
                <w:b/>
                <w:noProof w:val="0"/>
                <w:color w:val="17365D"/>
                <w:sz w:val="20"/>
                <w:szCs w:val="22"/>
                <w:lang w:eastAsia="en-US"/>
              </w:rPr>
              <w:t>.</w:t>
            </w:r>
          </w:p>
        </w:tc>
      </w:tr>
      <w:tr w:rsidR="00A27896" w:rsidRPr="00A27896" w14:paraId="6BED3699" w14:textId="77777777" w:rsidTr="00905AEC">
        <w:trPr>
          <w:trHeight w:val="58"/>
          <w:jc w:val="center"/>
        </w:trPr>
        <w:tc>
          <w:tcPr>
            <w:tcW w:w="1667" w:type="pct"/>
            <w:tcBorders>
              <w:top w:val="single" w:sz="4" w:space="0" w:color="17365D"/>
              <w:bottom w:val="single" w:sz="4" w:space="0" w:color="17365D"/>
            </w:tcBorders>
            <w:vAlign w:val="center"/>
          </w:tcPr>
          <w:p w14:paraId="3488D70A" w14:textId="77777777" w:rsidR="00AA3540" w:rsidRPr="00A27896" w:rsidRDefault="00AA3540" w:rsidP="00AA3540">
            <w:pPr>
              <w:pStyle w:val="Pamatteksts"/>
              <w:spacing w:after="0"/>
              <w:rPr>
                <w:rFonts w:eastAsiaTheme="minorHAnsi"/>
                <w:noProof w:val="0"/>
                <w:color w:val="17365D"/>
                <w:sz w:val="20"/>
                <w:szCs w:val="22"/>
                <w:lang w:eastAsia="en-US"/>
              </w:rPr>
            </w:pPr>
            <w:r w:rsidRPr="00A27896">
              <w:rPr>
                <w:rFonts w:eastAsiaTheme="minorHAnsi"/>
                <w:noProof w:val="0"/>
                <w:color w:val="17365D"/>
                <w:sz w:val="20"/>
                <w:szCs w:val="22"/>
                <w:lang w:eastAsia="en-US"/>
              </w:rPr>
              <w:t>USD</w:t>
            </w:r>
          </w:p>
        </w:tc>
        <w:tc>
          <w:tcPr>
            <w:tcW w:w="1667" w:type="pct"/>
            <w:tcBorders>
              <w:top w:val="single" w:sz="4" w:space="0" w:color="17365D"/>
              <w:bottom w:val="single" w:sz="4" w:space="0" w:color="17365D"/>
            </w:tcBorders>
            <w:vAlign w:val="center"/>
          </w:tcPr>
          <w:p w14:paraId="00AE7B85" w14:textId="6DACC7AF" w:rsidR="00AA3540" w:rsidRPr="00A27896" w:rsidRDefault="00AA3540" w:rsidP="00AA3540">
            <w:pPr>
              <w:pStyle w:val="Pamatteksts"/>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1.</w:t>
            </w:r>
            <w:r w:rsidR="005D330D" w:rsidRPr="00A27896">
              <w:rPr>
                <w:rFonts w:eastAsiaTheme="minorHAnsi"/>
                <w:noProof w:val="0"/>
                <w:color w:val="17365D"/>
                <w:sz w:val="20"/>
                <w:szCs w:val="22"/>
                <w:lang w:eastAsia="en-US"/>
              </w:rPr>
              <w:t>0666</w:t>
            </w:r>
          </w:p>
        </w:tc>
        <w:tc>
          <w:tcPr>
            <w:tcW w:w="1666" w:type="pct"/>
            <w:tcBorders>
              <w:top w:val="single" w:sz="4" w:space="0" w:color="17365D"/>
              <w:bottom w:val="single" w:sz="4" w:space="0" w:color="17365D"/>
            </w:tcBorders>
            <w:vAlign w:val="center"/>
          </w:tcPr>
          <w:p w14:paraId="40C54B79" w14:textId="1A4A04A5" w:rsidR="00AA3540" w:rsidRPr="00A27896" w:rsidRDefault="00AA3540" w:rsidP="00AA3540">
            <w:pPr>
              <w:pStyle w:val="Pamatteksts"/>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1.1326</w:t>
            </w:r>
          </w:p>
        </w:tc>
      </w:tr>
      <w:tr w:rsidR="00A27896" w:rsidRPr="00A27896" w14:paraId="02DC9FA6" w14:textId="77777777" w:rsidTr="00905AEC">
        <w:trPr>
          <w:jc w:val="center"/>
        </w:trPr>
        <w:tc>
          <w:tcPr>
            <w:tcW w:w="1667" w:type="pct"/>
            <w:tcBorders>
              <w:top w:val="single" w:sz="4" w:space="0" w:color="17365D"/>
              <w:bottom w:val="single" w:sz="4" w:space="0" w:color="17365D"/>
            </w:tcBorders>
            <w:vAlign w:val="center"/>
          </w:tcPr>
          <w:p w14:paraId="0654887E" w14:textId="77777777" w:rsidR="00AA3540" w:rsidRPr="00A27896" w:rsidRDefault="00AA3540" w:rsidP="00AA3540">
            <w:pPr>
              <w:pStyle w:val="Pamatteksts"/>
              <w:spacing w:after="0"/>
              <w:rPr>
                <w:rFonts w:eastAsiaTheme="minorHAnsi"/>
                <w:noProof w:val="0"/>
                <w:color w:val="17365D"/>
                <w:sz w:val="20"/>
                <w:szCs w:val="22"/>
                <w:lang w:eastAsia="en-US"/>
              </w:rPr>
            </w:pPr>
            <w:r w:rsidRPr="00A27896">
              <w:rPr>
                <w:rFonts w:eastAsiaTheme="minorHAnsi"/>
                <w:noProof w:val="0"/>
                <w:color w:val="17365D"/>
                <w:sz w:val="20"/>
                <w:szCs w:val="22"/>
                <w:lang w:eastAsia="en-US"/>
              </w:rPr>
              <w:t>CHF</w:t>
            </w:r>
          </w:p>
        </w:tc>
        <w:tc>
          <w:tcPr>
            <w:tcW w:w="1667" w:type="pct"/>
            <w:tcBorders>
              <w:top w:val="single" w:sz="4" w:space="0" w:color="17365D"/>
              <w:bottom w:val="single" w:sz="4" w:space="0" w:color="17365D"/>
            </w:tcBorders>
            <w:vAlign w:val="center"/>
          </w:tcPr>
          <w:p w14:paraId="7404F574" w14:textId="01DCB9C7" w:rsidR="00AA3540" w:rsidRPr="00A27896" w:rsidRDefault="00AA3540" w:rsidP="00AA3540">
            <w:pPr>
              <w:pStyle w:val="Pamatteksts"/>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1.</w:t>
            </w:r>
            <w:r w:rsidR="005D330D" w:rsidRPr="00A27896">
              <w:rPr>
                <w:rFonts w:eastAsiaTheme="minorHAnsi"/>
                <w:noProof w:val="0"/>
                <w:color w:val="17365D"/>
                <w:sz w:val="20"/>
                <w:szCs w:val="22"/>
                <w:lang w:eastAsia="en-US"/>
              </w:rPr>
              <w:t>9847</w:t>
            </w:r>
          </w:p>
        </w:tc>
        <w:tc>
          <w:tcPr>
            <w:tcW w:w="1666" w:type="pct"/>
            <w:tcBorders>
              <w:top w:val="single" w:sz="4" w:space="0" w:color="17365D"/>
              <w:bottom w:val="single" w:sz="4" w:space="0" w:color="17365D"/>
            </w:tcBorders>
            <w:vAlign w:val="center"/>
          </w:tcPr>
          <w:p w14:paraId="7D495F5E" w14:textId="622F58C7" w:rsidR="00AA3540" w:rsidRPr="00A27896" w:rsidRDefault="00AA3540" w:rsidP="00AA3540">
            <w:pPr>
              <w:pStyle w:val="Pamatteksts"/>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1.0331</w:t>
            </w:r>
          </w:p>
        </w:tc>
      </w:tr>
      <w:tr w:rsidR="00A27896" w:rsidRPr="00A27896" w14:paraId="33E62AAC" w14:textId="77777777" w:rsidTr="00905AEC">
        <w:trPr>
          <w:jc w:val="center"/>
        </w:trPr>
        <w:tc>
          <w:tcPr>
            <w:tcW w:w="1667" w:type="pct"/>
            <w:tcBorders>
              <w:top w:val="single" w:sz="4" w:space="0" w:color="17365D"/>
              <w:bottom w:val="single" w:sz="4" w:space="0" w:color="17365D"/>
            </w:tcBorders>
            <w:vAlign w:val="center"/>
          </w:tcPr>
          <w:p w14:paraId="64E55894" w14:textId="77777777" w:rsidR="00AA3540" w:rsidRPr="00A27896" w:rsidRDefault="00AA3540" w:rsidP="00AA3540">
            <w:pPr>
              <w:pStyle w:val="Pamatteksts"/>
              <w:spacing w:after="0"/>
              <w:rPr>
                <w:rFonts w:eastAsiaTheme="minorHAnsi"/>
                <w:noProof w:val="0"/>
                <w:color w:val="17365D"/>
                <w:sz w:val="20"/>
                <w:szCs w:val="22"/>
                <w:lang w:eastAsia="en-US"/>
              </w:rPr>
            </w:pPr>
            <w:r w:rsidRPr="00A27896">
              <w:rPr>
                <w:rFonts w:eastAsiaTheme="minorHAnsi"/>
                <w:noProof w:val="0"/>
                <w:color w:val="17365D"/>
                <w:sz w:val="20"/>
                <w:szCs w:val="22"/>
                <w:lang w:eastAsia="en-US"/>
              </w:rPr>
              <w:t>GBP</w:t>
            </w:r>
          </w:p>
        </w:tc>
        <w:tc>
          <w:tcPr>
            <w:tcW w:w="1667" w:type="pct"/>
            <w:tcBorders>
              <w:top w:val="single" w:sz="4" w:space="0" w:color="17365D"/>
              <w:bottom w:val="single" w:sz="4" w:space="0" w:color="17365D"/>
            </w:tcBorders>
            <w:vAlign w:val="center"/>
          </w:tcPr>
          <w:p w14:paraId="4D84053A" w14:textId="1A658925" w:rsidR="00AA3540" w:rsidRPr="00A27896" w:rsidRDefault="00AA3540" w:rsidP="00AA3540">
            <w:pPr>
              <w:pStyle w:val="Pamatteksts"/>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0.</w:t>
            </w:r>
            <w:r w:rsidR="005D330D" w:rsidRPr="00A27896">
              <w:rPr>
                <w:rFonts w:eastAsiaTheme="minorHAnsi"/>
                <w:noProof w:val="0"/>
                <w:color w:val="17365D"/>
                <w:sz w:val="20"/>
                <w:szCs w:val="22"/>
                <w:lang w:eastAsia="en-US"/>
              </w:rPr>
              <w:t>88693</w:t>
            </w:r>
          </w:p>
        </w:tc>
        <w:tc>
          <w:tcPr>
            <w:tcW w:w="1666" w:type="pct"/>
            <w:tcBorders>
              <w:top w:val="single" w:sz="4" w:space="0" w:color="17365D"/>
              <w:bottom w:val="single" w:sz="4" w:space="0" w:color="17365D"/>
            </w:tcBorders>
            <w:vAlign w:val="center"/>
          </w:tcPr>
          <w:p w14:paraId="5CC95C48" w14:textId="1F187C8E" w:rsidR="00AA3540" w:rsidRPr="00A27896" w:rsidRDefault="00AA3540" w:rsidP="00AA3540">
            <w:pPr>
              <w:pStyle w:val="Pamatteksts"/>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0.84028</w:t>
            </w:r>
          </w:p>
        </w:tc>
      </w:tr>
      <w:tr w:rsidR="00A27896" w:rsidRPr="00A27896" w14:paraId="2EA2763F" w14:textId="77777777" w:rsidTr="00905AEC">
        <w:trPr>
          <w:jc w:val="center"/>
        </w:trPr>
        <w:tc>
          <w:tcPr>
            <w:tcW w:w="1667" w:type="pct"/>
            <w:tcBorders>
              <w:top w:val="single" w:sz="4" w:space="0" w:color="17365D"/>
              <w:bottom w:val="single" w:sz="4" w:space="0" w:color="17365D"/>
            </w:tcBorders>
            <w:vAlign w:val="center"/>
          </w:tcPr>
          <w:p w14:paraId="1FFFCD45" w14:textId="77777777" w:rsidR="00AA3540" w:rsidRPr="00A27896" w:rsidRDefault="00AA3540" w:rsidP="00AA3540">
            <w:pPr>
              <w:pStyle w:val="Pamatteksts"/>
              <w:spacing w:after="0"/>
              <w:rPr>
                <w:rFonts w:eastAsiaTheme="minorHAnsi"/>
                <w:noProof w:val="0"/>
                <w:color w:val="17365D"/>
                <w:sz w:val="20"/>
                <w:szCs w:val="22"/>
                <w:lang w:eastAsia="en-US"/>
              </w:rPr>
            </w:pPr>
            <w:r w:rsidRPr="00A27896">
              <w:rPr>
                <w:rFonts w:eastAsiaTheme="minorHAnsi"/>
                <w:noProof w:val="0"/>
                <w:color w:val="17365D"/>
                <w:sz w:val="20"/>
                <w:szCs w:val="22"/>
                <w:lang w:eastAsia="en-US"/>
              </w:rPr>
              <w:t>DKK</w:t>
            </w:r>
          </w:p>
        </w:tc>
        <w:tc>
          <w:tcPr>
            <w:tcW w:w="1667" w:type="pct"/>
            <w:tcBorders>
              <w:top w:val="single" w:sz="4" w:space="0" w:color="17365D"/>
              <w:bottom w:val="single" w:sz="4" w:space="0" w:color="17365D"/>
            </w:tcBorders>
            <w:vAlign w:val="center"/>
          </w:tcPr>
          <w:p w14:paraId="3372A02A" w14:textId="50E3480C" w:rsidR="00AA3540" w:rsidRPr="00A27896" w:rsidRDefault="00AA3540" w:rsidP="00AA3540">
            <w:pPr>
              <w:pStyle w:val="Pamatteksts"/>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7.436</w:t>
            </w:r>
            <w:r w:rsidR="005D330D" w:rsidRPr="00A27896">
              <w:rPr>
                <w:rFonts w:eastAsiaTheme="minorHAnsi"/>
                <w:noProof w:val="0"/>
                <w:color w:val="17365D"/>
                <w:sz w:val="20"/>
                <w:szCs w:val="22"/>
                <w:lang w:eastAsia="en-US"/>
              </w:rPr>
              <w:t>5</w:t>
            </w:r>
          </w:p>
        </w:tc>
        <w:tc>
          <w:tcPr>
            <w:tcW w:w="1666" w:type="pct"/>
            <w:tcBorders>
              <w:top w:val="single" w:sz="4" w:space="0" w:color="17365D"/>
              <w:bottom w:val="single" w:sz="4" w:space="0" w:color="17365D"/>
            </w:tcBorders>
            <w:vAlign w:val="center"/>
          </w:tcPr>
          <w:p w14:paraId="4F774BC4" w14:textId="0DB11C06" w:rsidR="00AA3540" w:rsidRPr="00A27896" w:rsidRDefault="00AA3540" w:rsidP="00AA3540">
            <w:pPr>
              <w:pStyle w:val="Pamatteksts"/>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7.4364</w:t>
            </w:r>
          </w:p>
        </w:tc>
      </w:tr>
      <w:tr w:rsidR="00A27896" w:rsidRPr="00A27896" w14:paraId="01108BD4" w14:textId="77777777" w:rsidTr="00905AEC">
        <w:trPr>
          <w:jc w:val="center"/>
        </w:trPr>
        <w:tc>
          <w:tcPr>
            <w:tcW w:w="1667" w:type="pct"/>
            <w:tcBorders>
              <w:top w:val="single" w:sz="4" w:space="0" w:color="17365D"/>
              <w:bottom w:val="single" w:sz="4" w:space="0" w:color="17365D"/>
            </w:tcBorders>
            <w:vAlign w:val="center"/>
          </w:tcPr>
          <w:p w14:paraId="299F12C6" w14:textId="77777777" w:rsidR="00AA3540" w:rsidRPr="00A27896" w:rsidRDefault="00AA3540" w:rsidP="00AA3540">
            <w:pPr>
              <w:pStyle w:val="Pamatteksts"/>
              <w:spacing w:after="0"/>
              <w:rPr>
                <w:rFonts w:eastAsiaTheme="minorHAnsi"/>
                <w:noProof w:val="0"/>
                <w:color w:val="17365D"/>
                <w:sz w:val="20"/>
                <w:szCs w:val="22"/>
                <w:lang w:eastAsia="en-US"/>
              </w:rPr>
            </w:pPr>
            <w:r w:rsidRPr="00A27896">
              <w:rPr>
                <w:rFonts w:eastAsiaTheme="minorHAnsi"/>
                <w:noProof w:val="0"/>
                <w:color w:val="17365D"/>
                <w:sz w:val="20"/>
                <w:szCs w:val="22"/>
                <w:lang w:eastAsia="en-US"/>
              </w:rPr>
              <w:t>SEK</w:t>
            </w:r>
          </w:p>
        </w:tc>
        <w:tc>
          <w:tcPr>
            <w:tcW w:w="1667" w:type="pct"/>
            <w:tcBorders>
              <w:top w:val="single" w:sz="4" w:space="0" w:color="17365D"/>
              <w:bottom w:val="single" w:sz="4" w:space="0" w:color="17365D"/>
            </w:tcBorders>
            <w:vAlign w:val="center"/>
          </w:tcPr>
          <w:p w14:paraId="569FFF22" w14:textId="5A38E390" w:rsidR="00AA3540" w:rsidRPr="00A27896" w:rsidRDefault="005D330D" w:rsidP="00AA3540">
            <w:pPr>
              <w:pStyle w:val="Pamatteksts"/>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11.121</w:t>
            </w:r>
            <w:r w:rsidR="00E83900" w:rsidRPr="00A27896">
              <w:rPr>
                <w:rFonts w:eastAsiaTheme="minorHAnsi"/>
                <w:noProof w:val="0"/>
                <w:color w:val="17365D"/>
                <w:sz w:val="20"/>
                <w:szCs w:val="22"/>
                <w:lang w:eastAsia="en-US"/>
              </w:rPr>
              <w:t>8</w:t>
            </w:r>
          </w:p>
        </w:tc>
        <w:tc>
          <w:tcPr>
            <w:tcW w:w="1666" w:type="pct"/>
            <w:tcBorders>
              <w:top w:val="single" w:sz="4" w:space="0" w:color="17365D"/>
              <w:bottom w:val="single" w:sz="4" w:space="0" w:color="17365D"/>
            </w:tcBorders>
            <w:vAlign w:val="center"/>
          </w:tcPr>
          <w:p w14:paraId="530BA6F3" w14:textId="522277FA" w:rsidR="00AA3540" w:rsidRPr="00A27896" w:rsidRDefault="00E83900" w:rsidP="00AA3540">
            <w:pPr>
              <w:pStyle w:val="Pamatteksts"/>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10.2503</w:t>
            </w:r>
          </w:p>
        </w:tc>
      </w:tr>
      <w:tr w:rsidR="00A27896" w:rsidRPr="00A27896" w14:paraId="215C8C27" w14:textId="77777777" w:rsidTr="00905AEC">
        <w:trPr>
          <w:jc w:val="center"/>
        </w:trPr>
        <w:tc>
          <w:tcPr>
            <w:tcW w:w="1667" w:type="pct"/>
            <w:tcBorders>
              <w:top w:val="single" w:sz="4" w:space="0" w:color="17365D"/>
              <w:bottom w:val="single" w:sz="4" w:space="0" w:color="17365D"/>
            </w:tcBorders>
            <w:vAlign w:val="center"/>
          </w:tcPr>
          <w:p w14:paraId="72D0E56E" w14:textId="77777777" w:rsidR="00AA3540" w:rsidRPr="00A27896" w:rsidRDefault="00AA3540" w:rsidP="00AA3540">
            <w:pPr>
              <w:pStyle w:val="Pamatteksts"/>
              <w:spacing w:after="0"/>
              <w:rPr>
                <w:rFonts w:eastAsiaTheme="minorHAnsi"/>
                <w:noProof w:val="0"/>
                <w:color w:val="17365D"/>
                <w:sz w:val="20"/>
                <w:szCs w:val="22"/>
                <w:lang w:eastAsia="en-US"/>
              </w:rPr>
            </w:pPr>
            <w:r w:rsidRPr="00A27896">
              <w:rPr>
                <w:rFonts w:eastAsiaTheme="minorHAnsi"/>
                <w:noProof w:val="0"/>
                <w:color w:val="17365D"/>
                <w:sz w:val="20"/>
                <w:szCs w:val="22"/>
                <w:lang w:eastAsia="en-US"/>
              </w:rPr>
              <w:t>XDR</w:t>
            </w:r>
          </w:p>
        </w:tc>
        <w:tc>
          <w:tcPr>
            <w:tcW w:w="1667" w:type="pct"/>
            <w:tcBorders>
              <w:top w:val="single" w:sz="4" w:space="0" w:color="17365D"/>
              <w:bottom w:val="single" w:sz="4" w:space="0" w:color="17365D"/>
            </w:tcBorders>
            <w:vAlign w:val="center"/>
          </w:tcPr>
          <w:p w14:paraId="52FEAD9D" w14:textId="6FE40C21" w:rsidR="00AA3540" w:rsidRPr="00A27896" w:rsidRDefault="00AA3540" w:rsidP="00AA3540">
            <w:pPr>
              <w:pStyle w:val="Pamatteksts"/>
              <w:spacing w:after="0"/>
              <w:jc w:val="left"/>
              <w:rPr>
                <w:rFonts w:eastAsiaTheme="minorHAnsi"/>
                <w:noProof w:val="0"/>
                <w:color w:val="17365D"/>
                <w:sz w:val="20"/>
                <w:szCs w:val="22"/>
                <w:highlight w:val="yellow"/>
                <w:lang w:eastAsia="en-US"/>
              </w:rPr>
            </w:pPr>
            <w:r w:rsidRPr="00A27896">
              <w:rPr>
                <w:rFonts w:eastAsiaTheme="minorHAnsi"/>
                <w:noProof w:val="0"/>
                <w:color w:val="17365D"/>
                <w:sz w:val="20"/>
                <w:szCs w:val="22"/>
                <w:lang w:eastAsia="en-US"/>
              </w:rPr>
              <w:t>0.</w:t>
            </w:r>
            <w:r w:rsidR="00B548DE" w:rsidRPr="00A27896">
              <w:rPr>
                <w:rFonts w:eastAsiaTheme="minorHAnsi"/>
                <w:noProof w:val="0"/>
                <w:color w:val="17365D"/>
                <w:sz w:val="20"/>
                <w:szCs w:val="22"/>
                <w:lang w:eastAsia="en-US"/>
              </w:rPr>
              <w:t>801601</w:t>
            </w:r>
            <w:r w:rsidRPr="00A27896" w:rsidDel="00384D96">
              <w:rPr>
                <w:rFonts w:eastAsiaTheme="minorHAnsi"/>
                <w:noProof w:val="0"/>
                <w:color w:val="17365D"/>
                <w:sz w:val="20"/>
                <w:szCs w:val="22"/>
                <w:lang w:eastAsia="en-US"/>
              </w:rPr>
              <w:t xml:space="preserve"> </w:t>
            </w:r>
          </w:p>
        </w:tc>
        <w:tc>
          <w:tcPr>
            <w:tcW w:w="1666" w:type="pct"/>
            <w:tcBorders>
              <w:top w:val="single" w:sz="4" w:space="0" w:color="17365D"/>
              <w:bottom w:val="single" w:sz="4" w:space="0" w:color="17365D"/>
            </w:tcBorders>
            <w:vAlign w:val="center"/>
          </w:tcPr>
          <w:p w14:paraId="0F5740C5" w14:textId="130F7E28" w:rsidR="00AA3540" w:rsidRPr="00A27896" w:rsidRDefault="00AA3540" w:rsidP="00AA3540">
            <w:pPr>
              <w:pStyle w:val="Pamatteksts"/>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0.8886</w:t>
            </w:r>
            <w:r w:rsidRPr="00A27896" w:rsidDel="00384D96">
              <w:rPr>
                <w:rFonts w:eastAsiaTheme="minorHAnsi"/>
                <w:noProof w:val="0"/>
                <w:color w:val="17365D"/>
                <w:sz w:val="20"/>
                <w:szCs w:val="22"/>
                <w:lang w:eastAsia="en-US"/>
              </w:rPr>
              <w:t xml:space="preserve"> </w:t>
            </w:r>
          </w:p>
        </w:tc>
      </w:tr>
      <w:tr w:rsidR="000C1009" w:rsidRPr="00A27896" w14:paraId="5A9D14C5" w14:textId="77777777" w:rsidTr="00905AEC">
        <w:trPr>
          <w:trHeight w:val="58"/>
          <w:jc w:val="center"/>
        </w:trPr>
        <w:tc>
          <w:tcPr>
            <w:tcW w:w="1667" w:type="pct"/>
            <w:tcBorders>
              <w:top w:val="single" w:sz="4" w:space="0" w:color="17365D"/>
            </w:tcBorders>
            <w:shd w:val="clear" w:color="auto" w:fill="B9CDE5"/>
          </w:tcPr>
          <w:p w14:paraId="76796BB0" w14:textId="77777777" w:rsidR="00954F0C" w:rsidRPr="00A27896" w:rsidRDefault="00954F0C" w:rsidP="00B732C5">
            <w:pPr>
              <w:pStyle w:val="Pamatteksts"/>
              <w:spacing w:after="0"/>
              <w:jc w:val="center"/>
              <w:rPr>
                <w:rFonts w:eastAsiaTheme="minorHAnsi"/>
                <w:noProof w:val="0"/>
                <w:color w:val="17365D"/>
                <w:sz w:val="20"/>
                <w:szCs w:val="22"/>
                <w:lang w:eastAsia="en-US"/>
              </w:rPr>
            </w:pPr>
          </w:p>
        </w:tc>
        <w:tc>
          <w:tcPr>
            <w:tcW w:w="1667" w:type="pct"/>
            <w:tcBorders>
              <w:top w:val="single" w:sz="4" w:space="0" w:color="17365D"/>
            </w:tcBorders>
            <w:shd w:val="clear" w:color="auto" w:fill="B9CDE5"/>
          </w:tcPr>
          <w:p w14:paraId="2B252FA2" w14:textId="77777777" w:rsidR="00954F0C" w:rsidRPr="00A27896" w:rsidRDefault="00954F0C" w:rsidP="00815152">
            <w:pPr>
              <w:pStyle w:val="Pamatteksts"/>
              <w:spacing w:after="0"/>
              <w:rPr>
                <w:rFonts w:eastAsiaTheme="minorHAnsi"/>
                <w:noProof w:val="0"/>
                <w:color w:val="17365D"/>
                <w:sz w:val="20"/>
                <w:szCs w:val="22"/>
                <w:lang w:eastAsia="en-US"/>
              </w:rPr>
            </w:pPr>
          </w:p>
        </w:tc>
        <w:tc>
          <w:tcPr>
            <w:tcW w:w="1666" w:type="pct"/>
            <w:tcBorders>
              <w:top w:val="single" w:sz="4" w:space="0" w:color="17365D"/>
            </w:tcBorders>
            <w:shd w:val="clear" w:color="auto" w:fill="B9CDE5"/>
          </w:tcPr>
          <w:p w14:paraId="4CA11485" w14:textId="77777777" w:rsidR="00954F0C" w:rsidRPr="00A27896" w:rsidRDefault="00954F0C" w:rsidP="00815152">
            <w:pPr>
              <w:pStyle w:val="Pamatteksts"/>
              <w:spacing w:after="0"/>
              <w:rPr>
                <w:rFonts w:eastAsiaTheme="minorHAnsi"/>
                <w:noProof w:val="0"/>
                <w:color w:val="17365D"/>
                <w:sz w:val="20"/>
                <w:szCs w:val="22"/>
                <w:lang w:eastAsia="en-US"/>
              </w:rPr>
            </w:pPr>
          </w:p>
        </w:tc>
      </w:tr>
    </w:tbl>
    <w:p w14:paraId="5732BD54" w14:textId="77777777" w:rsidR="00954F0C" w:rsidRPr="00A27896" w:rsidRDefault="00954F0C" w:rsidP="00FD10CC">
      <w:pPr>
        <w:pStyle w:val="Heading3"/>
      </w:pPr>
      <w:bookmarkStart w:id="3" w:name="_Toc42846490"/>
      <w:r w:rsidRPr="00A27896">
        <w:lastRenderedPageBreak/>
        <w:t>Aplēšu izmantošana</w:t>
      </w:r>
      <w:bookmarkEnd w:id="3"/>
    </w:p>
    <w:p w14:paraId="509631B5" w14:textId="77777777" w:rsidR="00954F0C" w:rsidRPr="00A27896" w:rsidRDefault="00954F0C" w:rsidP="00E83900">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Sagatavojot finanšu pārskatu, ņemtas vērā aplēses un pieņēmumi, kas ietekmējuši atsevišķu posteņu atlikumus, kā arī iespējamo aktīvu un saistību novērtējumu. Iespējamie nākotnes notikumi var ietekmēt pieņēmumus, pamatojoties uz kuriem veiktas attiecīgās aplēses.</w:t>
      </w:r>
    </w:p>
    <w:p w14:paraId="2CFDBFB3" w14:textId="56F08ADA" w:rsidR="00954F0C" w:rsidRPr="00A27896" w:rsidRDefault="00954F0C" w:rsidP="00E83900">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Finanšu pārskata posteņu novērtēšanā izmantotās aplēses un pieņēmumi aprakstīti sadaļā “Grāmatvedības uzskaites principu apraksts” pie katra attiecīgā posteņa.</w:t>
      </w:r>
      <w:r w:rsidR="00560E2F" w:rsidRPr="00A27896">
        <w:rPr>
          <w:rFonts w:eastAsiaTheme="minorHAnsi"/>
          <w:noProof w:val="0"/>
          <w:color w:val="17365D"/>
          <w:szCs w:val="22"/>
          <w:lang w:eastAsia="en-US"/>
        </w:rPr>
        <w:t xml:space="preserve"> Pārskata gadā aplēšu metodes maiņa nav veikta.</w:t>
      </w:r>
    </w:p>
    <w:p w14:paraId="1DB012CA" w14:textId="1FEB9BBB" w:rsidR="00954F0C" w:rsidRPr="00A27896" w:rsidRDefault="00954F0C" w:rsidP="00292A3B">
      <w:pPr>
        <w:pStyle w:val="Heading3"/>
        <w:tabs>
          <w:tab w:val="left" w:pos="7263"/>
        </w:tabs>
      </w:pPr>
      <w:bookmarkStart w:id="4" w:name="_Toc42846491"/>
      <w:r w:rsidRPr="00A27896">
        <w:t>Būtiskuma līmenis</w:t>
      </w:r>
      <w:bookmarkEnd w:id="4"/>
      <w:r w:rsidRPr="00A27896">
        <w:t xml:space="preserve"> </w:t>
      </w:r>
      <w:r w:rsidR="00292A3B" w:rsidRPr="00A27896">
        <w:tab/>
      </w:r>
    </w:p>
    <w:p w14:paraId="06CDA448" w14:textId="5AAD6AEC" w:rsidR="00954F0C" w:rsidRPr="00A27896" w:rsidRDefault="00954F0C" w:rsidP="00815152">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Finanšu pārskata pielikums sagatavots, ņemot vērā Saimnieciskā gada pārskatam noteikto būtiskuma līmeni, kā arī Valsts kases noteikto būtiskuma līmeni budžeta iestāžu 20</w:t>
      </w:r>
      <w:r w:rsidR="00640280" w:rsidRPr="00A27896">
        <w:rPr>
          <w:rFonts w:eastAsiaTheme="minorHAnsi"/>
          <w:noProof w:val="0"/>
          <w:color w:val="17365D"/>
          <w:szCs w:val="22"/>
          <w:lang w:eastAsia="en-US"/>
        </w:rPr>
        <w:t>2</w:t>
      </w:r>
      <w:r w:rsidR="00AA3540" w:rsidRPr="00A27896">
        <w:rPr>
          <w:rFonts w:eastAsiaTheme="minorHAnsi"/>
          <w:noProof w:val="0"/>
          <w:color w:val="17365D"/>
          <w:szCs w:val="22"/>
          <w:lang w:eastAsia="en-US"/>
        </w:rPr>
        <w:t>2</w:t>
      </w:r>
      <w:r w:rsidRPr="00A27896">
        <w:rPr>
          <w:rFonts w:eastAsiaTheme="minorHAnsi"/>
          <w:noProof w:val="0"/>
          <w:color w:val="17365D"/>
          <w:szCs w:val="22"/>
          <w:lang w:eastAsia="en-US"/>
        </w:rPr>
        <w:t xml:space="preserve">. gada konsolidēto gada pārskatu </w:t>
      </w:r>
      <w:r w:rsidR="00202CF6" w:rsidRPr="00A27896">
        <w:rPr>
          <w:rFonts w:eastAsiaTheme="minorHAnsi"/>
          <w:noProof w:val="0"/>
          <w:color w:val="17365D"/>
          <w:szCs w:val="22"/>
          <w:lang w:eastAsia="en-US"/>
        </w:rPr>
        <w:t xml:space="preserve">un Valsts kases un </w:t>
      </w:r>
      <w:r w:rsidR="00141376" w:rsidRPr="00A27896">
        <w:rPr>
          <w:rFonts w:eastAsiaTheme="minorHAnsi"/>
          <w:noProof w:val="0"/>
          <w:color w:val="17365D"/>
          <w:szCs w:val="22"/>
          <w:lang w:eastAsia="en-US"/>
        </w:rPr>
        <w:t>VID</w:t>
      </w:r>
      <w:r w:rsidR="00202CF6" w:rsidRPr="00A27896">
        <w:rPr>
          <w:rFonts w:eastAsiaTheme="minorHAnsi"/>
          <w:noProof w:val="0"/>
          <w:color w:val="17365D"/>
          <w:szCs w:val="22"/>
          <w:lang w:eastAsia="en-US"/>
        </w:rPr>
        <w:t xml:space="preserve"> ikgadējo pārskatu </w:t>
      </w:r>
      <w:r w:rsidRPr="00A27896">
        <w:rPr>
          <w:rFonts w:eastAsiaTheme="minorHAnsi"/>
          <w:noProof w:val="0"/>
          <w:color w:val="17365D"/>
          <w:szCs w:val="22"/>
          <w:lang w:eastAsia="en-US"/>
        </w:rPr>
        <w:t xml:space="preserve">posteņu izmaiņu skaidrojumiem, kas publicēts </w:t>
      </w:r>
      <w:hyperlink r:id="rId11" w:history="1">
        <w:r w:rsidR="00FF3900" w:rsidRPr="00A27896">
          <w:rPr>
            <w:rStyle w:val="Hyperlink"/>
            <w:rFonts w:eastAsiaTheme="minorHAnsi"/>
            <w:noProof w:val="0"/>
            <w:color w:val="17365D"/>
            <w:szCs w:val="22"/>
            <w:lang w:eastAsia="en-US"/>
          </w:rPr>
          <w:t>Valsts kases tīmekļa vietnē</w:t>
        </w:r>
      </w:hyperlink>
      <w:r w:rsidRPr="00A27896">
        <w:rPr>
          <w:rFonts w:eastAsiaTheme="minorHAnsi"/>
          <w:noProof w:val="0"/>
          <w:color w:val="17365D"/>
          <w:szCs w:val="22"/>
          <w:lang w:eastAsia="en-US"/>
        </w:rPr>
        <w:t xml:space="preserve">. </w:t>
      </w:r>
    </w:p>
    <w:p w14:paraId="1A2409EB" w14:textId="77777777" w:rsidR="00954F0C" w:rsidRPr="00A27896" w:rsidRDefault="00954F0C" w:rsidP="00815152">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 xml:space="preserve">Budžeta iestādes grāmatvedības uzskaitē piemēro attiecīgās ministrijas, centrālās valsts iestādes un pašvaldības noteikto būtiskuma līmeni saskaņā ar tās vienoto grāmatvedības uzskaites kārtību, ko ievēro visas finanšu pārskatu konsolidācijā iesaistītās iestādes. </w:t>
      </w:r>
    </w:p>
    <w:p w14:paraId="739D32D7" w14:textId="71674A3C" w:rsidR="00954F0C" w:rsidRPr="00A27896" w:rsidRDefault="00954F0C" w:rsidP="00FD10CC">
      <w:pPr>
        <w:pStyle w:val="Heading3"/>
      </w:pPr>
      <w:r w:rsidRPr="00A27896">
        <w:t xml:space="preserve">Iepriekšējo periodu kļūdu labojumi </w:t>
      </w:r>
    </w:p>
    <w:p w14:paraId="70B46454" w14:textId="2500A51C" w:rsidR="00954F0C" w:rsidRPr="00A27896" w:rsidRDefault="00954F0C" w:rsidP="00815152">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Būtiski iepriekšējo pārskata periodu kļūdu labojumi budžeta iestāžu grāmatvedības uzskaitē veikti, pamatojoties uz Valsts kases noteikto būtiskuma līmeni 20</w:t>
      </w:r>
      <w:r w:rsidR="00640280" w:rsidRPr="00A27896">
        <w:rPr>
          <w:rFonts w:eastAsiaTheme="minorHAnsi"/>
          <w:noProof w:val="0"/>
          <w:color w:val="17365D"/>
          <w:szCs w:val="22"/>
          <w:lang w:eastAsia="en-US"/>
        </w:rPr>
        <w:t>2</w:t>
      </w:r>
      <w:r w:rsidR="00811615" w:rsidRPr="00A27896">
        <w:rPr>
          <w:rFonts w:eastAsiaTheme="minorHAnsi"/>
          <w:noProof w:val="0"/>
          <w:color w:val="17365D"/>
          <w:szCs w:val="22"/>
          <w:lang w:eastAsia="en-US"/>
        </w:rPr>
        <w:t>2</w:t>
      </w:r>
      <w:r w:rsidRPr="00A27896">
        <w:rPr>
          <w:rFonts w:eastAsiaTheme="minorHAnsi"/>
          <w:noProof w:val="0"/>
          <w:color w:val="17365D"/>
          <w:szCs w:val="22"/>
          <w:lang w:eastAsia="en-US"/>
        </w:rPr>
        <w:t>. gadam katrai budžeta iestādei,</w:t>
      </w:r>
      <w:r w:rsidR="00A319DC" w:rsidRPr="00A27896">
        <w:rPr>
          <w:rFonts w:eastAsiaTheme="minorHAnsi"/>
          <w:noProof w:val="0"/>
          <w:color w:val="17365D"/>
          <w:szCs w:val="22"/>
          <w:lang w:eastAsia="en-US"/>
        </w:rPr>
        <w:t xml:space="preserve"> tai skaitā Valsts kases valsts budžeta finanšu uzskaites nodrošināšanai un </w:t>
      </w:r>
      <w:r w:rsidR="0089663F" w:rsidRPr="00A27896">
        <w:rPr>
          <w:rFonts w:eastAsiaTheme="minorHAnsi"/>
          <w:noProof w:val="0"/>
          <w:color w:val="17365D"/>
          <w:szCs w:val="22"/>
          <w:lang w:eastAsia="en-US"/>
        </w:rPr>
        <w:t>VID</w:t>
      </w:r>
      <w:r w:rsidR="00A319DC" w:rsidRPr="00A27896">
        <w:rPr>
          <w:rFonts w:eastAsiaTheme="minorHAnsi"/>
          <w:noProof w:val="0"/>
          <w:color w:val="17365D"/>
          <w:szCs w:val="22"/>
          <w:lang w:eastAsia="en-US"/>
        </w:rPr>
        <w:t xml:space="preserve"> administrēto valsts budžeta ieņēmumu grāmatvedības uzskaites nodrošināšanai,</w:t>
      </w:r>
      <w:r w:rsidRPr="00A27896">
        <w:rPr>
          <w:rFonts w:eastAsiaTheme="minorHAnsi"/>
          <w:noProof w:val="0"/>
          <w:color w:val="17365D"/>
          <w:szCs w:val="22"/>
          <w:lang w:eastAsia="en-US"/>
        </w:rPr>
        <w:t xml:space="preserve"> </w:t>
      </w:r>
      <w:r w:rsidR="00CB303F" w:rsidRPr="00A27896">
        <w:rPr>
          <w:rFonts w:eastAsiaTheme="minorHAnsi"/>
          <w:noProof w:val="0"/>
          <w:color w:val="17365D"/>
          <w:szCs w:val="22"/>
          <w:lang w:eastAsia="en-US"/>
        </w:rPr>
        <w:t xml:space="preserve">kas publicēts </w:t>
      </w:r>
      <w:hyperlink r:id="rId12" w:history="1">
        <w:r w:rsidR="00CB303F" w:rsidRPr="00A27896">
          <w:rPr>
            <w:rStyle w:val="Hyperlink"/>
            <w:rFonts w:eastAsiaTheme="minorHAnsi"/>
            <w:noProof w:val="0"/>
            <w:color w:val="17365D"/>
            <w:szCs w:val="22"/>
            <w:lang w:eastAsia="en-US"/>
          </w:rPr>
          <w:t>Valsts kases tīmekļa vietnē</w:t>
        </w:r>
      </w:hyperlink>
      <w:r w:rsidRPr="00A27896">
        <w:rPr>
          <w:rFonts w:eastAsiaTheme="minorHAnsi"/>
          <w:noProof w:val="0"/>
          <w:color w:val="17365D"/>
          <w:szCs w:val="22"/>
          <w:lang w:eastAsia="en-US"/>
        </w:rPr>
        <w:t>.</w:t>
      </w:r>
    </w:p>
    <w:p w14:paraId="3AB3A9FA" w14:textId="554171EA" w:rsidR="007A1E6A" w:rsidRPr="00A27896" w:rsidRDefault="007A1E6A" w:rsidP="00815152">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Konsolidētajam finanšu pārskatam būtis</w:t>
      </w:r>
      <w:r w:rsidR="000C1009" w:rsidRPr="00A27896">
        <w:rPr>
          <w:rFonts w:eastAsiaTheme="minorHAnsi"/>
          <w:noProof w:val="0"/>
          <w:color w:val="17365D"/>
          <w:szCs w:val="22"/>
          <w:lang w:eastAsia="en-US"/>
        </w:rPr>
        <w:t>k</w:t>
      </w:r>
      <w:r w:rsidRPr="00A27896">
        <w:rPr>
          <w:rFonts w:eastAsiaTheme="minorHAnsi"/>
          <w:noProof w:val="0"/>
          <w:color w:val="17365D"/>
          <w:szCs w:val="22"/>
          <w:lang w:eastAsia="en-US"/>
        </w:rPr>
        <w:t xml:space="preserve">uma līmenis kļūdu labojumiem noteikts </w:t>
      </w:r>
      <w:r w:rsidR="00431446" w:rsidRPr="00A27896">
        <w:rPr>
          <w:rFonts w:eastAsiaTheme="minorHAnsi"/>
          <w:noProof w:val="0"/>
          <w:color w:val="17365D"/>
          <w:szCs w:val="22"/>
          <w:lang w:eastAsia="en-US"/>
        </w:rPr>
        <w:t>7 500 000 </w:t>
      </w:r>
      <w:proofErr w:type="spellStart"/>
      <w:r w:rsidRPr="00A27896">
        <w:rPr>
          <w:rFonts w:eastAsiaTheme="minorHAnsi"/>
          <w:i/>
          <w:noProof w:val="0"/>
          <w:color w:val="17365D"/>
          <w:szCs w:val="22"/>
          <w:lang w:eastAsia="en-US"/>
        </w:rPr>
        <w:t>euro</w:t>
      </w:r>
      <w:proofErr w:type="spellEnd"/>
      <w:r w:rsidRPr="00A27896">
        <w:rPr>
          <w:rFonts w:eastAsiaTheme="minorHAnsi"/>
          <w:noProof w:val="0"/>
          <w:color w:val="17365D"/>
          <w:szCs w:val="22"/>
          <w:lang w:eastAsia="en-US"/>
        </w:rPr>
        <w:t>.</w:t>
      </w:r>
    </w:p>
    <w:p w14:paraId="5379DF07" w14:textId="77777777" w:rsidR="00954F0C" w:rsidRPr="00A27896" w:rsidRDefault="00954F0C" w:rsidP="00815152">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Ja ministriju, centrālo valsts iestāžu vai pašvaldību konsolidētajos gada pārskatos finanšu pārskatu posteņu atzīšanā, novērtējumā, izklāstā vai norādīšanā ir pieļautas būtiskas kļūdas, kas nav labotas auditētajos konsolidētajos gada pārskatos, tad Valsts kase koriģē finanšu pārskatu saskaņā ar Valsts kases iekšējos dokumentos noteikto būtiskuma līmeni par ministriju, centrālo valsts iestāžu un pašvaldību sniegtajiem būtiskiem koriģējošiem notikumiem pēc bilances datuma.</w:t>
      </w:r>
    </w:p>
    <w:p w14:paraId="056DFAC5" w14:textId="2297CA7F" w:rsidR="00954F0C" w:rsidRPr="00A27896" w:rsidRDefault="00954F0C" w:rsidP="00AD1BD1">
      <w:pPr>
        <w:pStyle w:val="Pamatteksts"/>
        <w:ind w:firstLine="284"/>
        <w:rPr>
          <w:rFonts w:eastAsiaTheme="minorHAnsi"/>
          <w:noProof w:val="0"/>
          <w:color w:val="17365D"/>
          <w:szCs w:val="22"/>
          <w:lang w:eastAsia="en-US"/>
        </w:rPr>
      </w:pPr>
      <w:r w:rsidRPr="00A27896">
        <w:rPr>
          <w:rFonts w:eastAsiaTheme="minorHAnsi"/>
          <w:noProof w:val="0"/>
          <w:color w:val="17365D"/>
          <w:szCs w:val="22"/>
          <w:lang w:eastAsia="en-US"/>
        </w:rPr>
        <w:t>Finanšu pārskatā būtisku iepriekšējo periodu kļūdu labojumi uzrādīti</w:t>
      </w:r>
      <w:r w:rsidR="00772CF8" w:rsidRPr="00A27896">
        <w:rPr>
          <w:rFonts w:eastAsiaTheme="minorHAnsi"/>
          <w:noProof w:val="0"/>
          <w:color w:val="17365D"/>
          <w:szCs w:val="22"/>
          <w:lang w:eastAsia="en-US"/>
        </w:rPr>
        <w:t>, koriģējot salīdzināmo informāciju</w:t>
      </w:r>
      <w:r w:rsidRPr="00A27896">
        <w:rPr>
          <w:rFonts w:eastAsiaTheme="minorHAnsi"/>
          <w:noProof w:val="0"/>
          <w:color w:val="17365D"/>
          <w:szCs w:val="22"/>
          <w:lang w:eastAsia="en-US"/>
        </w:rPr>
        <w:t>, korekcijas veicot:</w:t>
      </w:r>
    </w:p>
    <w:p w14:paraId="673A0845"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iepriekšējo gadu budžeta izpildes rezultātā;</w:t>
      </w:r>
    </w:p>
    <w:p w14:paraId="385C1B74"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atbilstošajā bilances aktīva vai pasīva postenī.</w:t>
      </w:r>
    </w:p>
    <w:p w14:paraId="4096098E" w14:textId="77777777" w:rsidR="00954F0C" w:rsidRPr="00A27896" w:rsidRDefault="00954F0C" w:rsidP="00815152">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Pārējie iepriekšējo pārskata periodu kļūdu labojumi veikti pārskata gada ieņēmumos vai izdevumos un atbilstošajā bilances aktīva vai pasīva postenī.</w:t>
      </w:r>
    </w:p>
    <w:p w14:paraId="3AC99F07" w14:textId="565D435E" w:rsidR="00954F0C" w:rsidRPr="00A27896" w:rsidRDefault="00954F0C" w:rsidP="00FD10CC">
      <w:pPr>
        <w:pStyle w:val="Heading3"/>
      </w:pPr>
      <w:r w:rsidRPr="00A27896">
        <w:t xml:space="preserve">Notikumi pēc bilances datuma </w:t>
      </w:r>
    </w:p>
    <w:p w14:paraId="52EE47A9" w14:textId="1AED7B7D" w:rsidR="00F048F2" w:rsidRPr="00A27896" w:rsidRDefault="00F048F2" w:rsidP="00414252">
      <w:pPr>
        <w:ind w:firstLine="284"/>
        <w:rPr>
          <w:rFonts w:cs="Times New Roman"/>
          <w:color w:val="17365D"/>
        </w:rPr>
      </w:pPr>
      <w:r w:rsidRPr="00A27896">
        <w:rPr>
          <w:rFonts w:cs="Times New Roman"/>
          <w:color w:val="17365D"/>
        </w:rPr>
        <w:t>Finanšu pārskatā uzrādīti tādi būtiski notikumi pēc pārskata gada beigām, kas ietekmē valsts un pašvaldību budžetu finansiālo stāvokli bilances datumā (koriģējošie notikumi).</w:t>
      </w:r>
    </w:p>
    <w:p w14:paraId="63E696A6" w14:textId="77777777" w:rsidR="00954F0C" w:rsidRPr="00A27896" w:rsidRDefault="00954F0C" w:rsidP="00815152">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Finanšu pārskata posteņu skaidrojuma sadaļā “Notikumi pēc bilances datuma” sniegta informācija par būtiskiem nekoriģējošiem notikumiem pēc pārskata gada beigām, kas liecina par apstākļiem, kas radušies pēc bilances datuma, neattiecas uz pārskata gadu, bet nākotnē varētu būtiski ietekmēt finanšu pārskata rādītājus.</w:t>
      </w:r>
    </w:p>
    <w:p w14:paraId="202E469B" w14:textId="77777777" w:rsidR="00954F0C" w:rsidRPr="00A27896" w:rsidRDefault="00954F0C" w:rsidP="00FD10CC">
      <w:pPr>
        <w:pStyle w:val="Heading3"/>
      </w:pPr>
      <w:r w:rsidRPr="00A27896">
        <w:lastRenderedPageBreak/>
        <w:t>Valsts kontroles un zvērinātu revidentu atzinumi</w:t>
      </w:r>
    </w:p>
    <w:p w14:paraId="2A577C28" w14:textId="663250BB" w:rsidR="00954F0C" w:rsidRPr="00A27896" w:rsidRDefault="00954F0C" w:rsidP="00815152">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 xml:space="preserve">Valsts kontrole, veicot finanšu revīziju, sniedz atzinumu par pārskata sagatavošanas pareizību un par būtisku finanšu pārskatam pakārtotu darījumu atbilstību tiesību aktiem, plānošanas dokumentiem un valstiski (starptautiski) atzītai praksei. Atzinuma par būtisku finanšu pārskatam pakārtotu darījumu atbilstību tiesību aktiem, plānošanas dokumentiem un valstiski (starptautiski) atzītai praksei uzdevums ir sniegt </w:t>
      </w:r>
      <w:proofErr w:type="spellStart"/>
      <w:r w:rsidRPr="00A27896">
        <w:rPr>
          <w:rFonts w:eastAsiaTheme="minorHAnsi"/>
          <w:noProof w:val="0"/>
          <w:color w:val="17365D"/>
          <w:szCs w:val="22"/>
          <w:lang w:eastAsia="en-US"/>
        </w:rPr>
        <w:t>izvērtējumu</w:t>
      </w:r>
      <w:proofErr w:type="spellEnd"/>
      <w:r w:rsidRPr="00A27896">
        <w:rPr>
          <w:rFonts w:eastAsiaTheme="minorHAnsi"/>
          <w:noProof w:val="0"/>
          <w:color w:val="17365D"/>
          <w:szCs w:val="22"/>
          <w:lang w:eastAsia="en-US"/>
        </w:rPr>
        <w:t xml:space="preserve"> ministrijas vai centrālās valsts iestādes vadībai, vai revīzijas laikā ir gūta pārliecība, ka valsts pārvalde ievēro tiesību aktus un ar valsts resursiem rīkojas efektīvi.</w:t>
      </w:r>
      <w:r w:rsidR="006F12AB" w:rsidRPr="00A27896">
        <w:rPr>
          <w:noProof w:val="0"/>
          <w:color w:val="17365D"/>
        </w:rPr>
        <w:t xml:space="preserve"> </w:t>
      </w:r>
      <w:r w:rsidR="00905AEC" w:rsidRPr="00A27896">
        <w:rPr>
          <w:rFonts w:eastAsiaTheme="minorHAnsi"/>
          <w:noProof w:val="0"/>
          <w:color w:val="17365D"/>
          <w:szCs w:val="22"/>
          <w:lang w:eastAsia="en-US"/>
        </w:rPr>
        <w:t>202</w:t>
      </w:r>
      <w:r w:rsidR="005C38FA" w:rsidRPr="00A27896">
        <w:rPr>
          <w:rFonts w:eastAsiaTheme="minorHAnsi"/>
          <w:noProof w:val="0"/>
          <w:color w:val="17365D"/>
          <w:szCs w:val="22"/>
          <w:lang w:eastAsia="en-US"/>
        </w:rPr>
        <w:t>2</w:t>
      </w:r>
      <w:r w:rsidR="00905AEC" w:rsidRPr="00A27896">
        <w:rPr>
          <w:rFonts w:eastAsiaTheme="minorHAnsi"/>
          <w:noProof w:val="0"/>
          <w:color w:val="17365D"/>
          <w:szCs w:val="22"/>
          <w:lang w:eastAsia="en-US"/>
        </w:rPr>
        <w:t>. g</w:t>
      </w:r>
      <w:r w:rsidR="006F12AB" w:rsidRPr="00A27896">
        <w:rPr>
          <w:rFonts w:eastAsiaTheme="minorHAnsi"/>
          <w:noProof w:val="0"/>
          <w:color w:val="17365D"/>
          <w:szCs w:val="22"/>
          <w:lang w:eastAsia="en-US"/>
        </w:rPr>
        <w:t>ada revīzijā ietvertas</w:t>
      </w:r>
      <w:r w:rsidR="006F12AB" w:rsidRPr="00A27896">
        <w:rPr>
          <w:noProof w:val="0"/>
          <w:color w:val="17365D"/>
        </w:rPr>
        <w:t xml:space="preserve"> </w:t>
      </w:r>
      <w:proofErr w:type="spellStart"/>
      <w:r w:rsidR="003F12DE" w:rsidRPr="00A27896">
        <w:rPr>
          <w:rFonts w:eastAsiaTheme="minorHAnsi"/>
          <w:noProof w:val="0"/>
          <w:color w:val="17365D"/>
          <w:szCs w:val="22"/>
          <w:lang w:eastAsia="en-US"/>
        </w:rPr>
        <w:t>Covid</w:t>
      </w:r>
      <w:proofErr w:type="spellEnd"/>
      <w:r w:rsidR="003F12DE" w:rsidRPr="00A27896">
        <w:rPr>
          <w:rFonts w:eastAsiaTheme="minorHAnsi"/>
          <w:noProof w:val="0"/>
          <w:color w:val="17365D"/>
          <w:szCs w:val="22"/>
          <w:lang w:eastAsia="en-US"/>
        </w:rPr>
        <w:t>–19</w:t>
      </w:r>
      <w:r w:rsidR="006F12AB" w:rsidRPr="00A27896">
        <w:rPr>
          <w:rFonts w:eastAsiaTheme="minorHAnsi"/>
          <w:noProof w:val="0"/>
          <w:color w:val="17365D"/>
          <w:szCs w:val="22"/>
          <w:lang w:eastAsia="en-US"/>
        </w:rPr>
        <w:t xml:space="preserve"> pandēmijas radītās krīzes pārvarēšanai papildu piešķirtā finansējuma izlietojuma pārbaudes.</w:t>
      </w:r>
    </w:p>
    <w:p w14:paraId="7942C7D2" w14:textId="08FAB7D8" w:rsidR="00954F0C" w:rsidRPr="00A27896" w:rsidRDefault="00954F0C" w:rsidP="00815152">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Valsts kontroles atzinumus par 20</w:t>
      </w:r>
      <w:r w:rsidR="00915646" w:rsidRPr="00A27896">
        <w:rPr>
          <w:rFonts w:eastAsiaTheme="minorHAnsi"/>
          <w:noProof w:val="0"/>
          <w:color w:val="17365D"/>
          <w:szCs w:val="22"/>
          <w:lang w:eastAsia="en-US"/>
        </w:rPr>
        <w:t>2</w:t>
      </w:r>
      <w:r w:rsidR="005C38FA" w:rsidRPr="00A27896">
        <w:rPr>
          <w:rFonts w:eastAsiaTheme="minorHAnsi"/>
          <w:noProof w:val="0"/>
          <w:color w:val="17365D"/>
          <w:szCs w:val="22"/>
          <w:lang w:eastAsia="en-US"/>
        </w:rPr>
        <w:t>2</w:t>
      </w:r>
      <w:r w:rsidRPr="00A27896">
        <w:rPr>
          <w:rFonts w:eastAsiaTheme="minorHAnsi"/>
          <w:noProof w:val="0"/>
          <w:color w:val="17365D"/>
          <w:szCs w:val="22"/>
          <w:lang w:eastAsia="en-US"/>
        </w:rPr>
        <w:t xml:space="preserve">. gada pārskata sagatavošanas pareizību saņēmušas 13 ministrijas un </w:t>
      </w:r>
      <w:r w:rsidR="00BB6E03" w:rsidRPr="00A27896">
        <w:rPr>
          <w:rFonts w:eastAsiaTheme="minorHAnsi"/>
          <w:noProof w:val="0"/>
          <w:color w:val="17365D"/>
          <w:szCs w:val="22"/>
          <w:lang w:eastAsia="en-US"/>
        </w:rPr>
        <w:t>1</w:t>
      </w:r>
      <w:r w:rsidR="00B97176">
        <w:rPr>
          <w:rFonts w:eastAsiaTheme="minorHAnsi"/>
          <w:noProof w:val="0"/>
          <w:color w:val="17365D"/>
          <w:szCs w:val="22"/>
          <w:lang w:eastAsia="en-US"/>
        </w:rPr>
        <w:t>3</w:t>
      </w:r>
      <w:r w:rsidR="00BB6E03" w:rsidRPr="00A27896">
        <w:rPr>
          <w:rFonts w:eastAsiaTheme="minorHAnsi"/>
          <w:noProof w:val="0"/>
          <w:color w:val="17365D"/>
          <w:szCs w:val="22"/>
          <w:lang w:eastAsia="en-US"/>
        </w:rPr>
        <w:t xml:space="preserve"> </w:t>
      </w:r>
      <w:r w:rsidRPr="00A27896">
        <w:rPr>
          <w:rFonts w:eastAsiaTheme="minorHAnsi"/>
          <w:noProof w:val="0"/>
          <w:color w:val="17365D"/>
          <w:szCs w:val="22"/>
          <w:lang w:eastAsia="en-US"/>
        </w:rPr>
        <w:t>centrālās valsts iestādes. Atbilstoši tiesību aktos noteiktajam 2 centrālās valsts iestādes</w:t>
      </w:r>
      <w:r w:rsidRPr="00A27896">
        <w:rPr>
          <w:rFonts w:eastAsiaTheme="minorHAnsi"/>
          <w:noProof w:val="0"/>
          <w:color w:val="17365D"/>
          <w:szCs w:val="22"/>
          <w:vertAlign w:val="superscript"/>
          <w:lang w:eastAsia="en-US"/>
        </w:rPr>
        <w:footnoteReference w:id="2"/>
      </w:r>
      <w:r w:rsidRPr="00A27896">
        <w:rPr>
          <w:rFonts w:eastAsiaTheme="minorHAnsi"/>
          <w:noProof w:val="0"/>
          <w:color w:val="17365D"/>
          <w:szCs w:val="22"/>
          <w:lang w:eastAsia="en-US"/>
        </w:rPr>
        <w:t xml:space="preserve"> saņēmušas zvērinātu revidentu atzinumus. </w:t>
      </w:r>
    </w:p>
    <w:p w14:paraId="11F8B376" w14:textId="77777777" w:rsidR="00954F0C" w:rsidRPr="00A27896" w:rsidRDefault="00954F0C" w:rsidP="004C46B4">
      <w:pPr>
        <w:pStyle w:val="Pamatteksts"/>
        <w:spacing w:after="0"/>
        <w:ind w:firstLine="284"/>
        <w:rPr>
          <w:rFonts w:eastAsiaTheme="minorHAnsi"/>
          <w:noProof w:val="0"/>
          <w:color w:val="17365D"/>
          <w:szCs w:val="22"/>
          <w:lang w:eastAsia="en-US"/>
        </w:rPr>
      </w:pPr>
      <w:r w:rsidRPr="00A27896">
        <w:rPr>
          <w:rFonts w:eastAsiaTheme="minorHAnsi"/>
          <w:noProof w:val="0"/>
          <w:color w:val="17365D"/>
          <w:szCs w:val="22"/>
          <w:lang w:eastAsia="en-US"/>
        </w:rPr>
        <w:t>Valsts kontroles vai zvērinātu revidentu atzinumus saņēmušas:</w:t>
      </w:r>
    </w:p>
    <w:p w14:paraId="0D096633" w14:textId="070C4173" w:rsidR="00954F0C" w:rsidRPr="00A27896" w:rsidRDefault="00954F0C" w:rsidP="007C6C15">
      <w:pPr>
        <w:pStyle w:val="tv2131"/>
        <w:numPr>
          <w:ilvl w:val="0"/>
          <w:numId w:val="18"/>
        </w:numPr>
        <w:spacing w:before="120" w:after="120" w:line="240" w:lineRule="auto"/>
        <w:ind w:left="850" w:hanging="357"/>
        <w:jc w:val="both"/>
        <w:rPr>
          <w:color w:val="17365D"/>
          <w:sz w:val="24"/>
          <w:szCs w:val="24"/>
        </w:rPr>
      </w:pPr>
      <w:r w:rsidRPr="00A27896">
        <w:rPr>
          <w:color w:val="17365D"/>
          <w:sz w:val="24"/>
          <w:szCs w:val="24"/>
        </w:rPr>
        <w:t xml:space="preserve">bez </w:t>
      </w:r>
      <w:proofErr w:type="spellStart"/>
      <w:r w:rsidRPr="00A27896">
        <w:rPr>
          <w:color w:val="17365D"/>
          <w:sz w:val="24"/>
          <w:szCs w:val="24"/>
        </w:rPr>
        <w:t>iebildēm</w:t>
      </w:r>
      <w:proofErr w:type="spellEnd"/>
      <w:r w:rsidRPr="00A27896">
        <w:rPr>
          <w:color w:val="17365D"/>
          <w:sz w:val="24"/>
          <w:szCs w:val="24"/>
        </w:rPr>
        <w:t> – </w:t>
      </w:r>
      <w:r w:rsidR="00780659">
        <w:rPr>
          <w:color w:val="17365D"/>
          <w:sz w:val="24"/>
          <w:szCs w:val="24"/>
        </w:rPr>
        <w:t>9</w:t>
      </w:r>
      <w:r w:rsidR="00B14A28" w:rsidRPr="00A27896">
        <w:rPr>
          <w:color w:val="17365D"/>
          <w:sz w:val="24"/>
          <w:szCs w:val="24"/>
        </w:rPr>
        <w:t xml:space="preserve"> </w:t>
      </w:r>
      <w:r w:rsidRPr="00A27896">
        <w:rPr>
          <w:color w:val="17365D"/>
          <w:sz w:val="24"/>
          <w:szCs w:val="24"/>
        </w:rPr>
        <w:t xml:space="preserve">ministrijas un </w:t>
      </w:r>
      <w:r w:rsidR="00102889" w:rsidRPr="00A27896">
        <w:rPr>
          <w:color w:val="17365D"/>
          <w:sz w:val="24"/>
          <w:szCs w:val="24"/>
        </w:rPr>
        <w:t>1</w:t>
      </w:r>
      <w:r w:rsidR="007207C3" w:rsidRPr="00A27896">
        <w:rPr>
          <w:color w:val="17365D"/>
          <w:sz w:val="24"/>
          <w:szCs w:val="24"/>
        </w:rPr>
        <w:t>4</w:t>
      </w:r>
      <w:r w:rsidRPr="00A27896">
        <w:rPr>
          <w:color w:val="17365D"/>
          <w:sz w:val="24"/>
          <w:szCs w:val="24"/>
        </w:rPr>
        <w:t xml:space="preserve"> centrālās valsts iestādes;</w:t>
      </w:r>
    </w:p>
    <w:p w14:paraId="3CA26C13" w14:textId="77D24D0E"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bez </w:t>
      </w:r>
      <w:proofErr w:type="spellStart"/>
      <w:r w:rsidRPr="00A27896">
        <w:rPr>
          <w:color w:val="17365D"/>
          <w:sz w:val="24"/>
          <w:szCs w:val="24"/>
        </w:rPr>
        <w:t>iebildēm</w:t>
      </w:r>
      <w:proofErr w:type="spellEnd"/>
      <w:r w:rsidRPr="00A27896">
        <w:rPr>
          <w:color w:val="17365D"/>
          <w:sz w:val="24"/>
          <w:szCs w:val="24"/>
        </w:rPr>
        <w:t xml:space="preserve"> ar norādītu apstākļu akcentējumu – </w:t>
      </w:r>
      <w:r w:rsidR="00780659">
        <w:rPr>
          <w:color w:val="17365D"/>
          <w:sz w:val="24"/>
          <w:szCs w:val="24"/>
        </w:rPr>
        <w:t>4</w:t>
      </w:r>
      <w:r w:rsidR="00B14A28" w:rsidRPr="00A27896">
        <w:rPr>
          <w:color w:val="17365D"/>
          <w:sz w:val="24"/>
          <w:szCs w:val="24"/>
        </w:rPr>
        <w:t xml:space="preserve"> ministrijas</w:t>
      </w:r>
      <w:r w:rsidRPr="00A27896">
        <w:rPr>
          <w:color w:val="17365D"/>
          <w:sz w:val="24"/>
          <w:szCs w:val="24"/>
          <w:vertAlign w:val="superscript"/>
        </w:rPr>
        <w:footnoteReference w:id="3"/>
      </w:r>
      <w:r w:rsidRPr="00A27896">
        <w:rPr>
          <w:color w:val="17365D"/>
          <w:sz w:val="24"/>
          <w:szCs w:val="24"/>
        </w:rPr>
        <w:t>;</w:t>
      </w:r>
    </w:p>
    <w:p w14:paraId="3E18DB8F" w14:textId="13C29EBA"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ar </w:t>
      </w:r>
      <w:proofErr w:type="spellStart"/>
      <w:r w:rsidRPr="00A27896">
        <w:rPr>
          <w:color w:val="17365D"/>
          <w:sz w:val="24"/>
          <w:szCs w:val="24"/>
        </w:rPr>
        <w:t>iebildēm</w:t>
      </w:r>
      <w:proofErr w:type="spellEnd"/>
      <w:r w:rsidRPr="00A27896">
        <w:rPr>
          <w:color w:val="17365D"/>
          <w:sz w:val="24"/>
          <w:szCs w:val="24"/>
        </w:rPr>
        <w:t> – </w:t>
      </w:r>
      <w:r w:rsidR="007207C3" w:rsidRPr="00A27896">
        <w:rPr>
          <w:color w:val="17365D"/>
          <w:sz w:val="24"/>
          <w:szCs w:val="24"/>
        </w:rPr>
        <w:t>1</w:t>
      </w:r>
      <w:r w:rsidRPr="00A27896">
        <w:rPr>
          <w:color w:val="17365D"/>
          <w:sz w:val="24"/>
          <w:szCs w:val="24"/>
        </w:rPr>
        <w:t xml:space="preserve"> </w:t>
      </w:r>
      <w:r w:rsidR="007207C3" w:rsidRPr="00A27896">
        <w:rPr>
          <w:color w:val="17365D"/>
          <w:sz w:val="24"/>
          <w:szCs w:val="24"/>
        </w:rPr>
        <w:t>centrālā valsts iestāde</w:t>
      </w:r>
      <w:r w:rsidRPr="00A27896">
        <w:rPr>
          <w:color w:val="17365D"/>
          <w:sz w:val="24"/>
          <w:szCs w:val="24"/>
          <w:vertAlign w:val="superscript"/>
        </w:rPr>
        <w:footnoteReference w:id="4"/>
      </w:r>
      <w:r w:rsidRPr="00A27896">
        <w:rPr>
          <w:color w:val="17365D"/>
          <w:sz w:val="24"/>
          <w:szCs w:val="24"/>
        </w:rPr>
        <w:t>.</w:t>
      </w:r>
    </w:p>
    <w:p w14:paraId="5AABE1CD" w14:textId="67641B1B" w:rsidR="00954F0C" w:rsidRPr="00A27896" w:rsidRDefault="00954F0C" w:rsidP="004C46B4">
      <w:pPr>
        <w:pStyle w:val="Pamatteksts"/>
        <w:spacing w:after="0"/>
        <w:ind w:firstLine="284"/>
        <w:rPr>
          <w:rFonts w:eastAsiaTheme="minorHAnsi"/>
          <w:noProof w:val="0"/>
          <w:color w:val="17365D"/>
          <w:szCs w:val="22"/>
          <w:lang w:eastAsia="en-US"/>
        </w:rPr>
      </w:pPr>
      <w:r w:rsidRPr="00A27896">
        <w:rPr>
          <w:rFonts w:eastAsiaTheme="minorHAnsi"/>
          <w:noProof w:val="0"/>
          <w:color w:val="17365D"/>
          <w:szCs w:val="22"/>
          <w:lang w:eastAsia="en-US"/>
        </w:rPr>
        <w:t xml:space="preserve">Atbilstoši normatīvo aktu prasībām zvērinātu revidentu atzinumus par gada pārskata sagatavošanas pareizību saņēmušas </w:t>
      </w:r>
      <w:r w:rsidR="00B14A28" w:rsidRPr="00A27896">
        <w:rPr>
          <w:rFonts w:eastAsiaTheme="minorHAnsi"/>
          <w:color w:val="17365D"/>
          <w:szCs w:val="22"/>
          <w:lang w:eastAsia="en-US"/>
        </w:rPr>
        <w:t>4</w:t>
      </w:r>
      <w:r w:rsidR="00B14A28" w:rsidRPr="00A27896">
        <w:rPr>
          <w:rFonts w:eastAsiaTheme="minorHAnsi"/>
          <w:noProof w:val="0"/>
          <w:color w:val="17365D"/>
          <w:szCs w:val="22"/>
          <w:lang w:eastAsia="en-US"/>
        </w:rPr>
        <w:t xml:space="preserve">3 </w:t>
      </w:r>
      <w:r w:rsidRPr="00A27896">
        <w:rPr>
          <w:rFonts w:eastAsiaTheme="minorHAnsi"/>
          <w:noProof w:val="0"/>
          <w:color w:val="17365D"/>
          <w:szCs w:val="22"/>
          <w:lang w:eastAsia="en-US"/>
        </w:rPr>
        <w:t>pašvaldības, tai skaitā:</w:t>
      </w:r>
    </w:p>
    <w:p w14:paraId="0F02620C" w14:textId="55F696B7" w:rsidR="00954F0C" w:rsidRPr="00A27896" w:rsidRDefault="00954F0C" w:rsidP="007C6C15">
      <w:pPr>
        <w:pStyle w:val="tv2131"/>
        <w:numPr>
          <w:ilvl w:val="0"/>
          <w:numId w:val="18"/>
        </w:numPr>
        <w:spacing w:before="120" w:after="120" w:line="240" w:lineRule="auto"/>
        <w:ind w:left="850" w:hanging="357"/>
        <w:jc w:val="both"/>
        <w:rPr>
          <w:color w:val="17365D"/>
          <w:sz w:val="24"/>
          <w:szCs w:val="24"/>
        </w:rPr>
      </w:pPr>
      <w:r w:rsidRPr="00A27896">
        <w:rPr>
          <w:color w:val="17365D"/>
          <w:sz w:val="24"/>
          <w:szCs w:val="24"/>
        </w:rPr>
        <w:t xml:space="preserve">bez </w:t>
      </w:r>
      <w:proofErr w:type="spellStart"/>
      <w:r w:rsidRPr="00A27896">
        <w:rPr>
          <w:color w:val="17365D"/>
          <w:sz w:val="24"/>
          <w:szCs w:val="24"/>
        </w:rPr>
        <w:t>iebildēm</w:t>
      </w:r>
      <w:proofErr w:type="spellEnd"/>
      <w:r w:rsidRPr="00A27896">
        <w:rPr>
          <w:color w:val="17365D"/>
          <w:sz w:val="24"/>
          <w:szCs w:val="24"/>
        </w:rPr>
        <w:t> – </w:t>
      </w:r>
      <w:r w:rsidR="00B14A28" w:rsidRPr="00A27896">
        <w:rPr>
          <w:color w:val="17365D"/>
          <w:sz w:val="24"/>
          <w:szCs w:val="24"/>
        </w:rPr>
        <w:t>3</w:t>
      </w:r>
      <w:r w:rsidR="00DC1ABF" w:rsidRPr="00A27896">
        <w:rPr>
          <w:color w:val="17365D"/>
          <w:sz w:val="24"/>
          <w:szCs w:val="24"/>
        </w:rPr>
        <w:t>7</w:t>
      </w:r>
      <w:r w:rsidR="00B14A28" w:rsidRPr="00A27896">
        <w:rPr>
          <w:color w:val="17365D"/>
          <w:sz w:val="24"/>
          <w:szCs w:val="24"/>
        </w:rPr>
        <w:t xml:space="preserve"> </w:t>
      </w:r>
      <w:r w:rsidRPr="00A27896">
        <w:rPr>
          <w:color w:val="17365D"/>
          <w:sz w:val="24"/>
          <w:szCs w:val="24"/>
        </w:rPr>
        <w:t>pašvaldība</w:t>
      </w:r>
      <w:r w:rsidR="00232772" w:rsidRPr="00A27896">
        <w:rPr>
          <w:color w:val="17365D"/>
          <w:sz w:val="24"/>
          <w:szCs w:val="24"/>
        </w:rPr>
        <w:t>s</w:t>
      </w:r>
      <w:r w:rsidRPr="00A27896">
        <w:rPr>
          <w:color w:val="17365D"/>
          <w:sz w:val="24"/>
          <w:szCs w:val="24"/>
        </w:rPr>
        <w:t>;</w:t>
      </w:r>
    </w:p>
    <w:p w14:paraId="69782167" w14:textId="6A7F2C2E"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bez </w:t>
      </w:r>
      <w:proofErr w:type="spellStart"/>
      <w:r w:rsidRPr="00A27896">
        <w:rPr>
          <w:color w:val="17365D"/>
          <w:sz w:val="24"/>
          <w:szCs w:val="24"/>
        </w:rPr>
        <w:t>iebildēm</w:t>
      </w:r>
      <w:proofErr w:type="spellEnd"/>
      <w:r w:rsidRPr="00A27896">
        <w:rPr>
          <w:color w:val="17365D"/>
          <w:sz w:val="24"/>
          <w:szCs w:val="24"/>
        </w:rPr>
        <w:t xml:space="preserve"> ar norādītu apstākļu akcentējumu – </w:t>
      </w:r>
      <w:r w:rsidR="00DC1ABF" w:rsidRPr="00A27896">
        <w:rPr>
          <w:color w:val="17365D"/>
          <w:sz w:val="24"/>
          <w:szCs w:val="24"/>
        </w:rPr>
        <w:t>2 </w:t>
      </w:r>
      <w:r w:rsidRPr="00A27896">
        <w:rPr>
          <w:color w:val="17365D"/>
          <w:sz w:val="24"/>
          <w:szCs w:val="24"/>
        </w:rPr>
        <w:t>pašvaldīb</w:t>
      </w:r>
      <w:r w:rsidR="00DC1ABF" w:rsidRPr="00A27896">
        <w:rPr>
          <w:color w:val="17365D"/>
          <w:sz w:val="24"/>
          <w:szCs w:val="24"/>
        </w:rPr>
        <w:t>as</w:t>
      </w:r>
      <w:r w:rsidRPr="00A27896">
        <w:rPr>
          <w:color w:val="17365D"/>
          <w:sz w:val="24"/>
          <w:szCs w:val="24"/>
          <w:vertAlign w:val="superscript"/>
        </w:rPr>
        <w:footnoteReference w:id="5"/>
      </w:r>
      <w:r w:rsidRPr="00A27896">
        <w:rPr>
          <w:color w:val="17365D"/>
          <w:sz w:val="24"/>
          <w:szCs w:val="24"/>
        </w:rPr>
        <w:t>;</w:t>
      </w:r>
    </w:p>
    <w:p w14:paraId="40A64B5A" w14:textId="08C517F0"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ar </w:t>
      </w:r>
      <w:proofErr w:type="spellStart"/>
      <w:r w:rsidRPr="00A27896">
        <w:rPr>
          <w:color w:val="17365D"/>
          <w:sz w:val="24"/>
          <w:szCs w:val="24"/>
        </w:rPr>
        <w:t>iebildēm</w:t>
      </w:r>
      <w:proofErr w:type="spellEnd"/>
      <w:r w:rsidRPr="00A27896">
        <w:rPr>
          <w:color w:val="17365D"/>
          <w:sz w:val="24"/>
          <w:szCs w:val="24"/>
        </w:rPr>
        <w:t> – </w:t>
      </w:r>
      <w:r w:rsidR="00DC1ABF" w:rsidRPr="00A27896">
        <w:rPr>
          <w:color w:val="17365D"/>
          <w:sz w:val="24"/>
          <w:szCs w:val="24"/>
        </w:rPr>
        <w:t>1</w:t>
      </w:r>
      <w:r w:rsidRPr="00A27896">
        <w:rPr>
          <w:color w:val="17365D"/>
          <w:sz w:val="24"/>
          <w:szCs w:val="24"/>
        </w:rPr>
        <w:t xml:space="preserve"> pašvaldība</w:t>
      </w:r>
      <w:r w:rsidRPr="00A27896">
        <w:rPr>
          <w:color w:val="17365D"/>
          <w:sz w:val="24"/>
          <w:szCs w:val="24"/>
          <w:vertAlign w:val="superscript"/>
        </w:rPr>
        <w:footnoteReference w:id="6"/>
      </w:r>
      <w:r w:rsidRPr="00A27896">
        <w:rPr>
          <w:color w:val="17365D"/>
          <w:sz w:val="24"/>
          <w:szCs w:val="24"/>
        </w:rPr>
        <w:t>;</w:t>
      </w:r>
    </w:p>
    <w:p w14:paraId="46A59ADB" w14:textId="39CB59F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ar </w:t>
      </w:r>
      <w:proofErr w:type="spellStart"/>
      <w:r w:rsidRPr="00A27896">
        <w:rPr>
          <w:color w:val="17365D"/>
          <w:sz w:val="24"/>
          <w:szCs w:val="24"/>
        </w:rPr>
        <w:t>iebildēm</w:t>
      </w:r>
      <w:proofErr w:type="spellEnd"/>
      <w:r w:rsidRPr="00A27896">
        <w:rPr>
          <w:color w:val="17365D"/>
          <w:sz w:val="24"/>
          <w:szCs w:val="24"/>
        </w:rPr>
        <w:t xml:space="preserve"> un ar norādītu apstākļu akcentējumu – </w:t>
      </w:r>
      <w:r w:rsidR="004C5ECB" w:rsidRPr="00A27896">
        <w:rPr>
          <w:color w:val="17365D"/>
          <w:sz w:val="24"/>
          <w:szCs w:val="24"/>
        </w:rPr>
        <w:t>3</w:t>
      </w:r>
      <w:r w:rsidRPr="00A27896">
        <w:rPr>
          <w:color w:val="17365D"/>
          <w:sz w:val="24"/>
          <w:szCs w:val="24"/>
        </w:rPr>
        <w:t xml:space="preserve"> pašvaldība</w:t>
      </w:r>
      <w:r w:rsidR="004C5ECB" w:rsidRPr="00A27896">
        <w:rPr>
          <w:color w:val="17365D"/>
          <w:sz w:val="24"/>
          <w:szCs w:val="24"/>
        </w:rPr>
        <w:t>s</w:t>
      </w:r>
      <w:r w:rsidRPr="00A27896">
        <w:rPr>
          <w:color w:val="17365D"/>
          <w:sz w:val="24"/>
          <w:szCs w:val="24"/>
          <w:vertAlign w:val="superscript"/>
        </w:rPr>
        <w:footnoteReference w:id="7"/>
      </w:r>
      <w:r w:rsidRPr="00A27896">
        <w:rPr>
          <w:color w:val="17365D"/>
          <w:sz w:val="24"/>
          <w:szCs w:val="24"/>
        </w:rPr>
        <w:t xml:space="preserve">. </w:t>
      </w:r>
    </w:p>
    <w:p w14:paraId="5A329142" w14:textId="6D21117F" w:rsidR="00954F0C" w:rsidRPr="00A27896" w:rsidRDefault="00954F0C" w:rsidP="00815152">
      <w:pPr>
        <w:pStyle w:val="Pamatteksts"/>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Valsts kontroles sniegtie atzinumi par ministriju un centrālo valsts iestāžu 20</w:t>
      </w:r>
      <w:r w:rsidR="00915646" w:rsidRPr="00A27896">
        <w:rPr>
          <w:rFonts w:eastAsiaTheme="minorHAnsi"/>
          <w:noProof w:val="0"/>
          <w:color w:val="17365D"/>
          <w:szCs w:val="22"/>
          <w:lang w:eastAsia="en-US"/>
        </w:rPr>
        <w:t>2</w:t>
      </w:r>
      <w:r w:rsidR="005C38FA" w:rsidRPr="00A27896">
        <w:rPr>
          <w:rFonts w:eastAsiaTheme="minorHAnsi"/>
          <w:noProof w:val="0"/>
          <w:color w:val="17365D"/>
          <w:szCs w:val="22"/>
          <w:lang w:eastAsia="en-US"/>
        </w:rPr>
        <w:t>2</w:t>
      </w:r>
      <w:r w:rsidRPr="00A27896">
        <w:rPr>
          <w:rFonts w:eastAsiaTheme="minorHAnsi"/>
          <w:noProof w:val="0"/>
          <w:color w:val="17365D"/>
          <w:szCs w:val="22"/>
          <w:lang w:eastAsia="en-US"/>
        </w:rPr>
        <w:t>. gada pārskatiem ir pieejami Valsts kontroles tīmekļvietnē. Valsts kases tīmekļvietnē ir pieejami ministriju, centrālo valsts iestāžu, pašvaldību, valsts budžeta iestāžu, no valsts budžeta daļēji finansētu atvasinātu publisku personu un budžeta nefinansētu iestāžu, pašvaldību budžeta iestāžu un kopīgo iestāžu gada pārskati ar pievienotiem Valsts kontroles un zvērinātu revidentu atzinumiem.</w:t>
      </w:r>
    </w:p>
    <w:p w14:paraId="10E93DBF" w14:textId="11888604" w:rsidR="00954F0C" w:rsidRPr="00A27896" w:rsidRDefault="00954F0C" w:rsidP="004C5ECB">
      <w:pPr>
        <w:pStyle w:val="Pamatteksts"/>
        <w:spacing w:after="0"/>
        <w:ind w:firstLine="284"/>
        <w:rPr>
          <w:color w:val="17365D"/>
        </w:rPr>
      </w:pPr>
      <w:r w:rsidRPr="00A27896">
        <w:rPr>
          <w:rFonts w:eastAsiaTheme="minorHAnsi"/>
          <w:noProof w:val="0"/>
          <w:color w:val="17365D"/>
          <w:szCs w:val="22"/>
          <w:lang w:eastAsia="en-US"/>
        </w:rPr>
        <w:t>Finanšu pārskata sagatavošanas ietvaros izvērtē</w:t>
      </w:r>
      <w:r w:rsidR="007A1E6A" w:rsidRPr="00A27896">
        <w:rPr>
          <w:rFonts w:eastAsiaTheme="minorHAnsi"/>
          <w:noProof w:val="0"/>
          <w:color w:val="17365D"/>
          <w:szCs w:val="22"/>
          <w:lang w:eastAsia="en-US"/>
        </w:rPr>
        <w:t>jot</w:t>
      </w:r>
      <w:r w:rsidRPr="00A27896">
        <w:rPr>
          <w:rFonts w:eastAsiaTheme="minorHAnsi"/>
          <w:noProof w:val="0"/>
          <w:color w:val="17365D"/>
          <w:szCs w:val="22"/>
          <w:lang w:eastAsia="en-US"/>
        </w:rPr>
        <w:t xml:space="preserve"> Valsts kontroles un</w:t>
      </w:r>
      <w:r w:rsidR="007A1E6A" w:rsidRPr="00A27896">
        <w:rPr>
          <w:rFonts w:eastAsiaTheme="minorHAnsi"/>
          <w:noProof w:val="0"/>
          <w:color w:val="17365D"/>
          <w:szCs w:val="22"/>
          <w:lang w:eastAsia="en-US"/>
        </w:rPr>
        <w:t xml:space="preserve"> zvērinātu revidentu sniegtos atzinumus</w:t>
      </w:r>
      <w:r w:rsidRPr="00A27896">
        <w:rPr>
          <w:rFonts w:eastAsiaTheme="minorHAnsi"/>
          <w:noProof w:val="0"/>
          <w:color w:val="17365D"/>
          <w:szCs w:val="22"/>
          <w:lang w:eastAsia="en-US"/>
        </w:rPr>
        <w:t xml:space="preserve"> par ministriju, centrālo valsts iestāžu un pašvaldību konsolidētajiem gada pārskatiem</w:t>
      </w:r>
      <w:r w:rsidR="007A1E6A" w:rsidRPr="00A27896">
        <w:rPr>
          <w:rFonts w:eastAsiaTheme="minorHAnsi"/>
          <w:noProof w:val="0"/>
          <w:color w:val="17365D"/>
          <w:szCs w:val="22"/>
          <w:lang w:eastAsia="en-US"/>
        </w:rPr>
        <w:t xml:space="preserve"> atbilstoši finanšu pārskatam noteiktajam būtiskuma līmenim kļūdu labojumiem</w:t>
      </w:r>
      <w:r w:rsidR="004C5ECB" w:rsidRPr="00A27896">
        <w:rPr>
          <w:rFonts w:eastAsiaTheme="minorHAnsi"/>
          <w:noProof w:val="0"/>
          <w:color w:val="17365D"/>
          <w:szCs w:val="22"/>
          <w:lang w:eastAsia="en-US"/>
        </w:rPr>
        <w:t>, k</w:t>
      </w:r>
      <w:r w:rsidRPr="00A27896">
        <w:rPr>
          <w:rFonts w:eastAsiaTheme="minorHAnsi"/>
          <w:noProof w:val="0"/>
          <w:color w:val="17365D"/>
          <w:szCs w:val="22"/>
          <w:lang w:eastAsia="en-US"/>
        </w:rPr>
        <w:t>orekcijas</w:t>
      </w:r>
      <w:r w:rsidR="004C5ECB" w:rsidRPr="00A27896">
        <w:rPr>
          <w:rFonts w:eastAsiaTheme="minorHAnsi"/>
          <w:noProof w:val="0"/>
          <w:color w:val="17365D"/>
          <w:szCs w:val="22"/>
          <w:lang w:eastAsia="en-US"/>
        </w:rPr>
        <w:t xml:space="preserve"> nav veiktas.</w:t>
      </w:r>
    </w:p>
    <w:p w14:paraId="1A6C3D98" w14:textId="4C1E6604" w:rsidR="00954F0C" w:rsidRPr="00A27896" w:rsidRDefault="004C46B4">
      <w:pPr>
        <w:pStyle w:val="Heading2"/>
        <w:rPr>
          <w:rFonts w:cs="Times New Roman"/>
        </w:rPr>
      </w:pPr>
      <w:r w:rsidRPr="00A27896">
        <w:rPr>
          <w:rFonts w:cs="Times New Roman"/>
        </w:rPr>
        <w:br w:type="page"/>
      </w:r>
      <w:bookmarkStart w:id="5" w:name="_Toc42846492"/>
      <w:r w:rsidR="00954F0C" w:rsidRPr="00A27896">
        <w:rPr>
          <w:rFonts w:cs="Times New Roman"/>
        </w:rPr>
        <w:lastRenderedPageBreak/>
        <w:t>Grāmatvedības uzskaites principu apraksts</w:t>
      </w:r>
      <w:bookmarkEnd w:id="5"/>
    </w:p>
    <w:p w14:paraId="4583AE2F" w14:textId="77777777" w:rsidR="00954F0C" w:rsidRPr="00A27896" w:rsidRDefault="00954F0C" w:rsidP="00FD10CC">
      <w:pPr>
        <w:pStyle w:val="Heading3"/>
      </w:pPr>
      <w:bookmarkStart w:id="6" w:name="_Toc42846493"/>
      <w:r w:rsidRPr="00A27896">
        <w:t>Grāmatvedības uzskaites pamatprincipu maiņa</w:t>
      </w:r>
      <w:bookmarkEnd w:id="6"/>
      <w:r w:rsidRPr="00A27896">
        <w:t xml:space="preserve"> </w:t>
      </w:r>
    </w:p>
    <w:p w14:paraId="1218F2FD" w14:textId="50024C4D" w:rsidR="005C38FA" w:rsidRPr="00A27896" w:rsidRDefault="005C38FA" w:rsidP="00F9629B">
      <w:pPr>
        <w:spacing w:after="120" w:line="240" w:lineRule="auto"/>
        <w:ind w:firstLine="284"/>
        <w:jc w:val="both"/>
        <w:rPr>
          <w:rFonts w:cs="Times New Roman"/>
          <w:color w:val="17365D"/>
        </w:rPr>
      </w:pPr>
      <w:r w:rsidRPr="00A27896">
        <w:rPr>
          <w:rFonts w:cs="Times New Roman"/>
          <w:color w:val="17365D"/>
        </w:rPr>
        <w:t xml:space="preserve">2022. saimnieciskā gada laikā nav veikta </w:t>
      </w:r>
      <w:r w:rsidR="007207C3" w:rsidRPr="00A27896">
        <w:rPr>
          <w:rFonts w:cs="Times New Roman"/>
          <w:color w:val="17365D"/>
        </w:rPr>
        <w:t xml:space="preserve">grāmatvedības </w:t>
      </w:r>
      <w:r w:rsidRPr="00A27896">
        <w:rPr>
          <w:rFonts w:cs="Times New Roman"/>
          <w:color w:val="17365D"/>
        </w:rPr>
        <w:t>uzskaites pamatprincipu maiņa.</w:t>
      </w:r>
    </w:p>
    <w:p w14:paraId="6FC9CC5E" w14:textId="30C6AE55" w:rsidR="00954F0C" w:rsidRPr="00A27896" w:rsidRDefault="00954F0C" w:rsidP="00FD10CC">
      <w:pPr>
        <w:pStyle w:val="Heading3"/>
      </w:pPr>
      <w:bookmarkStart w:id="7" w:name="p-499762"/>
      <w:bookmarkStart w:id="8" w:name="p25"/>
      <w:bookmarkStart w:id="9" w:name="p-499766"/>
      <w:bookmarkStart w:id="10" w:name="p25.1"/>
      <w:bookmarkStart w:id="11" w:name="p-499772"/>
      <w:bookmarkStart w:id="12" w:name="p25.2"/>
      <w:bookmarkStart w:id="13" w:name="p-446701"/>
      <w:bookmarkStart w:id="14" w:name="p26"/>
      <w:bookmarkStart w:id="15" w:name="p-446741"/>
      <w:bookmarkStart w:id="16" w:name="p179.2"/>
      <w:bookmarkStart w:id="17" w:name="p-446742"/>
      <w:bookmarkStart w:id="18" w:name="p179.3"/>
      <w:bookmarkStart w:id="19" w:name="p-446743"/>
      <w:bookmarkStart w:id="20" w:name="p179.4"/>
      <w:bookmarkStart w:id="21" w:name="p-446744"/>
      <w:bookmarkStart w:id="22" w:name="p179.5"/>
      <w:bookmarkStart w:id="23" w:name="p-446745"/>
      <w:bookmarkStart w:id="24" w:name="p179.6"/>
      <w:bookmarkStart w:id="25" w:name="_Toc42846494"/>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A27896">
        <w:t>Aktīvu un saistību īstermiņa un ilgtermiņa daļas</w:t>
      </w:r>
      <w:bookmarkEnd w:id="25"/>
    </w:p>
    <w:p w14:paraId="2BB22EAE"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Finanšu pārskatā nodalītas aktīvu un saistību īstermiņa un ilgtermiņa daļas. </w:t>
      </w:r>
    </w:p>
    <w:p w14:paraId="6DB59EDA"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Par ilgtermiņa aktīviem grāmatvedībā atzīti aktīvi vai to daļa, kuru lietošana vai turēšana plānota ilgāk par vienu saimniecisko gadu vai apmaksa paredzēta vēlāk kā gadu pēc bilances datuma. Īstermiņa aktīvi ir aktīvi vai to daļa, kuru lietošana, turēšana vai apmaksa paredzēta nākamā saimnieciskā gada laikā pēc bilances datuma. Īstermiņa aktīvu sastāvā klasificēti arī tādi finanšu ieguldījumi, kurus iespējams realizēt jebkurā laikā.</w:t>
      </w:r>
    </w:p>
    <w:p w14:paraId="6B9C02A2"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Par ilgtermiņa saistībām grāmatvedībā atzītas saistības vai to daļa, kuru atmaksas termiņš iestājas vēlāk kā gadu pēc bilances datuma. Īstermiņa saistības ir saistības vai to daļa, kuru atmaksas termiņš iestājas nākamā saimnieciskā gada laikā pēc bilances datuma.</w:t>
      </w:r>
    </w:p>
    <w:p w14:paraId="5B1E015A" w14:textId="77777777" w:rsidR="00954F0C" w:rsidRPr="00A27896" w:rsidRDefault="00954F0C" w:rsidP="00FD10CC">
      <w:pPr>
        <w:pStyle w:val="Heading3"/>
      </w:pPr>
      <w:bookmarkStart w:id="26" w:name="_Toc42846495"/>
      <w:r w:rsidRPr="00A27896">
        <w:t>Nemateriālie ieguldījumi</w:t>
      </w:r>
      <w:bookmarkEnd w:id="26"/>
    </w:p>
    <w:p w14:paraId="2926C751"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Nemateriālie ieguldījumi ir ilgtermiņa ieguldījumi, kam nepiemīt lietiskā forma. Pārsvarā tās ir lietošanas tiesības, kurām paredzētais lietošanas laiks ir ilgāks par vienu saimniecisko gadu un kas paredzētas budžeta iestāžu funkciju izpildei.</w:t>
      </w:r>
    </w:p>
    <w:p w14:paraId="4FB93E4C" w14:textId="77777777" w:rsidR="00954F0C" w:rsidRPr="00A27896" w:rsidRDefault="00954F0C" w:rsidP="00954F0C">
      <w:pPr>
        <w:spacing w:after="120" w:line="240" w:lineRule="auto"/>
        <w:ind w:firstLine="284"/>
        <w:jc w:val="both"/>
        <w:rPr>
          <w:rFonts w:cs="Times New Roman"/>
          <w:b/>
          <w:color w:val="17365D"/>
        </w:rPr>
      </w:pPr>
      <w:r w:rsidRPr="00A27896">
        <w:rPr>
          <w:rFonts w:cs="Times New Roman"/>
          <w:color w:val="17365D"/>
        </w:rPr>
        <w:t>Nemateriālos ieguldījumus sākotnēji atzīst to iegādes vai izveidošanas vērtībā, kas ietver attiecīgā nemateriālā ieguldījuma pirkšanas cenu un visas izmaksas, kas tieši attiecas uz iegādāto vai izveidoto objektu līdz dienai, kad tas nodots lietošanā, piemēram, izmaksas par neatskaitāmiem nodokļiem, darba samaksu, kas tieši radusies nemateriālā ieguldījuma iegādes vai izveidošanas procesā, ieviešanas izmaksas.</w:t>
      </w:r>
    </w:p>
    <w:p w14:paraId="1097DB94"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 xml:space="preserve">Nemateriāliem ieguldījumiem amortizāciju (vērtības norakstīšanu) aprēķina atbilstoši to paredzamajam lietderīgās lietošanas laikam, sākotnējo vērtību sistemātiski sadalot pa periodiem (lineārā metode), uzskaita kā uzkrāto amortizāciju un atzīst pārskata perioda pamatdarbības izdevumos. </w:t>
      </w:r>
    </w:p>
    <w:p w14:paraId="2CCF7ACF" w14:textId="27EA6400"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Nemateriālajiem ieguldījumiem, kuru vērtība laika gaitā pieaug un kurus plāno lietot neierobežotu laika periodu, amortizāciju neaprēķina</w:t>
      </w:r>
      <w:r w:rsidR="00FF3900" w:rsidRPr="00A27896">
        <w:rPr>
          <w:rFonts w:cs="Times New Roman"/>
          <w:color w:val="17365D"/>
        </w:rPr>
        <w:t xml:space="preserve"> – pārskata gadā 1,</w:t>
      </w:r>
      <w:r w:rsidR="005463D4" w:rsidRPr="00A27896">
        <w:rPr>
          <w:rFonts w:cs="Times New Roman"/>
          <w:color w:val="17365D"/>
        </w:rPr>
        <w:t xml:space="preserve">8 </w:t>
      </w:r>
      <w:r w:rsidR="00FF3900" w:rsidRPr="00A27896">
        <w:rPr>
          <w:rFonts w:cs="Times New Roman"/>
          <w:color w:val="17365D"/>
        </w:rPr>
        <w:t>% nemateriāl</w:t>
      </w:r>
      <w:r w:rsidR="009F1ACB" w:rsidRPr="00A27896">
        <w:rPr>
          <w:rFonts w:cs="Times New Roman"/>
          <w:color w:val="17365D"/>
        </w:rPr>
        <w:t>iem</w:t>
      </w:r>
      <w:r w:rsidR="00FF3900" w:rsidRPr="00A27896">
        <w:rPr>
          <w:rFonts w:cs="Times New Roman"/>
          <w:color w:val="17365D"/>
        </w:rPr>
        <w:t xml:space="preserve"> aktīv</w:t>
      </w:r>
      <w:r w:rsidR="009F1ACB" w:rsidRPr="00A27896">
        <w:rPr>
          <w:rFonts w:cs="Times New Roman"/>
          <w:color w:val="17365D"/>
        </w:rPr>
        <w:t>iem</w:t>
      </w:r>
      <w:r w:rsidRPr="00A27896">
        <w:rPr>
          <w:rFonts w:cs="Times New Roman"/>
          <w:color w:val="17365D"/>
        </w:rPr>
        <w:t>.</w:t>
      </w:r>
    </w:p>
    <w:p w14:paraId="2EA719F6" w14:textId="77777777" w:rsidR="00954F0C" w:rsidRPr="00A27896" w:rsidRDefault="00954F0C" w:rsidP="00954F0C">
      <w:pPr>
        <w:pStyle w:val="tv2131"/>
        <w:spacing w:after="120" w:line="240" w:lineRule="auto"/>
        <w:ind w:firstLine="284"/>
        <w:jc w:val="both"/>
        <w:rPr>
          <w:color w:val="17365D"/>
          <w:sz w:val="24"/>
          <w:szCs w:val="24"/>
        </w:rPr>
      </w:pPr>
      <w:r w:rsidRPr="00A27896">
        <w:rPr>
          <w:color w:val="17365D"/>
          <w:sz w:val="24"/>
          <w:szCs w:val="24"/>
        </w:rPr>
        <w:t>Pārskata perioda beigās novērtē, vai nepastāv pazīmes, kas norāda uz nemateriālā ieguldījuma vērtības būtisku samazinājumu:</w:t>
      </w:r>
    </w:p>
    <w:p w14:paraId="5B9BC623"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vismaz par 90 procentiem samazinājies vai nepastāv pieprasījums pēc pakalpojuma, kuru sniedz budžeta iestāde, lietojot attiecīgo nemateriālo ieguldījumu;</w:t>
      </w:r>
    </w:p>
    <w:p w14:paraId="020D0968"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pieņemts valdības vai pašvaldības lēmums, kas rada būtiskas negatīvas izmaiņas budžeta iestādes darbībā;</w:t>
      </w:r>
    </w:p>
    <w:p w14:paraId="492E8258"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nemateriālais ieguldījums ir novecojis;</w:t>
      </w:r>
    </w:p>
    <w:p w14:paraId="184B4037"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budžeta iestādes darbībā notikušas vai tuvākajā laikā gaidāmas ilgtermiņa izmaiņas, kas negatīvi ietekmē nemateriālā ieguldījuma paredzēto lietojumu;</w:t>
      </w:r>
    </w:p>
    <w:p w14:paraId="19EB4B16"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pieņemts lēmums apturēt nemateriālā ieguldījuma izveidošanu pirms tā izveidošanas vai nodošanas lietošanā.</w:t>
      </w:r>
    </w:p>
    <w:p w14:paraId="72AC3AF2" w14:textId="667DD508"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lastRenderedPageBreak/>
        <w:t>Ja konstatē kādu no iepriekš minētajām pazīmēm, budžeta iestāde nosaka aktīva atgūstamo vērtību. Ja atgūstamo vērtību nav iespējams noteikt, aktīva vērtības samazinājumu nenosaka.</w:t>
      </w:r>
    </w:p>
    <w:p w14:paraId="545E3958"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 xml:space="preserve">Nemateriālie ieguldījumi, kas paredzēti nodošanai bez atlīdzības citai budžeta iestādei, uzskaitīti ilgtermiņa ieguldījumu sastāvā līdz to izslēgšanai no uzskaites. </w:t>
      </w:r>
    </w:p>
    <w:p w14:paraId="3DCAC04F"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Atsavināšanai (izņemot nodošanu bez atlīdzības budžeta iestādēm) paredzētie nemateriālie ieguldījumi uzskaitīti apgrozāmo līdzekļu sastāvā to atlikušajā uzskaites vērtībā.</w:t>
      </w:r>
    </w:p>
    <w:p w14:paraId="26405A49" w14:textId="77777777" w:rsidR="00954F0C" w:rsidRPr="00A27896" w:rsidRDefault="00954F0C" w:rsidP="00954F0C">
      <w:pPr>
        <w:spacing w:after="120" w:line="240" w:lineRule="auto"/>
        <w:ind w:firstLine="284"/>
        <w:jc w:val="both"/>
        <w:rPr>
          <w:rFonts w:eastAsia="Times New Roman" w:cs="Times New Roman"/>
          <w:color w:val="17365D"/>
          <w:szCs w:val="24"/>
        </w:rPr>
      </w:pPr>
      <w:r w:rsidRPr="00A27896">
        <w:rPr>
          <w:rFonts w:eastAsia="Times New Roman" w:cs="Times New Roman"/>
          <w:color w:val="17365D"/>
          <w:szCs w:val="24"/>
        </w:rPr>
        <w:t>Nemateriālie ieguldījumi, kas iegūti operatīvās nomas ietvaros, uzskaitīti zembilancē atbilstoši nomas līgumā noteiktai vērtībai vai vērtībai, kuru noteikusi budžeta iestādes vadītāja apstiprināta komisija.</w:t>
      </w:r>
    </w:p>
    <w:p w14:paraId="0DD47638" w14:textId="77777777" w:rsidR="00954F0C" w:rsidRPr="00A27896" w:rsidRDefault="00954F0C" w:rsidP="00FD10CC">
      <w:pPr>
        <w:pStyle w:val="Heading3"/>
      </w:pPr>
      <w:bookmarkStart w:id="27" w:name="_Toc42846496"/>
      <w:r w:rsidRPr="00A27896">
        <w:t>Pamatlīdzekļi</w:t>
      </w:r>
      <w:bookmarkEnd w:id="27"/>
    </w:p>
    <w:p w14:paraId="2AC7F1B3" w14:textId="77777777" w:rsidR="00954F0C" w:rsidRPr="00A27896" w:rsidRDefault="00954F0C" w:rsidP="00954F0C">
      <w:pPr>
        <w:pStyle w:val="Apakvirsraksti"/>
        <w:numPr>
          <w:ilvl w:val="0"/>
          <w:numId w:val="0"/>
        </w:numPr>
        <w:spacing w:before="0" w:after="120" w:line="240" w:lineRule="auto"/>
        <w:ind w:firstLine="284"/>
        <w:jc w:val="both"/>
        <w:rPr>
          <w:b w:val="0"/>
          <w:color w:val="17365D"/>
        </w:rPr>
      </w:pPr>
      <w:r w:rsidRPr="00A27896">
        <w:rPr>
          <w:b w:val="0"/>
          <w:color w:val="17365D"/>
        </w:rPr>
        <w:t>Pamatlīdzekļu sastāvā uzskaitīti ilgtermiņa materiāli lietiskie aktīvi, kas paredzēti budžeta iestāžu funkciju izpildes nodrošināšanai. Pamatlīdzekļu lietderīgās lietošanas laiks ir ilgāks par vienu saimniecisko gadu un vienības sākotnējās atzīšanas vērtība noteikta, ievērojot normatīvajos aktos budžeta izdevumu klasifikāciju jomā noteiktās prasības. Nekustamie īpašumi, bioloģiskie aktīvi, bibliotēku fondi, izklaides, literārie un mākslas oriģināldarbi, dārgakmeņi un dārgmetāli, antīkie un citi kultūras un mākslas priekšmeti, vērtslietas un muzeja krājumu priekšmeti uzskaitīti pamatlīdzekļu sastāvā neatkarīgi no vienas vienības atzīšanas vērtības.</w:t>
      </w:r>
    </w:p>
    <w:p w14:paraId="53903213" w14:textId="77777777" w:rsidR="00954F0C" w:rsidRPr="00A27896" w:rsidRDefault="00954F0C" w:rsidP="00954F0C">
      <w:pPr>
        <w:pStyle w:val="Apakvirsraksti"/>
        <w:numPr>
          <w:ilvl w:val="0"/>
          <w:numId w:val="0"/>
        </w:numPr>
        <w:spacing w:before="0" w:after="120" w:line="240" w:lineRule="auto"/>
        <w:ind w:firstLine="284"/>
        <w:jc w:val="both"/>
        <w:rPr>
          <w:b w:val="0"/>
          <w:iCs/>
          <w:color w:val="17365D"/>
        </w:rPr>
      </w:pPr>
      <w:r w:rsidRPr="00A27896">
        <w:rPr>
          <w:b w:val="0"/>
          <w:iCs/>
          <w:color w:val="17365D"/>
        </w:rPr>
        <w:t>Pamatlīdzekļi sākotnēji atzīti to iegādes vai izveidošanas izmaksu vērtībā, kas ietver attiecīgā aktīva pirkšanas cenu un visas izmaksas, kas tieši attiecas uz iegādāto vai izveidoto objektu līdz dienai, kad tas nodots lietošanā.</w:t>
      </w:r>
    </w:p>
    <w:p w14:paraId="5DDDD8C5" w14:textId="77777777" w:rsidR="00954F0C" w:rsidRPr="00A27896" w:rsidRDefault="00954F0C" w:rsidP="00954F0C">
      <w:pPr>
        <w:pStyle w:val="Apakvirsraksti"/>
        <w:numPr>
          <w:ilvl w:val="0"/>
          <w:numId w:val="0"/>
        </w:numPr>
        <w:spacing w:before="0" w:after="120" w:line="240" w:lineRule="auto"/>
        <w:ind w:firstLine="284"/>
        <w:jc w:val="both"/>
        <w:rPr>
          <w:b w:val="0"/>
          <w:iCs/>
          <w:color w:val="17365D"/>
        </w:rPr>
      </w:pPr>
      <w:r w:rsidRPr="00A27896">
        <w:rPr>
          <w:b w:val="0"/>
          <w:color w:val="17365D"/>
        </w:rPr>
        <w:t xml:space="preserve">Sākotnēji atzīstot līdz šim neuzskaitītus </w:t>
      </w:r>
      <w:r w:rsidRPr="00A27896">
        <w:rPr>
          <w:b w:val="0"/>
          <w:iCs/>
          <w:color w:val="17365D"/>
        </w:rPr>
        <w:t>pamatlīdzekļus</w:t>
      </w:r>
      <w:r w:rsidRPr="00A27896">
        <w:rPr>
          <w:b w:val="0"/>
          <w:color w:val="17365D"/>
        </w:rPr>
        <w:t xml:space="preserve">, tie novērtēti patiesajā vērtībā, zeme un būves – galvenokārt kadastrālajā vērtībā, mežaudzes – Meža valsts reģistrā norādītajā pilnajā vērtībā. </w:t>
      </w:r>
    </w:p>
    <w:p w14:paraId="22D1DD8D" w14:textId="77777777" w:rsidR="00954F0C" w:rsidRPr="00A27896" w:rsidRDefault="00954F0C" w:rsidP="00954F0C">
      <w:pPr>
        <w:pStyle w:val="tv2131"/>
        <w:spacing w:after="120" w:line="240" w:lineRule="auto"/>
        <w:ind w:firstLine="284"/>
        <w:jc w:val="both"/>
        <w:rPr>
          <w:color w:val="17365D"/>
          <w:sz w:val="24"/>
          <w:szCs w:val="24"/>
        </w:rPr>
      </w:pPr>
      <w:r w:rsidRPr="00A27896">
        <w:rPr>
          <w:iCs/>
          <w:color w:val="17365D"/>
          <w:sz w:val="24"/>
          <w:szCs w:val="24"/>
        </w:rPr>
        <w:t xml:space="preserve">Pamatlīdzekļu nolietojumu aprēķina atbilstoši to paredzamajam lietderīgās lietošanas laikam un ievērojot MK noteikumos Nr. 87 noteiktās pamatlīdzekļu nolietojuma normas, sākotnējo vērtību sadalot pa periodiem (lineārā metode), uzskaitot kā uzkrāto nolietojumu un </w:t>
      </w:r>
      <w:r w:rsidRPr="00A27896">
        <w:rPr>
          <w:color w:val="17365D"/>
          <w:sz w:val="24"/>
          <w:szCs w:val="24"/>
        </w:rPr>
        <w:t>atzīstot pārskata perioda pamatdarbības izdevumos. Ilgtermiņa ieguldījumiem nomātajos pamatlīdzekļos lietderīgās lietošanas laiks noteikts atbilstoši noslēgtā nomas, īres vai apsaimniekošanas līguma darbības termiņam.</w:t>
      </w:r>
    </w:p>
    <w:p w14:paraId="682D37D9"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Pārskata perioda beigās novērtē, vai nepastāv vismaz šādas pazīmes, kas norāda uz pamatlīdzekļu vērtības būtisku samazinājumu:</w:t>
      </w:r>
    </w:p>
    <w:p w14:paraId="29C46091" w14:textId="38DA6F48"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vismaz par 90 procentiem</w:t>
      </w:r>
      <w:r w:rsidR="00D50D19" w:rsidRPr="00A27896">
        <w:rPr>
          <w:color w:val="17365D"/>
          <w:sz w:val="24"/>
          <w:szCs w:val="24"/>
        </w:rPr>
        <w:t xml:space="preserve"> </w:t>
      </w:r>
      <w:r w:rsidRPr="00A27896">
        <w:rPr>
          <w:color w:val="17365D"/>
          <w:sz w:val="24"/>
          <w:szCs w:val="24"/>
        </w:rPr>
        <w:t xml:space="preserve">samazinājies vai nepastāv pieprasījums pēc pakalpojuma, kuru sniedz budžeta iestāde, lietojot attiecīgo pamatlīdzekli; </w:t>
      </w:r>
    </w:p>
    <w:p w14:paraId="6DB96141"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pieņemts valdības vai pašvaldības lēmums, kas rada būtiskas negatīvas izmaiņas budžeta iestādes darbībā; </w:t>
      </w:r>
    </w:p>
    <w:p w14:paraId="7BD4FEDC"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pamatlīdzeklis ir novecojis vai fiziski bojāts; </w:t>
      </w:r>
    </w:p>
    <w:p w14:paraId="35422EB1"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budžeta iestādes darbībā notikušas vai tuvākajā laikā gaidāmas ilgtermiņa izmaiņas, kas negatīvi ietekmē pamatlīdzekļa paredzēto lietojumu; </w:t>
      </w:r>
    </w:p>
    <w:p w14:paraId="4705FE03"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pieņemts lēmums apturēt pamatlīdzekļa izveidošanu pirms tā pabeigšanas vai nodošanas lietošanā.</w:t>
      </w:r>
    </w:p>
    <w:p w14:paraId="4BEE9E64" w14:textId="064EC990"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Ja konstatē kādu no iepriekš minētajām pazīmēm, budžeta iestāde nosaka aktīva atgūstamo vērtību. Ja atgūstamo vērtību nav iespējams noteikt, aktīva vērtības samazinājumu nenosaka.</w:t>
      </w:r>
    </w:p>
    <w:p w14:paraId="1C3F5259" w14:textId="77777777" w:rsidR="00954F0C" w:rsidRPr="00A27896" w:rsidRDefault="00954F0C" w:rsidP="00954F0C">
      <w:pPr>
        <w:pStyle w:val="Apakvirsraksti"/>
        <w:numPr>
          <w:ilvl w:val="0"/>
          <w:numId w:val="0"/>
        </w:numPr>
        <w:spacing w:before="0" w:after="120" w:line="240" w:lineRule="auto"/>
        <w:ind w:firstLine="284"/>
        <w:jc w:val="both"/>
        <w:rPr>
          <w:b w:val="0"/>
          <w:iCs/>
          <w:color w:val="17365D"/>
        </w:rPr>
      </w:pPr>
      <w:r w:rsidRPr="00A27896">
        <w:rPr>
          <w:b w:val="0"/>
          <w:iCs/>
          <w:color w:val="17365D"/>
        </w:rPr>
        <w:t>Zemei, bioloģiskiem un pazemes aktīviem, bibliotēku fondiem, kultūras un mākslas priekšmetiem, muzeju krājuma priekšmetiem,</w:t>
      </w:r>
      <w:r w:rsidRPr="00A27896">
        <w:rPr>
          <w:iCs/>
          <w:color w:val="17365D"/>
        </w:rPr>
        <w:t xml:space="preserve"> </w:t>
      </w:r>
      <w:r w:rsidRPr="00A27896">
        <w:rPr>
          <w:b w:val="0"/>
          <w:iCs/>
          <w:color w:val="17365D"/>
        </w:rPr>
        <w:t xml:space="preserve">dārgakmeņiem, dārgmetāliem un to </w:t>
      </w:r>
      <w:r w:rsidRPr="00A27896">
        <w:rPr>
          <w:b w:val="0"/>
          <w:iCs/>
          <w:color w:val="17365D"/>
        </w:rPr>
        <w:lastRenderedPageBreak/>
        <w:t>izstrādājumiem, vērtslietām un valsts aizsargājamo kultūras pieminekļu sarakstā iekļautiem kultūras pieminekļiem, kurus nelieto ikdienā, nolietojumu neaprēķina.</w:t>
      </w:r>
    </w:p>
    <w:p w14:paraId="4446E903"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Finanšu nomas (līzinga), kā arī publiskās un privātās partnerības darījumos iegādātos pamatlīdzekļus uzskaita tāpat kā budžeta iestādes īpašumā vai valdījumā esošos pamatlīdzekļus un nolietojumu aprēķina atbilstoši tādiem pašiem noteikumiem, kādi piemērojami pārējiem īpašumā esošiem tās pašas grupas aktīviem.</w:t>
      </w:r>
    </w:p>
    <w:p w14:paraId="6F65F945" w14:textId="77777777" w:rsidR="00954F0C" w:rsidRPr="00A27896" w:rsidRDefault="00954F0C" w:rsidP="00954F0C">
      <w:pPr>
        <w:spacing w:after="120" w:line="240" w:lineRule="auto"/>
        <w:ind w:firstLine="284"/>
        <w:jc w:val="both"/>
        <w:rPr>
          <w:rFonts w:cs="Times New Roman"/>
          <w:iCs/>
          <w:color w:val="17365D"/>
        </w:rPr>
      </w:pPr>
      <w:r w:rsidRPr="00A27896">
        <w:rPr>
          <w:rFonts w:cs="Times New Roman"/>
          <w:iCs/>
          <w:color w:val="17365D"/>
        </w:rPr>
        <w:t>Likvidētie vai iznīcinātie pamatlīdzekļi izslēgti no uzskaites, atzīstot pārējos izdevumus.</w:t>
      </w:r>
    </w:p>
    <w:p w14:paraId="3618BC76" w14:textId="77777777" w:rsidR="00954F0C" w:rsidRPr="00A27896" w:rsidRDefault="00954F0C" w:rsidP="00954F0C">
      <w:pPr>
        <w:spacing w:after="120" w:line="240" w:lineRule="auto"/>
        <w:ind w:firstLine="284"/>
        <w:jc w:val="both"/>
        <w:rPr>
          <w:rFonts w:cs="Times New Roman"/>
          <w:iCs/>
          <w:color w:val="17365D"/>
        </w:rPr>
      </w:pPr>
      <w:r w:rsidRPr="00A27896">
        <w:rPr>
          <w:rFonts w:cs="Times New Roman"/>
          <w:iCs/>
          <w:color w:val="17365D"/>
        </w:rPr>
        <w:t>Atsavināšanai (izņemot nodošanu bez atlīdzības) paredzētie pamatlīdzekļi līdz to atsavināšanai uzskaitīti apgrozāmo līdzekļu sastāvā.</w:t>
      </w:r>
    </w:p>
    <w:p w14:paraId="6E02C006" w14:textId="77777777" w:rsidR="00954F0C" w:rsidRPr="00A27896" w:rsidRDefault="00954F0C" w:rsidP="00954F0C">
      <w:pPr>
        <w:spacing w:after="120" w:line="240" w:lineRule="auto"/>
        <w:ind w:firstLine="284"/>
        <w:jc w:val="both"/>
        <w:rPr>
          <w:rFonts w:eastAsia="Times New Roman" w:cs="Times New Roman"/>
          <w:iCs/>
          <w:color w:val="17365D"/>
          <w:szCs w:val="24"/>
        </w:rPr>
      </w:pPr>
      <w:r w:rsidRPr="00A27896">
        <w:rPr>
          <w:rFonts w:eastAsia="Times New Roman" w:cs="Times New Roman"/>
          <w:iCs/>
          <w:color w:val="17365D"/>
          <w:szCs w:val="24"/>
        </w:rPr>
        <w:t>Pamatlīdzekļus uzskaita kā atsavināšanai paredzētus, ja tie pašreizējā stāvoklī ir pieejami tūlītējai atsavināšanai un pakļauti normatīvajos aktos noteiktajiem atsavināšanas nosacījumiem, to lietderīgā lietošana ir pārtraukta un to atsavināšana ir ticama. Pamatlīdzekļu atsavināšanu uzskata par ticamu, ja ir spēkā šādi nosacījumi:</w:t>
      </w:r>
    </w:p>
    <w:p w14:paraId="7A8D991E"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atsavināšana ir pamatota ar normatīvo aktu vai iestādes vadības lēmumu;</w:t>
      </w:r>
    </w:p>
    <w:p w14:paraId="25380651"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atsavināšanas process ir uzsākts;</w:t>
      </w:r>
    </w:p>
    <w:p w14:paraId="715712FC"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ir pārliecība par atsavināšanas procesa pabeigšanu.</w:t>
      </w:r>
    </w:p>
    <w:p w14:paraId="34804B47"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Pamatlīdzekļus, kas paredzēti nodošanai bez atlīdzības citai budžeta iestādei, uzskaita ilgtermiņa ieguldījumu sastāvā līdz to izslēgšanai no uzskaites.</w:t>
      </w:r>
    </w:p>
    <w:p w14:paraId="38D4B4D7"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Budžeta iestāde, bez atlīdzības nododot pamatlīdzekli citai budžeta iestādei, atzīst pārējos izdevumus pamatlīdzekļa atlikušajā vērtībā, kas veidojas, no pamatlīdzekļa sākotnējās uzskaites vērtības atskaitot vērtības samazinājumu un nolietojumu.</w:t>
      </w:r>
    </w:p>
    <w:p w14:paraId="532A71F9" w14:textId="77777777" w:rsidR="00954F0C" w:rsidRPr="00A27896" w:rsidRDefault="00954F0C" w:rsidP="00954F0C">
      <w:pPr>
        <w:spacing w:after="120" w:line="240" w:lineRule="auto"/>
        <w:ind w:firstLine="284"/>
        <w:jc w:val="both"/>
        <w:rPr>
          <w:rFonts w:cs="Times New Roman"/>
          <w:color w:val="17365D"/>
          <w:szCs w:val="24"/>
        </w:rPr>
      </w:pPr>
      <w:r w:rsidRPr="00A27896">
        <w:rPr>
          <w:rFonts w:eastAsia="Times New Roman" w:cs="Times New Roman"/>
          <w:color w:val="17365D"/>
          <w:szCs w:val="24"/>
          <w:lang w:eastAsia="lv-LV"/>
        </w:rPr>
        <w:t xml:space="preserve">Budžeta iestādes īpašumā un valdījumā esošus valsts un pašvaldību īpašumus nododot turējumā valsts vai pašvaldību kapitālsabiedrībām, ostu pārvaldēm vai atvasinātām publiskām personām, uzskaita to sākotnējo vērtību un uzkrāto nolietojumu atsevišķos kontos pamatlīdzekļu sastāvā un turpina aprēķināt nolietojumu pamatlīdzekļu atlikušajā lietderīgās lietošanas laikā atbilstoši </w:t>
      </w:r>
      <w:r w:rsidRPr="00A27896">
        <w:rPr>
          <w:rFonts w:cs="Times New Roman"/>
          <w:iCs/>
          <w:color w:val="17365D"/>
          <w:szCs w:val="24"/>
        </w:rPr>
        <w:t>MK noteikumos Nr. 87</w:t>
      </w:r>
      <w:r w:rsidRPr="00A27896">
        <w:rPr>
          <w:rFonts w:eastAsia="Times New Roman" w:cs="Times New Roman"/>
          <w:color w:val="17365D"/>
          <w:szCs w:val="24"/>
          <w:lang w:eastAsia="lv-LV"/>
        </w:rPr>
        <w:t xml:space="preserve"> noteiktajām pamatlīdzekļu nolietojuma normām un to piemērošanas nosacījumiem.</w:t>
      </w:r>
    </w:p>
    <w:p w14:paraId="1E633D71"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Budžeta iestāde, veicot kapitālos ieguldījumus valsts un pašvaldību īpašumos, kas nodoti turējumā valsts vai pašvaldību kapitālsabiedrībām, ostu pārvaldēm vai atvasinātām publiskām personām, palielina to sākotnējo vērtību par valsts vai pašvaldību kapitālo ieguldījumu daļu. Budžeta iestāde savā uzskaitē neatzīst kapitālsabiedrību, ostu pārvalžu vai atvasināto publisko personu veiktos kapitālos ieguldījumus no budžeta iestādes turējumā saņemtajos īpašumos.</w:t>
      </w:r>
    </w:p>
    <w:p w14:paraId="6038E5AD" w14:textId="77777777" w:rsidR="00954F0C" w:rsidRPr="00A27896" w:rsidRDefault="00954F0C" w:rsidP="00FD10CC">
      <w:pPr>
        <w:pStyle w:val="Heading3"/>
      </w:pPr>
      <w:bookmarkStart w:id="28" w:name="_Toc42846497"/>
      <w:r w:rsidRPr="00A27896">
        <w:t>Ieguldījuma īpašumi</w:t>
      </w:r>
      <w:bookmarkEnd w:id="28"/>
    </w:p>
    <w:p w14:paraId="01CFFE96"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Ieguldījuma īpašumu sastāvā uzskaitīta zeme un būves, kas nav paredzētas budžeta iestāžu funkciju izpildes nodrošināšanai, bet tās iznomā ārpus vispārējās valdības institucionālā sektora struktūrām vai to lietošanas mērķis nav noteikts. Šo aktīvu lietderīgās lietošanas laiks ir ilgāks par vienu saimniecisko gadu.</w:t>
      </w:r>
    </w:p>
    <w:p w14:paraId="236660B7"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 xml:space="preserve">Ieguldījuma īpašumu uzskaite atbilst pamatlīdzekļu uzskaites pamatprincipiem. </w:t>
      </w:r>
    </w:p>
    <w:p w14:paraId="29990402"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Ieguldījuma īpašumu vērtības samazinājumu pārskata perioda beigās izvērtē, ja konstatētas vismaz šādas vērtības samazinājuma pazīmes:</w:t>
      </w:r>
    </w:p>
    <w:p w14:paraId="6E3B7BB1"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pārskata periodā tehnoloģiskajā, tirgus, ekonomiskajā vai juridiskajā vidē, kurā darbojas budžeta iestāde, vai tirgos, kuros aktīvs tiek izmantots, ir notikušas izmaiņas, kas nelabvēlīgi ietekmē budžeta iestādi;</w:t>
      </w:r>
    </w:p>
    <w:p w14:paraId="7B0533A0"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aktīvs ir novecojis vai fiziski bojāts;</w:t>
      </w:r>
    </w:p>
    <w:p w14:paraId="119A8AEC"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lastRenderedPageBreak/>
        <w:t>budžeta iestādes darbībā notikušas vai tuvākajā laikā gaidāmas ilgtermiņa izmaiņas, kas negatīvi ietekmē aktīva paredzēto lietojumu;</w:t>
      </w:r>
    </w:p>
    <w:p w14:paraId="70D034B5"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pieņemts lēmums apturēt aktīva izveidošanu pirms tā pabeigšanas vai nodošanas lietošanā;</w:t>
      </w:r>
    </w:p>
    <w:p w14:paraId="7E82EDB3"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ar aktīvu saistīto budžetā paredzēto ienākošo un izejošo naudas plūsmu kopsummas vai budžeta izpildes rezultāta samazināšanās vismaz par 50 procentiem.</w:t>
      </w:r>
    </w:p>
    <w:p w14:paraId="7FE5E63B" w14:textId="77777777" w:rsidR="00954F0C" w:rsidRPr="00A27896" w:rsidRDefault="00954F0C" w:rsidP="00FD10CC">
      <w:pPr>
        <w:pStyle w:val="Heading3"/>
      </w:pPr>
      <w:bookmarkStart w:id="29" w:name="_Toc42846498"/>
      <w:r w:rsidRPr="00A27896">
        <w:t>Bioloģiskie aktīvi lauksaimnieciskai darbībai</w:t>
      </w:r>
      <w:bookmarkEnd w:id="29"/>
    </w:p>
    <w:p w14:paraId="31BE6F87"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Bioloģiskie aktīvi lauksaimnieciskai darbībai paredzēti budžeta iestādes plānveida darbībai lauksaimniecībā, zivsaimniecībā un mežsaimniecībā ieņēmumu gūšanai. Šo aktīvu lietderīgās lietošanas laiks ir ilgāks par vienu saimniecisko gadu un tos klasificē ilgtermiņa ieguldījumu sastāvā neatkarīgi no normatīvajos aktos budžeta izdevumu klasifikāciju jomā noteiktās vienas aktīva vienības atzīšanas vērtības.</w:t>
      </w:r>
    </w:p>
    <w:p w14:paraId="71C95EE3"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Bioloģiskos aktīvus sākotnēji atzīst to iegādes vai izveidošanas izmaksu vērtībā. Sākotnēji atzīstot līdz šim neuzskaitītus bioloģiskos aktīvus, tie novērtēti patiesajā vērtībā, mežaudzes –Meža valsts reģistrā norādītajā pilnajā vērtībā.</w:t>
      </w:r>
    </w:p>
    <w:p w14:paraId="554A2A4B"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Pārskata gada beigās mežaudzes novērtētas aktuālajā Meža valsts reģistrā norādītajā pilnajā vērtībā, bet pārējie bioloģiskie aktīvi novērti patiesajā vērtībā, atskaitot atsavināšanas izmaksas.</w:t>
      </w:r>
    </w:p>
    <w:p w14:paraId="19455498"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Starpība starp bioloģisko aktīvu uzskaites vērtību pārskata gada beigās un sākotnējo vērtību vai uzskaites vērtību iepriekšējā pārskata gada beigās iekļauta pārskata perioda pamatdarbības ieņēmumos vai izdevumos.</w:t>
      </w:r>
    </w:p>
    <w:p w14:paraId="13CAFA6D" w14:textId="77777777" w:rsidR="00954F0C" w:rsidRPr="00A27896" w:rsidRDefault="00954F0C" w:rsidP="00FD10CC">
      <w:pPr>
        <w:pStyle w:val="Heading3"/>
      </w:pPr>
      <w:bookmarkStart w:id="30" w:name="_Toc42846499"/>
      <w:r w:rsidRPr="00A27896">
        <w:t>Finanšu ieguldījumi (ilgtermiņa un īstermiņa)</w:t>
      </w:r>
      <w:bookmarkEnd w:id="30"/>
    </w:p>
    <w:p w14:paraId="6CF5EBB4"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Finanšu ieguldījumu sastāvā uzskaita valsts un pašvaldību finanšu ieguldījumus kapitālsabiedrību, starptautisko un citu organizāciju kapitālā un vērtspapīros, aizdevumus, noguldījumus, samaksātos avansus par finanšu ieguldījumiem. Šajā postenī uzskaitīti arī valsts </w:t>
      </w:r>
      <w:proofErr w:type="spellStart"/>
      <w:r w:rsidRPr="00A27896">
        <w:rPr>
          <w:rFonts w:cs="Times New Roman"/>
          <w:color w:val="17365D"/>
          <w:szCs w:val="24"/>
        </w:rPr>
        <w:t>fondēto</w:t>
      </w:r>
      <w:proofErr w:type="spellEnd"/>
      <w:r w:rsidRPr="00A27896">
        <w:rPr>
          <w:rFonts w:cs="Times New Roman"/>
          <w:color w:val="17365D"/>
          <w:szCs w:val="24"/>
        </w:rPr>
        <w:t xml:space="preserve"> pensiju shēmas līdzekļi un pārņemtie valsts budžeta debitori, kas saistīti ar izsniegtajiem aizdevumiem.</w:t>
      </w:r>
    </w:p>
    <w:p w14:paraId="31605CDD"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Budžeta iestādes īpašumā un valdījumā esošus valsts un pašvaldību īpašumus nododot turējumā valsts vai pašvaldību kapitālsabiedrībām, ostu pārvaldēm vai atvasinātām publiskām personām, to vērtību uzskaita atsevišķos kontos finanšu ieguldījumu sastāvā. Šajā postenī uzrāda privatizācijai vai atsavināšanai nodotos valsts īpašumus un kapitāla daļas, kuru īpašuma tiesības zemesgrāmatā vai kapitālsabiedrības dalībnieku (akcionāru) reģistrā ir reģistrētas uz valsts vārda privatizāciju (atsavināšanu) veicošās institūcijas personā, un nekustamos īpašumus, kuri nodoti privatizācijai vai atsavināšanai un kurus privatizāciju (atsavināšanu) veicošā institūcija ir ņēmusi valdījumā, bet kuru īpašuma tiesības vēl nav nostiprinātas zemesgrāmatā.</w:t>
      </w:r>
    </w:p>
    <w:p w14:paraId="58D76985" w14:textId="77777777" w:rsidR="00954F0C" w:rsidRPr="00A27896" w:rsidRDefault="00954F0C" w:rsidP="00954F0C">
      <w:pPr>
        <w:pStyle w:val="tv2131"/>
        <w:spacing w:after="120" w:line="240" w:lineRule="auto"/>
        <w:ind w:firstLine="284"/>
        <w:jc w:val="both"/>
        <w:rPr>
          <w:color w:val="17365D"/>
          <w:sz w:val="24"/>
          <w:szCs w:val="24"/>
        </w:rPr>
      </w:pPr>
      <w:r w:rsidRPr="00A27896">
        <w:rPr>
          <w:color w:val="17365D"/>
          <w:sz w:val="24"/>
          <w:szCs w:val="24"/>
        </w:rPr>
        <w:t>Finanšu ieguldījumus sākotnēji atzīst to rašanās dienā un novērtē patiesajā vērtībā atbilstoši iegādes izmaksām.</w:t>
      </w:r>
    </w:p>
    <w:p w14:paraId="5AF7E7FC" w14:textId="77777777" w:rsidR="00954F0C" w:rsidRPr="00A27896" w:rsidRDefault="00954F0C" w:rsidP="00954F0C">
      <w:pPr>
        <w:pStyle w:val="tv2131"/>
        <w:spacing w:after="120" w:line="240" w:lineRule="auto"/>
        <w:ind w:firstLine="284"/>
        <w:jc w:val="both"/>
        <w:rPr>
          <w:color w:val="17365D"/>
          <w:sz w:val="24"/>
          <w:szCs w:val="24"/>
        </w:rPr>
      </w:pPr>
      <w:r w:rsidRPr="00A27896">
        <w:rPr>
          <w:color w:val="17365D"/>
          <w:sz w:val="24"/>
          <w:szCs w:val="24"/>
        </w:rPr>
        <w:t>Finanšu ieguldījumus, kas klasificēti kā finanšu instrumenti, pēc sākotnējās atzīšanas uzskaita atbilstoši finanšu instrumentu uzskaites pamatprincipiem, kas detalizētāk aprakstīti sadaļā “Finanšu instrumentu klasifikācija, uzskaite un novērtēšana”.</w:t>
      </w:r>
    </w:p>
    <w:p w14:paraId="738B9220" w14:textId="77777777" w:rsidR="00954F0C" w:rsidRPr="00A27896" w:rsidRDefault="00954F0C" w:rsidP="00954F0C">
      <w:pPr>
        <w:pStyle w:val="tv2131"/>
        <w:spacing w:after="120" w:line="240" w:lineRule="auto"/>
        <w:ind w:firstLine="284"/>
        <w:jc w:val="both"/>
        <w:rPr>
          <w:color w:val="17365D"/>
          <w:szCs w:val="24"/>
        </w:rPr>
      </w:pPr>
      <w:r w:rsidRPr="00A27896">
        <w:rPr>
          <w:color w:val="17365D"/>
          <w:sz w:val="24"/>
          <w:szCs w:val="24"/>
        </w:rPr>
        <w:t>Finanšu ieguldījumus, kas nav klasificēti kā finanšu instrumenti, pēc sākotnējās atzīšanas uzskaita izmaksu vērtībā un pārskata perioda beigās nosaka vērtības samazinājumu, ja pastāv attiecīgas pazīmes.</w:t>
      </w:r>
      <w:r w:rsidRPr="00A27896" w:rsidDel="005D39C9">
        <w:rPr>
          <w:color w:val="17365D"/>
          <w:szCs w:val="24"/>
        </w:rPr>
        <w:t xml:space="preserve"> </w:t>
      </w:r>
    </w:p>
    <w:p w14:paraId="4C71BED3" w14:textId="0B7FF02B" w:rsidR="00954F0C" w:rsidRPr="00A27896" w:rsidRDefault="00954F0C" w:rsidP="00FD10CC">
      <w:pPr>
        <w:pStyle w:val="Heading3"/>
      </w:pPr>
      <w:bookmarkStart w:id="31" w:name="_Toc42846500"/>
      <w:r w:rsidRPr="00A27896">
        <w:lastRenderedPageBreak/>
        <w:t>Ieguldījumu radniecīgo un asociēto kapitālsabiedrību kapitālā uzskaite un novērtēšana (ilgtermiņa un īstermiņa)</w:t>
      </w:r>
      <w:bookmarkEnd w:id="31"/>
    </w:p>
    <w:p w14:paraId="42B27F64" w14:textId="77777777" w:rsidR="00954F0C" w:rsidRPr="00A27896" w:rsidRDefault="00954F0C" w:rsidP="00954F0C">
      <w:pPr>
        <w:spacing w:after="120" w:line="240" w:lineRule="auto"/>
        <w:ind w:firstLine="284"/>
        <w:jc w:val="both"/>
        <w:rPr>
          <w:rFonts w:cs="Times New Roman"/>
          <w:b/>
          <w:iCs/>
          <w:color w:val="17365D"/>
        </w:rPr>
      </w:pPr>
      <w:r w:rsidRPr="00A27896">
        <w:rPr>
          <w:rFonts w:cs="Times New Roman"/>
          <w:color w:val="17365D"/>
          <w:szCs w:val="24"/>
        </w:rPr>
        <w:t>Finanšu ieguldījumus kapitālsabiedrību kapitālā klasificē kā līdzdalību radniecīgās kapitālsabiedrībās, ja valstij un pašvaldībām kopā pieder vairāk par 50 procentu balsstiesību, vai līdzdalību asociētās kapitālsabiedrībās, ja valstij un pašvaldībām kopā pieder 20-50 procentu balsstiesību. Līdzdalību radniecīgo un asociēto kapitālsabiedrību kapitālā novērtē un uzskaita saskaņā ar pašu kapitāla metodi.</w:t>
      </w:r>
      <w:r w:rsidRPr="00A27896">
        <w:rPr>
          <w:rFonts w:cs="Times New Roman"/>
          <w:b/>
          <w:iCs/>
          <w:color w:val="17365D"/>
        </w:rPr>
        <w:t xml:space="preserve"> </w:t>
      </w:r>
    </w:p>
    <w:p w14:paraId="54CDF7E4"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Budžeta iestāžu ilgtermiņa finanšu ieguldījumi pārējo kapitālsabiedrību kapitālā, kur budžeta iestādei pieder 20 procenti un mazāk balsstiesību, bet valstij un pašvaldībām kopā pieder vairāk par 20 procentiem balsstiesību, finanšu pārskatā pārskata perioda sākumā un beigās pārrēķināti, pielietojot pašu kapitāla metodi.</w:t>
      </w:r>
    </w:p>
    <w:p w14:paraId="7CABDA7D"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Pārskata gadā apstiprinātās, bet nesaņemtās dividendes uzskaitītas kā zembilances prasības.</w:t>
      </w:r>
    </w:p>
    <w:p w14:paraId="67E9E67E" w14:textId="77777777" w:rsidR="00954F0C" w:rsidRPr="00A27896" w:rsidRDefault="00954F0C" w:rsidP="00FD10CC">
      <w:pPr>
        <w:pStyle w:val="Heading3"/>
      </w:pPr>
      <w:bookmarkStart w:id="32" w:name="_Toc42846501"/>
      <w:r w:rsidRPr="00A27896">
        <w:t>Aizdevumu uzskaite un novērtēšana (ilgtermiņa un īstermiņa)</w:t>
      </w:r>
      <w:bookmarkEnd w:id="32"/>
    </w:p>
    <w:p w14:paraId="133C5DFF"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Valsts un pašvaldību aizdevumi kapitālsabiedrībām, privātpersonām, biedrībām un nodibinājumiem klasificēti finanšu instrumentu kategorijā “Aizdevumi un prasības”. </w:t>
      </w:r>
    </w:p>
    <w:p w14:paraId="0DEEBA89" w14:textId="20D88779"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Finanšu pārskatā konsolidēti valsts budžeta finanšu uzskaitē iekļautie valsts aizdevumi pašvaldībām, studējošo un studiju kreditēšanas programmas izpildītājiem </w:t>
      </w:r>
      <w:r w:rsidR="007D18AF" w:rsidRPr="00A27896">
        <w:rPr>
          <w:rFonts w:cs="Times New Roman"/>
          <w:color w:val="17365D"/>
          <w:szCs w:val="24"/>
        </w:rPr>
        <w:t xml:space="preserve">un </w:t>
      </w:r>
      <w:r w:rsidRPr="00A27896">
        <w:rPr>
          <w:rFonts w:cs="Times New Roman"/>
          <w:color w:val="17365D"/>
          <w:szCs w:val="24"/>
        </w:rPr>
        <w:t>valsts budžeta daļēji finansētām atvasinātām publiskajām personām.</w:t>
      </w:r>
    </w:p>
    <w:p w14:paraId="1A76C468" w14:textId="77777777" w:rsidR="00954F0C" w:rsidRPr="00A27896" w:rsidRDefault="00954F0C" w:rsidP="00FD10CC">
      <w:pPr>
        <w:pStyle w:val="Heading3"/>
      </w:pPr>
      <w:bookmarkStart w:id="33" w:name="_Toc42846502"/>
      <w:r w:rsidRPr="00A27896">
        <w:t>Ieguldījumi vērtspapīros (ilgtermiņa un īstermiņa)</w:t>
      </w:r>
      <w:bookmarkEnd w:id="33"/>
    </w:p>
    <w:p w14:paraId="59598AD1" w14:textId="38F1F9A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Šajā bilances postenī uzskaita iegādātos ilgtermiņa un īstermiņa vērtspapīrus.</w:t>
      </w:r>
    </w:p>
    <w:p w14:paraId="5B2F673D"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Vērtspapīri klasificēti finanšu instrumentu kategorijā “Līdz termiņa beigām turēti ieguldījumi”. </w:t>
      </w:r>
    </w:p>
    <w:p w14:paraId="3CC1655F" w14:textId="77777777" w:rsidR="00954F0C" w:rsidRPr="00A27896" w:rsidRDefault="00954F0C" w:rsidP="00FD10CC">
      <w:pPr>
        <w:pStyle w:val="Heading3"/>
      </w:pPr>
      <w:bookmarkStart w:id="34" w:name="_Toc42846503"/>
      <w:r w:rsidRPr="00A27896">
        <w:t>Noguldījumu uzskaite (ilgtermiņa un īstermiņa)</w:t>
      </w:r>
      <w:bookmarkEnd w:id="34"/>
    </w:p>
    <w:p w14:paraId="625AB12C" w14:textId="2DF0C07E"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Noguldījumu sastāvā uzskaitīti Valsts kases uz laiku brīvo finanšu līdzekļu ieguldījumi depozītos Latvijas Bankā,</w:t>
      </w:r>
      <w:r w:rsidR="00D50D19" w:rsidRPr="00A27896">
        <w:rPr>
          <w:rFonts w:cs="Times New Roman"/>
          <w:color w:val="17365D"/>
          <w:szCs w:val="24"/>
        </w:rPr>
        <w:t xml:space="preserve"> </w:t>
      </w:r>
      <w:r w:rsidRPr="00A27896">
        <w:rPr>
          <w:rFonts w:cs="Times New Roman"/>
          <w:color w:val="17365D"/>
          <w:szCs w:val="24"/>
        </w:rPr>
        <w:t xml:space="preserve">kredītiestādēs un ārvalstu finanšu sabiedrībās, kā arī budžeta iestāžu noguldījumi kredītiestādēs un Valsts kasē, ja to sākotnējais termiņš ir lielāks par 90 dienām. </w:t>
      </w:r>
    </w:p>
    <w:p w14:paraId="4C4BBFA6"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Finanšu pārskatā konsolidēti budžeta iestāžu noguldījumi Valsts kasē.</w:t>
      </w:r>
    </w:p>
    <w:p w14:paraId="110414E8" w14:textId="1DCD3B31"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Noguldījumi klasificēti finanšu instrumentu kategorijā “Līdz termiņa beigām turēti ieguldījumi”.</w:t>
      </w:r>
    </w:p>
    <w:p w14:paraId="64A2B456" w14:textId="748B9A41" w:rsidR="00954F0C" w:rsidRPr="00A27896" w:rsidRDefault="00954F0C" w:rsidP="00FD10CC">
      <w:pPr>
        <w:pStyle w:val="Heading3"/>
      </w:pPr>
      <w:bookmarkStart w:id="35" w:name="_Toc42846504"/>
      <w:r w:rsidRPr="00A27896">
        <w:t>Finanšu ieguldījumu kapitālsabiedrību un starptautisko organizāciju kapitālā, kur valstij un pašvaldībām pieder 20 procenti un mazāk balsstiesību, uzskaite</w:t>
      </w:r>
      <w:bookmarkEnd w:id="35"/>
    </w:p>
    <w:p w14:paraId="50ED3FF3"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Finanšu ieguldījumi kapitālsabiedrību un starptautisko organizāciju kapitālā, kur valstij un pašvaldībām pieder 20 procenti un mazāk balsstiesību, klasificēti finanšu instrumentu kategorijā “Pārdošanai pieejami finanšu aktīvi”.</w:t>
      </w:r>
    </w:p>
    <w:p w14:paraId="38BB3F05" w14:textId="783BF4BC" w:rsidR="00954F0C" w:rsidRPr="00A27896" w:rsidRDefault="00954F0C" w:rsidP="00FD10CC">
      <w:pPr>
        <w:pStyle w:val="Heading3"/>
      </w:pPr>
      <w:r w:rsidRPr="00A27896">
        <w:t xml:space="preserve">Valsts </w:t>
      </w:r>
      <w:proofErr w:type="spellStart"/>
      <w:r w:rsidRPr="00A27896">
        <w:t>fondēto</w:t>
      </w:r>
      <w:proofErr w:type="spellEnd"/>
      <w:r w:rsidRPr="00A27896">
        <w:t xml:space="preserve"> pensiju shēmas līdzekļi</w:t>
      </w:r>
    </w:p>
    <w:p w14:paraId="026D7252" w14:textId="45C53A0C"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 xml:space="preserve">Valsts </w:t>
      </w:r>
      <w:proofErr w:type="spellStart"/>
      <w:r w:rsidRPr="00A27896">
        <w:rPr>
          <w:rFonts w:cs="Times New Roman"/>
          <w:color w:val="17365D"/>
        </w:rPr>
        <w:t>fondēto</w:t>
      </w:r>
      <w:proofErr w:type="spellEnd"/>
      <w:r w:rsidRPr="00A27896">
        <w:rPr>
          <w:rFonts w:cs="Times New Roman"/>
          <w:color w:val="17365D"/>
        </w:rPr>
        <w:t xml:space="preserve"> pensiju shēmas dalībnieka ieguldījuma plāna līdzekļus un uzkrāto kapitālu uzskaita pārējo ilgtermiņa finanšu ieguldījumu sastāvā, atbilstoši to vērtībai ieguldīšanas brīdī, vērtības izmaiņām, dzēšot ieguldījuma plāna daļu pensijas pieprasīšanas vai shēmas dalībnieka nāves un citos gadījumos, un pārskata gada beigās atbilstoši līdzekļu pārvaldītāju sniegtai informācijai.</w:t>
      </w:r>
    </w:p>
    <w:p w14:paraId="3BC75C8D" w14:textId="77777777" w:rsidR="00954F0C" w:rsidRPr="00A27896" w:rsidRDefault="00954F0C" w:rsidP="00FD10CC">
      <w:pPr>
        <w:pStyle w:val="Heading3"/>
      </w:pPr>
      <w:bookmarkStart w:id="36" w:name="_Toc42846505"/>
      <w:r w:rsidRPr="00A27896">
        <w:lastRenderedPageBreak/>
        <w:t>Krājumi</w:t>
      </w:r>
      <w:bookmarkEnd w:id="36"/>
    </w:p>
    <w:p w14:paraId="6A365FDE" w14:textId="4726EA03"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Krājumos uzskaitīti budžeta iestāžu īstermiņa materiāli lietiskie aktīvi, kas paredzēti to darbības nodrošināšanai, atsavināšanai un materiālu vai izejvielu veidā iesaistīti vai tiks izlietoti saimnieciskās darbības procesā. Krājumu sastāvā uzskaita arī inventāru, kura vērtība ir līdz 500 </w:t>
      </w:r>
      <w:proofErr w:type="spellStart"/>
      <w:r w:rsidRPr="00A27896">
        <w:rPr>
          <w:rFonts w:cs="Times New Roman"/>
          <w:i/>
          <w:color w:val="17365D"/>
          <w:szCs w:val="24"/>
        </w:rPr>
        <w:t>euro</w:t>
      </w:r>
      <w:proofErr w:type="spellEnd"/>
      <w:r w:rsidRPr="00A27896">
        <w:rPr>
          <w:rFonts w:cs="Times New Roman"/>
          <w:color w:val="17365D"/>
          <w:szCs w:val="24"/>
        </w:rPr>
        <w:t xml:space="preserve"> par vienību, ieskaitot ar pirkuma iegādi, piegādi un ar uzstādīšanu saistītos izdevumus, neatkarīgi no tā kalpošanas ilguma, atsavināšanai paredzētos ilgtermiņa ieguldījumus </w:t>
      </w:r>
      <w:r w:rsidRPr="00A27896">
        <w:rPr>
          <w:rFonts w:cs="Times New Roman"/>
          <w:iCs/>
          <w:color w:val="17365D"/>
          <w:szCs w:val="24"/>
        </w:rPr>
        <w:t>(izņemot nodošanu bez atlīdzības</w:t>
      </w:r>
      <w:r w:rsidRPr="00A27896">
        <w:rPr>
          <w:rFonts w:cs="Times New Roman"/>
          <w:color w:val="17365D"/>
          <w:szCs w:val="24"/>
        </w:rPr>
        <w:t xml:space="preserve"> </w:t>
      </w:r>
      <w:r w:rsidRPr="00A27896">
        <w:rPr>
          <w:rFonts w:cs="Times New Roman"/>
          <w:iCs/>
          <w:color w:val="17365D"/>
          <w:szCs w:val="24"/>
        </w:rPr>
        <w:t xml:space="preserve">citai budžeta iestādei), </w:t>
      </w:r>
      <w:r w:rsidRPr="00A27896">
        <w:rPr>
          <w:rFonts w:cs="Times New Roman"/>
          <w:color w:val="17365D"/>
          <w:szCs w:val="24"/>
        </w:rPr>
        <w:t>valsts stratēģiskās rezerves un militāro inventāru Nacionālo bruņoto spēku militāro uzdevumu un ar tiem saistīto apmācību izpildes nodrošināšanai un militāro spēju attīstīšanai</w:t>
      </w:r>
      <w:r w:rsidR="00706534" w:rsidRPr="00A27896">
        <w:rPr>
          <w:rFonts w:cs="Times New Roman"/>
          <w:color w:val="17365D"/>
          <w:szCs w:val="24"/>
        </w:rPr>
        <w:t>, kā arī valstij piekritīgo mantu (nekustamo īpašumu), kuras uzskaiti veic Valsts ieņēmumu dienests un kurai ir zināma īpašuma kadastrālā vērtība</w:t>
      </w:r>
      <w:r w:rsidRPr="00A27896">
        <w:rPr>
          <w:rFonts w:cs="Times New Roman"/>
          <w:color w:val="17365D"/>
          <w:szCs w:val="24"/>
        </w:rPr>
        <w:t>.</w:t>
      </w:r>
      <w:r w:rsidR="00706534" w:rsidRPr="00A27896">
        <w:rPr>
          <w:rFonts w:cs="Times New Roman"/>
          <w:color w:val="17365D"/>
          <w:szCs w:val="24"/>
        </w:rPr>
        <w:t xml:space="preserve"> Pārējās valstij piekritīgās mantas uzskaiti Valsts ieņēmumu dienests veic daudzuma vienībās.</w:t>
      </w:r>
    </w:p>
    <w:p w14:paraId="4308C5E7" w14:textId="01248E85"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Budžeta iestādes krājumus sākotnēji novērtē iegādes vai ražošanas pašizmaksā. Bioloģisko aktīvu produktus, kurus budžeta iestāde ieguvusi no saviem bioloģiskajiem aktīviem, sākotnēji novērtē patiesajā vērtībā, atskaitot atsavināšanas izmaksas, krājumu iegūšanas dienā.</w:t>
      </w:r>
      <w:r w:rsidR="00706534" w:rsidRPr="00A27896">
        <w:rPr>
          <w:rFonts w:cs="Times New Roman"/>
          <w:color w:val="17365D"/>
          <w:szCs w:val="24"/>
        </w:rPr>
        <w:t xml:space="preserve"> Valstij piekritīgo nekustamo īpašumu, kurš ir uzskaitē pārskata gada beigās, uzskaita kadastrālajā vērtībā. </w:t>
      </w:r>
    </w:p>
    <w:p w14:paraId="429D0B3B"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Pārskata gada beigās nosaka aizstāšanas izmaksas krājumiem, kas paredzēti iestāžu funkciju nodrošināšanai (izņemot inventāru), izplatīšanai bez maksas vai par minimālu samaksu, kā arī šādu krājumu izgatavošanai, ja tie nav nodoti lietošanā vai izlietoti. Krājumu vērtību koriģē atbilstoši zemākajai vērtībai, salīdzinot krājumu aizstāšanas izmaksas ar šo krājumu iegādes (izmaksu) vērtību. Atsavināšanai </w:t>
      </w:r>
      <w:proofErr w:type="spellStart"/>
      <w:r w:rsidRPr="00A27896">
        <w:rPr>
          <w:rFonts w:cs="Times New Roman"/>
          <w:color w:val="17365D"/>
          <w:szCs w:val="24"/>
        </w:rPr>
        <w:t>trešām</w:t>
      </w:r>
      <w:proofErr w:type="spellEnd"/>
      <w:r w:rsidRPr="00A27896">
        <w:rPr>
          <w:rFonts w:cs="Times New Roman"/>
          <w:color w:val="17365D"/>
          <w:szCs w:val="24"/>
        </w:rPr>
        <w:t xml:space="preserve"> personām (izņemot inventāru, izplatīšanai bez maksas vai par minimālu samaksu) paredzētos krājumus saimnieciskā gada beigās novērtē neto pārdošanas vērtībā, ja tā ir zemāka par šo krājumu iegādes (izmaksu) vērtību. Starpību, kas rodas starp iegādes (izmaksu) vērtību un aizstāšanas izmaksām vai neto pārdošanas vērtību, atzīst budžeta iestāžu pārējos izdevumos. Krājumiem, kuri pēc savām funkcijām neatšķiras no pamatlīdzekļiem, bet neatbilst pamatlīdzekļu sākotnējās vērtības atzīšanas kritērijiem (inventārs) un kuri nav nodoti lietošanā, vērtības samazinājumu aprēķina un uzskaita atbilstoši budžeta iestāžu pamatlīdzekļu vērtības samazinājuma noteikšanas nosacījumiem.</w:t>
      </w:r>
    </w:p>
    <w:p w14:paraId="1DC4A7E2"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rPr>
        <w:t>Krājumus noraksta, pielietojot metodi “pirmais iekšā – pirmais ārā” (FIFO). Norakstot izlietoto krājumu vērtību, to atzīst budžeta iestādes pamatdarbības izdevumos periodā, kad tos nodod lietošanā vai faktiski izlieto.</w:t>
      </w:r>
    </w:p>
    <w:p w14:paraId="0ED24E15" w14:textId="025E1E56"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szCs w:val="24"/>
        </w:rPr>
        <w:t>Krājumus atsavinot, likvidējot vai konstatējot to iztrūkumu, to uzskaites vērtību noraksta pārējos izdevumos.</w:t>
      </w:r>
    </w:p>
    <w:p w14:paraId="350A4642"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Budžeta iestāžu īpašumā un valdījumā esošo valsts un pašvaldību krājumu, kas nodoti turējumā valsts vai pašvaldību kapitālsabiedrībām, ostu pārvaldēm vai atvasinātām publiskām personām, vērtība uzskaitīta atsevišķos kontos krājumu sastāvā.</w:t>
      </w:r>
    </w:p>
    <w:p w14:paraId="66362884" w14:textId="77777777" w:rsidR="00954F0C" w:rsidRPr="00A27896" w:rsidRDefault="00954F0C" w:rsidP="00954F0C">
      <w:pPr>
        <w:pStyle w:val="Apakvirsraksti"/>
        <w:numPr>
          <w:ilvl w:val="0"/>
          <w:numId w:val="0"/>
        </w:numPr>
        <w:spacing w:before="0" w:after="120" w:line="240" w:lineRule="auto"/>
        <w:ind w:firstLine="284"/>
        <w:jc w:val="both"/>
        <w:rPr>
          <w:iCs/>
          <w:color w:val="17365D"/>
        </w:rPr>
      </w:pPr>
      <w:r w:rsidRPr="00A27896">
        <w:rPr>
          <w:b w:val="0"/>
          <w:iCs/>
          <w:color w:val="17365D"/>
        </w:rPr>
        <w:t xml:space="preserve">Krājumus, kas iegūti operatīvās nomas ietvaros, uzskaita zembilancē atbilstoši nomas līgumā noteiktai vērtībai vai vērtībai, kuru noteikusi budžeta iestāde. </w:t>
      </w:r>
    </w:p>
    <w:p w14:paraId="46BD484A" w14:textId="7521B542" w:rsidR="00954F0C" w:rsidRPr="00A27896" w:rsidRDefault="00954F0C" w:rsidP="00FD10CC">
      <w:pPr>
        <w:pStyle w:val="Heading3"/>
      </w:pPr>
      <w:bookmarkStart w:id="37" w:name="_Toc42846506"/>
      <w:r w:rsidRPr="00A27896">
        <w:t>Prasības (norēķini ar debitoriem)</w:t>
      </w:r>
      <w:bookmarkEnd w:id="37"/>
    </w:p>
    <w:p w14:paraId="668B0DC8" w14:textId="4C5291E9"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Prasību grupā budžeta iestādes uzskaita norēķinus ar debitoriem – juridiskām un fiziskām personām, pret kurām budžeta iestādei vai valsts budžetam ir radušās ilgtermiņa vai īstermiņa prasības, tai skaitā par ārvalstu finanšu palīdzības un E</w:t>
      </w:r>
      <w:r w:rsidR="00813384" w:rsidRPr="00A27896">
        <w:rPr>
          <w:rFonts w:cs="Times New Roman"/>
          <w:color w:val="17365D"/>
          <w:szCs w:val="24"/>
        </w:rPr>
        <w:t xml:space="preserve">iropas </w:t>
      </w:r>
      <w:r w:rsidRPr="00A27896">
        <w:rPr>
          <w:rFonts w:cs="Times New Roman"/>
          <w:color w:val="17365D"/>
          <w:szCs w:val="24"/>
        </w:rPr>
        <w:t>S</w:t>
      </w:r>
      <w:r w:rsidR="00813384" w:rsidRPr="00A27896">
        <w:rPr>
          <w:rFonts w:cs="Times New Roman"/>
          <w:color w:val="17365D"/>
          <w:szCs w:val="24"/>
        </w:rPr>
        <w:t>avienības (turpmāk – ES)</w:t>
      </w:r>
      <w:r w:rsidRPr="00A27896">
        <w:rPr>
          <w:rFonts w:cs="Times New Roman"/>
          <w:color w:val="17365D"/>
          <w:szCs w:val="24"/>
        </w:rPr>
        <w:t xml:space="preserve"> politiku instrumentu finansētajiem projektiem (pasākumiem)</w:t>
      </w:r>
      <w:r w:rsidR="00706534" w:rsidRPr="00A27896">
        <w:rPr>
          <w:rFonts w:cs="Times New Roman"/>
          <w:color w:val="17365D"/>
          <w:szCs w:val="24"/>
        </w:rPr>
        <w:t xml:space="preserve"> un </w:t>
      </w:r>
      <w:r w:rsidR="002A3E4A" w:rsidRPr="00A27896">
        <w:rPr>
          <w:rFonts w:cs="Times New Roman"/>
          <w:color w:val="17365D"/>
          <w:szCs w:val="24"/>
        </w:rPr>
        <w:t xml:space="preserve">par </w:t>
      </w:r>
      <w:r w:rsidR="00451B7B" w:rsidRPr="00A27896">
        <w:rPr>
          <w:rFonts w:cs="Times New Roman"/>
          <w:color w:val="17365D"/>
          <w:szCs w:val="24"/>
        </w:rPr>
        <w:t>VID</w:t>
      </w:r>
      <w:r w:rsidR="00706534" w:rsidRPr="00A27896">
        <w:rPr>
          <w:rFonts w:cs="Times New Roman"/>
          <w:color w:val="17365D"/>
          <w:szCs w:val="24"/>
        </w:rPr>
        <w:t xml:space="preserve"> administrētiem valsts budžeta ieņēmumiem</w:t>
      </w:r>
      <w:r w:rsidRPr="00A27896">
        <w:rPr>
          <w:rFonts w:cs="Times New Roman"/>
          <w:color w:val="17365D"/>
          <w:szCs w:val="24"/>
        </w:rPr>
        <w:t xml:space="preserve">. </w:t>
      </w:r>
      <w:r w:rsidR="00706534" w:rsidRPr="00A27896">
        <w:rPr>
          <w:rFonts w:cs="Times New Roman"/>
          <w:color w:val="17365D"/>
          <w:szCs w:val="24"/>
        </w:rPr>
        <w:t xml:space="preserve">Ņemot vērā </w:t>
      </w:r>
      <w:r w:rsidR="00047F5E" w:rsidRPr="00A27896">
        <w:rPr>
          <w:rFonts w:cs="Times New Roman"/>
          <w:color w:val="17365D"/>
          <w:szCs w:val="24"/>
        </w:rPr>
        <w:t>Ministru kabineta 2018.</w:t>
      </w:r>
      <w:r w:rsidR="00C04542" w:rsidRPr="00A27896">
        <w:rPr>
          <w:rFonts w:cs="Times New Roman"/>
          <w:color w:val="17365D"/>
          <w:szCs w:val="24"/>
        </w:rPr>
        <w:t> </w:t>
      </w:r>
      <w:r w:rsidR="00047F5E" w:rsidRPr="00A27896">
        <w:rPr>
          <w:rFonts w:cs="Times New Roman"/>
          <w:color w:val="17365D"/>
          <w:szCs w:val="24"/>
        </w:rPr>
        <w:t>gada 30.</w:t>
      </w:r>
      <w:r w:rsidR="00C04542" w:rsidRPr="00A27896">
        <w:rPr>
          <w:rFonts w:cs="Times New Roman"/>
          <w:color w:val="17365D"/>
          <w:szCs w:val="24"/>
        </w:rPr>
        <w:t> </w:t>
      </w:r>
      <w:r w:rsidR="00047F5E" w:rsidRPr="00A27896">
        <w:rPr>
          <w:rFonts w:cs="Times New Roman"/>
          <w:color w:val="17365D"/>
          <w:szCs w:val="24"/>
        </w:rPr>
        <w:t>oktobra noteikumos Nr.</w:t>
      </w:r>
      <w:r w:rsidR="0095764C" w:rsidRPr="00A27896">
        <w:rPr>
          <w:rFonts w:cs="Times New Roman"/>
          <w:color w:val="17365D"/>
          <w:szCs w:val="24"/>
        </w:rPr>
        <w:t> </w:t>
      </w:r>
      <w:r w:rsidR="00640256" w:rsidRPr="00A27896">
        <w:rPr>
          <w:rFonts w:cs="Times New Roman"/>
          <w:color w:val="17365D"/>
          <w:szCs w:val="24"/>
        </w:rPr>
        <w:t>661 “</w:t>
      </w:r>
      <w:r w:rsidR="00047F5E" w:rsidRPr="00A27896">
        <w:rPr>
          <w:rFonts w:cs="Times New Roman"/>
          <w:color w:val="17365D"/>
          <w:szCs w:val="24"/>
        </w:rPr>
        <w:t>Kārtība, kādā maksā nodokļus, nodevas, citus valsts noteiktos maksājumus un ar tiem saistītos maksājumus un</w:t>
      </w:r>
      <w:r w:rsidR="00640256" w:rsidRPr="00A27896">
        <w:rPr>
          <w:rFonts w:cs="Times New Roman"/>
          <w:color w:val="17365D"/>
          <w:szCs w:val="24"/>
        </w:rPr>
        <w:t xml:space="preserve"> novirza tos saistību segšanai”</w:t>
      </w:r>
      <w:r w:rsidR="00706534" w:rsidRPr="00A27896">
        <w:rPr>
          <w:rFonts w:cs="Times New Roman"/>
          <w:color w:val="17365D"/>
          <w:szCs w:val="24"/>
        </w:rPr>
        <w:t>, kas izdoti uz likuma “Par nodokļiem un nodevām” 23</w:t>
      </w:r>
      <w:r w:rsidR="00706534" w:rsidRPr="00A27896">
        <w:rPr>
          <w:rFonts w:cs="Times New Roman"/>
          <w:color w:val="17365D"/>
          <w:szCs w:val="24"/>
          <w:vertAlign w:val="superscript"/>
        </w:rPr>
        <w:t>1</w:t>
      </w:r>
      <w:r w:rsidR="00706534" w:rsidRPr="00A27896">
        <w:rPr>
          <w:rFonts w:cs="Times New Roman"/>
          <w:color w:val="17365D"/>
          <w:szCs w:val="24"/>
        </w:rPr>
        <w:t>.panta pamata</w:t>
      </w:r>
      <w:r w:rsidR="00047F5E" w:rsidRPr="00A27896">
        <w:rPr>
          <w:rFonts w:cs="Times New Roman"/>
          <w:color w:val="17365D"/>
          <w:szCs w:val="24"/>
        </w:rPr>
        <w:t>, noteikto kārtību vienotajā nodokļu kontā saņemtos maksājumus attiecina ar datumu, kurā iestājas maksājumu saistības maksāšanas termiņš, līdz tam saņemtos neattiecinātos maksājumus</w:t>
      </w:r>
      <w:r w:rsidR="00451B7B" w:rsidRPr="00A27896">
        <w:rPr>
          <w:rFonts w:cs="Times New Roman"/>
          <w:color w:val="17365D"/>
          <w:szCs w:val="24"/>
        </w:rPr>
        <w:t xml:space="preserve"> </w:t>
      </w:r>
      <w:r w:rsidR="00451B7B" w:rsidRPr="00A27896">
        <w:rPr>
          <w:rFonts w:cs="Times New Roman"/>
          <w:color w:val="17365D"/>
          <w:szCs w:val="24"/>
        </w:rPr>
        <w:lastRenderedPageBreak/>
        <w:t>VID administrēto valsts budžeta ieņēmumu</w:t>
      </w:r>
      <w:r w:rsidR="00047F5E" w:rsidRPr="00A27896">
        <w:rPr>
          <w:rFonts w:cs="Times New Roman"/>
          <w:color w:val="17365D"/>
          <w:szCs w:val="24"/>
        </w:rPr>
        <w:t xml:space="preserve"> grāmatvedīb</w:t>
      </w:r>
      <w:r w:rsidR="00451B7B" w:rsidRPr="00A27896">
        <w:rPr>
          <w:rFonts w:cs="Times New Roman"/>
          <w:color w:val="17365D"/>
          <w:szCs w:val="24"/>
        </w:rPr>
        <w:t>as uzskaitē</w:t>
      </w:r>
      <w:r w:rsidR="00047F5E" w:rsidRPr="00A27896">
        <w:rPr>
          <w:rFonts w:cs="Times New Roman"/>
          <w:color w:val="17365D"/>
          <w:szCs w:val="24"/>
        </w:rPr>
        <w:t xml:space="preserve"> klasificējot kā </w:t>
      </w:r>
      <w:r w:rsidR="00C06EE5" w:rsidRPr="00A27896">
        <w:rPr>
          <w:rFonts w:cs="Times New Roman"/>
          <w:color w:val="17365D"/>
          <w:szCs w:val="24"/>
        </w:rPr>
        <w:t xml:space="preserve">saistības par </w:t>
      </w:r>
      <w:r w:rsidR="00047F5E" w:rsidRPr="00A27896">
        <w:rPr>
          <w:rFonts w:cs="Times New Roman"/>
          <w:color w:val="17365D"/>
          <w:szCs w:val="24"/>
        </w:rPr>
        <w:t>avansā saņemt</w:t>
      </w:r>
      <w:r w:rsidR="00C06EE5" w:rsidRPr="00A27896">
        <w:rPr>
          <w:rFonts w:cs="Times New Roman"/>
          <w:color w:val="17365D"/>
          <w:szCs w:val="24"/>
        </w:rPr>
        <w:t>iem</w:t>
      </w:r>
      <w:r w:rsidR="00047F5E" w:rsidRPr="00A27896">
        <w:rPr>
          <w:rFonts w:cs="Times New Roman"/>
          <w:color w:val="17365D"/>
          <w:szCs w:val="24"/>
        </w:rPr>
        <w:t xml:space="preserve"> naudas līdzekļ</w:t>
      </w:r>
      <w:r w:rsidR="00C06EE5" w:rsidRPr="00A27896">
        <w:rPr>
          <w:rFonts w:cs="Times New Roman"/>
          <w:color w:val="17365D"/>
          <w:szCs w:val="24"/>
        </w:rPr>
        <w:t>iem</w:t>
      </w:r>
      <w:r w:rsidR="00047F5E" w:rsidRPr="00A27896">
        <w:rPr>
          <w:rFonts w:cs="Times New Roman"/>
          <w:color w:val="17365D"/>
          <w:szCs w:val="24"/>
        </w:rPr>
        <w:t>.</w:t>
      </w:r>
    </w:p>
    <w:p w14:paraId="7F9C95C2"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Prasības sākotnēji atzīst atbilstoši darījuma patiesai vērtībai.</w:t>
      </w:r>
    </w:p>
    <w:p w14:paraId="352A2718"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Prasības, kas klasificētas kā finanšu instruments kategorijā “Aizdevumi un prasības”, pēc sākotnējās atzīšanas uzskaita atbilstoši finanšu instrumentu uzskaites pamatprincipiem, kas detalizētāk aprakstīti sadaļā “Finanšu instrumentu klasifikācija, uzskaite un novērtēšana”.</w:t>
      </w:r>
    </w:p>
    <w:p w14:paraId="2D2A81B0"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Pārējām prasībām nosaka vērtības samazinājumu, ja konstatētas vērtības samazinājuma pazīmes.</w:t>
      </w:r>
    </w:p>
    <w:p w14:paraId="52BDF8BB"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Vērtības samazinājumu prasībām veido budžeta iestāžu grāmatvedības uzskaitē: </w:t>
      </w:r>
    </w:p>
    <w:p w14:paraId="5CFBF5D3"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atbilstoši prasību apmaksas vai izpildes kavējuma dienu skaitam, vērtības samazinājuma apmēru nosakot proporcionāli no prasību vērtības;</w:t>
      </w:r>
    </w:p>
    <w:p w14:paraId="49127BF7"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apšaubāmās summas apmērā, ja pastāv strīds par prasību apmaksu vai līguma izpildi, par kuru veikts avansa maksājums, pret darījuma partneri ir ierosināta lieta par maksātnespēju, kā arī citos gadījumos, kad ir pamatots iemesls apšaubīt prasības atgūšanu;</w:t>
      </w:r>
    </w:p>
    <w:p w14:paraId="652A842D"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Finanšu pārskatā prasību sastāvā uzskaita arī uzkrātos ieņēmumus. Uzkrāto ieņēmumu postenī uzskaita skaidri zināmas norēķinu summas, kas saskaņā ar noslēgtiem līgumiem attiecas uz pārskata gadu vai iepriekšējiem gadiem, attiecībā uz kuriem līdz pārskata gada beigām nav sagatavots maksāšanai paredzētais attaisnojuma dokuments. Šīs norēķinu summas aprēķina saskaņā ar attiecīgā darījuma līguma nosacījumiem. </w:t>
      </w:r>
    </w:p>
    <w:p w14:paraId="2B1D9D32" w14:textId="77777777" w:rsidR="00954F0C" w:rsidRPr="00A27896" w:rsidRDefault="00954F0C" w:rsidP="00FD10CC">
      <w:pPr>
        <w:pStyle w:val="Heading3"/>
      </w:pPr>
      <w:bookmarkStart w:id="38" w:name="_Toc42846507"/>
      <w:r w:rsidRPr="00A27896">
        <w:t>Nākamo periodu izdevumi un avansa maksājumi par pakalpojumiem un projektiem</w:t>
      </w:r>
      <w:bookmarkEnd w:id="38"/>
      <w:r w:rsidRPr="00A27896">
        <w:t xml:space="preserve"> </w:t>
      </w:r>
    </w:p>
    <w:p w14:paraId="2A2461C1"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Šajā bilances postenī uzskaita ar budžeta iestāžu darbību saistītos izdevumus, kas apmaksāti pārskata gadā, bet attiecas uz nākamajiem periodiem pēc bilances datuma, kā arī veiktos avansa maksājumus par pakalpojumiem un projektiem. </w:t>
      </w:r>
    </w:p>
    <w:p w14:paraId="50C6F3BE"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Nākamo periodu izdevumus budžeta iestādes atzīst izdevumos pārskata gadā, kurā ir saņemti / izlietoti iepriekš apmaksātie pakalpojumi. </w:t>
      </w:r>
    </w:p>
    <w:p w14:paraId="7B819690" w14:textId="62BF8A09"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Budžeta iestādes šajā postenī uzskaita arī avansā pārskaitītos </w:t>
      </w:r>
      <w:proofErr w:type="spellStart"/>
      <w:r w:rsidRPr="00A27896">
        <w:rPr>
          <w:rFonts w:cs="Times New Roman"/>
          <w:color w:val="17365D"/>
          <w:szCs w:val="24"/>
        </w:rPr>
        <w:t>tran</w:t>
      </w:r>
      <w:r w:rsidR="000C1009" w:rsidRPr="00A27896">
        <w:rPr>
          <w:rFonts w:cs="Times New Roman"/>
          <w:color w:val="17365D"/>
          <w:szCs w:val="24"/>
        </w:rPr>
        <w:t>s</w:t>
      </w:r>
      <w:r w:rsidRPr="00A27896">
        <w:rPr>
          <w:rFonts w:cs="Times New Roman"/>
          <w:color w:val="17365D"/>
          <w:szCs w:val="24"/>
        </w:rPr>
        <w:t>fertus</w:t>
      </w:r>
      <w:proofErr w:type="spellEnd"/>
      <w:r w:rsidRPr="00A27896">
        <w:rPr>
          <w:rFonts w:cs="Times New Roman"/>
          <w:color w:val="17365D"/>
          <w:szCs w:val="24"/>
        </w:rPr>
        <w:t xml:space="preserve">, tai skaitā par ES politiku instrumentu un pārējās ārvalstu finanšu palīdzības finansētajiem projektiem (pasākumiem), kurus atzīst izdevumos pārskata periodā, kad apstiprināts </w:t>
      </w:r>
      <w:proofErr w:type="spellStart"/>
      <w:r w:rsidRPr="00A27896">
        <w:rPr>
          <w:rFonts w:cs="Times New Roman"/>
          <w:color w:val="17365D"/>
          <w:szCs w:val="24"/>
        </w:rPr>
        <w:t>transferta</w:t>
      </w:r>
      <w:proofErr w:type="spellEnd"/>
      <w:r w:rsidRPr="00A27896">
        <w:rPr>
          <w:rFonts w:cs="Times New Roman"/>
          <w:color w:val="17365D"/>
          <w:szCs w:val="24"/>
        </w:rPr>
        <w:t xml:space="preserve"> izlietojums.</w:t>
      </w:r>
    </w:p>
    <w:p w14:paraId="357A0AA6" w14:textId="77777777" w:rsidR="00954F0C" w:rsidRPr="00A27896" w:rsidRDefault="00954F0C" w:rsidP="00FD10CC">
      <w:pPr>
        <w:pStyle w:val="Heading3"/>
      </w:pPr>
      <w:bookmarkStart w:id="39" w:name="_Toc42846508"/>
      <w:r w:rsidRPr="00A27896">
        <w:t>Naudas līdzekļi</w:t>
      </w:r>
      <w:bookmarkEnd w:id="39"/>
    </w:p>
    <w:p w14:paraId="25F7515B" w14:textId="0387AA7C"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Naudas līdzekļu sastāvā uzskaitīti budžeta iestāžu naudas līdzekļi kasēs un norēķinu kontos kredītiestādēs, naudas ekvivalenti, kā arī Valsts kases kontu atlikumi Latvijas Bankā, kredītiestādēs un ārvalstu finanšu sabiedrībās</w:t>
      </w:r>
      <w:r w:rsidR="007F068B" w:rsidRPr="00A27896">
        <w:rPr>
          <w:rFonts w:cs="Times New Roman"/>
          <w:color w:val="17365D"/>
          <w:szCs w:val="24"/>
        </w:rPr>
        <w:t>.</w:t>
      </w:r>
    </w:p>
    <w:p w14:paraId="1BF8DBBD" w14:textId="33795814" w:rsidR="00954F0C" w:rsidRPr="00A27896" w:rsidRDefault="00954F0C" w:rsidP="00FD10CC">
      <w:pPr>
        <w:pStyle w:val="Heading3"/>
      </w:pPr>
      <w:bookmarkStart w:id="40" w:name="_Toc42846509"/>
      <w:r w:rsidRPr="00A27896">
        <w:t>Pašu kapitāls</w:t>
      </w:r>
      <w:bookmarkEnd w:id="40"/>
    </w:p>
    <w:p w14:paraId="3512A6AC"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Pašu kapitāla sastāvā uzskaita budžeta iestāžu rezerves, iepriekšējo pārskata gadu budžeta izpildes rezultātu un pārskata gada budžeta izpildes rezultātu.</w:t>
      </w:r>
    </w:p>
    <w:p w14:paraId="2790D320" w14:textId="212E776D" w:rsidR="00954F0C" w:rsidRPr="00A27896" w:rsidRDefault="00954F0C" w:rsidP="00AA7198">
      <w:pPr>
        <w:spacing w:after="120" w:line="240" w:lineRule="auto"/>
        <w:ind w:firstLine="284"/>
        <w:jc w:val="both"/>
        <w:rPr>
          <w:rFonts w:cs="Times New Roman"/>
          <w:color w:val="17365D"/>
          <w:szCs w:val="24"/>
        </w:rPr>
      </w:pPr>
      <w:r w:rsidRPr="00A27896">
        <w:rPr>
          <w:rFonts w:cs="Times New Roman"/>
          <w:color w:val="17365D"/>
          <w:szCs w:val="24"/>
        </w:rPr>
        <w:t>Rezerves atzīst, ja finanšu ieguldījumi radniecīgās un asociētās kapitālsabiedrībās novērtēti saskaņā ar pašu kapitāla metodi un kapitālsabiedrībai pašu kapitālā ir bijušas izmaiņas, kas nav norādītas kapitālsabiedrības peļņas un zaudējumu aprēķinā, pārdošanai pieejamu finanšu instrumentu patiesās vērtības izmaiņas</w:t>
      </w:r>
      <w:r w:rsidR="00AA7198" w:rsidRPr="00A27896">
        <w:rPr>
          <w:rFonts w:cs="Times New Roman"/>
          <w:color w:val="17365D"/>
          <w:szCs w:val="24"/>
        </w:rPr>
        <w:t>,</w:t>
      </w:r>
      <w:r w:rsidR="00400118" w:rsidRPr="00A27896">
        <w:rPr>
          <w:rFonts w:cs="Times New Roman"/>
          <w:color w:val="17365D"/>
          <w:szCs w:val="24"/>
        </w:rPr>
        <w:t xml:space="preserve"> kā arī </w:t>
      </w:r>
      <w:r w:rsidR="00AA7198" w:rsidRPr="00A27896">
        <w:rPr>
          <w:rFonts w:cs="Times New Roman"/>
          <w:color w:val="17365D"/>
          <w:szCs w:val="24"/>
        </w:rPr>
        <w:t xml:space="preserve">naudas plūsmas </w:t>
      </w:r>
      <w:r w:rsidR="00400118" w:rsidRPr="00A27896">
        <w:rPr>
          <w:rFonts w:cs="Times New Roman"/>
          <w:color w:val="17365D"/>
          <w:szCs w:val="24"/>
        </w:rPr>
        <w:t>riska ierobežošanas uzskaitē</w:t>
      </w:r>
      <w:r w:rsidR="00441B8B" w:rsidRPr="00A27896">
        <w:rPr>
          <w:rFonts w:cs="Times New Roman"/>
          <w:color w:val="17365D"/>
          <w:szCs w:val="24"/>
        </w:rPr>
        <w:t xml:space="preserve"> </w:t>
      </w:r>
      <w:r w:rsidR="00400118" w:rsidRPr="00A27896">
        <w:rPr>
          <w:rFonts w:cs="Times New Roman"/>
          <w:color w:val="17365D"/>
          <w:szCs w:val="24"/>
        </w:rPr>
        <w:t>atzīt</w:t>
      </w:r>
      <w:r w:rsidR="00441B8B" w:rsidRPr="00A27896">
        <w:rPr>
          <w:rFonts w:cs="Times New Roman"/>
          <w:color w:val="17365D"/>
          <w:szCs w:val="24"/>
        </w:rPr>
        <w:t xml:space="preserve">o </w:t>
      </w:r>
      <w:r w:rsidR="00AA7198" w:rsidRPr="00A27896">
        <w:rPr>
          <w:rFonts w:cs="Times New Roman"/>
          <w:color w:val="17365D"/>
          <w:szCs w:val="24"/>
        </w:rPr>
        <w:t xml:space="preserve">atvasināto </w:t>
      </w:r>
      <w:r w:rsidR="00441B8B" w:rsidRPr="00A27896">
        <w:rPr>
          <w:rFonts w:cs="Times New Roman"/>
          <w:color w:val="17365D"/>
          <w:szCs w:val="24"/>
        </w:rPr>
        <w:t>finanšu instrumentu</w:t>
      </w:r>
      <w:r w:rsidR="00400118" w:rsidRPr="00A27896">
        <w:rPr>
          <w:rFonts w:cs="Times New Roman"/>
          <w:color w:val="17365D"/>
          <w:szCs w:val="24"/>
        </w:rPr>
        <w:t xml:space="preserve"> patiesās vērtības izmaiņas, kas novērtētas</w:t>
      </w:r>
      <w:r w:rsidR="00441B8B" w:rsidRPr="00A27896">
        <w:rPr>
          <w:rFonts w:cs="Times New Roman"/>
          <w:color w:val="17365D"/>
          <w:szCs w:val="24"/>
        </w:rPr>
        <w:t xml:space="preserve"> kā</w:t>
      </w:r>
      <w:r w:rsidR="00400118" w:rsidRPr="00A27896">
        <w:rPr>
          <w:rFonts w:cs="Times New Roman"/>
          <w:color w:val="17365D"/>
          <w:szCs w:val="24"/>
        </w:rPr>
        <w:t xml:space="preserve"> efektīva riska ierobežošana</w:t>
      </w:r>
      <w:r w:rsidRPr="00A27896">
        <w:rPr>
          <w:rFonts w:cs="Times New Roman"/>
          <w:color w:val="17365D"/>
          <w:szCs w:val="24"/>
        </w:rPr>
        <w:t>.</w:t>
      </w:r>
    </w:p>
    <w:p w14:paraId="7A0046C4" w14:textId="77777777" w:rsidR="00954F0C" w:rsidRPr="00A27896" w:rsidRDefault="00954F0C" w:rsidP="00FD10CC">
      <w:pPr>
        <w:pStyle w:val="Heading3"/>
      </w:pPr>
      <w:bookmarkStart w:id="41" w:name="_Toc42846510"/>
      <w:r w:rsidRPr="00A27896">
        <w:lastRenderedPageBreak/>
        <w:t>Uzkrājumi</w:t>
      </w:r>
      <w:bookmarkEnd w:id="41"/>
    </w:p>
    <w:p w14:paraId="77A7CCBA"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Uzkrājumi atzīti valsts budžeta un budžeta iestāžu saistību segšanai, kas attiecas uz pārskata gada vai iepriekšējo gadu darījumiem un pārskata sagatavošanas laikā ir paredzamas vai zināmas, bet to vērtība, izpildes vai apmaksas datums nav precīzi zināms – ierosināto tiesvedību spriedumu izpildei, izdienas pensiju izmaksai, citu normatīvos aktos noteikto pabalstu un piešķirto kompensāciju un </w:t>
      </w:r>
      <w:proofErr w:type="spellStart"/>
      <w:r w:rsidRPr="00A27896">
        <w:rPr>
          <w:rFonts w:cs="Times New Roman"/>
          <w:color w:val="17365D"/>
          <w:szCs w:val="24"/>
        </w:rPr>
        <w:t>grantu</w:t>
      </w:r>
      <w:proofErr w:type="spellEnd"/>
      <w:r w:rsidRPr="00A27896">
        <w:rPr>
          <w:rFonts w:cs="Times New Roman"/>
          <w:color w:val="17365D"/>
          <w:szCs w:val="24"/>
        </w:rPr>
        <w:t xml:space="preserve"> izmaksai.</w:t>
      </w:r>
    </w:p>
    <w:p w14:paraId="7B6601C3" w14:textId="77777777" w:rsidR="00954F0C" w:rsidRPr="00A27896" w:rsidRDefault="00954F0C" w:rsidP="00954F0C">
      <w:pPr>
        <w:spacing w:after="0" w:line="240" w:lineRule="auto"/>
        <w:ind w:firstLine="284"/>
        <w:jc w:val="both"/>
        <w:rPr>
          <w:rFonts w:cs="Times New Roman"/>
          <w:color w:val="17365D"/>
          <w:szCs w:val="24"/>
        </w:rPr>
      </w:pPr>
      <w:r w:rsidRPr="00A27896">
        <w:rPr>
          <w:rFonts w:cs="Times New Roman"/>
          <w:color w:val="17365D"/>
          <w:szCs w:val="24"/>
        </w:rPr>
        <w:t>Uzkrājumus izveido paredzamām saistībām saskaņā ar uzkrāšanas principu atbilstoši šādiem nosacījumiem:</w:t>
      </w:r>
    </w:p>
    <w:p w14:paraId="135EA255"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pastāv pašreizējs pienākums (juridisks vai prakses radīts), kuru izraisījis pagātnes notikums, ņemot vērā visus pieejamos pierādījumus pārskata perioda beigās. Uzkrājumus veido tikai tādām paredzamām saistībām, kas pastāv neatkarīgi no vienības rīcības nākotnē;</w:t>
      </w:r>
    </w:p>
    <w:p w14:paraId="30866089"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ir ticams (pastāv pietiekami liela varbūtība), ka šā pienākuma izpildei būs nepieciešams resursu izlietojums;</w:t>
      </w:r>
    </w:p>
    <w:p w14:paraId="2E323074"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pienākuma izpildei nepieciešamās summas var ticami novērtēt.</w:t>
      </w:r>
    </w:p>
    <w:p w14:paraId="56798CF5" w14:textId="77777777" w:rsidR="00954F0C" w:rsidRPr="00A27896" w:rsidRDefault="00954F0C" w:rsidP="00954F0C">
      <w:pPr>
        <w:pStyle w:val="ListParagraph"/>
        <w:spacing w:after="120" w:line="240" w:lineRule="auto"/>
        <w:ind w:left="0" w:firstLine="284"/>
        <w:contextualSpacing w:val="0"/>
        <w:jc w:val="both"/>
        <w:rPr>
          <w:rFonts w:cs="Times New Roman"/>
          <w:color w:val="17365D"/>
          <w:szCs w:val="24"/>
        </w:rPr>
      </w:pPr>
      <w:r w:rsidRPr="00A27896">
        <w:rPr>
          <w:rFonts w:cs="Times New Roman"/>
          <w:color w:val="17365D"/>
          <w:szCs w:val="24"/>
        </w:rPr>
        <w:t>Uzkrājumus iespējamiem izdevumiem, kas radīsies no galvojumu saistību izpildes pirms galvojumā noteiktā notikuma iestāšanās, atzīst vērtībā, kas atbilst galvojuma iespējami precīzākajai pašreizējās vērtības aplēsei (patiesajā vērtībā).</w:t>
      </w:r>
    </w:p>
    <w:p w14:paraId="70BAA536" w14:textId="5F244DAE" w:rsidR="00954F0C" w:rsidRPr="00A27896" w:rsidRDefault="00954F0C" w:rsidP="00954F0C">
      <w:pPr>
        <w:pStyle w:val="ListParagraph"/>
        <w:spacing w:after="120" w:line="240" w:lineRule="auto"/>
        <w:ind w:left="0" w:firstLine="284"/>
        <w:contextualSpacing w:val="0"/>
        <w:jc w:val="both"/>
        <w:rPr>
          <w:rFonts w:eastAsia="Times New Roman" w:cs="Times New Roman"/>
          <w:bCs/>
          <w:color w:val="17365D"/>
          <w:szCs w:val="24"/>
        </w:rPr>
      </w:pPr>
      <w:r w:rsidRPr="00A27896">
        <w:rPr>
          <w:rFonts w:eastAsia="Times New Roman" w:cs="Times New Roman"/>
          <w:color w:val="17365D"/>
          <w:szCs w:val="24"/>
          <w:lang w:eastAsia="lv-LV"/>
        </w:rPr>
        <w:t xml:space="preserve">Valsts budžeta finanšu uzskaitē </w:t>
      </w:r>
      <w:r w:rsidRPr="00A27896">
        <w:rPr>
          <w:rFonts w:eastAsia="Times New Roman" w:cs="Times New Roman"/>
          <w:bCs/>
          <w:color w:val="17365D"/>
          <w:szCs w:val="24"/>
        </w:rPr>
        <w:t xml:space="preserve">uzkrājumu apjoms noteikts aizņēmējam individuāli </w:t>
      </w:r>
      <w:r w:rsidRPr="00A27896">
        <w:rPr>
          <w:rFonts w:cs="Times New Roman"/>
          <w:color w:val="17365D"/>
          <w:szCs w:val="24"/>
        </w:rPr>
        <w:t>(individuāli vērtējamo aizņēmēju grupā)</w:t>
      </w:r>
      <w:r w:rsidRPr="00A27896">
        <w:rPr>
          <w:rFonts w:eastAsia="Times New Roman" w:cs="Times New Roman"/>
          <w:bCs/>
          <w:color w:val="17365D"/>
          <w:szCs w:val="24"/>
        </w:rPr>
        <w:t>, izvērtējot kredītriska notikumu (Starptautisko finanšu pārskatu standartu (turpmāk – SFPS) izpratnē) un nākotnē iespējamo maksājamo naudas plūsmu, lai izpildītu valsts uzņemtās saistības.</w:t>
      </w:r>
    </w:p>
    <w:p w14:paraId="4360FB8F" w14:textId="77777777" w:rsidR="00954F0C" w:rsidRPr="00A27896" w:rsidRDefault="00954F0C" w:rsidP="00954F0C">
      <w:pPr>
        <w:pStyle w:val="ListParagraph"/>
        <w:spacing w:after="120" w:line="240" w:lineRule="auto"/>
        <w:ind w:left="0" w:firstLine="284"/>
        <w:contextualSpacing w:val="0"/>
        <w:jc w:val="both"/>
        <w:rPr>
          <w:rFonts w:eastAsia="Times New Roman" w:cs="Times New Roman"/>
          <w:bCs/>
          <w:color w:val="17365D"/>
          <w:szCs w:val="24"/>
        </w:rPr>
      </w:pPr>
      <w:r w:rsidRPr="00A27896">
        <w:rPr>
          <w:rFonts w:eastAsia="Times New Roman" w:cs="Times New Roman"/>
          <w:bCs/>
          <w:color w:val="17365D"/>
          <w:szCs w:val="24"/>
        </w:rPr>
        <w:t>Uzkrājumus ierosināto tiesvedību spriedumu izpildei veido, izvērtējot katru gadījumu atsevišķi atbilstoši izdevumu iespējami precīzākajai pašreizējās vērtības aplēsei, ņemot vērā ar izmaksu saistītos riskus un nenoteiktības.</w:t>
      </w:r>
    </w:p>
    <w:p w14:paraId="7A9F6900" w14:textId="77777777" w:rsidR="00954F0C" w:rsidRPr="00A27896" w:rsidRDefault="00954F0C" w:rsidP="00954F0C">
      <w:pPr>
        <w:pStyle w:val="ListParagraph"/>
        <w:spacing w:after="120" w:line="240" w:lineRule="auto"/>
        <w:ind w:left="0" w:firstLine="284"/>
        <w:contextualSpacing w:val="0"/>
        <w:jc w:val="both"/>
        <w:rPr>
          <w:rFonts w:eastAsia="Times New Roman" w:cs="Times New Roman"/>
          <w:bCs/>
          <w:color w:val="17365D"/>
          <w:szCs w:val="24"/>
        </w:rPr>
      </w:pPr>
      <w:r w:rsidRPr="00A27896">
        <w:rPr>
          <w:rFonts w:eastAsia="Times New Roman" w:cs="Times New Roman"/>
          <w:bCs/>
          <w:color w:val="17365D"/>
          <w:szCs w:val="24"/>
        </w:rPr>
        <w:t>Uzkrājumus izdienas pensiju izmaksai aprēķina:</w:t>
      </w:r>
    </w:p>
    <w:p w14:paraId="508C0CDA" w14:textId="6F399976"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pārskata gada beigās attiecīgajā profesijā nodarbinātām personām, kurām ir tiesības pieprasīt izdienas pensiju pēc normatīvos aktos noteikto kritēriju izpildes. Uzkrājumus aprēķina par katrai personai atbilstoši minēto kritēriju izpildes pakāpei pārskata gada beigās izmaksājamo summu laika periodā no normatīvos aktos noteiktā izdienas pensijas piešķiršanas termiņa līdz vispārējā pensionēšanās vecuma sasniegšanai. </w:t>
      </w:r>
    </w:p>
    <w:p w14:paraId="27D5D7BF" w14:textId="147D7446"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personām, kam līdz pārskata gada beigām piešķirta izdienas pensija. </w:t>
      </w:r>
      <w:r w:rsidR="00AE3C87" w:rsidRPr="00A27896">
        <w:rPr>
          <w:color w:val="17365D"/>
          <w:sz w:val="24"/>
          <w:szCs w:val="24"/>
        </w:rPr>
        <w:t>Uzkrājumus aprēķina par katrai personai izmaksājamo izdienas pensiju vai piemaksu pie vecuma pensijas laika periodā no n</w:t>
      </w:r>
      <w:r w:rsidR="000C1009" w:rsidRPr="00A27896">
        <w:rPr>
          <w:color w:val="17365D"/>
          <w:sz w:val="24"/>
          <w:szCs w:val="24"/>
        </w:rPr>
        <w:t>ākamā pārskata gada līdz statist</w:t>
      </w:r>
      <w:r w:rsidR="00AE3C87" w:rsidRPr="00A27896">
        <w:rPr>
          <w:color w:val="17365D"/>
          <w:sz w:val="24"/>
          <w:szCs w:val="24"/>
        </w:rPr>
        <w:t>iski noteiktam vidējam mūža ilgumam – 87 gadu vecumam</w:t>
      </w:r>
      <w:r w:rsidRPr="00A27896">
        <w:rPr>
          <w:color w:val="17365D"/>
          <w:sz w:val="24"/>
          <w:szCs w:val="24"/>
        </w:rPr>
        <w:t>.</w:t>
      </w:r>
    </w:p>
    <w:p w14:paraId="51C277FA" w14:textId="5BE869BF" w:rsidR="00954F0C" w:rsidRPr="00A27896" w:rsidRDefault="00954F0C" w:rsidP="00954F0C">
      <w:pPr>
        <w:spacing w:after="120" w:line="240" w:lineRule="auto"/>
        <w:ind w:firstLine="284"/>
        <w:jc w:val="both"/>
        <w:rPr>
          <w:rFonts w:eastAsia="Times New Roman" w:cs="Times New Roman"/>
          <w:bCs/>
          <w:color w:val="17365D"/>
          <w:szCs w:val="24"/>
        </w:rPr>
      </w:pPr>
      <w:r w:rsidRPr="00A27896">
        <w:rPr>
          <w:rFonts w:eastAsia="Times New Roman" w:cs="Times New Roman"/>
          <w:bCs/>
          <w:color w:val="17365D"/>
          <w:szCs w:val="24"/>
        </w:rPr>
        <w:t xml:space="preserve">Uzkrājumus citu normatīvos aktos noteikto pabalstu un piešķirto </w:t>
      </w:r>
      <w:proofErr w:type="spellStart"/>
      <w:r w:rsidRPr="00A27896">
        <w:rPr>
          <w:rFonts w:eastAsia="Times New Roman" w:cs="Times New Roman"/>
          <w:bCs/>
          <w:color w:val="17365D"/>
          <w:szCs w:val="24"/>
        </w:rPr>
        <w:t>grantu</w:t>
      </w:r>
      <w:proofErr w:type="spellEnd"/>
      <w:r w:rsidRPr="00A27896">
        <w:rPr>
          <w:rFonts w:eastAsia="Times New Roman" w:cs="Times New Roman"/>
          <w:bCs/>
          <w:color w:val="17365D"/>
          <w:szCs w:val="24"/>
        </w:rPr>
        <w:t xml:space="preserve"> </w:t>
      </w:r>
      <w:r w:rsidR="00F048F2" w:rsidRPr="00A27896">
        <w:rPr>
          <w:rFonts w:eastAsia="Times New Roman" w:cs="Times New Roman"/>
          <w:bCs/>
          <w:color w:val="17365D"/>
          <w:szCs w:val="24"/>
        </w:rPr>
        <w:t xml:space="preserve">un </w:t>
      </w:r>
      <w:r w:rsidRPr="00A27896">
        <w:rPr>
          <w:rFonts w:eastAsia="Times New Roman" w:cs="Times New Roman"/>
          <w:bCs/>
          <w:color w:val="17365D"/>
          <w:szCs w:val="24"/>
        </w:rPr>
        <w:t xml:space="preserve">kompensāciju izmaksai aprēķina katrai personai atsevišķi, ņemot vērā tiesību aktos noteikto pabalsta, kompensācijas vai </w:t>
      </w:r>
      <w:proofErr w:type="spellStart"/>
      <w:r w:rsidRPr="00A27896">
        <w:rPr>
          <w:rFonts w:eastAsia="Times New Roman" w:cs="Times New Roman"/>
          <w:bCs/>
          <w:color w:val="17365D"/>
          <w:szCs w:val="24"/>
        </w:rPr>
        <w:t>granta</w:t>
      </w:r>
      <w:proofErr w:type="spellEnd"/>
      <w:r w:rsidRPr="00A27896">
        <w:rPr>
          <w:rFonts w:eastAsia="Times New Roman" w:cs="Times New Roman"/>
          <w:bCs/>
          <w:color w:val="17365D"/>
          <w:szCs w:val="24"/>
        </w:rPr>
        <w:t xml:space="preserve"> apmēru un izmaksas nosacījumus.</w:t>
      </w:r>
    </w:p>
    <w:p w14:paraId="2C819780" w14:textId="5A635F6A" w:rsidR="00954F0C" w:rsidRPr="00A27896" w:rsidRDefault="00954F0C" w:rsidP="00954F0C">
      <w:pPr>
        <w:spacing w:after="120" w:line="240" w:lineRule="auto"/>
        <w:ind w:firstLine="284"/>
        <w:jc w:val="both"/>
        <w:rPr>
          <w:rFonts w:eastAsia="Times New Roman" w:cs="Times New Roman"/>
          <w:bCs/>
          <w:color w:val="17365D"/>
          <w:szCs w:val="24"/>
        </w:rPr>
      </w:pPr>
      <w:r w:rsidRPr="00A27896">
        <w:rPr>
          <w:rFonts w:eastAsia="Times New Roman" w:cs="Times New Roman"/>
          <w:bCs/>
          <w:color w:val="17365D"/>
          <w:szCs w:val="24"/>
        </w:rPr>
        <w:t xml:space="preserve">Uzkrājumu daļa, kuru paredzēts izmaksāt vēlāk nekā vienu gadu pēc pārskata gada beigām, diskontēta ar Valsts kases noteikto diskonta likmi uzkrājumiem </w:t>
      </w:r>
      <w:r w:rsidR="007972FA" w:rsidRPr="00A27896">
        <w:rPr>
          <w:rFonts w:eastAsia="Times New Roman" w:cs="Times New Roman"/>
          <w:bCs/>
          <w:color w:val="17365D"/>
          <w:szCs w:val="24"/>
        </w:rPr>
        <w:t>2</w:t>
      </w:r>
      <w:r w:rsidR="005463D4" w:rsidRPr="00A27896">
        <w:rPr>
          <w:rFonts w:eastAsia="Times New Roman" w:cs="Times New Roman"/>
          <w:bCs/>
          <w:color w:val="17365D"/>
          <w:szCs w:val="24"/>
        </w:rPr>
        <w:t>,</w:t>
      </w:r>
      <w:r w:rsidR="007972FA" w:rsidRPr="00A27896">
        <w:rPr>
          <w:rFonts w:eastAsia="Times New Roman" w:cs="Times New Roman"/>
          <w:bCs/>
          <w:color w:val="17365D"/>
          <w:szCs w:val="24"/>
        </w:rPr>
        <w:t>11</w:t>
      </w:r>
      <w:r w:rsidRPr="00A27896">
        <w:rPr>
          <w:rFonts w:eastAsia="Times New Roman" w:cs="Times New Roman"/>
          <w:bCs/>
          <w:color w:val="17365D"/>
          <w:szCs w:val="24"/>
        </w:rPr>
        <w:t xml:space="preserve"> % gadā, ja bija iespējams noteikt aptuveno maksāšanas termiņu.</w:t>
      </w:r>
      <w:r w:rsidR="00AE3C87" w:rsidRPr="00A27896">
        <w:rPr>
          <w:rFonts w:eastAsia="Times New Roman" w:cs="Times New Roman"/>
          <w:bCs/>
          <w:color w:val="17365D"/>
          <w:szCs w:val="24"/>
        </w:rPr>
        <w:t xml:space="preserve"> Diskontēšanas rezultātā atzīto uzkrājumu samazinājumu </w:t>
      </w:r>
      <w:r w:rsidR="005463D4" w:rsidRPr="00A27896">
        <w:rPr>
          <w:rFonts w:eastAsia="Times New Roman" w:cs="Times New Roman"/>
          <w:bCs/>
          <w:color w:val="17365D"/>
          <w:szCs w:val="24"/>
        </w:rPr>
        <w:t xml:space="preserve">saistībā ar iepriekšējā gadā piemēroto negatīvo diskonta likmi -0,20 % </w:t>
      </w:r>
      <w:r w:rsidR="00AE3C87" w:rsidRPr="00A27896">
        <w:rPr>
          <w:rFonts w:eastAsia="Times New Roman" w:cs="Times New Roman"/>
          <w:bCs/>
          <w:color w:val="17365D"/>
          <w:szCs w:val="24"/>
        </w:rPr>
        <w:t>uzrāda procentu ieņēmumu sastāvā.</w:t>
      </w:r>
    </w:p>
    <w:p w14:paraId="3150596C" w14:textId="0D5A8D57" w:rsidR="00E83900" w:rsidRPr="00A27896" w:rsidRDefault="00E83900" w:rsidP="00954F0C">
      <w:pPr>
        <w:spacing w:after="120" w:line="240" w:lineRule="auto"/>
        <w:ind w:firstLine="284"/>
        <w:jc w:val="both"/>
        <w:rPr>
          <w:rFonts w:eastAsia="Times New Roman" w:cs="Times New Roman"/>
          <w:bCs/>
          <w:color w:val="17365D"/>
          <w:szCs w:val="24"/>
        </w:rPr>
      </w:pPr>
    </w:p>
    <w:p w14:paraId="65ECE824" w14:textId="77777777" w:rsidR="00E83900" w:rsidRPr="00A27896" w:rsidRDefault="00E83900" w:rsidP="00954F0C">
      <w:pPr>
        <w:spacing w:after="120" w:line="240" w:lineRule="auto"/>
        <w:ind w:firstLine="284"/>
        <w:jc w:val="both"/>
        <w:rPr>
          <w:rFonts w:eastAsia="Times New Roman" w:cs="Times New Roman"/>
          <w:bCs/>
          <w:color w:val="17365D"/>
          <w:szCs w:val="24"/>
        </w:rPr>
      </w:pPr>
    </w:p>
    <w:p w14:paraId="029DCFA3" w14:textId="6A9C208F" w:rsidR="00954F0C" w:rsidRPr="00A27896" w:rsidRDefault="00954F0C" w:rsidP="00FD10CC">
      <w:pPr>
        <w:pStyle w:val="Heading3"/>
      </w:pPr>
      <w:bookmarkStart w:id="42" w:name="_Toc42846511"/>
      <w:r w:rsidRPr="00A27896">
        <w:lastRenderedPageBreak/>
        <w:t>Saistības (norēķini ar kreditoriem)</w:t>
      </w:r>
      <w:bookmarkEnd w:id="42"/>
    </w:p>
    <w:p w14:paraId="7B335449" w14:textId="4DB9A929"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Saistību sastāvā uzskaita budžeta iestāžu pašreizējās saistības (pienākumi), kas radušās pagātnes notikumu (darījumu) rezultātā un kuru izpildei nepieciešamo valsts vai pašvaldību budžetu resursu apjoms un pienākuma izpildes laiks ir precīzi zināmi. </w:t>
      </w:r>
    </w:p>
    <w:p w14:paraId="7B357DF0"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Saistības, kas klasificētas kā finanšu instrumenti, pēc sākotnējās atzīšanas turpmāk uzskaita atbilstoši finanšu instrumentu uzskaites pamatprincipiem,</w:t>
      </w:r>
      <w:r w:rsidRPr="00A27896">
        <w:rPr>
          <w:rFonts w:cs="Times New Roman"/>
          <w:color w:val="17365D"/>
        </w:rPr>
        <w:t xml:space="preserve"> </w:t>
      </w:r>
      <w:r w:rsidRPr="00A27896">
        <w:rPr>
          <w:rFonts w:cs="Times New Roman"/>
          <w:color w:val="17365D"/>
          <w:szCs w:val="24"/>
        </w:rPr>
        <w:t>kas detalizētāk aprakstīti sadaļā “Finanšu instrumentu klasifikācija, uzskaite un novērtēšana”.</w:t>
      </w:r>
    </w:p>
    <w:p w14:paraId="4E2D560D" w14:textId="188892BA"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Sais</w:t>
      </w:r>
      <w:r w:rsidR="005A4057" w:rsidRPr="00A27896">
        <w:rPr>
          <w:rFonts w:cs="Times New Roman"/>
          <w:color w:val="17365D"/>
          <w:szCs w:val="24"/>
        </w:rPr>
        <w:t>t</w:t>
      </w:r>
      <w:r w:rsidRPr="00A27896">
        <w:rPr>
          <w:rFonts w:cs="Times New Roman"/>
          <w:color w:val="17365D"/>
          <w:szCs w:val="24"/>
        </w:rPr>
        <w:t>ības, kas nav klasificētas kā finanšu instrumenti, pēc sākotnējās atzīšanas samazina atbilstoši to izpildei, apmaksai vai dzēšanai.</w:t>
      </w:r>
    </w:p>
    <w:p w14:paraId="3C4AFFEC" w14:textId="77777777" w:rsidR="00954F0C" w:rsidRPr="00A27896" w:rsidRDefault="00954F0C" w:rsidP="00FD10CC">
      <w:pPr>
        <w:pStyle w:val="Heading3"/>
      </w:pPr>
      <w:bookmarkStart w:id="43" w:name="_Toc42846512"/>
      <w:r w:rsidRPr="00A27896">
        <w:t>Aizņēmumi (ilgtermiņa un īstermiņa)</w:t>
      </w:r>
      <w:bookmarkEnd w:id="43"/>
    </w:p>
    <w:p w14:paraId="2448DA5A"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Aizņēmumus atzīst uzskaitē dienā, kad saņemta nauda vai tās ekvivalenti no iekšzemes vai ārvalstu finanšu institūcijām. Aizņēmumi klasificēti finanšu instrumentu kategorijā “Pārējās finanšu saistības”.</w:t>
      </w:r>
    </w:p>
    <w:p w14:paraId="19ED6B77"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Finanšu pārskatā konsolidēti ministriju, centrālo valsts iestāžu un pašvaldību bilancē iekļautie aizņēmumi no valsts budžeta.</w:t>
      </w:r>
    </w:p>
    <w:p w14:paraId="4440739F" w14:textId="77777777" w:rsidR="00954F0C" w:rsidRPr="00A27896" w:rsidRDefault="00954F0C" w:rsidP="00FD10CC">
      <w:pPr>
        <w:pStyle w:val="Heading3"/>
      </w:pPr>
      <w:bookmarkStart w:id="44" w:name="_Toc42846513"/>
      <w:r w:rsidRPr="00A27896">
        <w:t>Emitētās obligācijas un citi parāda vērtspapīri (ilgtermiņa un īstermiņa)</w:t>
      </w:r>
      <w:bookmarkEnd w:id="44"/>
    </w:p>
    <w:p w14:paraId="77A067DC"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Saistību sastāvā uzskaita e</w:t>
      </w:r>
      <w:r w:rsidRPr="00A27896">
        <w:rPr>
          <w:rFonts w:cs="Times New Roman"/>
          <w:color w:val="17365D"/>
        </w:rPr>
        <w:t>mitētās obligācijas, t.sk. eiroobligācijas, un citus parāda vērtspapīrus (parādzīmes, krājobligācijas,</w:t>
      </w:r>
      <w:r w:rsidRPr="00A27896">
        <w:rPr>
          <w:rFonts w:cs="Times New Roman"/>
          <w:color w:val="17365D"/>
          <w:szCs w:val="24"/>
        </w:rPr>
        <w:t xml:space="preserve"> īpašam mērķim noteiktus bezprocentu valsts vērtspapīrus). Valsts vērtspapīrus izlaiž atbilstoši Ministru kabineta 2014.gada 6.maijā noteikumos Nr.237 “Valsts vērtspapīru izlaišanas noteikumi” noteiktajai valsts vērtspapīru izlaišanas un apgrozības kārtībai Latvijas Republikā. </w:t>
      </w:r>
    </w:p>
    <w:p w14:paraId="5FBD5F9A"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Emitētās obligācijas un citi parāda vērtspapīri klasificēti finanšu instrumentu kategorijā “Pārējās finanšu saistības”.</w:t>
      </w:r>
    </w:p>
    <w:p w14:paraId="7F097A5F" w14:textId="77777777" w:rsidR="00954F0C" w:rsidRPr="00A27896" w:rsidRDefault="00954F0C" w:rsidP="00FD10CC">
      <w:pPr>
        <w:pStyle w:val="Heading3"/>
      </w:pPr>
      <w:bookmarkStart w:id="45" w:name="_Toc42846514"/>
      <w:r w:rsidRPr="00A27896">
        <w:t>Saņemtie noguldījumi (ilgtermiņa un īstermiņa)</w:t>
      </w:r>
      <w:bookmarkEnd w:id="45"/>
    </w:p>
    <w:p w14:paraId="29A89024"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Saistību sastāvā uzskaitīti Valsts kasē ieguldītie valsts budžeta izpildītāju valsts speciālā budžeta un ārvalstu finanšu palīdzības līdzekļu atlikumu ieguldījumi noguldījumu veidā atbilstoši Likumā par budžetu un finanšu vadību noteiktajam.</w:t>
      </w:r>
    </w:p>
    <w:p w14:paraId="42AE71D8"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Saņemtie noguldījumi sākotnēji atzīti to saņemšanas dienā saņemtās summas apmērā.</w:t>
      </w:r>
    </w:p>
    <w:p w14:paraId="39525139"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Saņemtie noguldījumi klasificēti finanšu instrumentu kategorijā “Pārējās finanšu saistības”. </w:t>
      </w:r>
    </w:p>
    <w:p w14:paraId="2602C4CF" w14:textId="4FB6669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Finanšu pārskatā konsolidēti valsts budžeta izpildītāju noguldījumi Valsts kasē, kas uzskaitīti valsts budžeta finanšu uzskaitē. </w:t>
      </w:r>
    </w:p>
    <w:p w14:paraId="53450F84" w14:textId="77777777" w:rsidR="00954F0C" w:rsidRPr="00A27896" w:rsidRDefault="00954F0C" w:rsidP="00FD10CC">
      <w:pPr>
        <w:pStyle w:val="Heading3"/>
      </w:pPr>
      <w:bookmarkStart w:id="46" w:name="_Toc42846515"/>
      <w:r w:rsidRPr="00A27896">
        <w:t>Uzkrātās saistības (ilgtermiņa un īstermiņa)</w:t>
      </w:r>
      <w:bookmarkEnd w:id="46"/>
    </w:p>
    <w:p w14:paraId="1B711E63"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Uzkrātās saistības ir skaidri zināmas un samērā precīzi aprēķināmas saistību summas par pārskata gadā vai iepriekšējos pārskata periodos saņemtām precēm vai pakalpojumiem, kā arī citu darījumu un notikumu rezultātā radušās saistības, par kurām bilances datumā maksāšanai paredzētais attaisnojuma dokuments vēl nav saņemts. </w:t>
      </w:r>
    </w:p>
    <w:p w14:paraId="5DA770DD"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Uzkrātās saistības par darbinieku neizmantotajiem atvaļinājumiem aprēķinātas katram darbiniekam atsevišķi, nosakot darbinieka līdz pārskata perioda beigām neizmantoto atvaļinājuma dienu skaitu un to sareizinot ar darbinieka vienas darba dienas vidējo izpeļņu pēdējo sešu kalendāra mēnešu laikā, un pieskaitot darba devēja valsts sociālās apdrošināšanas obligātās iemaksas.</w:t>
      </w:r>
    </w:p>
    <w:p w14:paraId="7BA1B143" w14:textId="77777777" w:rsidR="00954F0C" w:rsidRPr="00A27896" w:rsidRDefault="00954F0C" w:rsidP="00954F0C">
      <w:pPr>
        <w:spacing w:after="120" w:line="240" w:lineRule="auto"/>
        <w:ind w:firstLine="284"/>
        <w:jc w:val="both"/>
        <w:rPr>
          <w:rFonts w:eastAsia="Times New Roman" w:cs="Times New Roman"/>
          <w:bCs/>
          <w:color w:val="17365D"/>
          <w:szCs w:val="24"/>
        </w:rPr>
      </w:pPr>
      <w:r w:rsidRPr="00A27896">
        <w:rPr>
          <w:rFonts w:eastAsia="Times New Roman" w:cs="Times New Roman"/>
          <w:bCs/>
          <w:color w:val="17365D"/>
          <w:szCs w:val="24"/>
        </w:rPr>
        <w:lastRenderedPageBreak/>
        <w:t xml:space="preserve">Valsts sociālās apdrošināšanas aģentūra atzīst un uzkrāj saistības iemaksām valsts </w:t>
      </w:r>
      <w:proofErr w:type="spellStart"/>
      <w:r w:rsidRPr="00A27896">
        <w:rPr>
          <w:rFonts w:eastAsia="Times New Roman" w:cs="Times New Roman"/>
          <w:bCs/>
          <w:color w:val="17365D"/>
          <w:szCs w:val="24"/>
        </w:rPr>
        <w:t>fondēto</w:t>
      </w:r>
      <w:proofErr w:type="spellEnd"/>
      <w:r w:rsidRPr="00A27896">
        <w:rPr>
          <w:rFonts w:eastAsia="Times New Roman" w:cs="Times New Roman"/>
          <w:bCs/>
          <w:color w:val="17365D"/>
          <w:szCs w:val="24"/>
        </w:rPr>
        <w:t xml:space="preserve"> pensiju shēmā līdz pārskata gadam sekojošā gada 15. februārim shēmas dalībnieku kontos reģistrētās summas apjomā, t.i., summas, kas reģistrētas nodošanai pārvaldīšanā.</w:t>
      </w:r>
    </w:p>
    <w:p w14:paraId="051A5586" w14:textId="5BE8E919" w:rsidR="00954F0C" w:rsidRPr="00A27896" w:rsidRDefault="00954F0C" w:rsidP="00954F0C">
      <w:pPr>
        <w:spacing w:after="120" w:line="240" w:lineRule="auto"/>
        <w:ind w:firstLine="284"/>
        <w:jc w:val="both"/>
        <w:rPr>
          <w:rFonts w:eastAsia="Times New Roman" w:cs="Times New Roman"/>
          <w:bCs/>
          <w:color w:val="17365D"/>
          <w:szCs w:val="24"/>
        </w:rPr>
      </w:pPr>
      <w:r w:rsidRPr="00A27896">
        <w:rPr>
          <w:rFonts w:eastAsia="Times New Roman" w:cs="Times New Roman"/>
          <w:bCs/>
          <w:color w:val="17365D"/>
          <w:szCs w:val="24"/>
        </w:rPr>
        <w:t>Valsts budžeta finanšu uzskaitē atzīst uzkrātās saistības par valsts sniegtajiem galvojumiem un izdevumus, ja saistību lielums un apmaksas termiņi ir samērā precīzi aprēķināmi, bet galvotā aizņēmuma summa netiks maksāta no aizņēmēja līdzekļiem, bet tā atmaksai ir paredzēti valsts budžeta līdzekļi attiecīgās nozares ministrijas budžetā.</w:t>
      </w:r>
    </w:p>
    <w:p w14:paraId="11435155" w14:textId="1C698084" w:rsidR="00451B7B" w:rsidRPr="00A27896" w:rsidRDefault="00875AEB" w:rsidP="00954F0C">
      <w:pPr>
        <w:spacing w:after="120" w:line="240" w:lineRule="auto"/>
        <w:ind w:firstLine="284"/>
        <w:jc w:val="both"/>
        <w:rPr>
          <w:rFonts w:eastAsia="Times New Roman" w:cs="Times New Roman"/>
          <w:bCs/>
          <w:color w:val="17365D"/>
          <w:szCs w:val="24"/>
        </w:rPr>
      </w:pPr>
      <w:r w:rsidRPr="00A27896">
        <w:rPr>
          <w:rFonts w:eastAsia="Times New Roman" w:cs="Times New Roman"/>
          <w:bCs/>
          <w:color w:val="17365D"/>
          <w:szCs w:val="24"/>
        </w:rPr>
        <w:t xml:space="preserve">VID administrēto valsts budžeta ieņēmumu grāmatvedības uzskaitē uzkrātās saistības atzīst, ja pārskata </w:t>
      </w:r>
      <w:r w:rsidR="00476215" w:rsidRPr="00A27896">
        <w:rPr>
          <w:rFonts w:eastAsia="Times New Roman" w:cs="Times New Roman"/>
          <w:bCs/>
          <w:color w:val="17365D"/>
          <w:szCs w:val="24"/>
        </w:rPr>
        <w:t>gadā</w:t>
      </w:r>
      <w:r w:rsidRPr="00A27896">
        <w:rPr>
          <w:rFonts w:eastAsia="Times New Roman" w:cs="Times New Roman"/>
          <w:bCs/>
          <w:color w:val="17365D"/>
          <w:szCs w:val="24"/>
        </w:rPr>
        <w:t xml:space="preserve"> radušās saistības pret nodokļa maksātāju, bet </w:t>
      </w:r>
      <w:r w:rsidR="00476215" w:rsidRPr="00A27896">
        <w:rPr>
          <w:rFonts w:eastAsia="Times New Roman" w:cs="Times New Roman"/>
          <w:bCs/>
          <w:color w:val="17365D"/>
          <w:szCs w:val="24"/>
        </w:rPr>
        <w:t xml:space="preserve">maksāšanai paredzētais </w:t>
      </w:r>
      <w:r w:rsidRPr="00A27896">
        <w:rPr>
          <w:rFonts w:eastAsia="Times New Roman" w:cs="Times New Roman"/>
          <w:bCs/>
          <w:color w:val="17365D"/>
          <w:szCs w:val="24"/>
        </w:rPr>
        <w:t xml:space="preserve">attaisnojuma dokuments </w:t>
      </w:r>
      <w:r w:rsidR="00476215" w:rsidRPr="00A27896">
        <w:rPr>
          <w:rFonts w:eastAsia="Times New Roman" w:cs="Times New Roman"/>
          <w:bCs/>
          <w:color w:val="17365D"/>
          <w:szCs w:val="24"/>
        </w:rPr>
        <w:t xml:space="preserve">izsniegts </w:t>
      </w:r>
      <w:r w:rsidRPr="00A27896">
        <w:rPr>
          <w:rFonts w:eastAsia="Times New Roman" w:cs="Times New Roman"/>
          <w:bCs/>
          <w:color w:val="17365D"/>
          <w:szCs w:val="24"/>
        </w:rPr>
        <w:t xml:space="preserve">pēc attiecīgā pārskata </w:t>
      </w:r>
      <w:r w:rsidR="00476215" w:rsidRPr="00A27896">
        <w:rPr>
          <w:rFonts w:eastAsia="Times New Roman" w:cs="Times New Roman"/>
          <w:bCs/>
          <w:color w:val="17365D"/>
          <w:szCs w:val="24"/>
        </w:rPr>
        <w:t>gada</w:t>
      </w:r>
      <w:r w:rsidRPr="00A27896">
        <w:rPr>
          <w:rFonts w:eastAsia="Times New Roman" w:cs="Times New Roman"/>
          <w:bCs/>
          <w:color w:val="17365D"/>
          <w:szCs w:val="24"/>
        </w:rPr>
        <w:t xml:space="preserve"> beigām.</w:t>
      </w:r>
    </w:p>
    <w:p w14:paraId="3B67EF0E" w14:textId="5DB0F75C" w:rsidR="00EE5BCC" w:rsidRPr="00A27896" w:rsidRDefault="00EE5BCC" w:rsidP="00FD10CC">
      <w:pPr>
        <w:pStyle w:val="Heading3"/>
      </w:pPr>
      <w:bookmarkStart w:id="47" w:name="_Toc42846516"/>
      <w:r w:rsidRPr="00A27896">
        <w:t>Saistības par nodokļiem, nodevām un citiem maksājumiem</w:t>
      </w:r>
    </w:p>
    <w:p w14:paraId="690E5F02" w14:textId="2B227C2D" w:rsidR="00EE5BCC" w:rsidRPr="00A27896" w:rsidRDefault="00CE5581" w:rsidP="004A66B0">
      <w:pPr>
        <w:spacing w:after="120" w:line="240" w:lineRule="auto"/>
        <w:ind w:firstLine="284"/>
        <w:jc w:val="both"/>
        <w:rPr>
          <w:rFonts w:eastAsia="Times New Roman" w:cs="Times New Roman"/>
          <w:bCs/>
          <w:color w:val="17365D"/>
          <w:szCs w:val="24"/>
        </w:rPr>
      </w:pPr>
      <w:r w:rsidRPr="00A27896">
        <w:rPr>
          <w:rFonts w:eastAsia="Times New Roman" w:cs="Times New Roman"/>
          <w:bCs/>
          <w:color w:val="17365D"/>
          <w:szCs w:val="24"/>
        </w:rPr>
        <w:t xml:space="preserve">Budžeta iestādes uzskaita saistības par aprēķinātiem nodokļiem, nodevām un citiem maksājumiem, kas radušās pārskata periodā, bet par kurām apmaksa nav veikta vai arī maksājums veikts vienotajā nodokļu kontā un līdz normatīvajos aktos nodokļu jomā noteiktajam </w:t>
      </w:r>
      <w:r w:rsidR="00F17123" w:rsidRPr="00A27896">
        <w:rPr>
          <w:rFonts w:eastAsia="Times New Roman" w:cs="Times New Roman"/>
          <w:bCs/>
          <w:color w:val="17365D"/>
          <w:szCs w:val="24"/>
        </w:rPr>
        <w:t xml:space="preserve">maksājumu saistības </w:t>
      </w:r>
      <w:r w:rsidRPr="00A27896">
        <w:rPr>
          <w:rFonts w:eastAsia="Times New Roman" w:cs="Times New Roman"/>
          <w:bCs/>
          <w:color w:val="17365D"/>
          <w:szCs w:val="24"/>
        </w:rPr>
        <w:t>maksāšanas termiņam uzskaitīts prasību sastāvā kā avansā veikts maksājums.</w:t>
      </w:r>
    </w:p>
    <w:p w14:paraId="0AE979A8" w14:textId="4875A61C" w:rsidR="00CE5581" w:rsidRPr="00A27896" w:rsidRDefault="009F15CC" w:rsidP="004A66B0">
      <w:pPr>
        <w:spacing w:after="120" w:line="240" w:lineRule="auto"/>
        <w:ind w:firstLine="284"/>
        <w:jc w:val="both"/>
        <w:rPr>
          <w:rFonts w:eastAsia="Times New Roman" w:cs="Times New Roman"/>
          <w:bCs/>
          <w:color w:val="17365D"/>
          <w:szCs w:val="24"/>
        </w:rPr>
      </w:pPr>
      <w:r w:rsidRPr="00A27896">
        <w:rPr>
          <w:rFonts w:eastAsia="Times New Roman" w:cs="Times New Roman"/>
          <w:bCs/>
          <w:color w:val="17365D"/>
          <w:szCs w:val="24"/>
        </w:rPr>
        <w:t xml:space="preserve">VID administrēto valsts budžeta ieņēmumu uzskaitē saistības pret nodokļu maksātājiem atzīst, ja pārskata periodā ir radies pienākums </w:t>
      </w:r>
      <w:r w:rsidR="004A66B0" w:rsidRPr="00A27896">
        <w:rPr>
          <w:rFonts w:eastAsia="Times New Roman" w:cs="Times New Roman"/>
          <w:bCs/>
          <w:color w:val="17365D"/>
          <w:szCs w:val="24"/>
        </w:rPr>
        <w:t xml:space="preserve">precizēt iepriekš atzītos valsts budžeta ieņēmumus </w:t>
      </w:r>
      <w:r w:rsidRPr="00A27896">
        <w:rPr>
          <w:rFonts w:eastAsia="Times New Roman" w:cs="Times New Roman"/>
          <w:bCs/>
          <w:color w:val="17365D"/>
          <w:szCs w:val="24"/>
        </w:rPr>
        <w:t>saskaņā ar nodokļu maksātāja iesniegtiem attaisnojuma dokumentiem</w:t>
      </w:r>
      <w:r w:rsidR="004A66B0" w:rsidRPr="00A27896">
        <w:rPr>
          <w:rFonts w:eastAsia="Times New Roman" w:cs="Times New Roman"/>
          <w:bCs/>
          <w:color w:val="17365D"/>
          <w:szCs w:val="24"/>
        </w:rPr>
        <w:t>,</w:t>
      </w:r>
      <w:r w:rsidRPr="00A27896">
        <w:rPr>
          <w:rFonts w:eastAsia="Times New Roman" w:cs="Times New Roman"/>
          <w:bCs/>
          <w:color w:val="17365D"/>
          <w:szCs w:val="24"/>
        </w:rPr>
        <w:t xml:space="preserve"> VID</w:t>
      </w:r>
      <w:r w:rsidR="004A66B0" w:rsidRPr="00A27896">
        <w:rPr>
          <w:rFonts w:eastAsia="Times New Roman" w:cs="Times New Roman"/>
          <w:bCs/>
          <w:color w:val="17365D"/>
          <w:szCs w:val="24"/>
        </w:rPr>
        <w:t xml:space="preserve"> vai citu institūciju</w:t>
      </w:r>
      <w:r w:rsidRPr="00A27896">
        <w:rPr>
          <w:rFonts w:eastAsia="Times New Roman" w:cs="Times New Roman"/>
          <w:bCs/>
          <w:color w:val="17365D"/>
          <w:szCs w:val="24"/>
        </w:rPr>
        <w:t xml:space="preserve"> pieņemtiem lēmumiem.</w:t>
      </w:r>
    </w:p>
    <w:p w14:paraId="6FF7FD36" w14:textId="3F3E3F2F" w:rsidR="00954F0C" w:rsidRPr="00A27896" w:rsidRDefault="00954F0C" w:rsidP="00FD10CC">
      <w:pPr>
        <w:pStyle w:val="Heading3"/>
      </w:pPr>
      <w:bookmarkStart w:id="48" w:name="_Toc42846517"/>
      <w:bookmarkEnd w:id="47"/>
      <w:r w:rsidRPr="00A27896">
        <w:t>Nākamo periodu ieņēmumi un saņemtie avansi (ilgtermiņa un īstermiņa)</w:t>
      </w:r>
      <w:bookmarkEnd w:id="48"/>
    </w:p>
    <w:p w14:paraId="17BA0638" w14:textId="77777777" w:rsidR="00954F0C" w:rsidRPr="00A27896" w:rsidRDefault="00954F0C" w:rsidP="00954F0C">
      <w:pPr>
        <w:spacing w:after="120" w:line="240" w:lineRule="auto"/>
        <w:ind w:firstLine="284"/>
        <w:jc w:val="both"/>
        <w:rPr>
          <w:rFonts w:eastAsia="Times New Roman" w:cs="Times New Roman"/>
          <w:color w:val="17365D"/>
          <w:szCs w:val="20"/>
        </w:rPr>
      </w:pPr>
      <w:r w:rsidRPr="00A27896">
        <w:rPr>
          <w:rFonts w:cs="Times New Roman"/>
          <w:color w:val="17365D"/>
          <w:szCs w:val="24"/>
        </w:rPr>
        <w:t xml:space="preserve">Nākamo periodu ieņēmumu un saņemto avansu sastāvā uzskaita budžeta iestāžu saņemtos resursus (naudas līdzekļus, citus finanšu un </w:t>
      </w:r>
      <w:proofErr w:type="spellStart"/>
      <w:r w:rsidRPr="00A27896">
        <w:rPr>
          <w:rFonts w:cs="Times New Roman"/>
          <w:color w:val="17365D"/>
          <w:szCs w:val="24"/>
        </w:rPr>
        <w:t>nefinanšu</w:t>
      </w:r>
      <w:proofErr w:type="spellEnd"/>
      <w:r w:rsidRPr="00A27896">
        <w:rPr>
          <w:rFonts w:cs="Times New Roman"/>
          <w:color w:val="17365D"/>
          <w:szCs w:val="24"/>
        </w:rPr>
        <w:t xml:space="preserve"> aktīvus), kurus atbilstoši attiecīgā darījuma nosacījumiem ieņēmumos atzīs nākamajos pārskata periodos.</w:t>
      </w:r>
      <w:r w:rsidRPr="00A27896">
        <w:rPr>
          <w:rFonts w:eastAsia="Times New Roman" w:cs="Times New Roman"/>
          <w:color w:val="17365D"/>
          <w:sz w:val="20"/>
          <w:szCs w:val="20"/>
        </w:rPr>
        <w:t xml:space="preserve"> </w:t>
      </w:r>
    </w:p>
    <w:p w14:paraId="568D40B9" w14:textId="77777777" w:rsidR="00954F0C" w:rsidRPr="00A27896" w:rsidRDefault="00954F0C" w:rsidP="00954F0C">
      <w:pPr>
        <w:pStyle w:val="tv2131"/>
        <w:spacing w:after="120" w:line="240" w:lineRule="auto"/>
        <w:ind w:firstLine="284"/>
        <w:jc w:val="both"/>
        <w:rPr>
          <w:color w:val="17365D"/>
          <w:sz w:val="24"/>
          <w:szCs w:val="24"/>
        </w:rPr>
      </w:pPr>
      <w:r w:rsidRPr="00A27896">
        <w:rPr>
          <w:color w:val="17365D"/>
          <w:sz w:val="24"/>
          <w:szCs w:val="24"/>
        </w:rPr>
        <w:t>Nākamo periodu ieņēmumos uzskaitīta ārvalstu finanšu palīdzība (darījuma partneris – nerezidents) un saņemtie ziedojumi un dāvinājumi, ja ar to saņemšanu saistītajos tiesību aktos ir ietverti nosacījumi attiecībā uz to, kā saņēmējam jālieto saņemtie resursi, un kas izpildāmi juridisku un administratīvu procesu ietvaros.</w:t>
      </w:r>
    </w:p>
    <w:p w14:paraId="03F8E3C2"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Nākamo periodu ieņēmumus no ārvalstu finanšu palīdzības un saņemtiem ziedojumiem un dāvinājumiem budžeta iestāžu grāmatvedībā atzīst ieņēmumos pārskata periodā, kad izpildīti attiecīgajos tiesību aktos ietvertie nosacījumi.</w:t>
      </w:r>
    </w:p>
    <w:p w14:paraId="7E464830"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Nākamo periodu ieņēmumos budžeta iestādes uzskaita saņemtos </w:t>
      </w:r>
      <w:proofErr w:type="spellStart"/>
      <w:r w:rsidRPr="00A27896">
        <w:rPr>
          <w:rFonts w:cs="Times New Roman"/>
          <w:color w:val="17365D"/>
          <w:szCs w:val="24"/>
        </w:rPr>
        <w:t>transfertu</w:t>
      </w:r>
      <w:proofErr w:type="spellEnd"/>
      <w:r w:rsidRPr="00A27896">
        <w:rPr>
          <w:rFonts w:cs="Times New Roman"/>
          <w:color w:val="17365D"/>
          <w:szCs w:val="24"/>
        </w:rPr>
        <w:t xml:space="preserve"> avansa maksājumus, tai skaitā par ES politiku instrumentu un pārējās ārvalstu finanšu palīdzības finansētajiem projektiem (pasākumiem), ja nav saņemts apstiprinājums par attaisnotajiem (atzītajiem) izdevumiem.</w:t>
      </w:r>
    </w:p>
    <w:p w14:paraId="694C5AE9"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Nākamo periodu ieņēmumos uzskaitīti par siltumnīcefekta gāzu emisiju kvotu pārdošanu izsolēs saņemtie, bet projektos neizmantotie līdzekļi.</w:t>
      </w:r>
      <w:r w:rsidRPr="00A27896" w:rsidDel="00866B30">
        <w:rPr>
          <w:rFonts w:cs="Times New Roman"/>
          <w:color w:val="17365D"/>
          <w:szCs w:val="24"/>
        </w:rPr>
        <w:t xml:space="preserve"> </w:t>
      </w:r>
    </w:p>
    <w:p w14:paraId="05A5F105" w14:textId="28EA1F8F" w:rsidR="00F8254F" w:rsidRPr="00A27896" w:rsidRDefault="00F8254F" w:rsidP="00954F0C">
      <w:pPr>
        <w:spacing w:after="120" w:line="240" w:lineRule="auto"/>
        <w:ind w:firstLine="284"/>
        <w:jc w:val="both"/>
        <w:rPr>
          <w:rFonts w:cs="Times New Roman"/>
          <w:color w:val="17365D"/>
          <w:szCs w:val="24"/>
        </w:rPr>
      </w:pPr>
      <w:r w:rsidRPr="00A27896">
        <w:rPr>
          <w:rFonts w:cs="Times New Roman"/>
          <w:color w:val="17365D"/>
          <w:szCs w:val="24"/>
        </w:rPr>
        <w:t>Ņemot vērā Ministru kabineta 2018. gada 30. oktobra noteikumos Nr. 661 "Kārtība, kādā maksā nodokļus, nodevas, citus valsts noteiktos maksājumus un ar tiem saistītos maksājumus un novirza tos saistību segšanai", kas izdoti uz likuma “Par nodokļiem un nodevām” 23</w:t>
      </w:r>
      <w:r w:rsidRPr="00A27896">
        <w:rPr>
          <w:rFonts w:cs="Times New Roman"/>
          <w:color w:val="17365D"/>
          <w:szCs w:val="24"/>
          <w:vertAlign w:val="superscript"/>
        </w:rPr>
        <w:t>1</w:t>
      </w:r>
      <w:r w:rsidRPr="00A27896">
        <w:rPr>
          <w:rFonts w:cs="Times New Roman"/>
          <w:color w:val="17365D"/>
          <w:szCs w:val="24"/>
        </w:rPr>
        <w:t xml:space="preserve">.panta pamata, noteikto kārtību, VID administrēto valsts budžeta ieņēmumu uzskaitē vienotajā nodokļu kontā saņemtos maksājumus attiecina (piesaista konkrētām prasībām) ar datumu, kurā iestājas maksājumu saistības maksāšanas termiņš, līdz tam saņemtos neattiecinātos maksājumus </w:t>
      </w:r>
      <w:r w:rsidR="00C06EE5" w:rsidRPr="00A27896">
        <w:rPr>
          <w:rFonts w:cs="Times New Roman"/>
          <w:color w:val="17365D"/>
          <w:szCs w:val="24"/>
        </w:rPr>
        <w:t xml:space="preserve">VID administrēto valsts budžeta ieņēmumu </w:t>
      </w:r>
      <w:r w:rsidRPr="00A27896">
        <w:rPr>
          <w:rFonts w:cs="Times New Roman"/>
          <w:color w:val="17365D"/>
          <w:szCs w:val="24"/>
        </w:rPr>
        <w:t xml:space="preserve">grāmatvedībā klasificējot kā </w:t>
      </w:r>
      <w:r w:rsidR="00C06EE5" w:rsidRPr="00A27896">
        <w:rPr>
          <w:rFonts w:cs="Times New Roman"/>
          <w:color w:val="17365D"/>
          <w:szCs w:val="24"/>
        </w:rPr>
        <w:t xml:space="preserve">saistības par </w:t>
      </w:r>
      <w:r w:rsidRPr="00A27896">
        <w:rPr>
          <w:rFonts w:cs="Times New Roman"/>
          <w:color w:val="17365D"/>
          <w:szCs w:val="24"/>
        </w:rPr>
        <w:t>avansā saņemt</w:t>
      </w:r>
      <w:r w:rsidR="00C06EE5" w:rsidRPr="00A27896">
        <w:rPr>
          <w:rFonts w:cs="Times New Roman"/>
          <w:color w:val="17365D"/>
          <w:szCs w:val="24"/>
        </w:rPr>
        <w:t>iem</w:t>
      </w:r>
      <w:r w:rsidRPr="00A27896">
        <w:rPr>
          <w:rFonts w:cs="Times New Roman"/>
          <w:color w:val="17365D"/>
          <w:szCs w:val="24"/>
        </w:rPr>
        <w:t xml:space="preserve"> naudas līdzekļ</w:t>
      </w:r>
      <w:r w:rsidR="00C06EE5" w:rsidRPr="00A27896">
        <w:rPr>
          <w:rFonts w:cs="Times New Roman"/>
          <w:color w:val="17365D"/>
          <w:szCs w:val="24"/>
        </w:rPr>
        <w:t>iem</w:t>
      </w:r>
      <w:r w:rsidRPr="00A27896">
        <w:rPr>
          <w:rFonts w:cs="Times New Roman"/>
          <w:color w:val="17365D"/>
          <w:szCs w:val="24"/>
        </w:rPr>
        <w:t>.</w:t>
      </w:r>
    </w:p>
    <w:p w14:paraId="7D79BD6A" w14:textId="31E21F38" w:rsidR="00904D27" w:rsidRPr="00A27896" w:rsidRDefault="00EF121B" w:rsidP="00904D27">
      <w:pPr>
        <w:spacing w:after="120" w:line="240" w:lineRule="auto"/>
        <w:ind w:firstLine="284"/>
        <w:jc w:val="both"/>
        <w:rPr>
          <w:rFonts w:cs="Times New Roman"/>
          <w:color w:val="17365D"/>
          <w:szCs w:val="24"/>
        </w:rPr>
      </w:pPr>
      <w:r w:rsidRPr="00A27896">
        <w:rPr>
          <w:rFonts w:cs="Times New Roman"/>
          <w:color w:val="17365D"/>
          <w:szCs w:val="24"/>
        </w:rPr>
        <w:lastRenderedPageBreak/>
        <w:t xml:space="preserve">Saņemto ES </w:t>
      </w:r>
      <w:r w:rsidR="00310BDE" w:rsidRPr="00A27896">
        <w:rPr>
          <w:rFonts w:cs="Times New Roman"/>
          <w:color w:val="17365D"/>
          <w:szCs w:val="24"/>
        </w:rPr>
        <w:t xml:space="preserve">politiku instrumentu </w:t>
      </w:r>
      <w:r w:rsidRPr="00A27896">
        <w:rPr>
          <w:rFonts w:cs="Times New Roman"/>
          <w:color w:val="17365D"/>
          <w:szCs w:val="24"/>
        </w:rPr>
        <w:t xml:space="preserve">finansējumu un citu ārvalstu finanšu palīdzību atzīst </w:t>
      </w:r>
      <w:r w:rsidR="00310BDE" w:rsidRPr="00A27896">
        <w:rPr>
          <w:rFonts w:cs="Times New Roman"/>
          <w:color w:val="17365D"/>
          <w:szCs w:val="24"/>
        </w:rPr>
        <w:t xml:space="preserve">kā </w:t>
      </w:r>
      <w:r w:rsidRPr="00A27896">
        <w:rPr>
          <w:rFonts w:cs="Times New Roman"/>
          <w:color w:val="17365D"/>
          <w:szCs w:val="24"/>
        </w:rPr>
        <w:t xml:space="preserve">īstermiņa </w:t>
      </w:r>
      <w:r w:rsidR="002A4556" w:rsidRPr="00A27896">
        <w:rPr>
          <w:rFonts w:cs="Times New Roman"/>
          <w:color w:val="17365D"/>
          <w:szCs w:val="24"/>
        </w:rPr>
        <w:t xml:space="preserve">saistības </w:t>
      </w:r>
      <w:r w:rsidR="003A6EA1" w:rsidRPr="00A27896">
        <w:rPr>
          <w:rFonts w:cs="Times New Roman"/>
          <w:color w:val="17365D"/>
          <w:szCs w:val="24"/>
        </w:rPr>
        <w:t xml:space="preserve">vai </w:t>
      </w:r>
      <w:r w:rsidR="002A4556" w:rsidRPr="00A27896">
        <w:rPr>
          <w:rFonts w:cs="Times New Roman"/>
          <w:color w:val="17365D"/>
          <w:szCs w:val="24"/>
        </w:rPr>
        <w:t xml:space="preserve">īstermiņa prasību samazinājumu pret </w:t>
      </w:r>
      <w:r w:rsidR="003A6EA1" w:rsidRPr="00A27896">
        <w:rPr>
          <w:rFonts w:cs="Times New Roman"/>
          <w:color w:val="17365D"/>
          <w:szCs w:val="24"/>
        </w:rPr>
        <w:t xml:space="preserve">Eiropas Komisiju (turpmāk – </w:t>
      </w:r>
      <w:r w:rsidR="002A4556" w:rsidRPr="00A27896">
        <w:rPr>
          <w:rFonts w:cs="Times New Roman"/>
          <w:color w:val="17365D"/>
          <w:szCs w:val="24"/>
        </w:rPr>
        <w:t>EK</w:t>
      </w:r>
      <w:r w:rsidR="003A6EA1" w:rsidRPr="00A27896">
        <w:rPr>
          <w:rFonts w:cs="Times New Roman"/>
          <w:color w:val="17365D"/>
          <w:szCs w:val="24"/>
        </w:rPr>
        <w:t>)</w:t>
      </w:r>
      <w:r w:rsidR="002A4556" w:rsidRPr="00A27896">
        <w:rPr>
          <w:rFonts w:cs="Times New Roman"/>
          <w:color w:val="17365D"/>
          <w:szCs w:val="24"/>
        </w:rPr>
        <w:t xml:space="preserve"> par</w:t>
      </w:r>
      <w:r w:rsidRPr="00A27896">
        <w:rPr>
          <w:rFonts w:cs="Times New Roman"/>
          <w:color w:val="17365D"/>
          <w:szCs w:val="24"/>
        </w:rPr>
        <w:t xml:space="preserve"> </w:t>
      </w:r>
      <w:r w:rsidR="003A6EA1" w:rsidRPr="00A27896">
        <w:rPr>
          <w:rFonts w:cs="Times New Roman"/>
          <w:color w:val="17365D"/>
          <w:szCs w:val="24"/>
        </w:rPr>
        <w:t xml:space="preserve">līdzekļu starpposmu un noslēguma maksājumiem dienā, kad no </w:t>
      </w:r>
      <w:r w:rsidR="00310BDE" w:rsidRPr="00A27896">
        <w:rPr>
          <w:rFonts w:cs="Times New Roman"/>
          <w:color w:val="17365D"/>
          <w:szCs w:val="24"/>
        </w:rPr>
        <w:t>EK vai citas piešķīrējas institūcijas</w:t>
      </w:r>
      <w:r w:rsidRPr="00A27896">
        <w:rPr>
          <w:rFonts w:cs="Times New Roman"/>
          <w:color w:val="17365D"/>
          <w:szCs w:val="24"/>
        </w:rPr>
        <w:t xml:space="preserve"> ieskaitīta </w:t>
      </w:r>
      <w:r w:rsidR="00310BDE" w:rsidRPr="00A27896">
        <w:rPr>
          <w:rFonts w:cs="Times New Roman"/>
          <w:color w:val="17365D"/>
          <w:szCs w:val="24"/>
        </w:rPr>
        <w:t>nauda Valsts kases kontā finanšu sabiedrībā</w:t>
      </w:r>
      <w:r w:rsidRPr="00A27896">
        <w:rPr>
          <w:rFonts w:cs="Times New Roman"/>
          <w:color w:val="17365D"/>
          <w:szCs w:val="24"/>
        </w:rPr>
        <w:t>.</w:t>
      </w:r>
      <w:r w:rsidR="00904D27" w:rsidRPr="00A27896">
        <w:rPr>
          <w:rFonts w:cs="Times New Roman"/>
          <w:color w:val="17365D"/>
          <w:szCs w:val="24"/>
        </w:rPr>
        <w:t xml:space="preserve"> Prasības pret EK un ieņēmumus par starpposmu un noslēgumu maksājumiem Latvijai </w:t>
      </w:r>
      <w:r w:rsidR="004A66B0" w:rsidRPr="00A27896">
        <w:rPr>
          <w:rFonts w:cs="Times New Roman"/>
          <w:color w:val="17365D"/>
          <w:szCs w:val="24"/>
        </w:rPr>
        <w:t xml:space="preserve">atzīst </w:t>
      </w:r>
      <w:r w:rsidR="00904D27" w:rsidRPr="00A27896">
        <w:rPr>
          <w:rFonts w:cs="Times New Roman"/>
          <w:color w:val="17365D"/>
          <w:szCs w:val="24"/>
        </w:rPr>
        <w:t>pamatojoties uz atbildīgās iestādes sniegto informāciju par apstiprinātajiem ES fondu izdevumiem.</w:t>
      </w:r>
    </w:p>
    <w:p w14:paraId="56AF77D9" w14:textId="56D53F8C" w:rsidR="00EF121B" w:rsidRPr="00A27896" w:rsidRDefault="00EF121B" w:rsidP="00EF121B">
      <w:pPr>
        <w:spacing w:after="120" w:line="240" w:lineRule="auto"/>
        <w:ind w:firstLine="284"/>
        <w:jc w:val="both"/>
        <w:rPr>
          <w:rFonts w:cs="Times New Roman"/>
          <w:color w:val="17365D"/>
          <w:szCs w:val="24"/>
        </w:rPr>
      </w:pPr>
      <w:r w:rsidRPr="00A27896">
        <w:rPr>
          <w:rFonts w:cs="Times New Roman"/>
          <w:color w:val="17365D"/>
          <w:szCs w:val="24"/>
        </w:rPr>
        <w:t xml:space="preserve">Valsts kase </w:t>
      </w:r>
      <w:r w:rsidR="003A6EA1" w:rsidRPr="00A27896">
        <w:rPr>
          <w:rFonts w:cs="Times New Roman"/>
          <w:color w:val="17365D"/>
          <w:szCs w:val="24"/>
        </w:rPr>
        <w:t xml:space="preserve">īstermiņa </w:t>
      </w:r>
      <w:r w:rsidRPr="00A27896">
        <w:rPr>
          <w:rFonts w:cs="Times New Roman"/>
          <w:color w:val="17365D"/>
          <w:szCs w:val="24"/>
        </w:rPr>
        <w:t xml:space="preserve">saistības </w:t>
      </w:r>
      <w:r w:rsidR="003A6EA1" w:rsidRPr="00A27896">
        <w:rPr>
          <w:rFonts w:cs="Times New Roman"/>
          <w:color w:val="17365D"/>
          <w:szCs w:val="24"/>
        </w:rPr>
        <w:t xml:space="preserve">par saņemtajiem avansa maksājumiem un prasības pret EK samazina </w:t>
      </w:r>
      <w:r w:rsidR="009A0239" w:rsidRPr="00A27896">
        <w:rPr>
          <w:rFonts w:cs="Times New Roman"/>
          <w:color w:val="17365D"/>
          <w:szCs w:val="24"/>
        </w:rPr>
        <w:t>saņemot inform</w:t>
      </w:r>
      <w:r w:rsidR="00002F52" w:rsidRPr="00A27896">
        <w:rPr>
          <w:rFonts w:cs="Times New Roman"/>
          <w:color w:val="17365D"/>
          <w:szCs w:val="24"/>
        </w:rPr>
        <w:t>āciju</w:t>
      </w:r>
      <w:r w:rsidR="00D70C93" w:rsidRPr="00A27896">
        <w:rPr>
          <w:rFonts w:cs="Times New Roman"/>
          <w:color w:val="17365D"/>
          <w:szCs w:val="24"/>
        </w:rPr>
        <w:t xml:space="preserve"> no</w:t>
      </w:r>
      <w:r w:rsidR="00002F52" w:rsidRPr="00A27896">
        <w:rPr>
          <w:rFonts w:cs="Times New Roman"/>
          <w:color w:val="17365D"/>
          <w:szCs w:val="24"/>
        </w:rPr>
        <w:t xml:space="preserve"> atbildīgās</w:t>
      </w:r>
      <w:r w:rsidR="00D70C93" w:rsidRPr="00A27896">
        <w:rPr>
          <w:rFonts w:cs="Times New Roman"/>
          <w:color w:val="17365D"/>
          <w:szCs w:val="24"/>
        </w:rPr>
        <w:t xml:space="preserve"> iestādes</w:t>
      </w:r>
      <w:r w:rsidR="009A0239" w:rsidRPr="00A27896">
        <w:rPr>
          <w:rFonts w:cs="Times New Roman"/>
          <w:color w:val="17365D"/>
          <w:szCs w:val="24"/>
        </w:rPr>
        <w:t xml:space="preserve"> </w:t>
      </w:r>
      <w:r w:rsidR="003A6EA1" w:rsidRPr="00A27896">
        <w:rPr>
          <w:rFonts w:cs="Times New Roman"/>
          <w:color w:val="17365D"/>
          <w:szCs w:val="24"/>
        </w:rPr>
        <w:t>par</w:t>
      </w:r>
      <w:r w:rsidRPr="00A27896">
        <w:rPr>
          <w:rFonts w:cs="Times New Roman"/>
          <w:color w:val="17365D"/>
          <w:szCs w:val="24"/>
        </w:rPr>
        <w:t xml:space="preserve"> </w:t>
      </w:r>
      <w:r w:rsidR="009A0239" w:rsidRPr="00A27896">
        <w:rPr>
          <w:rFonts w:cs="Times New Roman"/>
          <w:color w:val="17365D"/>
          <w:szCs w:val="24"/>
        </w:rPr>
        <w:t xml:space="preserve">EK apstiprinātajiem izdevumiem par starpposmu un noslēguma maksājumiem, ja tās attiecināmas uz avansā saņemtajiem maksājumiem. </w:t>
      </w:r>
    </w:p>
    <w:p w14:paraId="0102F2E1" w14:textId="36575FB5" w:rsidR="00EF121B" w:rsidRPr="00A27896" w:rsidRDefault="00EF121B" w:rsidP="00EF121B">
      <w:pPr>
        <w:spacing w:after="120" w:line="240" w:lineRule="auto"/>
        <w:ind w:firstLine="284"/>
        <w:jc w:val="both"/>
        <w:rPr>
          <w:rFonts w:cs="Times New Roman"/>
          <w:color w:val="17365D"/>
          <w:szCs w:val="24"/>
        </w:rPr>
      </w:pPr>
      <w:r w:rsidRPr="00A27896">
        <w:rPr>
          <w:rFonts w:cs="Times New Roman"/>
          <w:color w:val="17365D"/>
          <w:szCs w:val="24"/>
        </w:rPr>
        <w:t>Katra pārskata perioda beigās veicot prasību un saistību inventarizācijas procedūras, sertificētos izdevumus uzskaita kā prasības pret EK par ES fondu līdzekļiem, ja šo līdzekļu saņemšana ir droši</w:t>
      </w:r>
      <w:r w:rsidR="00D50D19" w:rsidRPr="00A27896">
        <w:rPr>
          <w:rFonts w:cs="Times New Roman"/>
          <w:color w:val="17365D"/>
          <w:szCs w:val="24"/>
        </w:rPr>
        <w:t xml:space="preserve"> </w:t>
      </w:r>
      <w:r w:rsidRPr="00A27896">
        <w:rPr>
          <w:rFonts w:cs="Times New Roman"/>
          <w:color w:val="17365D"/>
          <w:szCs w:val="24"/>
        </w:rPr>
        <w:t>sagaidāma un sertificētie izdevumi ir lielāki nekā faktiski saņemtie naudas līdzekļi no EK, kas to saņemšanas dienā atzīti kā saistības pret EK.</w:t>
      </w:r>
      <w:r w:rsidR="00B44AE7" w:rsidRPr="00A27896">
        <w:rPr>
          <w:rFonts w:cs="Times New Roman"/>
          <w:color w:val="17365D"/>
          <w:szCs w:val="24"/>
        </w:rPr>
        <w:t xml:space="preserve"> </w:t>
      </w:r>
    </w:p>
    <w:p w14:paraId="3148980D" w14:textId="77777777" w:rsidR="00954F0C" w:rsidRPr="00A27896" w:rsidRDefault="00954F0C" w:rsidP="00FD10CC">
      <w:pPr>
        <w:pStyle w:val="Heading3"/>
      </w:pPr>
      <w:bookmarkStart w:id="49" w:name="_Toc42846518"/>
      <w:r w:rsidRPr="00A27896">
        <w:t>Pārējās saistības (ilgtermiņa un īstermiņa)</w:t>
      </w:r>
      <w:bookmarkEnd w:id="49"/>
    </w:p>
    <w:p w14:paraId="48FE0AC8" w14:textId="3BAC9B82" w:rsidR="00954F0C" w:rsidRPr="00A27896" w:rsidRDefault="00954F0C" w:rsidP="00954F0C">
      <w:pPr>
        <w:spacing w:after="120" w:line="240" w:lineRule="auto"/>
        <w:ind w:firstLine="284"/>
        <w:jc w:val="both"/>
        <w:rPr>
          <w:rFonts w:eastAsia="Times New Roman" w:cs="Times New Roman"/>
          <w:color w:val="17365D"/>
          <w:szCs w:val="24"/>
        </w:rPr>
      </w:pPr>
      <w:r w:rsidRPr="00A27896">
        <w:rPr>
          <w:rFonts w:eastAsia="Times New Roman" w:cs="Times New Roman"/>
          <w:color w:val="17365D"/>
          <w:szCs w:val="24"/>
        </w:rPr>
        <w:t>Pārējo saistību postenī uzskaita saistības, kuras nav klasificētas citos atsevišķi nodalītos saistību posteņos.</w:t>
      </w:r>
      <w:r w:rsidR="00047F5E" w:rsidRPr="00A27896">
        <w:rPr>
          <w:rFonts w:eastAsia="Times New Roman" w:cs="Times New Roman"/>
          <w:color w:val="17365D"/>
          <w:szCs w:val="24"/>
        </w:rPr>
        <w:t xml:space="preserve"> </w:t>
      </w:r>
    </w:p>
    <w:p w14:paraId="54F06F40"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rPr>
        <w:t>Pārējās s</w:t>
      </w:r>
      <w:r w:rsidRPr="00A27896">
        <w:rPr>
          <w:rFonts w:cs="Times New Roman"/>
          <w:color w:val="17365D"/>
          <w:szCs w:val="24"/>
        </w:rPr>
        <w:t>aistības, kas klasificētas kā finanšu instrumenti, pēc sākotnējās atzīšanas turpmāk uzskaita atbilstoši finanšu instrumentu uzskaites pamatprincipiem, kas detalizētāk aprakstīti sadaļā “Finanšu instrumentu klasifikācija, uzskaite un novērtēšana”.</w:t>
      </w:r>
    </w:p>
    <w:p w14:paraId="26E8C6DD" w14:textId="53CA9B13"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Pārējo īstermiņa saistību sastāvā kā saistības par Valsts kases klientu kontu atlikumiem uzskaitītas Valsts kases saistības par finanšu pārskatā nekonsolidēto vienību kontu atlikumiem Valsts kases kontos – citu budžetu, kapitālsabiedrību, biedrību un nodibinājumu līdzekļi.</w:t>
      </w:r>
    </w:p>
    <w:p w14:paraId="5F28B323" w14:textId="4B8DCEFE" w:rsidR="00922FBB" w:rsidRPr="00A27896" w:rsidRDefault="00922FBB" w:rsidP="00922FBB">
      <w:pPr>
        <w:spacing w:after="120" w:line="240" w:lineRule="auto"/>
        <w:ind w:firstLine="284"/>
        <w:jc w:val="both"/>
        <w:rPr>
          <w:rFonts w:cs="Times New Roman"/>
          <w:color w:val="17365D"/>
          <w:szCs w:val="24"/>
        </w:rPr>
      </w:pPr>
      <w:r w:rsidRPr="00A27896">
        <w:rPr>
          <w:rFonts w:cs="Times New Roman"/>
          <w:color w:val="17365D"/>
          <w:szCs w:val="24"/>
        </w:rPr>
        <w:t xml:space="preserve">Finanšu pārskatā konsolidēti </w:t>
      </w:r>
      <w:r w:rsidR="00367928" w:rsidRPr="00A27896">
        <w:rPr>
          <w:rFonts w:cs="Times New Roman"/>
          <w:color w:val="17365D"/>
          <w:szCs w:val="24"/>
        </w:rPr>
        <w:t xml:space="preserve">ikgadējā pārskatā par </w:t>
      </w:r>
      <w:r w:rsidR="004A66B0" w:rsidRPr="00A27896">
        <w:rPr>
          <w:rFonts w:cs="Times New Roman"/>
          <w:color w:val="17365D"/>
          <w:szCs w:val="24"/>
        </w:rPr>
        <w:t>VID</w:t>
      </w:r>
      <w:r w:rsidRPr="00A27896">
        <w:rPr>
          <w:rFonts w:cs="Times New Roman"/>
          <w:color w:val="17365D"/>
          <w:szCs w:val="24"/>
        </w:rPr>
        <w:t xml:space="preserve"> adm</w:t>
      </w:r>
      <w:r w:rsidR="00A0070E" w:rsidRPr="00A27896">
        <w:rPr>
          <w:rFonts w:cs="Times New Roman"/>
          <w:color w:val="17365D"/>
          <w:szCs w:val="24"/>
        </w:rPr>
        <w:t>i</w:t>
      </w:r>
      <w:r w:rsidRPr="00A27896">
        <w:rPr>
          <w:rFonts w:cs="Times New Roman"/>
          <w:color w:val="17365D"/>
          <w:szCs w:val="24"/>
        </w:rPr>
        <w:t>nistr</w:t>
      </w:r>
      <w:r w:rsidR="00367928" w:rsidRPr="00A27896">
        <w:rPr>
          <w:rFonts w:cs="Times New Roman"/>
          <w:color w:val="17365D"/>
          <w:szCs w:val="24"/>
        </w:rPr>
        <w:t>ētiem</w:t>
      </w:r>
      <w:r w:rsidRPr="00A27896">
        <w:rPr>
          <w:rFonts w:cs="Times New Roman"/>
          <w:color w:val="17365D"/>
          <w:szCs w:val="24"/>
        </w:rPr>
        <w:t xml:space="preserve"> </w:t>
      </w:r>
      <w:r w:rsidR="004A66B0" w:rsidRPr="00A27896">
        <w:rPr>
          <w:rFonts w:cs="Times New Roman"/>
          <w:color w:val="17365D"/>
          <w:szCs w:val="24"/>
        </w:rPr>
        <w:t>valsts budžeta ieņēmumiem</w:t>
      </w:r>
      <w:r w:rsidR="00367928" w:rsidRPr="00A27896">
        <w:rPr>
          <w:rFonts w:cs="Times New Roman"/>
          <w:color w:val="17365D"/>
          <w:szCs w:val="24"/>
        </w:rPr>
        <w:t xml:space="preserve"> iekļautie kontu atlikumi Valsts kasē</w:t>
      </w:r>
      <w:r w:rsidRPr="00A27896">
        <w:rPr>
          <w:rFonts w:cs="Times New Roman"/>
          <w:color w:val="17365D"/>
          <w:szCs w:val="24"/>
        </w:rPr>
        <w:t>,</w:t>
      </w:r>
      <w:r w:rsidR="00A0070E" w:rsidRPr="00A27896">
        <w:rPr>
          <w:rFonts w:cs="Times New Roman"/>
          <w:color w:val="17365D"/>
          <w:szCs w:val="24"/>
        </w:rPr>
        <w:t xml:space="preserve"> </w:t>
      </w:r>
      <w:r w:rsidRPr="00A27896">
        <w:rPr>
          <w:rFonts w:cs="Times New Roman"/>
          <w:color w:val="17365D"/>
          <w:szCs w:val="24"/>
        </w:rPr>
        <w:t>ministriju, centrālo valsts iestāžu un pašvaldību bilancē iekļautie</w:t>
      </w:r>
      <w:r w:rsidR="00A0070E" w:rsidRPr="00A27896">
        <w:rPr>
          <w:rFonts w:cs="Times New Roman"/>
          <w:color w:val="17365D"/>
          <w:szCs w:val="24"/>
        </w:rPr>
        <w:t xml:space="preserve"> kontu atlikumi Valsts kasē, kas valsts budžeta finanšu uzskaitē atzīti kā pārējās saistības par </w:t>
      </w:r>
      <w:r w:rsidR="00A0070E" w:rsidRPr="00A27896">
        <w:rPr>
          <w:rFonts w:cs="Times New Roman"/>
          <w:color w:val="17365D"/>
        </w:rPr>
        <w:t>Valsts kases klientu kontu atlikumiem</w:t>
      </w:r>
      <w:r w:rsidRPr="00A27896">
        <w:rPr>
          <w:rFonts w:cs="Times New Roman"/>
          <w:color w:val="17365D"/>
          <w:szCs w:val="24"/>
        </w:rPr>
        <w:t>.</w:t>
      </w:r>
    </w:p>
    <w:p w14:paraId="4B21D33E" w14:textId="77777777" w:rsidR="00954F0C" w:rsidRPr="00A27896" w:rsidRDefault="00954F0C" w:rsidP="00FD10CC">
      <w:pPr>
        <w:pStyle w:val="Heading3"/>
      </w:pPr>
      <w:bookmarkStart w:id="50" w:name="_Toc42846519"/>
      <w:r w:rsidRPr="00A27896">
        <w:t>Nomas darījumu klasifikācija un uzskaite</w:t>
      </w:r>
      <w:bookmarkEnd w:id="50"/>
    </w:p>
    <w:p w14:paraId="6BB1CBE2" w14:textId="77777777" w:rsidR="00954F0C" w:rsidRPr="00A27896" w:rsidRDefault="00954F0C" w:rsidP="00954F0C">
      <w:pPr>
        <w:spacing w:after="120" w:line="240" w:lineRule="auto"/>
        <w:ind w:firstLine="284"/>
        <w:jc w:val="both"/>
        <w:rPr>
          <w:rFonts w:cs="Times New Roman"/>
          <w:color w:val="17365D"/>
          <w:lang w:eastAsia="lv-LV"/>
        </w:rPr>
      </w:pPr>
      <w:r w:rsidRPr="00A27896">
        <w:rPr>
          <w:rFonts w:cs="Times New Roman"/>
          <w:color w:val="17365D"/>
        </w:rPr>
        <w:t>Par n</w:t>
      </w:r>
      <w:r w:rsidRPr="00A27896">
        <w:rPr>
          <w:rFonts w:cs="Times New Roman"/>
          <w:color w:val="17365D"/>
          <w:lang w:eastAsia="lv-LV"/>
        </w:rPr>
        <w:t>omu klasificē līgumu, ar kuru iznomātājs par vienu vai vairākiem nomas maksājumiem (atlīdzību) nodod nomniekam tiesības lietot aktīvu līgumā noteiktu laika periodu. Nomu klasificē kā finanšu nomu (līzingu) vai operatīvo nomu atbilstoši iznomātā aktīva īpašuma tiesībām raksturīgo risku un atlīdzības sadalījumam starp iznomātāju un nomnieku. Klasifikāciju nosaka darījuma būtība, nevis līguma juridiskā forma. Nomu klasificē nomas uzsākšanas datumā un klasifikāciju pārskata, ja būtiski mainīti līguma nosacījumi.</w:t>
      </w:r>
    </w:p>
    <w:p w14:paraId="1EE79F8E" w14:textId="77777777" w:rsidR="00954F0C" w:rsidRPr="00A27896" w:rsidRDefault="00954F0C" w:rsidP="00954F0C">
      <w:pPr>
        <w:spacing w:after="120" w:line="240" w:lineRule="auto"/>
        <w:ind w:firstLine="284"/>
        <w:jc w:val="both"/>
        <w:rPr>
          <w:rFonts w:cs="Times New Roman"/>
          <w:iCs/>
          <w:color w:val="17365D"/>
        </w:rPr>
      </w:pPr>
      <w:r w:rsidRPr="00A27896">
        <w:rPr>
          <w:rFonts w:cs="Times New Roman"/>
          <w:iCs/>
          <w:color w:val="17365D"/>
        </w:rPr>
        <w:t>Nomu klasificē kā finanšu nomu, ja pastāv pazīmes, kas liecina, ka pircējam nodoti visi īpašuma tiesībām raksturīgie riski un atlīdzības. Finanšu nomas ietvaros iegūtos aktīvus uzrāda aktīvu sastāvā un atbilstošās saistības – ilgtermiņa saistību sastāvā minimālo nomas maksājumu pašreizējā vērtībā atbilstoši nomas līgumā noteiktai procentu likmei. Finanšu nomā nodotie aktīvi izslēgti no uzskaites un atzītas prasības un ieņēmumi no aktīva atsavināšanas minimālo nomas maksājumu pašreizējā vērtībā atbilstoši nomas līgumā noteiktai procentu likmei.</w:t>
      </w:r>
    </w:p>
    <w:p w14:paraId="36E0C734" w14:textId="287BE94B" w:rsidR="00954F0C" w:rsidRPr="00A27896" w:rsidRDefault="00954F0C" w:rsidP="00954F0C">
      <w:pPr>
        <w:spacing w:after="120" w:line="240" w:lineRule="auto"/>
        <w:ind w:firstLine="284"/>
        <w:jc w:val="both"/>
        <w:rPr>
          <w:rFonts w:cs="Times New Roman"/>
          <w:iCs/>
          <w:color w:val="17365D"/>
        </w:rPr>
      </w:pPr>
      <w:r w:rsidRPr="00A27896">
        <w:rPr>
          <w:rFonts w:cs="Times New Roman"/>
          <w:iCs/>
          <w:color w:val="17365D"/>
        </w:rPr>
        <w:t xml:space="preserve">Aktīvus, kas iegūti operatīvās nomas ietvaros, uzskaita zembilancē atbilstoši budžeta iestādes noteiktajai vērtībai. Pamatdarbības izdevumus par operatīvo nomu atzīst saskaņā ar uzkrāšanas </w:t>
      </w:r>
      <w:r w:rsidR="005A4057" w:rsidRPr="00A27896">
        <w:rPr>
          <w:rFonts w:cs="Times New Roman"/>
          <w:iCs/>
          <w:color w:val="17365D"/>
        </w:rPr>
        <w:t>principu pārskata</w:t>
      </w:r>
      <w:r w:rsidRPr="00A27896">
        <w:rPr>
          <w:rFonts w:cs="Times New Roman"/>
          <w:iCs/>
          <w:color w:val="17365D"/>
        </w:rPr>
        <w:t xml:space="preserve"> per</w:t>
      </w:r>
      <w:r w:rsidR="005A4057" w:rsidRPr="00A27896">
        <w:rPr>
          <w:rFonts w:cs="Times New Roman"/>
          <w:iCs/>
          <w:color w:val="17365D"/>
        </w:rPr>
        <w:t>i</w:t>
      </w:r>
      <w:r w:rsidRPr="00A27896">
        <w:rPr>
          <w:rFonts w:cs="Times New Roman"/>
          <w:iCs/>
          <w:color w:val="17365D"/>
        </w:rPr>
        <w:t>odā, par kuru tie aprēķināti. Aktīvus, kas nodoti operatīvā nomā, uzskaita aktīvu sastāvā atbilstoši to ekonomiskai būtībai. Pamatdarbības ieņēmumus par operatīvo nomu atzīst saskaņā ar uzkrāšanas principu pārskata periodā, par kuru tie aprēķināti.</w:t>
      </w:r>
    </w:p>
    <w:p w14:paraId="6846EDB4" w14:textId="77777777" w:rsidR="00954F0C" w:rsidRPr="00A27896" w:rsidRDefault="00954F0C" w:rsidP="00FD10CC">
      <w:pPr>
        <w:pStyle w:val="Heading3"/>
      </w:pPr>
      <w:bookmarkStart w:id="51" w:name="_Toc42846520"/>
      <w:r w:rsidRPr="00A27896">
        <w:lastRenderedPageBreak/>
        <w:t>Publiskās un privātās partnerības darījumu klasifikācija un uzskaite</w:t>
      </w:r>
      <w:bookmarkEnd w:id="51"/>
    </w:p>
    <w:p w14:paraId="041A0E1A" w14:textId="77777777" w:rsidR="00954F0C" w:rsidRPr="00A27896" w:rsidRDefault="00954F0C" w:rsidP="00954F0C">
      <w:pPr>
        <w:spacing w:after="120" w:line="240" w:lineRule="auto"/>
        <w:ind w:firstLine="284"/>
        <w:jc w:val="both"/>
        <w:rPr>
          <w:rFonts w:cs="Times New Roman"/>
          <w:iCs/>
          <w:color w:val="17365D"/>
        </w:rPr>
      </w:pPr>
      <w:r w:rsidRPr="00A27896">
        <w:rPr>
          <w:rFonts w:cs="Times New Roman"/>
          <w:iCs/>
          <w:color w:val="17365D"/>
        </w:rPr>
        <w:t>Aktīvus (ilgtermiņa ieguldījumus un krājumus), kas iegūti Publiskās un privātās partnerības likuma ietvaros noslēgto publiskās un privātās partnerības (turpmāk – partnerība) līgumu izpildes rezultātā, sākotnēji atzīst aktīvu sastāvā, ja:</w:t>
      </w:r>
    </w:p>
    <w:p w14:paraId="769BAAA6"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budžeta iestādes kontrolē vai regulē, kādi pakalpojumi, kam un par kādu cenu ir jānodrošina līguma darbības laikā;</w:t>
      </w:r>
    </w:p>
    <w:p w14:paraId="4CEE8CC7"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partnerības līguma termiņa beigās partnerības aktīva īpašuma tiesības nodod budžeta iestādei vai partnerības aktīva lietderīgās lietošanas laiks beidzas partnerības līguma termiņa beigās.</w:t>
      </w:r>
    </w:p>
    <w:p w14:paraId="769B8C7A" w14:textId="77777777" w:rsidR="00954F0C" w:rsidRPr="00A27896" w:rsidRDefault="00954F0C" w:rsidP="00954F0C">
      <w:pPr>
        <w:spacing w:after="120" w:line="240" w:lineRule="auto"/>
        <w:ind w:firstLine="360"/>
        <w:jc w:val="both"/>
        <w:rPr>
          <w:rFonts w:cs="Times New Roman"/>
          <w:iCs/>
          <w:color w:val="17365D"/>
        </w:rPr>
      </w:pPr>
      <w:r w:rsidRPr="00A27896">
        <w:rPr>
          <w:rFonts w:cs="Times New Roman"/>
          <w:iCs/>
          <w:color w:val="17365D"/>
        </w:rPr>
        <w:t xml:space="preserve">Aktīvus atzīst patiesajā vērtībā, klasificē atbilstoši to ekonomiskai būtībai un piemēro attiecīgās aktīvu grupas grāmatvedības uzskaites pamatprincipus. </w:t>
      </w:r>
    </w:p>
    <w:p w14:paraId="48690A86" w14:textId="77777777" w:rsidR="00954F0C" w:rsidRPr="00A27896" w:rsidRDefault="00954F0C" w:rsidP="00954F0C">
      <w:pPr>
        <w:spacing w:after="120" w:line="240" w:lineRule="auto"/>
        <w:ind w:firstLine="284"/>
        <w:jc w:val="both"/>
        <w:rPr>
          <w:rFonts w:cs="Times New Roman"/>
          <w:iCs/>
          <w:color w:val="17365D"/>
        </w:rPr>
      </w:pPr>
      <w:r w:rsidRPr="00A27896">
        <w:rPr>
          <w:rFonts w:cs="Times New Roman"/>
          <w:iCs/>
          <w:color w:val="17365D"/>
        </w:rPr>
        <w:t>Saistības par partnerības aktīva izveidošanu atzīst aktīva sākotnējās vērtības apmērā un turpmāk novērtē amortizētajā vērtībā – pārskata gadā palielina par procentu izdevumiem, kurus aprēķina, piemērojot partnerības līgumā ietverto procentu likmi, un samazina par privātajam partnerim veiktajiem maksājumiem.</w:t>
      </w:r>
    </w:p>
    <w:p w14:paraId="00C5873B"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Partnerības līgumā noteiktos izdevumus par privātā partnera sniegtajiem pakalpojumiem atbilstoši to ekonomiskajai būtībai un attiecīgās finanšu saistības atzīst lineāri partnerības līguma darbības laikā. Papildu izdevumus par privātā partnera sniegtajiem pakalpojumiem atzīst pārskata periodā, kad tie radušies.</w:t>
      </w:r>
    </w:p>
    <w:p w14:paraId="34E1A007" w14:textId="20B7F27B" w:rsidR="00954F0C" w:rsidRPr="00A27896" w:rsidRDefault="00954F0C" w:rsidP="00FD10CC">
      <w:pPr>
        <w:pStyle w:val="Heading3"/>
      </w:pPr>
      <w:bookmarkStart w:id="52" w:name="_Toc42846521"/>
      <w:r w:rsidRPr="00A27896">
        <w:t>Finanšu instrumentu klasifikācija, uzskaite un novērtēšana</w:t>
      </w:r>
      <w:bookmarkEnd w:id="52"/>
      <w:r w:rsidRPr="00A27896">
        <w:t xml:space="preserve"> </w:t>
      </w:r>
    </w:p>
    <w:p w14:paraId="4EC4EBDC"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Finanšu aktīvus un finanšu saistības pēc sākotnējās atzīšanas klasificē atbilstoši finanšu instrumentu kategorijām:</w:t>
      </w:r>
    </w:p>
    <w:p w14:paraId="7399288E"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prasības un aizdevumi – neatvasināti finanšu aktīvi ar fiksētiem vai nosakāmiem maksājumiem, kuri netiek kotēti aktīvajā tirgū. Šajā kategorijā ietvertas prasības, kas radušās aktīvu atsavināšanas rezultātā, ja maksājumu atliek ilgāk nekā 12 mēnešus (ilgtermiņa prasības un šo prasību īstermiņa daļa), un aizdevumi; </w:t>
      </w:r>
    </w:p>
    <w:p w14:paraId="55B5B8A2"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līdz termiņa beigām turēti ieguldījumi – neatvasināti finanšu aktīvi ar fiksētiem vai nosakāmiem maksājumiem un fiksētu termiņu, kuri paredzēti turēšanai līdz attiecīgā finanšu instrumenta līguma termiņa beigām un kuru uzskaites vērtība ir atgūstama. Šajā kategorijā ietverti ieguldījumi vērtspapīros, noguldījumi un citi līdz termiņa beigām turēti finanšu aktīvi;</w:t>
      </w:r>
    </w:p>
    <w:p w14:paraId="3779122B" w14:textId="717EA5DE"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pārdošanai pieejami finanšu aktīvi – neatvasināti finanšu aktīvi, kas nav klasificēti kā aizdevumi un prasības, līdz termiņa beigām turēti ieguldījumi vai patiesajā vērtībā novērtēti finanšu aktīvi. Šajā kategorijā ietverti finanšu ieguldījumi kapitālsabiedrību,</w:t>
      </w:r>
      <w:r w:rsidR="00D50D19" w:rsidRPr="00A27896">
        <w:rPr>
          <w:color w:val="17365D"/>
          <w:sz w:val="24"/>
          <w:szCs w:val="24"/>
        </w:rPr>
        <w:t xml:space="preserve"> </w:t>
      </w:r>
      <w:r w:rsidRPr="00A27896">
        <w:rPr>
          <w:color w:val="17365D"/>
          <w:sz w:val="24"/>
          <w:szCs w:val="24"/>
        </w:rPr>
        <w:t>starptautisko un citu organizāciju kapitālā, kur valstij un pašvaldībām pieder 20 procenti un mazāk balsstiesību, un citi pārdošanai pieejami finanšu aktīvi;</w:t>
      </w:r>
    </w:p>
    <w:p w14:paraId="3ABAC401"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patiesajā vērtībā novērtēti finanšu aktīvi – finanšu aktīvi, kuri paredzēti tirdzniecībai (iegādāti vai emitēti ar mērķi paredzamā nākotnē tos pārdot vai atpirkt), kuri ir tirdzniecības portfeļa sastāvdaļa vai atvasināts finanšu instruments (izņemot finanšu garantiju līgumus);</w:t>
      </w:r>
    </w:p>
    <w:p w14:paraId="29FE1FAC"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patiesajā vērtībā novērtētas finanšu saistības – finanšu saistības, kuras paredzētas tirdzniecībai (iegādātas vai emitētas ar mērķi paredzamā nākotnē tās pārdot vai atpirkt), kuras ir tirdzniecības portfeļa sastāvdaļa vai atvasināts finanšu instruments (izņemot finanšu garantiju līgumus);</w:t>
      </w:r>
    </w:p>
    <w:p w14:paraId="1511E400"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lastRenderedPageBreak/>
        <w:t>pārējās finanšu saistības un finanšu garantiju līgumi. Pārējās finanšu saistības ietver aizņēmumus, saņemtos noguldījumus, emitētos vērtspapīrus un saistības, kas radušās aktīva iegādes vai izveidošanas rezultātā, ja maksājumu atliek ilgāk nekā 12 mēnešus (ilgtermiņa saistības un šo saistību īstermiņa daļa).</w:t>
      </w:r>
    </w:p>
    <w:p w14:paraId="6A6497A8"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Finanšu instrumentiem pēc sākotnējās atzīšanas piemēro šādas novērtēšanas metodes:</w:t>
      </w:r>
    </w:p>
    <w:p w14:paraId="301B090F" w14:textId="77777777" w:rsidR="00954F0C" w:rsidRPr="00A27896" w:rsidRDefault="00954F0C" w:rsidP="007C6C15">
      <w:pPr>
        <w:pStyle w:val="ListParagraph"/>
        <w:numPr>
          <w:ilvl w:val="0"/>
          <w:numId w:val="19"/>
        </w:numPr>
        <w:spacing w:after="120" w:line="240" w:lineRule="auto"/>
        <w:ind w:left="850" w:hanging="357"/>
        <w:jc w:val="both"/>
        <w:rPr>
          <w:rFonts w:cs="Times New Roman"/>
          <w:color w:val="17365D"/>
          <w:szCs w:val="24"/>
        </w:rPr>
      </w:pPr>
      <w:r w:rsidRPr="00A27896">
        <w:rPr>
          <w:rFonts w:cs="Times New Roman"/>
          <w:color w:val="17365D"/>
          <w:szCs w:val="24"/>
          <w:u w:val="single"/>
        </w:rPr>
        <w:t>prasības un aizdevumus</w:t>
      </w:r>
      <w:r w:rsidRPr="00A27896">
        <w:rPr>
          <w:rFonts w:cs="Times New Roman"/>
          <w:color w:val="17365D"/>
          <w:szCs w:val="24"/>
        </w:rPr>
        <w:t xml:space="preserve"> uzskaita amortizētajā vērtībā, piemērojot efektīvās procentu likmes metodi, un pārskata perioda ieņēmumos iekļauj amortizētos procentu ieņēmumus. Katra pārskata perioda beigās izvērtē finanšu instrumentu vērtības samazinājuma pazīmes un, ja tādas konstatē, nosaka vērtības samazinājumu. Valsts budžeta finanšu uzskaites nodrošināšanai amortizētās vērtības aprēķinam lieto procentu likmi, kas noteikta līgumā, atbilstoši Valsts kases iekšējos normatīvajos aktos noteiktajai uzskaites kārtībai;</w:t>
      </w:r>
    </w:p>
    <w:p w14:paraId="1837560D" w14:textId="77777777" w:rsidR="00954F0C" w:rsidRPr="00A27896" w:rsidRDefault="00954F0C" w:rsidP="007C6C15">
      <w:pPr>
        <w:pStyle w:val="ListParagraph"/>
        <w:numPr>
          <w:ilvl w:val="0"/>
          <w:numId w:val="19"/>
        </w:numPr>
        <w:spacing w:after="120" w:line="240" w:lineRule="auto"/>
        <w:ind w:left="850" w:hanging="357"/>
        <w:jc w:val="both"/>
        <w:rPr>
          <w:rFonts w:cs="Times New Roman"/>
          <w:color w:val="17365D"/>
          <w:szCs w:val="24"/>
        </w:rPr>
      </w:pPr>
      <w:r w:rsidRPr="00A27896">
        <w:rPr>
          <w:rFonts w:cs="Times New Roman"/>
          <w:color w:val="17365D"/>
          <w:szCs w:val="24"/>
          <w:u w:val="single"/>
        </w:rPr>
        <w:t>līdz termiņa beigām turētus ieguldījumus</w:t>
      </w:r>
      <w:r w:rsidRPr="00A27896">
        <w:rPr>
          <w:rFonts w:cs="Times New Roman"/>
          <w:color w:val="17365D"/>
          <w:szCs w:val="24"/>
        </w:rPr>
        <w:t xml:space="preserve"> (tai skaitā, vērtspapīrus, noguldījumus) uzskaita amortizētajā vērtībā, piemērojot efektīvās procentu likmes metodi, un pārskata perioda ieņēmumos iekļauj amortizētos procentu ieņēmumus. Katra pārskata perioda beigās izvērtē finanšu instrumentu vērtības samazinājuma pazīmes un, ja tādas konstatē, nosaka vērtības samazinājumu. Valsts budžeta finanšu uzskaites nodrošināšanai līdz termiņa beigām turētu ieguldījumu amortizētās vērtības aprēķinam lieto procentu likmi, kas noteikta līgumā, atbilstoši Valsts kases iekšējos normatīvajos aktos noteiktajai uzskaites kārtībai;</w:t>
      </w:r>
    </w:p>
    <w:p w14:paraId="1DECDCC8" w14:textId="77777777" w:rsidR="00954F0C" w:rsidRPr="00A27896" w:rsidRDefault="00954F0C" w:rsidP="007C6C15">
      <w:pPr>
        <w:pStyle w:val="ListParagraph"/>
        <w:numPr>
          <w:ilvl w:val="0"/>
          <w:numId w:val="19"/>
        </w:numPr>
        <w:spacing w:after="120" w:line="240" w:lineRule="auto"/>
        <w:ind w:left="850" w:hanging="357"/>
        <w:jc w:val="both"/>
        <w:rPr>
          <w:rFonts w:cs="Times New Roman"/>
          <w:color w:val="17365D"/>
          <w:szCs w:val="24"/>
        </w:rPr>
      </w:pPr>
      <w:r w:rsidRPr="00A27896">
        <w:rPr>
          <w:rFonts w:cs="Times New Roman"/>
          <w:color w:val="17365D"/>
          <w:szCs w:val="24"/>
          <w:u w:val="single"/>
        </w:rPr>
        <w:t>pārdošanai pieejamus finanšu aktīvus</w:t>
      </w:r>
      <w:r w:rsidRPr="00A27896">
        <w:rPr>
          <w:rFonts w:cs="Times New Roman"/>
          <w:color w:val="17365D"/>
          <w:szCs w:val="24"/>
        </w:rPr>
        <w:t xml:space="preserve"> katra pārskata perioda beigās novērtē patiesajā vērtībā un vērtības izmaiņas atzīst finanšu instrumentu patiesās vērtības rezervēs, ieņēmumus vai izdevumus no valūtu kursu svārstībām atzīst pārskata perioda ieņēmumos vai izdevumos. Ja šāda nekotēta pašu kapitāla instrumenta patieso vērtību nevar ticami novērtēt, to uzskaita izmaksu vērtībā, katra pārskata perioda beigās izvērtē finanšu instrumentu vērtības samazinājuma pazīmes un, ja tādas konstatē, nosaka vērtības samazinājumu;</w:t>
      </w:r>
    </w:p>
    <w:p w14:paraId="22DEB701" w14:textId="77777777" w:rsidR="00954F0C" w:rsidRPr="00A27896" w:rsidRDefault="00954F0C" w:rsidP="007C6C15">
      <w:pPr>
        <w:pStyle w:val="ListParagraph"/>
        <w:numPr>
          <w:ilvl w:val="0"/>
          <w:numId w:val="19"/>
        </w:numPr>
        <w:spacing w:after="120" w:line="240" w:lineRule="auto"/>
        <w:ind w:left="850" w:hanging="357"/>
        <w:jc w:val="both"/>
        <w:rPr>
          <w:rFonts w:cs="Times New Roman"/>
          <w:color w:val="17365D"/>
          <w:szCs w:val="24"/>
        </w:rPr>
      </w:pPr>
      <w:r w:rsidRPr="00A27896">
        <w:rPr>
          <w:rFonts w:cs="Times New Roman"/>
          <w:color w:val="17365D"/>
          <w:szCs w:val="24"/>
          <w:u w:val="single"/>
        </w:rPr>
        <w:t>patiesajā vērtībā novērtēta finanšu aktīva un finanšu saistību</w:t>
      </w:r>
      <w:r w:rsidRPr="00A27896">
        <w:rPr>
          <w:rFonts w:cs="Times New Roman"/>
          <w:color w:val="17365D"/>
          <w:szCs w:val="24"/>
        </w:rPr>
        <w:t>, tai skaitā atvasināta finanšu instrumenta, vērtības izmaiņas atzīst pārskata perioda ieņēmumos vai izdevumos;</w:t>
      </w:r>
    </w:p>
    <w:p w14:paraId="551F6CBD" w14:textId="77777777" w:rsidR="00954F0C" w:rsidRPr="00A27896" w:rsidRDefault="00954F0C" w:rsidP="007C6C15">
      <w:pPr>
        <w:pStyle w:val="ListParagraph"/>
        <w:numPr>
          <w:ilvl w:val="0"/>
          <w:numId w:val="19"/>
        </w:numPr>
        <w:spacing w:after="120" w:line="240" w:lineRule="auto"/>
        <w:ind w:left="850" w:hanging="357"/>
        <w:jc w:val="both"/>
        <w:rPr>
          <w:rFonts w:cs="Times New Roman"/>
          <w:color w:val="17365D"/>
          <w:szCs w:val="24"/>
        </w:rPr>
      </w:pPr>
      <w:r w:rsidRPr="00A27896">
        <w:rPr>
          <w:rFonts w:cs="Times New Roman"/>
          <w:color w:val="17365D"/>
          <w:szCs w:val="24"/>
          <w:u w:val="single"/>
        </w:rPr>
        <w:t>pārējās finanšu saistības</w:t>
      </w:r>
      <w:r w:rsidRPr="00A27896">
        <w:rPr>
          <w:rFonts w:cs="Times New Roman"/>
          <w:color w:val="17365D"/>
          <w:szCs w:val="24"/>
        </w:rPr>
        <w:t>, izņemot finanšu garantiju līgumus, uzskaita amortizētajā vērtībā, piemērojot efektīvās procentu likmes metodi, un amortizētos procentu izdevumus atzīst pārskata perioda izdevumos. Valsts budžeta finanšu uzskaites nodrošināšanai finanšu saistību amortizētās vērtības aprēķinam lieto procentu likmi, kas noteikta līgumā, atbilstoši Valsts kases iekšējos normatīvajos aktos noteiktajai uzskaites kārtībai;</w:t>
      </w:r>
    </w:p>
    <w:p w14:paraId="319B8486" w14:textId="77777777" w:rsidR="00954F0C" w:rsidRPr="00A27896" w:rsidRDefault="00954F0C" w:rsidP="007C6C15">
      <w:pPr>
        <w:pStyle w:val="ListParagraph"/>
        <w:numPr>
          <w:ilvl w:val="0"/>
          <w:numId w:val="19"/>
        </w:numPr>
        <w:spacing w:after="120" w:line="240" w:lineRule="auto"/>
        <w:ind w:left="850" w:hanging="357"/>
        <w:jc w:val="both"/>
        <w:rPr>
          <w:rFonts w:cs="Times New Roman"/>
          <w:color w:val="17365D"/>
          <w:szCs w:val="24"/>
        </w:rPr>
      </w:pPr>
      <w:r w:rsidRPr="00A27896">
        <w:rPr>
          <w:rFonts w:cs="Times New Roman"/>
          <w:color w:val="17365D"/>
          <w:szCs w:val="24"/>
        </w:rPr>
        <w:t xml:space="preserve">izsniegtās </w:t>
      </w:r>
      <w:r w:rsidRPr="00A27896">
        <w:rPr>
          <w:rFonts w:cs="Times New Roman"/>
          <w:color w:val="17365D"/>
          <w:szCs w:val="24"/>
          <w:u w:val="single"/>
        </w:rPr>
        <w:t>finanšu garantijas</w:t>
      </w:r>
      <w:r w:rsidRPr="00A27896">
        <w:rPr>
          <w:rFonts w:cs="Times New Roman"/>
          <w:color w:val="17365D"/>
          <w:szCs w:val="24"/>
        </w:rPr>
        <w:t xml:space="preserve"> katra pārskata perioda beigās novērtē atbilstoši izdevumu iespējami precīzākajām aplēsēm. Saņemtās finanšu garantijas novērtē atlīdzības pašreizējā vērtībā.</w:t>
      </w:r>
    </w:p>
    <w:p w14:paraId="3637D7CE" w14:textId="77777777" w:rsidR="00954F0C" w:rsidRPr="00A27896" w:rsidRDefault="00954F0C" w:rsidP="00954F0C">
      <w:pPr>
        <w:spacing w:after="120" w:line="240" w:lineRule="auto"/>
        <w:jc w:val="both"/>
        <w:rPr>
          <w:rFonts w:cs="Times New Roman"/>
          <w:color w:val="17365D"/>
          <w:szCs w:val="24"/>
        </w:rPr>
      </w:pPr>
      <w:r w:rsidRPr="00A27896">
        <w:rPr>
          <w:rFonts w:cs="Times New Roman"/>
          <w:color w:val="17365D"/>
          <w:szCs w:val="24"/>
        </w:rPr>
        <w:t>Amortizētajā un izmaksu vērtībā uzskaitītiem finanšu aktīviem katra pārskata perioda beigās novērtē vērtības samazinājuma pazīmes, ņemot vērā šādus faktorus:</w:t>
      </w:r>
    </w:p>
    <w:p w14:paraId="175ECC7C"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sadarbības partnerim konstatētas finansiālās grūtības;</w:t>
      </w:r>
    </w:p>
    <w:p w14:paraId="2AD771F0"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sadarbības partneris neievēro līguma nosacījumus, piemēram, procentu vai pamatsummas atmaksāšanas nosacījumu neizpilde vai pārkāpšana;</w:t>
      </w:r>
    </w:p>
    <w:p w14:paraId="263AC334"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aizdevējs ekonomisku vai juridisku iemeslu dēļ, kas saistīti ar aizņēmēja finansiālajām grūtībām, piešķīris aizņēmējam atlaidi vai atbrīvojumu, ko citos apstākļos aizdevējs nebūtu apsvēris;</w:t>
      </w:r>
    </w:p>
    <w:p w14:paraId="375F7284"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ir ticams, ka aizņēmējs uzsāks maksātnespējas procedūru vai cita veida finansiālu reorganizāciju;</w:t>
      </w:r>
    </w:p>
    <w:p w14:paraId="63B8F683"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konstatēta attiecīgā finanšu aktīva aktīvā tirgus zaudēšana finansiālu grūtību dēļ;</w:t>
      </w:r>
    </w:p>
    <w:p w14:paraId="49D5E125"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lastRenderedPageBreak/>
        <w:t>pastāv novērtējams finanšu aktīvu grupas aplēsto nākotnes naudas plūsmu samazinājums kopš šo aktīvu sākotnējās atzīšanas, lai arī atsevišķiem finanšu aktīviem šis samazinājums vēl nav nosakāms, uz ko norāda:</w:t>
      </w:r>
    </w:p>
    <w:p w14:paraId="2D2B3550" w14:textId="77777777" w:rsidR="00954F0C" w:rsidRPr="00A27896" w:rsidRDefault="00954F0C" w:rsidP="007C6C15">
      <w:pPr>
        <w:pStyle w:val="Pamatteksts"/>
        <w:numPr>
          <w:ilvl w:val="1"/>
          <w:numId w:val="28"/>
        </w:numPr>
        <w:spacing w:after="0"/>
        <w:ind w:left="1134" w:hanging="284"/>
        <w:rPr>
          <w:rFonts w:eastAsiaTheme="minorHAnsi"/>
          <w:noProof w:val="0"/>
          <w:color w:val="17365D"/>
          <w:szCs w:val="22"/>
          <w:lang w:eastAsia="en-US"/>
        </w:rPr>
      </w:pPr>
      <w:r w:rsidRPr="00A27896">
        <w:rPr>
          <w:rFonts w:eastAsiaTheme="minorHAnsi"/>
          <w:noProof w:val="0"/>
          <w:color w:val="17365D"/>
          <w:szCs w:val="22"/>
          <w:lang w:eastAsia="en-US"/>
        </w:rPr>
        <w:t>nelabvēlīgas izmaiņas aizņēmēju maksātspējā attiecīgajā grupā (piemēram, pieaugošs nokavēto maksājumu skaits),</w:t>
      </w:r>
    </w:p>
    <w:p w14:paraId="6DA914FA" w14:textId="77777777" w:rsidR="00954F0C" w:rsidRPr="00A27896" w:rsidRDefault="00954F0C" w:rsidP="007C6C15">
      <w:pPr>
        <w:pStyle w:val="Pamatteksts"/>
        <w:numPr>
          <w:ilvl w:val="1"/>
          <w:numId w:val="28"/>
        </w:numPr>
        <w:spacing w:after="0"/>
        <w:ind w:left="1134" w:hanging="284"/>
        <w:rPr>
          <w:rFonts w:eastAsiaTheme="minorHAnsi"/>
          <w:noProof w:val="0"/>
          <w:color w:val="17365D"/>
          <w:szCs w:val="22"/>
          <w:lang w:eastAsia="en-US"/>
        </w:rPr>
      </w:pPr>
      <w:r w:rsidRPr="00A27896">
        <w:rPr>
          <w:rFonts w:eastAsiaTheme="minorHAnsi"/>
          <w:noProof w:val="0"/>
          <w:color w:val="17365D"/>
          <w:szCs w:val="22"/>
          <w:lang w:eastAsia="en-US"/>
        </w:rPr>
        <w:t>valsts vai pašvaldības ekonomiskie apstākļi, kas attiecīgi ietekmē saistību neizpildi aktīvu grupā (piemēram, ekonomiskās grūtības noteiktā ģeogrāfiskā apgabalā, nozīmīgas nelabvēlīgas izmaiņas kādas nozares apstākļos, kas ietekmē aizņēmējus attiecīgajā grupā);</w:t>
      </w:r>
    </w:p>
    <w:p w14:paraId="0A96AFA3"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ieguldījumam pašu kapitāla instrumentā – nelabvēlīgas izmaiņas, kas notikušas tehnoloģiskajā, tirgus, ekonomiskajā vai juridiskajā vidē, kurā darbojas emitents, un kas norāda, ka pašu kapitāla instrumenta izmaksas var nebūt atgūstamas, kā arī ieguldījuma vērtības samazināšanās zem tā izmaksu vērtības.</w:t>
      </w:r>
    </w:p>
    <w:p w14:paraId="51DCBA95" w14:textId="77777777" w:rsidR="00954F0C" w:rsidRPr="00A27896" w:rsidRDefault="00954F0C" w:rsidP="00954F0C">
      <w:pPr>
        <w:spacing w:after="120" w:line="240" w:lineRule="auto"/>
        <w:jc w:val="both"/>
        <w:rPr>
          <w:rFonts w:cs="Times New Roman"/>
          <w:color w:val="17365D"/>
          <w:szCs w:val="24"/>
        </w:rPr>
      </w:pPr>
      <w:r w:rsidRPr="00A27896">
        <w:rPr>
          <w:rFonts w:cs="Times New Roman"/>
          <w:color w:val="17365D"/>
          <w:szCs w:val="24"/>
        </w:rPr>
        <w:t>Finanšu aktīvu izslēdz no uzskaites, ja budžeta iestāde nodod visus ar attiecīgā aktīva vai tā daļas īpašumtiesībām saistītos riskus, atlīdzības un aktīva vai tā daļas kontroli un tai beidzas līgumā noteiktās tiesības uz naudas plūsmām no attiecīgā finanšu aktīva vai tā daļas.</w:t>
      </w:r>
    </w:p>
    <w:p w14:paraId="1BEED314" w14:textId="77777777" w:rsidR="00954F0C" w:rsidRPr="00A27896" w:rsidRDefault="00954F0C" w:rsidP="00954F0C">
      <w:pPr>
        <w:spacing w:after="120" w:line="240" w:lineRule="auto"/>
        <w:jc w:val="both"/>
        <w:rPr>
          <w:rFonts w:cs="Times New Roman"/>
          <w:color w:val="17365D"/>
          <w:szCs w:val="24"/>
        </w:rPr>
      </w:pPr>
      <w:r w:rsidRPr="00A27896">
        <w:rPr>
          <w:rFonts w:cs="Times New Roman"/>
          <w:color w:val="17365D"/>
          <w:szCs w:val="24"/>
        </w:rPr>
        <w:t>Finanšu saistības vai to daļu izslēdz no uzskaites tad, ja līgumā noteiktais pienākums ir izpildīts, darījuma partneris ir atteicies no prasības šā pienākuma izpildei, pienākums ir atcelts vai tā izpildes termiņš ir beidzies.</w:t>
      </w:r>
    </w:p>
    <w:p w14:paraId="34245DCA" w14:textId="2CDEAEF8" w:rsidR="00954F0C" w:rsidRPr="00A27896" w:rsidRDefault="00954F0C" w:rsidP="00954F0C">
      <w:pPr>
        <w:spacing w:line="240" w:lineRule="auto"/>
        <w:jc w:val="both"/>
        <w:rPr>
          <w:rFonts w:cs="Times New Roman"/>
          <w:color w:val="17365D"/>
        </w:rPr>
      </w:pPr>
      <w:r w:rsidRPr="00A27896">
        <w:rPr>
          <w:rFonts w:cs="Times New Roman"/>
          <w:color w:val="17365D"/>
        </w:rPr>
        <w:t xml:space="preserve">Valsts budžeta finanšu uzskaitē pārskata perioda beigās veic aktīvu vērtības samazinājuma </w:t>
      </w:r>
      <w:proofErr w:type="spellStart"/>
      <w:r w:rsidRPr="00A27896">
        <w:rPr>
          <w:rFonts w:cs="Times New Roman"/>
          <w:color w:val="17365D"/>
        </w:rPr>
        <w:t>izvērtējumu</w:t>
      </w:r>
      <w:proofErr w:type="spellEnd"/>
      <w:r w:rsidRPr="00A27896">
        <w:rPr>
          <w:rFonts w:cs="Times New Roman"/>
          <w:color w:val="17365D"/>
        </w:rPr>
        <w:t xml:space="preserve"> Valsts kases iekšējos normatīvajos aktos noteiktajā kārtībā. </w:t>
      </w:r>
    </w:p>
    <w:p w14:paraId="722ED8B5" w14:textId="19AF7036" w:rsidR="00954F0C" w:rsidRPr="00A27896" w:rsidRDefault="00954F0C" w:rsidP="00FD10CC">
      <w:pPr>
        <w:pStyle w:val="Heading3"/>
      </w:pPr>
      <w:bookmarkStart w:id="53" w:name="_Toc42846522"/>
      <w:r w:rsidRPr="00A27896">
        <w:t>Atvasināto finanšu instrument</w:t>
      </w:r>
      <w:bookmarkEnd w:id="53"/>
      <w:r w:rsidR="002E74BE" w:rsidRPr="00A27896">
        <w:t>u uzskaite</w:t>
      </w:r>
    </w:p>
    <w:p w14:paraId="1FEDB40A" w14:textId="0E253C37" w:rsidR="009B4633" w:rsidRPr="00A27896" w:rsidRDefault="00D65E28" w:rsidP="0001633D">
      <w:pPr>
        <w:widowControl w:val="0"/>
        <w:spacing w:after="120" w:line="240" w:lineRule="auto"/>
        <w:ind w:firstLine="284"/>
        <w:jc w:val="both"/>
        <w:rPr>
          <w:rFonts w:cs="Times New Roman"/>
          <w:color w:val="17365D"/>
          <w:szCs w:val="24"/>
        </w:rPr>
      </w:pPr>
      <w:r w:rsidRPr="00A27896">
        <w:rPr>
          <w:rFonts w:cs="Times New Roman"/>
          <w:color w:val="17365D"/>
          <w:szCs w:val="24"/>
        </w:rPr>
        <w:t>Rīgas pilsētas pašvaldības izmantotais atvasinātais finanšu instruments klasificēts</w:t>
      </w:r>
      <w:r w:rsidR="00954F0C" w:rsidRPr="00A27896">
        <w:rPr>
          <w:rFonts w:cs="Times New Roman"/>
          <w:color w:val="17365D"/>
          <w:szCs w:val="24"/>
        </w:rPr>
        <w:t xml:space="preserve"> finanšu instrumentu kategorijā “Patiesajā vērtībā novērtētas finanšu saistības”</w:t>
      </w:r>
      <w:r w:rsidR="0001633D" w:rsidRPr="00A27896">
        <w:rPr>
          <w:rFonts w:cs="Times New Roman"/>
          <w:color w:val="17365D"/>
          <w:szCs w:val="24"/>
        </w:rPr>
        <w:t>, valsts budžeta finanšu uzskaitē izmantot</w:t>
      </w:r>
      <w:r w:rsidR="00AA7198" w:rsidRPr="00A27896">
        <w:rPr>
          <w:rFonts w:cs="Times New Roman"/>
          <w:color w:val="17365D"/>
          <w:szCs w:val="24"/>
        </w:rPr>
        <w:t>os</w:t>
      </w:r>
      <w:r w:rsidR="0001633D" w:rsidRPr="00A27896">
        <w:rPr>
          <w:rFonts w:cs="Times New Roman"/>
          <w:color w:val="17365D"/>
          <w:szCs w:val="24"/>
        </w:rPr>
        <w:t xml:space="preserve"> a</w:t>
      </w:r>
      <w:r w:rsidR="009B4633" w:rsidRPr="00A27896">
        <w:rPr>
          <w:rFonts w:cs="Times New Roman"/>
          <w:color w:val="17365D"/>
          <w:szCs w:val="24"/>
        </w:rPr>
        <w:t>tvasināt</w:t>
      </w:r>
      <w:r w:rsidR="00AA7198" w:rsidRPr="00A27896">
        <w:rPr>
          <w:rFonts w:cs="Times New Roman"/>
          <w:color w:val="17365D"/>
          <w:szCs w:val="24"/>
        </w:rPr>
        <w:t>os</w:t>
      </w:r>
      <w:r w:rsidR="009B4633" w:rsidRPr="00A27896">
        <w:rPr>
          <w:rFonts w:cs="Times New Roman"/>
          <w:color w:val="17365D"/>
          <w:szCs w:val="24"/>
        </w:rPr>
        <w:t xml:space="preserve"> finanšu instrument</w:t>
      </w:r>
      <w:r w:rsidR="00AA7198" w:rsidRPr="00A27896">
        <w:rPr>
          <w:rFonts w:cs="Times New Roman"/>
          <w:color w:val="17365D"/>
          <w:szCs w:val="24"/>
        </w:rPr>
        <w:t>us</w:t>
      </w:r>
      <w:r w:rsidRPr="00A27896">
        <w:rPr>
          <w:rFonts w:cs="Times New Roman"/>
          <w:color w:val="17365D"/>
          <w:szCs w:val="24"/>
        </w:rPr>
        <w:t xml:space="preserve"> klasificē</w:t>
      </w:r>
      <w:r w:rsidR="009B4633" w:rsidRPr="00A27896">
        <w:rPr>
          <w:rFonts w:cs="Times New Roman"/>
          <w:color w:val="17365D"/>
          <w:szCs w:val="24"/>
        </w:rPr>
        <w:t xml:space="preserve"> kā</w:t>
      </w:r>
      <w:r w:rsidRPr="00A27896">
        <w:rPr>
          <w:rFonts w:cs="Times New Roman"/>
          <w:color w:val="17365D"/>
          <w:szCs w:val="24"/>
        </w:rPr>
        <w:t xml:space="preserve"> riska ierobežošanas instrumentus</w:t>
      </w:r>
      <w:r w:rsidR="0001633D" w:rsidRPr="00A27896">
        <w:rPr>
          <w:rFonts w:cs="Times New Roman"/>
          <w:color w:val="17365D"/>
          <w:szCs w:val="24"/>
        </w:rPr>
        <w:t>.</w:t>
      </w:r>
      <w:r w:rsidR="009B4633" w:rsidRPr="00A27896">
        <w:rPr>
          <w:rFonts w:cs="Times New Roman"/>
          <w:color w:val="17365D"/>
          <w:szCs w:val="24"/>
        </w:rPr>
        <w:t xml:space="preserve"> </w:t>
      </w:r>
    </w:p>
    <w:p w14:paraId="1ECD529D" w14:textId="3F4BC151" w:rsidR="00954F0C" w:rsidRPr="00A27896" w:rsidRDefault="00AE497C" w:rsidP="00FD10CC">
      <w:pPr>
        <w:pStyle w:val="Heading3"/>
      </w:pPr>
      <w:bookmarkStart w:id="54" w:name="_Toc42846523"/>
      <w:r w:rsidRPr="00A27896">
        <w:t>Riska ierobežošanas uzskaite</w:t>
      </w:r>
      <w:r w:rsidR="006B6ED6" w:rsidRPr="00A27896">
        <w:t xml:space="preserve"> </w:t>
      </w:r>
      <w:bookmarkEnd w:id="54"/>
    </w:p>
    <w:p w14:paraId="28ADBE06" w14:textId="445D7067" w:rsidR="00536F4F" w:rsidRPr="00A27896" w:rsidRDefault="006A64E6" w:rsidP="00775C62">
      <w:pPr>
        <w:spacing w:after="0" w:line="240" w:lineRule="auto"/>
        <w:ind w:firstLine="284"/>
        <w:jc w:val="both"/>
        <w:rPr>
          <w:rFonts w:eastAsia="Times New Roman" w:cs="Times New Roman"/>
          <w:color w:val="17365D"/>
        </w:rPr>
      </w:pPr>
      <w:bookmarkStart w:id="55" w:name="_Ref87602521"/>
      <w:r w:rsidRPr="00A27896">
        <w:rPr>
          <w:rFonts w:cs="Times New Roman"/>
          <w:color w:val="17365D"/>
          <w:szCs w:val="24"/>
        </w:rPr>
        <w:t xml:space="preserve">Valsts kase valsts budžeta finanšu uzskaitē noteiktiem atvasinātiem finanšu instrumentiem piemēro riska ierobežošanas uzskaiti atbilstoši </w:t>
      </w:r>
      <w:r w:rsidR="00AA7198" w:rsidRPr="00A27896">
        <w:rPr>
          <w:rFonts w:cs="Times New Roman"/>
          <w:color w:val="17365D"/>
          <w:szCs w:val="24"/>
        </w:rPr>
        <w:t xml:space="preserve">finanšu ministra apstiprinātajā </w:t>
      </w:r>
      <w:r w:rsidRPr="00A27896">
        <w:rPr>
          <w:rFonts w:cs="Times New Roman"/>
          <w:color w:val="17365D"/>
          <w:szCs w:val="24"/>
        </w:rPr>
        <w:t>Valsts parāda un nau</w:t>
      </w:r>
      <w:r w:rsidR="003667F8" w:rsidRPr="00A27896">
        <w:rPr>
          <w:rFonts w:cs="Times New Roman"/>
          <w:color w:val="17365D"/>
          <w:szCs w:val="24"/>
        </w:rPr>
        <w:t xml:space="preserve">das līdzekļu vadības stratēģijā noteiktiem </w:t>
      </w:r>
      <w:r w:rsidRPr="00A27896">
        <w:rPr>
          <w:rFonts w:cs="Times New Roman"/>
          <w:color w:val="17365D"/>
          <w:szCs w:val="24"/>
        </w:rPr>
        <w:t>mērķiem</w:t>
      </w:r>
      <w:bookmarkEnd w:id="55"/>
      <w:r w:rsidRPr="00A27896">
        <w:rPr>
          <w:rFonts w:cs="Times New Roman"/>
          <w:color w:val="17365D"/>
          <w:szCs w:val="24"/>
        </w:rPr>
        <w:t xml:space="preserve"> un izstrādātai riska ierobežošanas dokumentācijai.</w:t>
      </w:r>
      <w:r w:rsidR="00536F4F" w:rsidRPr="00A27896">
        <w:rPr>
          <w:rFonts w:cs="Times New Roman"/>
          <w:color w:val="17365D"/>
          <w:szCs w:val="24"/>
        </w:rPr>
        <w:t xml:space="preserve"> </w:t>
      </w:r>
      <w:r w:rsidR="003667F8" w:rsidRPr="00A27896">
        <w:rPr>
          <w:rFonts w:eastAsia="Times New Roman" w:cs="Times New Roman"/>
          <w:color w:val="17365D"/>
        </w:rPr>
        <w:t>Valsts kase</w:t>
      </w:r>
      <w:r w:rsidR="007C43F5" w:rsidRPr="00A27896">
        <w:rPr>
          <w:rFonts w:eastAsia="Times New Roman" w:cs="Times New Roman"/>
          <w:color w:val="17365D"/>
        </w:rPr>
        <w:t xml:space="preserve"> finanšu uzskaitē</w:t>
      </w:r>
      <w:r w:rsidR="003667F8" w:rsidRPr="00A27896">
        <w:rPr>
          <w:rFonts w:eastAsia="Times New Roman" w:cs="Times New Roman"/>
          <w:color w:val="17365D"/>
        </w:rPr>
        <w:t xml:space="preserve"> piemēro naudas plūsmas riska ierobežošan</w:t>
      </w:r>
      <w:r w:rsidR="00E321DB" w:rsidRPr="00A27896">
        <w:rPr>
          <w:rFonts w:eastAsia="Times New Roman" w:cs="Times New Roman"/>
          <w:color w:val="17365D"/>
        </w:rPr>
        <w:t>as uzskaiti</w:t>
      </w:r>
      <w:r w:rsidR="003667F8" w:rsidRPr="00A27896">
        <w:rPr>
          <w:rFonts w:eastAsia="Times New Roman" w:cs="Times New Roman"/>
          <w:color w:val="17365D"/>
        </w:rPr>
        <w:t>.</w:t>
      </w:r>
    </w:p>
    <w:p w14:paraId="10FDE455" w14:textId="77777777" w:rsidR="00AA7198" w:rsidRPr="00A27896" w:rsidRDefault="00AA7198" w:rsidP="00F9629B">
      <w:pPr>
        <w:spacing w:after="0" w:line="240" w:lineRule="auto"/>
        <w:ind w:firstLine="284"/>
        <w:jc w:val="both"/>
        <w:rPr>
          <w:rFonts w:eastAsia="Times New Roman" w:cs="Times New Roman"/>
          <w:color w:val="17365D"/>
        </w:rPr>
      </w:pPr>
    </w:p>
    <w:p w14:paraId="45E718BE" w14:textId="77777777" w:rsidR="00954F0C" w:rsidRPr="00A27896" w:rsidRDefault="00954F0C" w:rsidP="00043CBD">
      <w:pPr>
        <w:pStyle w:val="Heading3"/>
        <w:spacing w:before="0"/>
        <w:rPr>
          <w:i/>
        </w:rPr>
      </w:pPr>
      <w:bookmarkStart w:id="56" w:name="_Toc42846524"/>
      <w:r w:rsidRPr="00A27896">
        <w:rPr>
          <w:i/>
        </w:rPr>
        <w:t>Uzskaites un novērtēšanas pamatprincipi</w:t>
      </w:r>
      <w:bookmarkEnd w:id="56"/>
    </w:p>
    <w:p w14:paraId="4EB270A2" w14:textId="6D978491" w:rsidR="007C43F5" w:rsidRPr="00A27896" w:rsidRDefault="007C43F5" w:rsidP="00E321DB">
      <w:pPr>
        <w:spacing w:after="120" w:line="240" w:lineRule="auto"/>
        <w:ind w:firstLine="284"/>
        <w:jc w:val="both"/>
        <w:rPr>
          <w:rFonts w:cs="Times New Roman"/>
          <w:color w:val="17365D"/>
        </w:rPr>
      </w:pPr>
      <w:r w:rsidRPr="00A27896">
        <w:rPr>
          <w:rFonts w:cs="Times New Roman"/>
          <w:color w:val="17365D"/>
        </w:rPr>
        <w:t xml:space="preserve">Naudas plūsmas riska ierobežošanas uzskaitē sākotnēji nosaka riska ierobežošanas instrumenta un nodrošinātā posteņa nākotnes naudas plūsmu pašreizējo vērtību. </w:t>
      </w:r>
    </w:p>
    <w:p w14:paraId="4F48408F" w14:textId="77777777" w:rsidR="00E321DB" w:rsidRPr="00A27896" w:rsidRDefault="007C43F5" w:rsidP="00E321DB">
      <w:pPr>
        <w:spacing w:after="120" w:line="240" w:lineRule="auto"/>
        <w:ind w:firstLine="284"/>
        <w:jc w:val="both"/>
        <w:rPr>
          <w:rFonts w:cs="Times New Roman"/>
          <w:color w:val="17365D"/>
        </w:rPr>
      </w:pPr>
      <w:r w:rsidRPr="00A27896">
        <w:rPr>
          <w:rFonts w:cs="Times New Roman"/>
          <w:color w:val="17365D"/>
        </w:rPr>
        <w:t>Turpmāk pārskata perioda beigās veicot nākotnes naudas plūsmu pašreizējās vērtības novērtēšanu, riska ierobežošanas instrumenta vērtības izmaiņas uzskaita</w:t>
      </w:r>
      <w:r w:rsidR="00E321DB" w:rsidRPr="00A27896">
        <w:rPr>
          <w:rFonts w:cs="Times New Roman"/>
          <w:color w:val="17365D"/>
        </w:rPr>
        <w:t>:</w:t>
      </w:r>
    </w:p>
    <w:p w14:paraId="69153DC6" w14:textId="52F098CE" w:rsidR="00441B8B" w:rsidRPr="00A27896" w:rsidRDefault="00441B8B" w:rsidP="001D4D3D">
      <w:pPr>
        <w:pStyle w:val="ListParagraph"/>
        <w:numPr>
          <w:ilvl w:val="0"/>
          <w:numId w:val="34"/>
        </w:numPr>
        <w:tabs>
          <w:tab w:val="left" w:pos="851"/>
        </w:tabs>
        <w:spacing w:after="120" w:line="240" w:lineRule="auto"/>
        <w:ind w:left="851"/>
        <w:jc w:val="both"/>
        <w:rPr>
          <w:rFonts w:cs="Times New Roman"/>
          <w:color w:val="17365D"/>
        </w:rPr>
      </w:pPr>
      <w:r w:rsidRPr="00A27896">
        <w:rPr>
          <w:rFonts w:cs="Times New Roman"/>
          <w:color w:val="17365D"/>
        </w:rPr>
        <w:t xml:space="preserve">veicot atkārtotu nākotnes naudas plūsmu pašreizējās vērtības novērtēšanu, riska ierobežošanas instrumenta vērtības izmaiņas uzskaita atsevišķā postenī aktīva vai saistību sastāvā; </w:t>
      </w:r>
    </w:p>
    <w:p w14:paraId="6EEFBD01" w14:textId="77777777" w:rsidR="00441B8B" w:rsidRPr="00A27896" w:rsidRDefault="00441B8B" w:rsidP="001D4D3D">
      <w:pPr>
        <w:pStyle w:val="ListParagraph"/>
        <w:numPr>
          <w:ilvl w:val="0"/>
          <w:numId w:val="34"/>
        </w:numPr>
        <w:tabs>
          <w:tab w:val="left" w:pos="851"/>
        </w:tabs>
        <w:spacing w:after="120" w:line="240" w:lineRule="auto"/>
        <w:ind w:left="851"/>
        <w:jc w:val="both"/>
        <w:rPr>
          <w:rFonts w:cs="Times New Roman"/>
          <w:color w:val="17365D"/>
        </w:rPr>
      </w:pPr>
      <w:r w:rsidRPr="00A27896">
        <w:rPr>
          <w:rFonts w:cs="Times New Roman"/>
          <w:color w:val="17365D"/>
        </w:rPr>
        <w:t xml:space="preserve">riska ierobežošanas instrumenta vērtības izmaiņu daļu, kas noteikta kā efektīva riska ierobežošana, atzīst finanšu instrumentu patiesās vērtības rezervēs; </w:t>
      </w:r>
    </w:p>
    <w:p w14:paraId="7E32B4AA" w14:textId="77777777" w:rsidR="00441B8B" w:rsidRPr="00A27896" w:rsidRDefault="00441B8B" w:rsidP="001D4D3D">
      <w:pPr>
        <w:pStyle w:val="ListParagraph"/>
        <w:numPr>
          <w:ilvl w:val="0"/>
          <w:numId w:val="34"/>
        </w:numPr>
        <w:tabs>
          <w:tab w:val="left" w:pos="851"/>
        </w:tabs>
        <w:spacing w:after="120" w:line="240" w:lineRule="auto"/>
        <w:ind w:left="851"/>
        <w:jc w:val="both"/>
        <w:rPr>
          <w:rFonts w:cs="Times New Roman"/>
          <w:color w:val="17365D"/>
        </w:rPr>
      </w:pPr>
      <w:r w:rsidRPr="00A27896">
        <w:rPr>
          <w:rFonts w:cs="Times New Roman"/>
          <w:color w:val="17365D"/>
        </w:rPr>
        <w:t>riska ierobežošanas instrumenta vērtības izmaiņu daļu, kas novērtēta kā neefektīva riska ierobežošana, atzīst pārskata perioda finanšu ieņēmumos vai izdevumos;</w:t>
      </w:r>
    </w:p>
    <w:p w14:paraId="7A49CDC6" w14:textId="77777777" w:rsidR="00441B8B" w:rsidRPr="00A27896" w:rsidRDefault="00441B8B" w:rsidP="001D4D3D">
      <w:pPr>
        <w:pStyle w:val="ListParagraph"/>
        <w:numPr>
          <w:ilvl w:val="0"/>
          <w:numId w:val="34"/>
        </w:numPr>
        <w:tabs>
          <w:tab w:val="left" w:pos="851"/>
        </w:tabs>
        <w:spacing w:after="120" w:line="240" w:lineRule="auto"/>
        <w:ind w:left="851"/>
        <w:jc w:val="both"/>
        <w:rPr>
          <w:rFonts w:cs="Times New Roman"/>
          <w:color w:val="17365D"/>
        </w:rPr>
      </w:pPr>
      <w:r w:rsidRPr="00A27896">
        <w:rPr>
          <w:rFonts w:cs="Times New Roman"/>
          <w:color w:val="17365D"/>
        </w:rPr>
        <w:lastRenderedPageBreak/>
        <w:t>finanšu instrumentu patiesās vērtības rezervēs uzskaitītās riska ierobežošanas instrumenta vērtības izmaiņas atzīst pārskata perioda finanšu ieņēmumos vai izdevumos vienlaicīgi ar nodrošinātā posteņa ieņēmumiem vai izdevumiem, uz kuriem attiecināma riska ierobežošana, saskaņojot ar šo ieņēmumu vai izdevumu summu.</w:t>
      </w:r>
    </w:p>
    <w:p w14:paraId="05AC40E9" w14:textId="77777777" w:rsidR="00954F0C" w:rsidRPr="00A27896" w:rsidRDefault="00954F0C" w:rsidP="00043CBD">
      <w:pPr>
        <w:pStyle w:val="Heading3"/>
        <w:spacing w:before="0" w:after="120"/>
        <w:rPr>
          <w:i/>
        </w:rPr>
      </w:pPr>
      <w:bookmarkStart w:id="57" w:name="_Toc42846525"/>
      <w:r w:rsidRPr="00A27896">
        <w:rPr>
          <w:i/>
        </w:rPr>
        <w:t>Izmantošanas veidi</w:t>
      </w:r>
      <w:bookmarkEnd w:id="57"/>
      <w:r w:rsidRPr="00A27896">
        <w:rPr>
          <w:i/>
        </w:rPr>
        <w:t xml:space="preserve"> </w:t>
      </w:r>
    </w:p>
    <w:p w14:paraId="3C42D847" w14:textId="21A64F24" w:rsidR="00954F0C" w:rsidRPr="00A27896" w:rsidRDefault="00954F0C" w:rsidP="006B1FE1">
      <w:pPr>
        <w:widowControl w:val="0"/>
        <w:spacing w:after="120" w:line="240" w:lineRule="auto"/>
        <w:ind w:firstLine="284"/>
        <w:jc w:val="both"/>
        <w:rPr>
          <w:rFonts w:cs="Times New Roman"/>
          <w:color w:val="17365D"/>
          <w:szCs w:val="24"/>
        </w:rPr>
      </w:pPr>
      <w:r w:rsidRPr="00A27896">
        <w:rPr>
          <w:rFonts w:cs="Times New Roman"/>
          <w:color w:val="17365D"/>
          <w:szCs w:val="24"/>
        </w:rPr>
        <w:t>Valsts kase izmanto atvasinātos finanšu instrumentus tikai finanšu risku vadībai atbilstoši Valsts parāda un naudas līdzekļu vadības stratēģijā izvirzītajiem mērķiem un uzdevumiem.</w:t>
      </w:r>
      <w:r w:rsidR="009B75DF" w:rsidRPr="00A27896">
        <w:rPr>
          <w:rFonts w:cs="Times New Roman"/>
          <w:color w:val="17365D"/>
          <w:szCs w:val="24"/>
        </w:rPr>
        <w:t xml:space="preserve"> </w:t>
      </w:r>
    </w:p>
    <w:p w14:paraId="6B6FF284"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Valsts kase izmanto šādus atvasinātos finanšu instrumentus:</w:t>
      </w:r>
    </w:p>
    <w:p w14:paraId="40B7A0EC" w14:textId="7691DEB1"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FORWARD – nākotnes valūtas pirkšanas vai pārdošanas darījums, kura ietvaros par noteikto valūtu kursu noteiktā dienā nākotnē nopērk vai pārdod noteikto valūtas daudzumu;</w:t>
      </w:r>
    </w:p>
    <w:p w14:paraId="5FA55805" w14:textId="449E6C3D"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IRS – procentu likmju mijmaiņas darījums, kura ietvaros notiek apmaiņa ar procentu maksājumu plūsmām, kuras balstās uz darījumu nosacījumos noteikto termiņu procentu likmēm (vienai no plūsmām likme var būt fiksēta uz visu darījuma termiņu);</w:t>
      </w:r>
    </w:p>
    <w:p w14:paraId="652EB34C" w14:textId="0CC58704"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CCIRS – valūtu mijmaiņas darījums vai procentu likmju un valūtu mijmaiņas darījums, kura ietvaros notiek apmaiņa ar naudas plūsmām dažādās valūtās (procentu un</w:t>
      </w:r>
      <w:r w:rsidR="00D50D19" w:rsidRPr="00A27896">
        <w:rPr>
          <w:color w:val="17365D"/>
          <w:sz w:val="24"/>
          <w:szCs w:val="24"/>
        </w:rPr>
        <w:t xml:space="preserve"> </w:t>
      </w:r>
      <w:r w:rsidRPr="00A27896">
        <w:rPr>
          <w:color w:val="17365D"/>
          <w:sz w:val="24"/>
          <w:szCs w:val="24"/>
        </w:rPr>
        <w:t>pamatsummas maksājumiem):</w:t>
      </w:r>
    </w:p>
    <w:p w14:paraId="4BA151A3" w14:textId="16757302" w:rsidR="00954F0C" w:rsidRPr="00A27896" w:rsidRDefault="00954F0C" w:rsidP="007C6C15">
      <w:pPr>
        <w:pStyle w:val="Pamatteksts"/>
        <w:numPr>
          <w:ilvl w:val="1"/>
          <w:numId w:val="28"/>
        </w:numPr>
        <w:spacing w:after="0"/>
        <w:ind w:left="1134" w:hanging="284"/>
        <w:rPr>
          <w:rFonts w:eastAsiaTheme="minorHAnsi"/>
          <w:noProof w:val="0"/>
          <w:color w:val="17365D"/>
          <w:szCs w:val="22"/>
          <w:lang w:eastAsia="en-US"/>
        </w:rPr>
      </w:pPr>
      <w:r w:rsidRPr="00A27896">
        <w:rPr>
          <w:rFonts w:eastAsiaTheme="minorHAnsi"/>
          <w:noProof w:val="0"/>
          <w:color w:val="17365D"/>
          <w:szCs w:val="22"/>
          <w:lang w:eastAsia="en-US"/>
        </w:rPr>
        <w:t>valūtu mijmaiņas darījums – ja abas naudas plūsmas ir saistītas ar fiksētām vai vienādu termiņu mainīgām procentu likmēm;</w:t>
      </w:r>
    </w:p>
    <w:p w14:paraId="06C5AAB1" w14:textId="549EF6C6" w:rsidR="00954F0C" w:rsidRPr="00A27896" w:rsidRDefault="00954F0C" w:rsidP="007C6C15">
      <w:pPr>
        <w:pStyle w:val="Pamatteksts"/>
        <w:numPr>
          <w:ilvl w:val="1"/>
          <w:numId w:val="28"/>
        </w:numPr>
        <w:spacing w:after="0"/>
        <w:ind w:left="1134" w:hanging="284"/>
        <w:rPr>
          <w:color w:val="17365D"/>
        </w:rPr>
      </w:pPr>
      <w:r w:rsidRPr="00A27896">
        <w:rPr>
          <w:rFonts w:eastAsiaTheme="minorHAnsi"/>
          <w:noProof w:val="0"/>
          <w:color w:val="17365D"/>
          <w:szCs w:val="22"/>
          <w:lang w:eastAsia="en-US"/>
        </w:rPr>
        <w:t>procentu un valūtu mijmaiņas darījums – ja naudas plūsmas ir saistītas ar dažādu termiņu</w:t>
      </w:r>
      <w:r w:rsidRPr="00A27896">
        <w:rPr>
          <w:color w:val="17365D"/>
        </w:rPr>
        <w:t xml:space="preserve"> procentu likmēm (viena no kurām var būt fiksētā uz visu darījuma termiņu).</w:t>
      </w:r>
      <w:r w:rsidR="009950C5" w:rsidRPr="00A27896">
        <w:rPr>
          <w:color w:val="17365D"/>
        </w:rPr>
        <w:t xml:space="preserve"> </w:t>
      </w:r>
    </w:p>
    <w:p w14:paraId="6831FEEC" w14:textId="6F422152" w:rsidR="00954F0C" w:rsidRPr="00A27896" w:rsidRDefault="00954F0C" w:rsidP="00043CBD">
      <w:pPr>
        <w:pStyle w:val="Heading3"/>
        <w:spacing w:before="120" w:after="120"/>
        <w:rPr>
          <w:i/>
        </w:rPr>
      </w:pPr>
      <w:bookmarkStart w:id="58" w:name="_Toc42846526"/>
      <w:r w:rsidRPr="00A27896">
        <w:rPr>
          <w:i/>
        </w:rPr>
        <w:t xml:space="preserve">Izmantošanas mērķis </w:t>
      </w:r>
      <w:bookmarkEnd w:id="58"/>
    </w:p>
    <w:p w14:paraId="610D8D88"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IRS un CCIRS (procentu un valūtu mijmaiņas) darījumi tiek slēgti, lai sasniegtu Valsts parāda un naudas līdzekļu vadības stratēģijā noteikto valsts parāda portfeļa vadības mērķi un nodrošinātu valsts parāda portfeļa ilgtspēju (</w:t>
      </w:r>
      <w:proofErr w:type="spellStart"/>
      <w:r w:rsidRPr="00A27896">
        <w:rPr>
          <w:rFonts w:cs="Times New Roman"/>
          <w:color w:val="17365D"/>
        </w:rPr>
        <w:t>duration</w:t>
      </w:r>
      <w:proofErr w:type="spellEnd"/>
      <w:r w:rsidRPr="00A27896">
        <w:rPr>
          <w:rFonts w:cs="Times New Roman"/>
          <w:color w:val="17365D"/>
        </w:rPr>
        <w:t xml:space="preserve"> – procentu likmju vidējo svērto fiksēto periodu (gados)) un fiksēto likmju īpatsvara rādītāju ievērošanu pieļaujamās robežās. Atbilstoši Valsts parāda un naudas līdzekļu vadības stratēģijā definētajam parāda portfeļa vadības pamatprincipam, nodrošinot līdzsvaru starp finanšu resursu izmaksām un finanšu risku ierobežošanu, par nozīmīgāko tiek uzskatīta finanšu risku ierobežošana. </w:t>
      </w:r>
    </w:p>
    <w:p w14:paraId="5FFB8687"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 xml:space="preserve">CCIRS un FORWARD darījumi tiek slēgti, lai nodrošinātu tīrā parāda valūtu kompozīcijas ievērošanu pieļaujamās robežās, kā arī izslēgtu valūtu svārstību risku procentu maksājumiem par ne </w:t>
      </w:r>
      <w:proofErr w:type="spellStart"/>
      <w:r w:rsidRPr="00A27896">
        <w:rPr>
          <w:rFonts w:cs="Times New Roman"/>
          <w:color w:val="17365D"/>
        </w:rPr>
        <w:t>euro</w:t>
      </w:r>
      <w:proofErr w:type="spellEnd"/>
      <w:r w:rsidRPr="00A27896">
        <w:rPr>
          <w:rFonts w:cs="Times New Roman"/>
          <w:color w:val="17365D"/>
        </w:rPr>
        <w:t xml:space="preserve"> valūtā emitētām eiroobligācijām un citiem aizņēmumiem. Slēdzot attiecīgos atvasināto finanšu instrumentu darījumus vērtspapīru emisijas brīdī ne </w:t>
      </w:r>
      <w:proofErr w:type="spellStart"/>
      <w:r w:rsidRPr="00A27896">
        <w:rPr>
          <w:rFonts w:cs="Times New Roman"/>
          <w:color w:val="17365D"/>
        </w:rPr>
        <w:t>euro</w:t>
      </w:r>
      <w:proofErr w:type="spellEnd"/>
      <w:r w:rsidRPr="00A27896">
        <w:rPr>
          <w:rFonts w:cs="Times New Roman"/>
          <w:color w:val="17365D"/>
        </w:rPr>
        <w:t xml:space="preserve"> valūtā, tiek fiksēts valūtas kurss, par kuru darījuma puses apmainās ar darījuma pamatsummām (attiecīgi emisijas brīdī un vēlāk emisijas dzēšanas brīdī), kā arī par kuru efektīvi tiek veikti un attiecīgi saņemti līdzekļi procentu maksājumu veikšanai – tādējādi izslēdzot valūtu svārstību risku procentu (kupona) maksājumiem.</w:t>
      </w:r>
    </w:p>
    <w:p w14:paraId="4F64C701"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FORWARD darījumi tiek slēgti, lai ierobežotu valūtu risku valsts parāda un naudas līdzekļu vadībā.</w:t>
      </w:r>
    </w:p>
    <w:p w14:paraId="0277F1C1" w14:textId="77777777" w:rsidR="00E132A3" w:rsidRPr="00A27896" w:rsidRDefault="00E132A3" w:rsidP="00E132A3">
      <w:pPr>
        <w:pStyle w:val="Pamatteksts"/>
        <w:rPr>
          <w:color w:val="17365D"/>
        </w:rPr>
      </w:pPr>
      <w:bookmarkStart w:id="59" w:name="_Toc42846528"/>
    </w:p>
    <w:p w14:paraId="4256B816" w14:textId="24AFAC76" w:rsidR="00954F0C" w:rsidRPr="00A27896" w:rsidRDefault="00954F0C" w:rsidP="00FD10CC">
      <w:pPr>
        <w:pStyle w:val="Heading3"/>
        <w:rPr>
          <w:szCs w:val="22"/>
        </w:rPr>
      </w:pPr>
      <w:r w:rsidRPr="00A27896">
        <w:t>Nomātie aktīvi</w:t>
      </w:r>
      <w:bookmarkEnd w:id="59"/>
    </w:p>
    <w:p w14:paraId="13E0F8D0" w14:textId="46463D8F"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Zembilancē atsevišķā kontā norādīti budžeta iestāžu nomātie aktīvi – pamatlīdzekļi, nemateriālie ieguldījumi un krājumi, kuri atrodas budžeta iestāžu lietošanā saskaņā ar operatīvās nomas un patapinājuma līgumiem. </w:t>
      </w:r>
    </w:p>
    <w:p w14:paraId="0FB47E21" w14:textId="77777777" w:rsidR="00FF4433" w:rsidRPr="00A27896" w:rsidRDefault="00FF4433" w:rsidP="00954F0C">
      <w:pPr>
        <w:spacing w:after="120" w:line="240" w:lineRule="auto"/>
        <w:ind w:firstLine="284"/>
        <w:jc w:val="both"/>
        <w:rPr>
          <w:rFonts w:cs="Times New Roman"/>
          <w:color w:val="17365D"/>
          <w:szCs w:val="24"/>
        </w:rPr>
      </w:pPr>
    </w:p>
    <w:p w14:paraId="38B60EB7" w14:textId="77777777" w:rsidR="00954F0C" w:rsidRPr="00A27896" w:rsidRDefault="00954F0C" w:rsidP="00FD10CC">
      <w:pPr>
        <w:pStyle w:val="Heading3"/>
      </w:pPr>
      <w:bookmarkStart w:id="60" w:name="_Toc42846529"/>
      <w:r w:rsidRPr="00A27896">
        <w:lastRenderedPageBreak/>
        <w:t>Zembilances aktīvi</w:t>
      </w:r>
      <w:bookmarkEnd w:id="60"/>
    </w:p>
    <w:p w14:paraId="3B5F6370" w14:textId="62C6B6B5"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Zembilances aktīvā uzskaita iespējamos aktīvus, kuri radušies pagātnes notikumu rezultātā un kuru pastāvēšana apstiprināsies tikai atkarībā no viena vai vairāku tādu nākotnes notikumu notikšanas vai nenotikšanas, kurus budžeta iestāde vai valsts budžeta finanšu uzskaitē pilnībā nevar kontrolēt. </w:t>
      </w:r>
    </w:p>
    <w:p w14:paraId="55769B2D" w14:textId="6643EC4C" w:rsidR="00954F0C" w:rsidRPr="00A27896" w:rsidRDefault="00954F0C" w:rsidP="00954F0C">
      <w:pPr>
        <w:spacing w:after="120" w:line="240" w:lineRule="auto"/>
        <w:jc w:val="both"/>
        <w:rPr>
          <w:rFonts w:cs="Times New Roman"/>
          <w:color w:val="17365D"/>
          <w:szCs w:val="24"/>
        </w:rPr>
      </w:pPr>
      <w:r w:rsidRPr="00A27896">
        <w:rPr>
          <w:rFonts w:cs="Times New Roman"/>
          <w:color w:val="17365D"/>
          <w:szCs w:val="24"/>
        </w:rPr>
        <w:t>Zembilances aktīvu sastāvā uzskaitīti:</w:t>
      </w:r>
    </w:p>
    <w:p w14:paraId="422BDEDF"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iespējamie aktīvi, kurus atzīst un uzrāda zembilancē, ja pastāv varbūtība ekonomisko labumu un/vai sniegto pakalpojumu pieaugumam iestādē. Pēc noteiktu apstākļu apstiprināšanās un dienā, kad aktīvu var ticami novērtēt, aktīvu un ar to saistītos ieņēmumu norāda bilancē, samazinot zembilancē norādīto iespējamo aktīvu vērtību;</w:t>
      </w:r>
    </w:p>
    <w:p w14:paraId="2811DC77"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prasības par radniecīgo un asociēto kapitālsabiedrību paziņotajām dividendēm un saņemamiem maksājumiem par kapitāla daļu izmantošanu, kas ir apstiprināti pēc bilances datuma un par kuriem nav samazināts finanšu ieguldījums;</w:t>
      </w:r>
    </w:p>
    <w:p w14:paraId="504397B2"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aprēķinātie līgumsodi, naudas sodi, soda naudas un kavējuma naudas, kas nav saņemtas līdz pārskata perioda beigām, un prasības, kuras nav uzskaitītas bilancē, no dienas, kad radušās likumīgas tiesības to saņemt;</w:t>
      </w:r>
    </w:p>
    <w:p w14:paraId="4C1F7908"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budžeta iestāžu prasības par prettiesiskā ceļā atsavinātiem aktīviem atbilstoši prettiesiski atsavinātā aktīva vērtības </w:t>
      </w:r>
      <w:proofErr w:type="spellStart"/>
      <w:r w:rsidRPr="00A27896">
        <w:rPr>
          <w:color w:val="17365D"/>
          <w:sz w:val="24"/>
          <w:szCs w:val="24"/>
        </w:rPr>
        <w:t>visticamākai</w:t>
      </w:r>
      <w:proofErr w:type="spellEnd"/>
      <w:r w:rsidRPr="00A27896">
        <w:rPr>
          <w:color w:val="17365D"/>
          <w:sz w:val="24"/>
          <w:szCs w:val="24"/>
        </w:rPr>
        <w:t xml:space="preserve"> aplēsei; </w:t>
      </w:r>
    </w:p>
    <w:p w14:paraId="6E72FAED"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iespējamās prasības par nākotnes finanšu darījumiem, valsts budžeta bezcerīgie (zaudētie) kredīti un pārējās zembilances prasības;</w:t>
      </w:r>
    </w:p>
    <w:p w14:paraId="4C1139D4"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citi zembilances aktīvi.</w:t>
      </w:r>
    </w:p>
    <w:p w14:paraId="4BE44ADD" w14:textId="77777777" w:rsidR="00954F0C" w:rsidRPr="00A27896" w:rsidRDefault="00954F0C" w:rsidP="00FD10CC">
      <w:pPr>
        <w:pStyle w:val="Heading3"/>
      </w:pPr>
      <w:bookmarkStart w:id="61" w:name="_Toc42846530"/>
      <w:r w:rsidRPr="00A27896">
        <w:t>Zembilances pasīvi</w:t>
      </w:r>
      <w:bookmarkEnd w:id="61"/>
    </w:p>
    <w:p w14:paraId="1018D9C1" w14:textId="782FA0AE"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Zembilances pasīvā uzskaita budžeta iestāžu un valsts budžeta iespējamās saistības, kas radušās pagātnes notikumu rezultātā, bet to iestāšanās vai neiestāšanās atkarīga no viena vai vairāku tādu notikumu notikšanas vai nenotikšanas, kurus budžeta iestādes vai valsts budžeta finanšu uzskaitē pilnībā nevar kontrolēt. Zembilances saistībās norāda arī pašreizējās saistības, kurām nav pietiekams pamatojums saistību vērtības noteikšanai.</w:t>
      </w:r>
    </w:p>
    <w:p w14:paraId="24666FF2" w14:textId="77777777" w:rsidR="00954F0C" w:rsidRPr="00A27896" w:rsidRDefault="00954F0C" w:rsidP="00954F0C">
      <w:pPr>
        <w:spacing w:after="120" w:line="240" w:lineRule="auto"/>
        <w:jc w:val="both"/>
        <w:rPr>
          <w:rFonts w:cs="Times New Roman"/>
          <w:color w:val="17365D"/>
          <w:szCs w:val="24"/>
        </w:rPr>
      </w:pPr>
      <w:r w:rsidRPr="00A27896">
        <w:rPr>
          <w:rFonts w:cs="Times New Roman"/>
          <w:color w:val="17365D"/>
          <w:szCs w:val="24"/>
        </w:rPr>
        <w:t>Zembilances pasīvu daļā ir norādīti:</w:t>
      </w:r>
    </w:p>
    <w:p w14:paraId="08E15E8D"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budžeta iestāžu nākotnes maksājumi saskaņā ar līgumiem, kas noslēgti par ārvalstu finanšu palīdzības un ES politiku instrumentu finansētajiem projektiem. Nākotnes saistību vērtība noteikta par noslēgtiem līgumiem neizpildīto darījumu apjomā bilances datumā;</w:t>
      </w:r>
    </w:p>
    <w:p w14:paraId="48F4ED36"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nākotnes saistības un maksājumi saskaņā ar līgumiem un vadības lēmumiem par ilgtermiņa ieguldījumu un militāro ilgtermiņa aktīvu iegādi un izveidošanu (izņemot tos, kas noslēgti par ārvalstu finanšu palīdzības un ES politiku instrumentu finansētajiem projektiem). Nākotnes saistību vērtība noteikta par noslēgtiem līgumiem neizpildīto darījumu apjomā bilances datumā; </w:t>
      </w:r>
    </w:p>
    <w:p w14:paraId="773D0DFA"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nākotnes saistības un maksājumi saskaņā ar līgumiem un vadības lēmumiem par preču un pakalpojumu iegādi, izņemot tos, kas noslēgti par ārvalstu finanšu palīdzības un ES politiku instrumentu finansētajiem projektiem. Nākotnes saistības un maksājumus norāda bilances datumā iespējamo maksājumu apjomā, kas rastos, ja līgumi tiktu lauzti;</w:t>
      </w:r>
    </w:p>
    <w:p w14:paraId="7C4E1618"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saņemtie, bet neapmaksātie avansa attaisnojuma dokumenti, nākotnes nomas maksājumi;</w:t>
      </w:r>
    </w:p>
    <w:p w14:paraId="5AB294AC"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lastRenderedPageBreak/>
        <w:t>iespējamie nākotnes finanšu darījumi, izsniegtie galvojumi, valsts budžeta piešķirtie, bet vēl neizmaksātie aizdevumi, un citas zembilances saistības.</w:t>
      </w:r>
    </w:p>
    <w:p w14:paraId="0FFE715D" w14:textId="3A952A5A" w:rsidR="00954F0C" w:rsidRPr="00A27896" w:rsidRDefault="00954F0C" w:rsidP="00FD10CC">
      <w:pPr>
        <w:pStyle w:val="Heading3"/>
      </w:pPr>
      <w:bookmarkStart w:id="62" w:name="_Toc42846531"/>
      <w:r w:rsidRPr="00A27896">
        <w:t>Galvojumi</w:t>
      </w:r>
      <w:bookmarkEnd w:id="62"/>
    </w:p>
    <w:p w14:paraId="2F4FBF53" w14:textId="474C4868"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Zembilancē uzskaitīta </w:t>
      </w:r>
      <w:r w:rsidR="00975616" w:rsidRPr="00A27896">
        <w:rPr>
          <w:rFonts w:cs="Times New Roman"/>
          <w:color w:val="17365D"/>
          <w:szCs w:val="24"/>
        </w:rPr>
        <w:t>pašvaldību</w:t>
      </w:r>
      <w:r w:rsidRPr="00A27896">
        <w:rPr>
          <w:rFonts w:cs="Times New Roman"/>
          <w:color w:val="17365D"/>
          <w:szCs w:val="24"/>
        </w:rPr>
        <w:t xml:space="preserve"> un valsts budžeta sniegto galvojumu iespējamo saistību summa bilances datumā, kas būtu jāmaksā par galvoto aizņēmumu, ja galvojuma ņēmējs to neatmaksātu. </w:t>
      </w:r>
    </w:p>
    <w:p w14:paraId="216B9205"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Valsts budžeta sniegtos galvojumus zembilancē uzskaita atbilstoši iespējamo saistību atzīšanas kritērijiem: </w:t>
      </w:r>
    </w:p>
    <w:p w14:paraId="36CD8C81"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resursu izlietojuma varbūtība ir iespējama (≥5%&lt;50%);</w:t>
      </w:r>
    </w:p>
    <w:p w14:paraId="0693FDAB"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nav precīzi zināma vērtība vai konkrētu saistību rašanās vai segšanas datums. </w:t>
      </w:r>
    </w:p>
    <w:p w14:paraId="76774390" w14:textId="0EEDA9BD"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Valsts budžeta sniegto galvojumu iespējamo saistību vērtība atbilst iespējami precīzākajai pašreizējās vērtības aplēsei.</w:t>
      </w:r>
    </w:p>
    <w:p w14:paraId="5867DF3A" w14:textId="77777777" w:rsidR="00954F0C" w:rsidRPr="00A27896" w:rsidRDefault="00954F0C" w:rsidP="00FD10CC">
      <w:pPr>
        <w:pStyle w:val="Heading3"/>
      </w:pPr>
      <w:bookmarkStart w:id="63" w:name="_Toc42846532"/>
      <w:r w:rsidRPr="00A27896">
        <w:t>Ieņēmumi un izdevumi</w:t>
      </w:r>
      <w:bookmarkEnd w:id="63"/>
    </w:p>
    <w:p w14:paraId="23EB8DE9" w14:textId="6DE0D56F" w:rsidR="00954F0C" w:rsidRPr="00A27896" w:rsidRDefault="00954F0C" w:rsidP="005844BA">
      <w:pPr>
        <w:spacing w:after="0" w:line="240" w:lineRule="auto"/>
        <w:ind w:firstLine="284"/>
        <w:jc w:val="both"/>
        <w:rPr>
          <w:rFonts w:eastAsia="Calibri" w:cs="Times New Roman"/>
          <w:color w:val="17365D"/>
        </w:rPr>
      </w:pPr>
      <w:r w:rsidRPr="00A27896">
        <w:rPr>
          <w:rFonts w:eastAsia="Calibri" w:cs="Times New Roman"/>
          <w:color w:val="17365D"/>
        </w:rPr>
        <w:t>Ieņēmumus un izdevumus, kas radušies iestādes darbības rezultātā,</w:t>
      </w:r>
      <w:r w:rsidR="004B7690" w:rsidRPr="00A27896">
        <w:rPr>
          <w:rFonts w:eastAsia="Calibri" w:cs="Times New Roman"/>
          <w:color w:val="17365D"/>
        </w:rPr>
        <w:t xml:space="preserve"> kā </w:t>
      </w:r>
      <w:r w:rsidR="007D5CA7" w:rsidRPr="00A27896">
        <w:rPr>
          <w:rFonts w:eastAsia="Calibri" w:cs="Times New Roman"/>
          <w:color w:val="17365D"/>
        </w:rPr>
        <w:t xml:space="preserve">arī </w:t>
      </w:r>
      <w:r w:rsidR="006B4511" w:rsidRPr="00A27896">
        <w:rPr>
          <w:rFonts w:eastAsia="Calibri" w:cs="Times New Roman"/>
          <w:color w:val="17365D"/>
        </w:rPr>
        <w:t>VID</w:t>
      </w:r>
      <w:r w:rsidR="004B7690" w:rsidRPr="00A27896">
        <w:rPr>
          <w:rFonts w:eastAsia="Calibri" w:cs="Times New Roman"/>
          <w:color w:val="17365D"/>
        </w:rPr>
        <w:t xml:space="preserve"> administrētos valsts budžeta ieņēmumus </w:t>
      </w:r>
      <w:r w:rsidRPr="00A27896">
        <w:rPr>
          <w:rFonts w:eastAsia="Calibri" w:cs="Times New Roman"/>
          <w:color w:val="17365D"/>
        </w:rPr>
        <w:t>atzīst saskaņā ar uzkrāšanas principu periodā, kad tie radušies, neatkarīgi no naudas saņemšanas vai samaksas, izņemot atsevišķus ieņēmumus un izdevumus, kurus uzskaita saskaņā ar naudas plūsmas principu</w:t>
      </w:r>
      <w:r w:rsidR="005844BA" w:rsidRPr="00A27896">
        <w:rPr>
          <w:rFonts w:eastAsia="Calibri" w:cs="Times New Roman"/>
          <w:color w:val="17365D"/>
        </w:rPr>
        <w:t>:</w:t>
      </w:r>
    </w:p>
    <w:p w14:paraId="40B15011" w14:textId="77957905" w:rsidR="005844BA" w:rsidRPr="00A27896" w:rsidRDefault="005844BA"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valsts akciju sabiedrības “Ceļu satiksmes drošības direkcija” administrēto nodokļu un nodevu ieņēmumi;</w:t>
      </w:r>
    </w:p>
    <w:p w14:paraId="6D59800E" w14:textId="341E36B8" w:rsidR="005844BA" w:rsidRPr="00A27896" w:rsidRDefault="005844BA"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nekustamā īpašuma nodokļa ieņēmumi;</w:t>
      </w:r>
    </w:p>
    <w:p w14:paraId="7DD38027" w14:textId="13187165" w:rsidR="005844BA" w:rsidRPr="00A27896" w:rsidRDefault="005844BA"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valsts un pašvaldību administrēto nodevu ieņēmumi un citu maksājumu valsts budžetā ieņēmumi.</w:t>
      </w:r>
    </w:p>
    <w:p w14:paraId="1EAFF552" w14:textId="77777777" w:rsidR="00954F0C" w:rsidRPr="00A27896" w:rsidRDefault="00954F0C" w:rsidP="00954F0C">
      <w:pPr>
        <w:spacing w:after="120" w:line="240" w:lineRule="auto"/>
        <w:ind w:firstLine="284"/>
        <w:jc w:val="both"/>
        <w:rPr>
          <w:rFonts w:eastAsia="Calibri" w:cs="Times New Roman"/>
          <w:color w:val="17365D"/>
        </w:rPr>
      </w:pPr>
      <w:r w:rsidRPr="00A27896">
        <w:rPr>
          <w:rFonts w:eastAsia="Calibri" w:cs="Times New Roman"/>
          <w:color w:val="17365D"/>
        </w:rPr>
        <w:t>Ieņēmumu un izdevumu klasificēšanā piemēro Ministru kabineta 2005. gada 27. decembra noteikumus Nr. 1032 “Noteikumi par budžetu ieņēmumu klasifikāciju” un Nr. 1031 “Noteikumi par budžetu izdevumu klasifikāciju atbilstoši ekonomiskajām kategorijām”.</w:t>
      </w:r>
    </w:p>
    <w:p w14:paraId="3DFC4CC4" w14:textId="526C54A3" w:rsidR="004B7690" w:rsidRPr="00A27896" w:rsidRDefault="006B4511" w:rsidP="00954F0C">
      <w:pPr>
        <w:pStyle w:val="Pamatteksts"/>
        <w:ind w:firstLine="284"/>
        <w:rPr>
          <w:color w:val="17365D"/>
        </w:rPr>
      </w:pPr>
      <w:r w:rsidRPr="00A27896">
        <w:rPr>
          <w:color w:val="17365D"/>
        </w:rPr>
        <w:t>VID</w:t>
      </w:r>
      <w:r w:rsidR="004B7690" w:rsidRPr="00A27896">
        <w:rPr>
          <w:color w:val="17365D"/>
        </w:rPr>
        <w:t xml:space="preserve"> administrēto n</w:t>
      </w:r>
      <w:r w:rsidR="00954F0C" w:rsidRPr="00A27896">
        <w:rPr>
          <w:color w:val="17365D"/>
        </w:rPr>
        <w:t xml:space="preserve">odokļu ieņēmumus atzīst </w:t>
      </w:r>
      <w:r w:rsidR="004B7690" w:rsidRPr="00A27896">
        <w:rPr>
          <w:color w:val="17365D"/>
        </w:rPr>
        <w:t>saskaņā ar uzkrāšanas principu pārskata periodā, kurā noticis apliekamais notikums.</w:t>
      </w:r>
      <w:r w:rsidR="00954F0C" w:rsidRPr="00A27896">
        <w:rPr>
          <w:color w:val="17365D"/>
        </w:rPr>
        <w:t xml:space="preserve"> </w:t>
      </w:r>
    </w:p>
    <w:p w14:paraId="5F62FDD0" w14:textId="798922D1" w:rsidR="00954F0C" w:rsidRPr="00A27896" w:rsidRDefault="004B7690" w:rsidP="004B7690">
      <w:pPr>
        <w:pStyle w:val="Pamatteksts"/>
        <w:ind w:firstLine="284"/>
        <w:rPr>
          <w:color w:val="17365D"/>
        </w:rPr>
      </w:pPr>
      <w:r w:rsidRPr="00A27896">
        <w:rPr>
          <w:color w:val="17365D"/>
        </w:rPr>
        <w:t>I</w:t>
      </w:r>
      <w:r w:rsidR="00954F0C" w:rsidRPr="00A27896">
        <w:rPr>
          <w:color w:val="17365D"/>
        </w:rPr>
        <w:t xml:space="preserve">eņēmumus no nekustamā īpašuma nodokļa pašvaldības </w:t>
      </w:r>
      <w:r w:rsidRPr="00A27896">
        <w:rPr>
          <w:color w:val="17365D"/>
        </w:rPr>
        <w:t xml:space="preserve">uzskaita saskaņā ar uzkrāšanas principu </w:t>
      </w:r>
      <w:r w:rsidR="00954F0C" w:rsidRPr="00A27896">
        <w:rPr>
          <w:color w:val="17365D"/>
        </w:rPr>
        <w:t xml:space="preserve">atbilstoši katras pašvaldības grāmatvedības uzskaites kārtībā noteiktai metodoloģijai. </w:t>
      </w:r>
    </w:p>
    <w:p w14:paraId="73B00926" w14:textId="1CA28ED4" w:rsidR="00954F0C" w:rsidRPr="00A27896" w:rsidRDefault="00954F0C" w:rsidP="00954F0C">
      <w:pPr>
        <w:spacing w:after="120" w:line="240" w:lineRule="auto"/>
        <w:ind w:firstLine="284"/>
        <w:jc w:val="both"/>
        <w:rPr>
          <w:rFonts w:cs="Times New Roman"/>
          <w:color w:val="17365D"/>
          <w:szCs w:val="24"/>
        </w:rPr>
      </w:pPr>
      <w:proofErr w:type="spellStart"/>
      <w:r w:rsidRPr="00A27896">
        <w:rPr>
          <w:rFonts w:cs="Times New Roman"/>
          <w:color w:val="17365D"/>
          <w:szCs w:val="24"/>
        </w:rPr>
        <w:t>Nenodokļu</w:t>
      </w:r>
      <w:proofErr w:type="spellEnd"/>
      <w:r w:rsidRPr="00A27896">
        <w:rPr>
          <w:rFonts w:cs="Times New Roman"/>
          <w:color w:val="17365D"/>
          <w:szCs w:val="24"/>
        </w:rPr>
        <w:t xml:space="preserve"> ieņēmumus – valsts nodevas, soda naudu, līgumsodu un nokavējuma naudas ieņēmumus, kā arī pārējos </w:t>
      </w:r>
      <w:proofErr w:type="spellStart"/>
      <w:r w:rsidRPr="00A27896">
        <w:rPr>
          <w:rFonts w:cs="Times New Roman"/>
          <w:color w:val="17365D"/>
          <w:szCs w:val="24"/>
        </w:rPr>
        <w:t>nenodokļu</w:t>
      </w:r>
      <w:proofErr w:type="spellEnd"/>
      <w:r w:rsidRPr="00A27896">
        <w:rPr>
          <w:rFonts w:cs="Times New Roman"/>
          <w:color w:val="17365D"/>
          <w:szCs w:val="24"/>
        </w:rPr>
        <w:t xml:space="preserve"> ieņēmumus – atzīst saskaņā ar naudas plūsmas principu</w:t>
      </w:r>
      <w:r w:rsidR="004B7690" w:rsidRPr="00A27896">
        <w:rPr>
          <w:rFonts w:cs="Times New Roman"/>
          <w:color w:val="17365D"/>
          <w:szCs w:val="24"/>
        </w:rPr>
        <w:t xml:space="preserve">, izņemot </w:t>
      </w:r>
      <w:r w:rsidR="006B4511" w:rsidRPr="00A27896">
        <w:rPr>
          <w:rFonts w:cs="Times New Roman"/>
          <w:color w:val="17365D"/>
        </w:rPr>
        <w:t>VID</w:t>
      </w:r>
      <w:r w:rsidR="004B7690" w:rsidRPr="00A27896">
        <w:rPr>
          <w:rFonts w:cs="Times New Roman"/>
          <w:color w:val="17365D"/>
        </w:rPr>
        <w:t xml:space="preserve"> administrēto nodevu un citu maksājumu valsts budžetā ieņēmumus, kurus atzīst dienā, kad to saņemšana ir droši ticama</w:t>
      </w:r>
      <w:r w:rsidRPr="00A27896">
        <w:rPr>
          <w:rFonts w:cs="Times New Roman"/>
          <w:color w:val="17365D"/>
          <w:szCs w:val="24"/>
        </w:rPr>
        <w:t xml:space="preserve">. </w:t>
      </w:r>
      <w:r w:rsidR="006B4511" w:rsidRPr="00A27896">
        <w:rPr>
          <w:rFonts w:cs="Times New Roman"/>
          <w:color w:val="17365D"/>
          <w:szCs w:val="24"/>
        </w:rPr>
        <w:t xml:space="preserve">Detalizēta valsts budžeta ieņēmumu atzīšanas kārtība noteikta VID iekšējos normatīvos aktos un </w:t>
      </w:r>
      <w:r w:rsidR="00281811" w:rsidRPr="00A27896">
        <w:rPr>
          <w:rFonts w:cs="Times New Roman"/>
          <w:color w:val="17365D"/>
          <w:szCs w:val="24"/>
        </w:rPr>
        <w:t>VID ikgadējā pārskata pielikumā “Grāmatvedības uzskaites principu apraksts”.</w:t>
      </w:r>
    </w:p>
    <w:p w14:paraId="6D3918E3" w14:textId="13B0B625" w:rsidR="00281811" w:rsidRPr="00A27896" w:rsidRDefault="00281811" w:rsidP="00954F0C">
      <w:pPr>
        <w:spacing w:after="120" w:line="240" w:lineRule="auto"/>
        <w:ind w:firstLine="284"/>
        <w:jc w:val="both"/>
        <w:rPr>
          <w:rFonts w:cs="Times New Roman"/>
          <w:color w:val="17365D"/>
          <w:szCs w:val="24"/>
        </w:rPr>
      </w:pPr>
      <w:r w:rsidRPr="00A27896">
        <w:rPr>
          <w:rFonts w:cs="Times New Roman"/>
          <w:color w:val="17365D"/>
          <w:szCs w:val="24"/>
        </w:rPr>
        <w:t>Pārskata gada beigās nodokļu un nodevu ieņēmumi, par kuriem normatīvos aktos noteiktajā kārtībā veicami maksājumi valsts budžetā izmantojot tiešsaistes maksājumu pakalpojumus, atzīti par saņemtiem valsts budžetā pārskata gadā, bet valsts budžeta kontā Valsts kasē ieskaitīti nākamajā pārskata gadā.</w:t>
      </w:r>
    </w:p>
    <w:p w14:paraId="773113DE" w14:textId="77777777" w:rsidR="00954F0C" w:rsidRPr="00A27896" w:rsidRDefault="00954F0C" w:rsidP="00954F0C">
      <w:pPr>
        <w:spacing w:after="120" w:line="240" w:lineRule="auto"/>
        <w:ind w:firstLine="284"/>
        <w:jc w:val="both"/>
        <w:rPr>
          <w:rFonts w:cs="Times New Roman"/>
          <w:color w:val="17365D"/>
          <w:szCs w:val="24"/>
          <w:highlight w:val="cyan"/>
        </w:rPr>
      </w:pPr>
      <w:r w:rsidRPr="00A27896">
        <w:rPr>
          <w:rFonts w:cs="Times New Roman"/>
          <w:color w:val="17365D"/>
          <w:szCs w:val="24"/>
        </w:rPr>
        <w:t xml:space="preserve">Maksas pakalpojumus un citus pašu ieņēmumus – ieņēmumus par izglītības pakalpojumiem, ieņēmumus no lauksaimnieciskās darbības, ieņēmumus par dokumentu izsniegšanu un kancelejas pakalpojumiem, ieņēmumus par nomu un īri, maksu par personu uzturēšanos sociālās aprūpes iestādēs, ieņēmumus par dzīvokļu un komunālajiem pakalpojumiem, atlīdzību no apdrošināšanas </w:t>
      </w:r>
      <w:r w:rsidRPr="00A27896">
        <w:rPr>
          <w:rFonts w:cs="Times New Roman"/>
          <w:color w:val="17365D"/>
          <w:szCs w:val="24"/>
        </w:rPr>
        <w:lastRenderedPageBreak/>
        <w:t>sabiedrībām par bojātu nekustamo īpašumu un kustamo mantu un citus budžeta iestāžu pašu ieņēmumus – atzīst atbilstoši uzkrāšanas principam.</w:t>
      </w:r>
      <w:r w:rsidRPr="00A27896">
        <w:rPr>
          <w:rFonts w:cs="Times New Roman"/>
          <w:color w:val="17365D"/>
        </w:rPr>
        <w:t xml:space="preserve"> </w:t>
      </w:r>
      <w:r w:rsidRPr="00A27896">
        <w:rPr>
          <w:rFonts w:cs="Times New Roman"/>
          <w:color w:val="17365D"/>
          <w:szCs w:val="24"/>
        </w:rPr>
        <w:t>Saņemtos avansus par pakalpojumiem un precēm atzīst ieņēmumos dienā, kad ir sniegts pakalpojums vai piegādātas darījumā paredzētās preces. Ja pakalpojuma sniegšana pārskata perioda beigās nav pabeigta, ieņēmumus atzīst atbilstoši darījuma izpildes pakāpei pārskata perioda beigās.</w:t>
      </w:r>
    </w:p>
    <w:p w14:paraId="310CB615" w14:textId="057F05C1" w:rsidR="005B7D42"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Ārvalstu finanšu palīdzības līdzekļus, kuri veido ārvalstu finanšu palīdzību valsts budžetam, uzskaita Valsts kase kā maksājumu iestāde. Saņemtos līdzekļus atzīst </w:t>
      </w:r>
      <w:r w:rsidR="00834DA1" w:rsidRPr="00A27896">
        <w:rPr>
          <w:rFonts w:cs="Times New Roman"/>
          <w:color w:val="17365D"/>
          <w:szCs w:val="24"/>
        </w:rPr>
        <w:t>nākamo period</w:t>
      </w:r>
      <w:r w:rsidR="00ED32DB" w:rsidRPr="00A27896">
        <w:rPr>
          <w:rFonts w:cs="Times New Roman"/>
          <w:color w:val="17365D"/>
          <w:szCs w:val="24"/>
        </w:rPr>
        <w:t>u</w:t>
      </w:r>
      <w:r w:rsidR="00834DA1" w:rsidRPr="00A27896">
        <w:rPr>
          <w:rFonts w:cs="Times New Roman"/>
          <w:color w:val="17365D"/>
          <w:szCs w:val="24"/>
        </w:rPr>
        <w:t xml:space="preserve"> ieņēmumu sastāvā </w:t>
      </w:r>
      <w:r w:rsidRPr="00A27896">
        <w:rPr>
          <w:rFonts w:cs="Times New Roman"/>
          <w:color w:val="17365D"/>
          <w:szCs w:val="24"/>
        </w:rPr>
        <w:t>kā saistības pret ES politiku instrumentu vai citiem ārvalstu finanšu palīdzības fondiem. Pārskata perioda ieņēmumus atzīst vienlaikus ar izdevumiem, norakstot saistības pret ES politiku instrumentu vai citiem ārvalstu finanšu palīdzības fondiem</w:t>
      </w:r>
    </w:p>
    <w:p w14:paraId="45E6B041" w14:textId="693CACC6" w:rsidR="005B7D42" w:rsidRPr="00A27896" w:rsidRDefault="005B7D42" w:rsidP="00954F0C">
      <w:pPr>
        <w:spacing w:after="120" w:line="240" w:lineRule="auto"/>
        <w:ind w:firstLine="284"/>
        <w:jc w:val="both"/>
        <w:rPr>
          <w:rFonts w:cs="Times New Roman"/>
          <w:color w:val="17365D"/>
          <w:szCs w:val="24"/>
        </w:rPr>
      </w:pPr>
      <w:r w:rsidRPr="00A27896">
        <w:rPr>
          <w:rFonts w:cs="Times New Roman"/>
          <w:color w:val="17365D"/>
          <w:szCs w:val="24"/>
        </w:rPr>
        <w:t>E</w:t>
      </w:r>
      <w:r w:rsidR="00460497" w:rsidRPr="00A27896">
        <w:rPr>
          <w:rFonts w:cs="Times New Roman"/>
          <w:color w:val="17365D"/>
          <w:szCs w:val="24"/>
        </w:rPr>
        <w:t>S</w:t>
      </w:r>
      <w:r w:rsidRPr="00A27896">
        <w:rPr>
          <w:rFonts w:cs="Times New Roman"/>
          <w:color w:val="17365D"/>
          <w:szCs w:val="24"/>
        </w:rPr>
        <w:t xml:space="preserve"> budžeta programmas Eiropas Atveseļošanas un noturības mehānisma īstenošanai, lai veicinātu E</w:t>
      </w:r>
      <w:r w:rsidR="00460497" w:rsidRPr="00A27896">
        <w:rPr>
          <w:rFonts w:cs="Times New Roman"/>
          <w:color w:val="17365D"/>
          <w:szCs w:val="24"/>
        </w:rPr>
        <w:t xml:space="preserve">S </w:t>
      </w:r>
      <w:r w:rsidRPr="00A27896">
        <w:rPr>
          <w:rFonts w:cs="Times New Roman"/>
          <w:color w:val="17365D"/>
          <w:szCs w:val="24"/>
        </w:rPr>
        <w:t xml:space="preserve">ekonomisko, sociālo un teritoriālo kohēziju, stiprinot dalībvalstu noturības un pielāgošanās spējas nolūkā mazināt </w:t>
      </w:r>
      <w:proofErr w:type="spellStart"/>
      <w:r w:rsidR="003F12DE" w:rsidRPr="00A27896">
        <w:rPr>
          <w:rFonts w:cs="Times New Roman"/>
          <w:color w:val="17365D"/>
          <w:szCs w:val="24"/>
        </w:rPr>
        <w:t>Covid</w:t>
      </w:r>
      <w:proofErr w:type="spellEnd"/>
      <w:r w:rsidR="003F12DE" w:rsidRPr="00A27896">
        <w:rPr>
          <w:rFonts w:cs="Times New Roman"/>
          <w:color w:val="17365D"/>
          <w:szCs w:val="24"/>
        </w:rPr>
        <w:t>–19</w:t>
      </w:r>
      <w:r w:rsidRPr="00A27896">
        <w:rPr>
          <w:rFonts w:cs="Times New Roman"/>
          <w:color w:val="17365D"/>
          <w:szCs w:val="24"/>
        </w:rPr>
        <w:t xml:space="preserve"> krīzes radīto sociālo un ekonomisko ietekmi, un atbalstītu pāreju uz zaļo un digitālo ekonomiku, veicinātu ES ekonomikas izaugsmes potenciālu un darba vietu radīšanu, kā arī ES</w:t>
      </w:r>
      <w:r w:rsidR="00460497" w:rsidRPr="00A27896">
        <w:rPr>
          <w:rFonts w:cs="Times New Roman"/>
          <w:color w:val="17365D"/>
          <w:szCs w:val="24"/>
        </w:rPr>
        <w:t xml:space="preserve"> </w:t>
      </w:r>
      <w:r w:rsidRPr="00A27896">
        <w:rPr>
          <w:rFonts w:cs="Times New Roman"/>
          <w:color w:val="17365D"/>
          <w:szCs w:val="24"/>
        </w:rPr>
        <w:t>2030. gadam izvirzīto kli</w:t>
      </w:r>
      <w:r w:rsidR="00A9006C" w:rsidRPr="00A27896">
        <w:rPr>
          <w:rFonts w:cs="Times New Roman"/>
          <w:color w:val="17365D"/>
          <w:szCs w:val="24"/>
        </w:rPr>
        <w:t>mata mērķu sasniegšanu un 2050. </w:t>
      </w:r>
      <w:r w:rsidRPr="00A27896">
        <w:rPr>
          <w:rFonts w:cs="Times New Roman"/>
          <w:color w:val="17365D"/>
          <w:szCs w:val="24"/>
        </w:rPr>
        <w:t xml:space="preserve">gadam izvirzīto klimata neitralitātes mērķu sasniegšanai Latvijai piešķirot finansējumu gan </w:t>
      </w:r>
      <w:proofErr w:type="spellStart"/>
      <w:r w:rsidRPr="00A27896">
        <w:rPr>
          <w:rFonts w:cs="Times New Roman"/>
          <w:color w:val="17365D"/>
          <w:szCs w:val="24"/>
        </w:rPr>
        <w:t>grantu</w:t>
      </w:r>
      <w:proofErr w:type="spellEnd"/>
      <w:r w:rsidRPr="00A27896">
        <w:rPr>
          <w:rFonts w:cs="Times New Roman"/>
          <w:color w:val="17365D"/>
          <w:szCs w:val="24"/>
        </w:rPr>
        <w:t>, gan aizdevumu veidā.</w:t>
      </w:r>
    </w:p>
    <w:p w14:paraId="30D42269" w14:textId="6EA87BA1" w:rsidR="00954F0C" w:rsidRPr="00A27896" w:rsidRDefault="005B7D42" w:rsidP="00954F0C">
      <w:pPr>
        <w:spacing w:after="120" w:line="240" w:lineRule="auto"/>
        <w:ind w:firstLine="284"/>
        <w:jc w:val="both"/>
        <w:rPr>
          <w:rFonts w:cs="Times New Roman"/>
          <w:color w:val="17365D"/>
          <w:szCs w:val="24"/>
        </w:rPr>
      </w:pPr>
      <w:r w:rsidRPr="00A27896">
        <w:rPr>
          <w:rFonts w:cs="Times New Roman"/>
          <w:color w:val="17365D"/>
          <w:szCs w:val="24"/>
        </w:rPr>
        <w:t xml:space="preserve">Valsts kase </w:t>
      </w:r>
      <w:r w:rsidR="007D4F66" w:rsidRPr="00A27896">
        <w:rPr>
          <w:rFonts w:cs="Times New Roman"/>
          <w:color w:val="17365D"/>
          <w:szCs w:val="24"/>
        </w:rPr>
        <w:t>E</w:t>
      </w:r>
      <w:r w:rsidR="007D4F66" w:rsidRPr="00A27896">
        <w:rPr>
          <w:rFonts w:cs="Times New Roman"/>
          <w:color w:val="17365D"/>
        </w:rPr>
        <w:t>iropas Atveseļošanas un noturības mehānisma finanšu līdzekļu ietvaros saņemto finans</w:t>
      </w:r>
      <w:r w:rsidR="000851EE" w:rsidRPr="00A27896">
        <w:rPr>
          <w:rFonts w:cs="Times New Roman"/>
          <w:color w:val="17365D"/>
        </w:rPr>
        <w:t xml:space="preserve">ējumu </w:t>
      </w:r>
      <w:r w:rsidR="00F22355" w:rsidRPr="00A27896">
        <w:rPr>
          <w:rFonts w:cs="Times New Roman"/>
          <w:color w:val="17365D"/>
        </w:rPr>
        <w:t>saņemšanas dienā</w:t>
      </w:r>
      <w:r w:rsidR="007D4F66" w:rsidRPr="00A27896">
        <w:rPr>
          <w:rFonts w:cs="Times New Roman"/>
          <w:color w:val="17365D"/>
        </w:rPr>
        <w:t xml:space="preserve"> atz</w:t>
      </w:r>
      <w:r w:rsidR="00322DAE" w:rsidRPr="00A27896">
        <w:rPr>
          <w:rFonts w:cs="Times New Roman"/>
          <w:color w:val="17365D"/>
        </w:rPr>
        <w:t>īs</w:t>
      </w:r>
      <w:r w:rsidR="00130909" w:rsidRPr="00A27896">
        <w:rPr>
          <w:rFonts w:cs="Times New Roman"/>
          <w:color w:val="17365D"/>
        </w:rPr>
        <w:t>t</w:t>
      </w:r>
      <w:r w:rsidR="000851EE" w:rsidRPr="00A27896">
        <w:rPr>
          <w:rFonts w:cs="Times New Roman"/>
          <w:color w:val="17365D"/>
        </w:rPr>
        <w:t xml:space="preserve"> </w:t>
      </w:r>
      <w:r w:rsidR="007D4F66" w:rsidRPr="00A27896">
        <w:rPr>
          <w:rFonts w:cs="Times New Roman"/>
          <w:color w:val="17365D"/>
        </w:rPr>
        <w:t>valsts budžeta ieņēmumos.</w:t>
      </w:r>
    </w:p>
    <w:p w14:paraId="5538EC3C" w14:textId="03300574"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Ieņēmumus no ārvalstu finanšu palīdzības, ko budžeta iestādes saņēmušas no darījuma partnera</w:t>
      </w:r>
      <w:r w:rsidR="00640256" w:rsidRPr="00A27896">
        <w:rPr>
          <w:rFonts w:cs="Times New Roman"/>
          <w:color w:val="17365D"/>
          <w:szCs w:val="24"/>
        </w:rPr>
        <w:t xml:space="preserve"> </w:t>
      </w:r>
      <w:r w:rsidRPr="00A27896">
        <w:rPr>
          <w:rFonts w:cs="Times New Roman"/>
          <w:color w:val="17365D"/>
          <w:szCs w:val="24"/>
        </w:rPr>
        <w:t xml:space="preserve">– nerezidenta, atzīst saskaņā ar uzkrāšanas principu pārskata periodā, kurā izpildīti ar šo līdzekļu saņemšanu saistītajos tiesību aktos minētie nosacījumi to izlietošanai. </w:t>
      </w:r>
    </w:p>
    <w:p w14:paraId="03CBAEB0"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Budžeta iestādes </w:t>
      </w:r>
      <w:proofErr w:type="spellStart"/>
      <w:r w:rsidRPr="00A27896">
        <w:rPr>
          <w:rFonts w:cs="Times New Roman"/>
          <w:color w:val="17365D"/>
          <w:szCs w:val="24"/>
        </w:rPr>
        <w:t>transfertu</w:t>
      </w:r>
      <w:proofErr w:type="spellEnd"/>
      <w:r w:rsidRPr="00A27896">
        <w:rPr>
          <w:rFonts w:cs="Times New Roman"/>
          <w:color w:val="17365D"/>
          <w:szCs w:val="24"/>
        </w:rPr>
        <w:t xml:space="preserve"> ieņēmumus uzskaita saskaņā ar uzkrāšanas principu, atbilstoši saņemtam apstiprinājumam no citas budžeta iestādes par attaisnotiem (atzītiem) izdevumiem, atzīstot ieņēmumus un prasības pret budžeta iestādi vai samazinot avansā saņemtos </w:t>
      </w:r>
      <w:proofErr w:type="spellStart"/>
      <w:r w:rsidRPr="00A27896">
        <w:rPr>
          <w:rFonts w:cs="Times New Roman"/>
          <w:color w:val="17365D"/>
          <w:szCs w:val="24"/>
        </w:rPr>
        <w:t>transfertus</w:t>
      </w:r>
      <w:proofErr w:type="spellEnd"/>
      <w:r w:rsidRPr="00A27896">
        <w:rPr>
          <w:rFonts w:cs="Times New Roman"/>
          <w:color w:val="17365D"/>
          <w:szCs w:val="24"/>
        </w:rPr>
        <w:t xml:space="preserve"> (saistības). </w:t>
      </w:r>
      <w:proofErr w:type="spellStart"/>
      <w:r w:rsidRPr="00A27896">
        <w:rPr>
          <w:rFonts w:cs="Times New Roman"/>
          <w:color w:val="17365D"/>
          <w:szCs w:val="24"/>
        </w:rPr>
        <w:t>Transfertu</w:t>
      </w:r>
      <w:proofErr w:type="spellEnd"/>
      <w:r w:rsidRPr="00A27896">
        <w:rPr>
          <w:rFonts w:cs="Times New Roman"/>
          <w:color w:val="17365D"/>
          <w:szCs w:val="24"/>
        </w:rPr>
        <w:t xml:space="preserve"> ieņēmumos iestādes atzīst arī bez atlīdzības saņemtos aktīvus vai nodotos pasīvus starp vispārējās valdības sektora struktūrām, izņemot valsts vai pašvaldību kontrolētus un finansētus komersantus, ostu un brīvostu pārvaldes, vispārējā valdības sektora sarakstā pie valsts vai pašvaldību struktūrām ietvertās speciālās ekonomiskās zonas.</w:t>
      </w:r>
    </w:p>
    <w:p w14:paraId="37F95733"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Ziedojumus un dāvinājumus uzskaita attiecīgajā aktīvu grupā, atzīstot pārskata perioda ieņēmumus vai nākamo periodu ieņēmumus dāvinājumu un ziedojumu novērtētajā vērtībā. Nākamo periodu ieņēmumos uzskaitītos ziedojumus un dāvinājumus pārskata perioda ieņēmumos atzīst saskaņā ar uzkrāšanas principu pārskata periodā, kurā izpildīti ar šo līdzekļu saņemšanu saistītajos tiesību aktos minētie nosacījumi to izlietošanai.</w:t>
      </w:r>
    </w:p>
    <w:p w14:paraId="73932162"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Dotāciju no vispārējiem ieņēmumiem atzīst pamatbudžeta ieņēmumos dotācijas saņemšanas dienā un gada beigās samazina par slēgtajiem valsts pamatbudžeta asignējumiem. </w:t>
      </w:r>
    </w:p>
    <w:p w14:paraId="6E748EFB"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Procentu ieņēmumus uzskaita saskaņā ar uzkrāšanas principu un tos veido ieņēmumi par kontu atlikumiem un naudas līdzekļu ekvivalentiem, kuri noguldīti uz konkrētu termiņu un kuru sākotnējais termiņš nepārsniedz 90 dienas, kā arī procentu ieņēmumus no finanšu instrumentiem, izņemot patiesajā vērtībā novērtētu finanšu aktīvu un finanšu saistību finanšu instrumentu kategorijās klasificētos finanšu aktīvus un finanšu saistības, un citi procentu ieņēmumi.</w:t>
      </w:r>
    </w:p>
    <w:p w14:paraId="089E200F"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Pārējos ieņēmumus, kas rodas no </w:t>
      </w:r>
      <w:proofErr w:type="spellStart"/>
      <w:r w:rsidRPr="00A27896">
        <w:rPr>
          <w:rFonts w:cs="Times New Roman"/>
          <w:color w:val="17365D"/>
          <w:szCs w:val="24"/>
        </w:rPr>
        <w:t>nefinanšu</w:t>
      </w:r>
      <w:proofErr w:type="spellEnd"/>
      <w:r w:rsidRPr="00A27896">
        <w:rPr>
          <w:rFonts w:cs="Times New Roman"/>
          <w:color w:val="17365D"/>
          <w:szCs w:val="24"/>
        </w:rPr>
        <w:t xml:space="preserve"> aktīvu (nemateriālo ieguldījumu, pamatlīdzekļu, ieguldījumu īpašumu, bioloģisko aktīvu, krājumu) sākotnējās atzīšanas, inventarizācijā konstatētā pārpalikuma, saistību dzēšanas, vērtības samazinājuma norakstīšanas prasībām, avansa maksājumiem un finanšu instrumentiem, rezervju izslēgšanas un citiem </w:t>
      </w:r>
      <w:proofErr w:type="spellStart"/>
      <w:r w:rsidRPr="00A27896">
        <w:rPr>
          <w:rFonts w:cs="Times New Roman"/>
          <w:color w:val="17365D"/>
          <w:szCs w:val="24"/>
        </w:rPr>
        <w:t>nenaudas</w:t>
      </w:r>
      <w:proofErr w:type="spellEnd"/>
      <w:r w:rsidRPr="00A27896">
        <w:rPr>
          <w:rFonts w:cs="Times New Roman"/>
          <w:color w:val="17365D"/>
          <w:szCs w:val="24"/>
        </w:rPr>
        <w:t xml:space="preserve"> darījumiem, uzskaita saskaņā ar uzkrāšanas principu.</w:t>
      </w:r>
    </w:p>
    <w:p w14:paraId="35409014"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Izdevumus atalgojumam, darba devēju sociālās apdrošināšanas iemaksām, pabalstiem un kompensācijām, mācību, darba un dienesta komandējumiem, darba braucieniem, pakalpojumiem, </w:t>
      </w:r>
      <w:r w:rsidRPr="00A27896">
        <w:rPr>
          <w:rFonts w:cs="Times New Roman"/>
          <w:color w:val="17365D"/>
          <w:szCs w:val="24"/>
        </w:rPr>
        <w:lastRenderedPageBreak/>
        <w:t>krājumiem, materiāliem, energoresursiem, biroja precēm un inventāram, periodikai, nodokļu, nodevu un naudas sodu maksājumiem, subsīdijām, dotācijām un sociāliem pabalstiem, kārtējiem maksājumiem ES budžetā un starptautiskai sadarbībai uzskaita saskaņā ar uzkrāšanas principu.</w:t>
      </w:r>
    </w:p>
    <w:p w14:paraId="08E424B0"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Maksājamie līgumsodi un naudas sodi uzskaitīti budžeta iestāžu pamatdarbības izdevumos dienā, kad darījuma partnerim radušās likumīgas tiesības iekasēt līgumsodu un naudas sodu.</w:t>
      </w:r>
    </w:p>
    <w:p w14:paraId="33602A1D"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Budžeta iestādes </w:t>
      </w:r>
      <w:proofErr w:type="spellStart"/>
      <w:r w:rsidRPr="00A27896">
        <w:rPr>
          <w:rFonts w:cs="Times New Roman"/>
          <w:color w:val="17365D"/>
          <w:szCs w:val="24"/>
        </w:rPr>
        <w:t>transfertu</w:t>
      </w:r>
      <w:proofErr w:type="spellEnd"/>
      <w:r w:rsidRPr="00A27896">
        <w:rPr>
          <w:rFonts w:cs="Times New Roman"/>
          <w:color w:val="17365D"/>
          <w:szCs w:val="24"/>
        </w:rPr>
        <w:t xml:space="preserve"> izdevumus uzskaita saskaņā ar uzkrāšanas principu, apstiprinot citas budžeta iestādes iesniegto dokumentu, kas apliecina izdevumu rašanos, un atzīst saistības pret attiecīgo iestādi vai samazina avansa maksājumu (prasības). </w:t>
      </w:r>
      <w:proofErr w:type="spellStart"/>
      <w:r w:rsidRPr="00A27896">
        <w:rPr>
          <w:rFonts w:cs="Times New Roman"/>
          <w:color w:val="17365D"/>
          <w:szCs w:val="24"/>
        </w:rPr>
        <w:t>Transfertu</w:t>
      </w:r>
      <w:proofErr w:type="spellEnd"/>
      <w:r w:rsidRPr="00A27896">
        <w:rPr>
          <w:rFonts w:cs="Times New Roman"/>
          <w:color w:val="17365D"/>
          <w:szCs w:val="24"/>
        </w:rPr>
        <w:t xml:space="preserve"> izdevumos iestādes atzīst arī bez atlīdzības nodotos aktīvus vai saņemtos pasīvus starp vispārējās valdības sektora struktūrām, izņemot valsts vai pašvaldību kontrolētus un finansētus komersantus, ostu un brīvostu pārvaldes, vispārējā valdības sektora sarakstā pie valsts vai pašvaldību struktūrām ietvertās speciālās ekonomiskās zonas.</w:t>
      </w:r>
    </w:p>
    <w:p w14:paraId="0B3C5A87"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Procentu izdevumus uzskaita saskaņā ar uzkrāšanas principu un tos veido izdevumi par kontu atlikumiem un naudas līdzekļu ekvivalentiem, izdevumiem par privātā partnera nodrošinātajiem pakalpojumiem, izdevumus no finanšu instrumentiem, izņemot patiesajā vērtībā novērtētu finanšu aktīvu un finanšu saistību finanšu instrumentu kategorijās klasificētos finanšu aktīvus un finanšu saistības un citi procentu izdevumi.</w:t>
      </w:r>
    </w:p>
    <w:p w14:paraId="44CDB4F7" w14:textId="1689AE47" w:rsidR="004C46B4" w:rsidRPr="00A27896" w:rsidRDefault="00954F0C" w:rsidP="001B503E">
      <w:pPr>
        <w:spacing w:after="120" w:line="240" w:lineRule="auto"/>
        <w:ind w:firstLine="284"/>
        <w:jc w:val="both"/>
        <w:rPr>
          <w:rFonts w:eastAsiaTheme="majorEastAsia" w:cs="Times New Roman"/>
          <w:b/>
          <w:bCs/>
          <w:color w:val="17365D"/>
          <w:szCs w:val="26"/>
          <w:u w:val="single"/>
        </w:rPr>
      </w:pPr>
      <w:r w:rsidRPr="00A27896">
        <w:rPr>
          <w:rFonts w:cs="Times New Roman"/>
          <w:color w:val="17365D"/>
          <w:szCs w:val="24"/>
        </w:rPr>
        <w:t xml:space="preserve">Pārējos izdevumus, kas rodas no </w:t>
      </w:r>
      <w:proofErr w:type="spellStart"/>
      <w:r w:rsidRPr="00A27896">
        <w:rPr>
          <w:rFonts w:cs="Times New Roman"/>
          <w:color w:val="17365D"/>
          <w:szCs w:val="24"/>
        </w:rPr>
        <w:t>nefinanšu</w:t>
      </w:r>
      <w:proofErr w:type="spellEnd"/>
      <w:r w:rsidRPr="00A27896">
        <w:rPr>
          <w:rFonts w:cs="Times New Roman"/>
          <w:color w:val="17365D"/>
          <w:szCs w:val="24"/>
        </w:rPr>
        <w:t xml:space="preserve"> aktīvu (nemateriālo ieguldījumu, pamatlīdzekļu, ieguldījumu īpašumu bioloģisko aktīvu, krājumu) vērtības norakstīšanas, aktīvu izslēgšanas no uzskaites, inventarizācijās konstatētiem iztrūkumiem, vērtības samazinājuma atzīšanas prasībām, avansiem, uzkrājumu veidošanas saistībām un citiem </w:t>
      </w:r>
      <w:proofErr w:type="spellStart"/>
      <w:r w:rsidRPr="00A27896">
        <w:rPr>
          <w:rFonts w:cs="Times New Roman"/>
          <w:color w:val="17365D"/>
          <w:szCs w:val="24"/>
        </w:rPr>
        <w:t>nenaudas</w:t>
      </w:r>
      <w:proofErr w:type="spellEnd"/>
      <w:r w:rsidRPr="00A27896">
        <w:rPr>
          <w:rFonts w:cs="Times New Roman"/>
          <w:color w:val="17365D"/>
          <w:szCs w:val="24"/>
        </w:rPr>
        <w:t xml:space="preserve"> darījumiem, uzskaita saskaņā ar uzkrāšanas principu.</w:t>
      </w:r>
      <w:bookmarkStart w:id="64" w:name="_Toc37757068"/>
      <w:r w:rsidR="004C46B4" w:rsidRPr="00A27896">
        <w:rPr>
          <w:rFonts w:cs="Times New Roman"/>
          <w:color w:val="17365D"/>
        </w:rPr>
        <w:br w:type="page"/>
      </w:r>
    </w:p>
    <w:p w14:paraId="1E137FDE" w14:textId="614590B7" w:rsidR="00954F0C" w:rsidRPr="00A27896" w:rsidRDefault="00686079" w:rsidP="00C60CCF">
      <w:pPr>
        <w:pStyle w:val="Heading2"/>
        <w:rPr>
          <w:rFonts w:cs="Times New Roman"/>
        </w:rPr>
      </w:pPr>
      <w:r w:rsidRPr="00A27896">
        <w:rPr>
          <w:rFonts w:cs="Times New Roman"/>
        </w:rPr>
        <w:lastRenderedPageBreak/>
        <w:t>P</w:t>
      </w:r>
      <w:r w:rsidR="00954F0C" w:rsidRPr="00A27896">
        <w:rPr>
          <w:rFonts w:cs="Times New Roman"/>
        </w:rPr>
        <w:t>ārskata sagatavošanas principu apraksts</w:t>
      </w:r>
      <w:bookmarkEnd w:id="64"/>
    </w:p>
    <w:p w14:paraId="1269B7FF" w14:textId="77777777" w:rsidR="00954F0C" w:rsidRPr="00A27896" w:rsidRDefault="00954F0C" w:rsidP="00FD10CC">
      <w:pPr>
        <w:pStyle w:val="Heading3"/>
      </w:pPr>
      <w:r w:rsidRPr="00A27896">
        <w:t>Valsts konsolidētā grāmatvedības bilance</w:t>
      </w:r>
    </w:p>
    <w:p w14:paraId="7CC469E8" w14:textId="56C3B483" w:rsidR="00954F0C" w:rsidRPr="00A27896" w:rsidRDefault="00954F0C" w:rsidP="00ED32DB">
      <w:pPr>
        <w:spacing w:after="120" w:line="240" w:lineRule="auto"/>
        <w:ind w:firstLine="284"/>
        <w:jc w:val="both"/>
        <w:rPr>
          <w:rFonts w:cs="Times New Roman"/>
          <w:color w:val="17365D"/>
          <w:szCs w:val="24"/>
        </w:rPr>
      </w:pPr>
      <w:r w:rsidRPr="00A27896">
        <w:rPr>
          <w:rFonts w:cs="Times New Roman"/>
          <w:color w:val="17365D"/>
          <w:szCs w:val="24"/>
        </w:rPr>
        <w:t>Valsts konsolidētā grāmatvedības bilance ietver finanšu informāciju par ministriju, centrālo valsts iestāžu, pašvaldību</w:t>
      </w:r>
      <w:r w:rsidR="00141376" w:rsidRPr="00A27896">
        <w:rPr>
          <w:rFonts w:cs="Times New Roman"/>
          <w:color w:val="17365D"/>
          <w:szCs w:val="24"/>
        </w:rPr>
        <w:t>, kā arī</w:t>
      </w:r>
      <w:r w:rsidRPr="00A27896">
        <w:rPr>
          <w:rFonts w:cs="Times New Roman"/>
          <w:color w:val="17365D"/>
          <w:szCs w:val="24"/>
        </w:rPr>
        <w:t xml:space="preserve"> valsts budžeta finanšu uzskaites </w:t>
      </w:r>
      <w:r w:rsidR="00141376" w:rsidRPr="00A27896">
        <w:rPr>
          <w:rFonts w:cs="Times New Roman"/>
          <w:color w:val="17365D"/>
          <w:szCs w:val="24"/>
        </w:rPr>
        <w:t xml:space="preserve">un VID administrēto valsts budžeta ieņēmumu </w:t>
      </w:r>
      <w:r w:rsidRPr="00A27896">
        <w:rPr>
          <w:rFonts w:cs="Times New Roman"/>
          <w:color w:val="17365D"/>
          <w:szCs w:val="24"/>
        </w:rPr>
        <w:t>aktīviem un saistībām 20</w:t>
      </w:r>
      <w:r w:rsidR="004B6226" w:rsidRPr="00A27896">
        <w:rPr>
          <w:rFonts w:cs="Times New Roman"/>
          <w:color w:val="17365D"/>
          <w:szCs w:val="24"/>
        </w:rPr>
        <w:t>2</w:t>
      </w:r>
      <w:r w:rsidR="00B42BD1" w:rsidRPr="00A27896">
        <w:rPr>
          <w:rFonts w:cs="Times New Roman"/>
          <w:color w:val="17365D"/>
          <w:szCs w:val="24"/>
        </w:rPr>
        <w:t>2</w:t>
      </w:r>
      <w:r w:rsidRPr="00A27896">
        <w:rPr>
          <w:rFonts w:cs="Times New Roman"/>
          <w:color w:val="17365D"/>
          <w:szCs w:val="24"/>
        </w:rPr>
        <w:t>. gada 31. decembrī, kā arī sniedz salīdzinājumu ar 20</w:t>
      </w:r>
      <w:r w:rsidR="001C23FC" w:rsidRPr="00A27896">
        <w:rPr>
          <w:rFonts w:cs="Times New Roman"/>
          <w:color w:val="17365D"/>
          <w:szCs w:val="24"/>
        </w:rPr>
        <w:t>2</w:t>
      </w:r>
      <w:r w:rsidR="00B42BD1" w:rsidRPr="00A27896">
        <w:rPr>
          <w:rFonts w:cs="Times New Roman"/>
          <w:color w:val="17365D"/>
          <w:szCs w:val="24"/>
        </w:rPr>
        <w:t>1</w:t>
      </w:r>
      <w:r w:rsidRPr="00A27896">
        <w:rPr>
          <w:rFonts w:cs="Times New Roman"/>
          <w:color w:val="17365D"/>
          <w:szCs w:val="24"/>
        </w:rPr>
        <w:t xml:space="preserve">. gada 31. decembra datiem. </w:t>
      </w:r>
    </w:p>
    <w:p w14:paraId="161FD2EF" w14:textId="77777777" w:rsidR="00954F0C" w:rsidRPr="00A27896" w:rsidRDefault="00954F0C" w:rsidP="00954F0C">
      <w:pPr>
        <w:pStyle w:val="tv2133"/>
        <w:spacing w:after="120" w:line="240" w:lineRule="auto"/>
        <w:ind w:firstLine="284"/>
        <w:jc w:val="both"/>
        <w:rPr>
          <w:color w:val="17365D"/>
          <w:sz w:val="24"/>
          <w:szCs w:val="24"/>
        </w:rPr>
      </w:pPr>
      <w:r w:rsidRPr="00A27896">
        <w:rPr>
          <w:color w:val="17365D"/>
          <w:sz w:val="24"/>
          <w:szCs w:val="24"/>
        </w:rPr>
        <w:t>Nemateriālie ieguldījumi, pamatlīdzekļi un ieguldījuma īpašumi uzrādīti atlikušajā vērtībā, no sākotnējās vērtības atskaitot nolietojumu (amortizāciju) un vērtības samazinājumu.</w:t>
      </w:r>
    </w:p>
    <w:p w14:paraId="5DEBD2CB" w14:textId="77777777" w:rsidR="00954F0C" w:rsidRPr="00A27896" w:rsidRDefault="00954F0C" w:rsidP="00954F0C">
      <w:pPr>
        <w:pStyle w:val="tv2133"/>
        <w:spacing w:after="120" w:line="240" w:lineRule="auto"/>
        <w:ind w:firstLine="284"/>
        <w:jc w:val="both"/>
        <w:rPr>
          <w:color w:val="17365D"/>
          <w:sz w:val="24"/>
          <w:szCs w:val="24"/>
        </w:rPr>
      </w:pPr>
      <w:r w:rsidRPr="00A27896">
        <w:rPr>
          <w:color w:val="17365D"/>
          <w:sz w:val="24"/>
          <w:szCs w:val="24"/>
        </w:rPr>
        <w:t>Bioloģiskie aktīvi, kurus paredzēts izmantot lauksaimnieciskajā darbībā, uzrādīti patiesajā vai Meža valsts reģistrā norādītajā pilnajā vērtībā.</w:t>
      </w:r>
    </w:p>
    <w:p w14:paraId="3B02A9E3" w14:textId="18ED4DCE"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Ilgtermiņa un īstermiņa prasības, finanšu ieguldījumi, kas nav klasificēti kā finanšu instrumenti, samaksātie avansi un nākamo periodu izdevumi uzrādīti neto vērtībā no uzskaites vērtības atskaitot vērtības samazinājumu. </w:t>
      </w:r>
    </w:p>
    <w:p w14:paraId="703C31C5" w14:textId="784B2B08"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Prasību atlikumi pārskata gada beigās ir saskaņoti ar </w:t>
      </w:r>
      <w:r w:rsidR="00AB5EC5" w:rsidRPr="00A27896">
        <w:rPr>
          <w:rFonts w:cs="Times New Roman"/>
          <w:color w:val="17365D"/>
          <w:szCs w:val="24"/>
        </w:rPr>
        <w:t xml:space="preserve">darījumu partneriem </w:t>
      </w:r>
      <w:r w:rsidRPr="00A27896">
        <w:rPr>
          <w:rFonts w:cs="Times New Roman"/>
          <w:color w:val="17365D"/>
          <w:szCs w:val="24"/>
        </w:rPr>
        <w:t>atbilstoši aktam par savstarpējo norēķinu salīdzināšanu. Prasību apmērus pret valsts un pašvaldību budžeta iestādēm saskaņo elektroniski, ievērojot MK noteikumos Nr. 344 noteikto. Prasības par ES fondu līdzekļiem saskaņotas izdevumu sertificēšanas procesā saskaņā ar šo jomu regulējošiem normatīvajiem aktiem.</w:t>
      </w:r>
      <w:r w:rsidR="00A06A08" w:rsidRPr="00A27896">
        <w:rPr>
          <w:rFonts w:cs="Times New Roman"/>
          <w:color w:val="17365D"/>
          <w:szCs w:val="24"/>
        </w:rPr>
        <w:t xml:space="preserve"> </w:t>
      </w:r>
      <w:r w:rsidR="00141376" w:rsidRPr="00A27896">
        <w:rPr>
          <w:rFonts w:cs="Times New Roman"/>
          <w:color w:val="17365D"/>
          <w:szCs w:val="24"/>
        </w:rPr>
        <w:t>VID</w:t>
      </w:r>
      <w:r w:rsidR="009F6897" w:rsidRPr="00A27896">
        <w:rPr>
          <w:rFonts w:cs="Times New Roman"/>
          <w:color w:val="17365D"/>
          <w:szCs w:val="24"/>
        </w:rPr>
        <w:t xml:space="preserve"> ar tā administrētajiem valsts budžeta ieņēmumiem saistīto prasījumu</w:t>
      </w:r>
      <w:r w:rsidR="00785427" w:rsidRPr="00A27896">
        <w:rPr>
          <w:rFonts w:cs="Times New Roman"/>
          <w:color w:val="17365D"/>
          <w:szCs w:val="24"/>
        </w:rPr>
        <w:t xml:space="preserve"> inventarizāciju</w:t>
      </w:r>
      <w:r w:rsidR="009F6897" w:rsidRPr="00A27896">
        <w:rPr>
          <w:rFonts w:cs="Times New Roman"/>
          <w:color w:val="17365D"/>
          <w:szCs w:val="24"/>
        </w:rPr>
        <w:t xml:space="preserve"> var veikt izlases kārtībā pēc būtiskuma principa, ievērojot Ministru kabineta 20</w:t>
      </w:r>
      <w:r w:rsidR="00CE6C9F" w:rsidRPr="00A27896">
        <w:rPr>
          <w:rFonts w:cs="Times New Roman"/>
          <w:color w:val="17365D"/>
          <w:szCs w:val="24"/>
        </w:rPr>
        <w:t>21</w:t>
      </w:r>
      <w:r w:rsidR="009F6897" w:rsidRPr="00A27896">
        <w:rPr>
          <w:rFonts w:cs="Times New Roman"/>
          <w:color w:val="17365D"/>
          <w:szCs w:val="24"/>
        </w:rPr>
        <w:t>. gada 21. </w:t>
      </w:r>
      <w:r w:rsidR="00CE6C9F" w:rsidRPr="00A27896">
        <w:rPr>
          <w:rFonts w:cs="Times New Roman"/>
          <w:color w:val="17365D"/>
          <w:szCs w:val="24"/>
        </w:rPr>
        <w:t>decembra</w:t>
      </w:r>
      <w:r w:rsidR="009F6897" w:rsidRPr="00A27896">
        <w:rPr>
          <w:rFonts w:cs="Times New Roman"/>
          <w:color w:val="17365D"/>
          <w:szCs w:val="24"/>
        </w:rPr>
        <w:t xml:space="preserve"> noteikumus Nr. </w:t>
      </w:r>
      <w:r w:rsidR="00CE6C9F" w:rsidRPr="00A27896">
        <w:rPr>
          <w:rFonts w:cs="Times New Roman"/>
          <w:color w:val="17365D"/>
          <w:szCs w:val="24"/>
        </w:rPr>
        <w:t>877</w:t>
      </w:r>
      <w:r w:rsidR="009F6897" w:rsidRPr="00A27896">
        <w:rPr>
          <w:rFonts w:cs="Times New Roman"/>
          <w:color w:val="17365D"/>
          <w:szCs w:val="24"/>
        </w:rPr>
        <w:t xml:space="preserve"> "</w:t>
      </w:r>
      <w:r w:rsidR="00CE6C9F" w:rsidRPr="00A27896">
        <w:rPr>
          <w:rFonts w:cs="Times New Roman"/>
          <w:color w:val="17365D"/>
          <w:szCs w:val="24"/>
        </w:rPr>
        <w:t>Grāmatvedības kārtošanas noteikumi</w:t>
      </w:r>
      <w:r w:rsidR="009F6897" w:rsidRPr="00A27896">
        <w:rPr>
          <w:rFonts w:cs="Times New Roman"/>
          <w:color w:val="17365D"/>
          <w:szCs w:val="24"/>
        </w:rPr>
        <w:t>".</w:t>
      </w:r>
    </w:p>
    <w:p w14:paraId="504E3745" w14:textId="7F621C5C" w:rsidR="00954F0C" w:rsidRPr="00A27896" w:rsidRDefault="00954F0C" w:rsidP="00954F0C">
      <w:pPr>
        <w:pStyle w:val="tv2133"/>
        <w:spacing w:after="120" w:line="240" w:lineRule="auto"/>
        <w:ind w:firstLine="284"/>
        <w:jc w:val="both"/>
        <w:rPr>
          <w:color w:val="17365D"/>
          <w:sz w:val="24"/>
          <w:szCs w:val="24"/>
        </w:rPr>
      </w:pPr>
      <w:r w:rsidRPr="00A27896">
        <w:rPr>
          <w:color w:val="17365D"/>
          <w:sz w:val="24"/>
          <w:szCs w:val="24"/>
        </w:rPr>
        <w:t>Finanšu ieguldījumi (aktīvi), kas klasificēti kā finanšu instrumenti, norādīti šādā vērtībā:</w:t>
      </w:r>
      <w:r w:rsidR="00D50D19" w:rsidRPr="00A27896">
        <w:rPr>
          <w:color w:val="17365D"/>
          <w:sz w:val="24"/>
          <w:szCs w:val="24"/>
        </w:rPr>
        <w:t xml:space="preserve"> </w:t>
      </w:r>
    </w:p>
    <w:p w14:paraId="63AB30B3" w14:textId="77777777" w:rsidR="00954F0C" w:rsidRPr="00A27896" w:rsidRDefault="00954F0C" w:rsidP="007C6C15">
      <w:pPr>
        <w:pStyle w:val="tv2131"/>
        <w:numPr>
          <w:ilvl w:val="0"/>
          <w:numId w:val="18"/>
        </w:numPr>
        <w:spacing w:after="120" w:line="240" w:lineRule="auto"/>
        <w:ind w:left="850" w:hanging="357"/>
        <w:jc w:val="both"/>
        <w:rPr>
          <w:color w:val="17365D"/>
          <w:sz w:val="24"/>
          <w:szCs w:val="24"/>
        </w:rPr>
      </w:pPr>
      <w:r w:rsidRPr="00A27896">
        <w:rPr>
          <w:color w:val="17365D"/>
          <w:sz w:val="24"/>
          <w:szCs w:val="24"/>
        </w:rPr>
        <w:t>aizdevumi un prasības, kā arī līdz termiņa beigām turētie ieguldījumi – neto vērtībā, no amortizētās vērtības atskaitot vērtības samazinājumu;</w:t>
      </w:r>
    </w:p>
    <w:p w14:paraId="39782CAD" w14:textId="370B3E54" w:rsidR="00954F0C" w:rsidRPr="00A27896" w:rsidRDefault="00954F0C" w:rsidP="007C6C15">
      <w:pPr>
        <w:pStyle w:val="tv2131"/>
        <w:numPr>
          <w:ilvl w:val="0"/>
          <w:numId w:val="18"/>
        </w:numPr>
        <w:spacing w:after="120" w:line="240" w:lineRule="auto"/>
        <w:ind w:left="850" w:hanging="357"/>
        <w:jc w:val="both"/>
        <w:rPr>
          <w:color w:val="17365D"/>
          <w:sz w:val="24"/>
          <w:szCs w:val="24"/>
        </w:rPr>
      </w:pPr>
      <w:r w:rsidRPr="00A27896">
        <w:rPr>
          <w:color w:val="17365D"/>
          <w:sz w:val="24"/>
          <w:szCs w:val="24"/>
        </w:rPr>
        <w:t>patiesajā vērtībā novērtēti finanšu aktīvi – patiesajā vērtībā;</w:t>
      </w:r>
    </w:p>
    <w:p w14:paraId="6E4473D3" w14:textId="1481C4BB" w:rsidR="00226E9F" w:rsidRPr="00A27896" w:rsidRDefault="00226E9F" w:rsidP="007C6C15">
      <w:pPr>
        <w:pStyle w:val="tv2131"/>
        <w:numPr>
          <w:ilvl w:val="0"/>
          <w:numId w:val="18"/>
        </w:numPr>
        <w:spacing w:after="120" w:line="240" w:lineRule="auto"/>
        <w:ind w:left="850" w:hanging="357"/>
        <w:jc w:val="both"/>
        <w:rPr>
          <w:rFonts w:eastAsiaTheme="minorHAnsi"/>
          <w:color w:val="17365D"/>
          <w:sz w:val="24"/>
          <w:szCs w:val="24"/>
          <w:lang w:eastAsia="en-US"/>
        </w:rPr>
      </w:pPr>
      <w:r w:rsidRPr="00A27896">
        <w:rPr>
          <w:rFonts w:eastAsiaTheme="minorHAnsi"/>
          <w:color w:val="17365D"/>
          <w:sz w:val="24"/>
          <w:szCs w:val="24"/>
          <w:lang w:eastAsia="en-US"/>
        </w:rPr>
        <w:t>finanšu aktīvi, kas noteikti kā riska ierobežošanas instrumenti – patiesajā vērtībā;</w:t>
      </w:r>
    </w:p>
    <w:p w14:paraId="5256C708" w14:textId="77777777" w:rsidR="00954F0C" w:rsidRPr="00A27896" w:rsidRDefault="00954F0C" w:rsidP="007C6C15">
      <w:pPr>
        <w:pStyle w:val="tv2131"/>
        <w:numPr>
          <w:ilvl w:val="0"/>
          <w:numId w:val="18"/>
        </w:numPr>
        <w:spacing w:after="120" w:line="240" w:lineRule="auto"/>
        <w:ind w:left="850" w:hanging="357"/>
        <w:jc w:val="both"/>
        <w:rPr>
          <w:color w:val="17365D"/>
          <w:sz w:val="24"/>
          <w:szCs w:val="24"/>
        </w:rPr>
      </w:pPr>
      <w:r w:rsidRPr="00A27896">
        <w:rPr>
          <w:color w:val="17365D"/>
          <w:sz w:val="24"/>
          <w:szCs w:val="24"/>
        </w:rPr>
        <w:t>patiesajā vērtībā novērtēti pārdošanai pieejamie finanšu aktīvu – patiesajā vērtībā;</w:t>
      </w:r>
    </w:p>
    <w:p w14:paraId="661E641B" w14:textId="77777777" w:rsidR="00954F0C" w:rsidRPr="00A27896" w:rsidRDefault="00954F0C" w:rsidP="007C6C15">
      <w:pPr>
        <w:pStyle w:val="tv2131"/>
        <w:numPr>
          <w:ilvl w:val="0"/>
          <w:numId w:val="18"/>
        </w:numPr>
        <w:spacing w:after="120" w:line="240" w:lineRule="auto"/>
        <w:ind w:left="850" w:hanging="357"/>
        <w:jc w:val="both"/>
        <w:rPr>
          <w:color w:val="17365D"/>
          <w:sz w:val="24"/>
          <w:szCs w:val="24"/>
        </w:rPr>
      </w:pPr>
      <w:r w:rsidRPr="00A27896">
        <w:rPr>
          <w:color w:val="17365D"/>
          <w:sz w:val="24"/>
          <w:szCs w:val="24"/>
        </w:rPr>
        <w:t>izmaksu vērtībā novērtēti pārdošanai pieejami finanšu instrumenti – neto vērtībā, no izmaksu vērtības atskaitot vērtības samazinājumu.</w:t>
      </w:r>
    </w:p>
    <w:p w14:paraId="36F356B8" w14:textId="4AF9A8DD" w:rsidR="00954F0C" w:rsidRPr="00A27896" w:rsidRDefault="00954F0C" w:rsidP="00954F0C">
      <w:pPr>
        <w:pStyle w:val="tv2133"/>
        <w:spacing w:after="120" w:line="240" w:lineRule="auto"/>
        <w:ind w:firstLine="284"/>
        <w:jc w:val="both"/>
        <w:rPr>
          <w:rFonts w:eastAsiaTheme="minorHAnsi"/>
          <w:color w:val="17365D"/>
          <w:sz w:val="24"/>
          <w:szCs w:val="24"/>
          <w:lang w:eastAsia="en-US"/>
        </w:rPr>
      </w:pPr>
      <w:r w:rsidRPr="00A27896">
        <w:rPr>
          <w:color w:val="17365D"/>
          <w:sz w:val="24"/>
          <w:szCs w:val="24"/>
        </w:rPr>
        <w:t>Krājumi, kuri paredzēti budžeta iestāžu funkciju veikšanai ilgāk par vienu gadu, norādīti atlikušajā vērtībā, no sākotnējās vērtības atskaitot vērtības samazinājumu. Pārējie krājumi norādīti iegādes izmaksu vērtībā vai pārskata perioda beigās noteiktā aizstāšanas izmaksu vai neto pārdošanas vērtībā, ja iegādes izmaksu vērtība ir augstāka.</w:t>
      </w:r>
      <w:r w:rsidRPr="00A27896">
        <w:rPr>
          <w:rFonts w:eastAsiaTheme="minorHAnsi"/>
          <w:color w:val="17365D"/>
          <w:sz w:val="24"/>
          <w:szCs w:val="24"/>
          <w:lang w:eastAsia="en-US"/>
        </w:rPr>
        <w:t xml:space="preserve"> </w:t>
      </w:r>
      <w:r w:rsidR="00A06A08" w:rsidRPr="00A27896">
        <w:rPr>
          <w:rFonts w:eastAsiaTheme="minorHAnsi"/>
          <w:color w:val="17365D"/>
          <w:sz w:val="24"/>
          <w:szCs w:val="24"/>
          <w:lang w:eastAsia="en-US"/>
        </w:rPr>
        <w:t>Valstij piekritīgā manta (nekustamais īpašums) norādīts kadastrālajā vērtībā, ja tā ir zināma.</w:t>
      </w:r>
    </w:p>
    <w:p w14:paraId="3052B4CD" w14:textId="530B94E4" w:rsidR="00954F0C" w:rsidRPr="00A27896" w:rsidRDefault="00954F0C" w:rsidP="00954F0C">
      <w:pPr>
        <w:pStyle w:val="tv2133"/>
        <w:spacing w:after="120" w:line="240" w:lineRule="auto"/>
        <w:ind w:firstLine="284"/>
        <w:jc w:val="both"/>
        <w:rPr>
          <w:color w:val="17365D"/>
          <w:sz w:val="24"/>
          <w:szCs w:val="24"/>
        </w:rPr>
      </w:pPr>
      <w:r w:rsidRPr="00A27896">
        <w:rPr>
          <w:color w:val="17365D"/>
          <w:sz w:val="24"/>
          <w:szCs w:val="24"/>
        </w:rPr>
        <w:t xml:space="preserve">Naudas līdzekļu sastāvā </w:t>
      </w:r>
      <w:r w:rsidR="007F068B" w:rsidRPr="00A27896">
        <w:rPr>
          <w:color w:val="17365D"/>
          <w:sz w:val="24"/>
          <w:szCs w:val="24"/>
        </w:rPr>
        <w:t>uzrādīti</w:t>
      </w:r>
      <w:r w:rsidRPr="00A27896">
        <w:rPr>
          <w:color w:val="17365D"/>
          <w:sz w:val="24"/>
          <w:szCs w:val="24"/>
        </w:rPr>
        <w:t xml:space="preserve"> budžeta iestāžu naudas līdzekļi</w:t>
      </w:r>
      <w:r w:rsidR="00A5150E" w:rsidRPr="00A27896">
        <w:rPr>
          <w:color w:val="17365D"/>
          <w:sz w:val="24"/>
          <w:szCs w:val="24"/>
        </w:rPr>
        <w:t xml:space="preserve"> kredītiestādēs</w:t>
      </w:r>
      <w:r w:rsidRPr="00A27896">
        <w:rPr>
          <w:color w:val="17365D"/>
          <w:sz w:val="24"/>
          <w:szCs w:val="24"/>
        </w:rPr>
        <w:t>, kā arī Valsts kases kontu atlikumi Latvijas Bankā, kredītiestādēs un ārvalstu finanšu sabiedrībās.</w:t>
      </w:r>
    </w:p>
    <w:p w14:paraId="6FEEDBC9" w14:textId="77777777" w:rsidR="00954F0C" w:rsidRPr="00A27896" w:rsidRDefault="00954F0C" w:rsidP="007F068B">
      <w:pPr>
        <w:pStyle w:val="tv2133"/>
        <w:spacing w:after="120" w:line="240" w:lineRule="auto"/>
        <w:ind w:firstLine="284"/>
        <w:jc w:val="both"/>
        <w:rPr>
          <w:rFonts w:eastAsiaTheme="minorHAnsi"/>
          <w:color w:val="17365D"/>
          <w:sz w:val="24"/>
          <w:szCs w:val="24"/>
          <w:lang w:eastAsia="en-US"/>
        </w:rPr>
      </w:pPr>
      <w:r w:rsidRPr="00A27896">
        <w:rPr>
          <w:rFonts w:eastAsiaTheme="minorHAnsi"/>
          <w:color w:val="17365D"/>
          <w:sz w:val="24"/>
          <w:szCs w:val="24"/>
          <w:lang w:eastAsia="en-US"/>
        </w:rPr>
        <w:t>Budžeta iestādes, kurām ir norēķinu konti Valsts kasē, savos pārskatos uzrāda arī naudas līdzekļus norēķinu kontos Valsts kasē, kurus Valsts konsolidētajā grāmatvedības bilancē konsolidē.</w:t>
      </w:r>
    </w:p>
    <w:p w14:paraId="39729A84" w14:textId="77777777" w:rsidR="00954F0C" w:rsidRPr="00A27896" w:rsidRDefault="00954F0C" w:rsidP="00954F0C">
      <w:pPr>
        <w:pStyle w:val="tv2133"/>
        <w:spacing w:after="120" w:line="240" w:lineRule="auto"/>
        <w:ind w:firstLine="284"/>
        <w:jc w:val="both"/>
        <w:rPr>
          <w:rFonts w:eastAsiaTheme="minorHAnsi"/>
          <w:color w:val="17365D"/>
          <w:sz w:val="24"/>
          <w:szCs w:val="24"/>
          <w:lang w:eastAsia="en-US"/>
        </w:rPr>
      </w:pPr>
      <w:r w:rsidRPr="00A27896">
        <w:rPr>
          <w:rFonts w:eastAsiaTheme="minorHAnsi"/>
          <w:color w:val="17365D"/>
          <w:sz w:val="24"/>
          <w:szCs w:val="24"/>
          <w:lang w:eastAsia="en-US"/>
        </w:rPr>
        <w:t xml:space="preserve">Naudas līdzekļu atlikumi pārskata gada beigās saskaņoti. </w:t>
      </w:r>
    </w:p>
    <w:p w14:paraId="7C9E9463" w14:textId="77777777" w:rsidR="00954F0C" w:rsidRPr="00A27896" w:rsidRDefault="00954F0C" w:rsidP="00954F0C">
      <w:pPr>
        <w:pStyle w:val="tv2133"/>
        <w:spacing w:after="120" w:line="240" w:lineRule="auto"/>
        <w:ind w:firstLine="284"/>
        <w:jc w:val="both"/>
        <w:rPr>
          <w:color w:val="17365D"/>
          <w:sz w:val="24"/>
          <w:szCs w:val="24"/>
        </w:rPr>
      </w:pPr>
      <w:r w:rsidRPr="00A27896">
        <w:rPr>
          <w:color w:val="17365D"/>
          <w:sz w:val="24"/>
          <w:szCs w:val="24"/>
        </w:rPr>
        <w:t>Uzkrājumi valsts konsolidētājā grāmatvedības bilancē uzrādīti pienākuma izpildei nepieciešamo resursu visticamākās aplēses pašreizējā vērtībā.</w:t>
      </w:r>
    </w:p>
    <w:p w14:paraId="6AAFA362" w14:textId="77777777" w:rsidR="00954F0C" w:rsidRPr="00A27896" w:rsidRDefault="00954F0C" w:rsidP="00954F0C">
      <w:pPr>
        <w:pStyle w:val="tv2133"/>
        <w:spacing w:after="120" w:line="240" w:lineRule="auto"/>
        <w:ind w:firstLine="284"/>
        <w:jc w:val="both"/>
        <w:rPr>
          <w:color w:val="17365D"/>
          <w:sz w:val="24"/>
          <w:szCs w:val="24"/>
        </w:rPr>
      </w:pPr>
      <w:r w:rsidRPr="00A27896">
        <w:rPr>
          <w:color w:val="17365D"/>
          <w:sz w:val="24"/>
          <w:szCs w:val="24"/>
        </w:rPr>
        <w:t>Saistības (izņemot finanšu instrumentus) valsts konsolidētājā grāmatvedības bilancē norādītas amortizētajā vērtībā.</w:t>
      </w:r>
    </w:p>
    <w:p w14:paraId="6F1BC588" w14:textId="42FCBD39" w:rsidR="00954F0C" w:rsidRPr="00A27896" w:rsidRDefault="00954F0C" w:rsidP="00954F0C">
      <w:pPr>
        <w:pStyle w:val="tv2133"/>
        <w:spacing w:after="120" w:line="240" w:lineRule="auto"/>
        <w:ind w:firstLine="284"/>
        <w:jc w:val="both"/>
        <w:rPr>
          <w:color w:val="17365D"/>
          <w:sz w:val="24"/>
          <w:szCs w:val="24"/>
        </w:rPr>
      </w:pPr>
      <w:r w:rsidRPr="00A27896">
        <w:rPr>
          <w:color w:val="17365D"/>
          <w:sz w:val="24"/>
          <w:szCs w:val="24"/>
        </w:rPr>
        <w:lastRenderedPageBreak/>
        <w:t>Finanšu saistības, kas klasificētas kā finanšu instrumenti, norādītas šādā vērtībā:</w:t>
      </w:r>
      <w:r w:rsidR="00D50D19" w:rsidRPr="00A27896">
        <w:rPr>
          <w:color w:val="17365D"/>
          <w:sz w:val="24"/>
          <w:szCs w:val="24"/>
        </w:rPr>
        <w:t xml:space="preserve"> </w:t>
      </w:r>
    </w:p>
    <w:p w14:paraId="53C876D2" w14:textId="0F067DF1" w:rsidR="00D70E8B" w:rsidRPr="00A27896" w:rsidRDefault="00954F0C" w:rsidP="007C6C15">
      <w:pPr>
        <w:pStyle w:val="tv2131"/>
        <w:numPr>
          <w:ilvl w:val="0"/>
          <w:numId w:val="18"/>
        </w:numPr>
        <w:spacing w:after="120" w:line="240" w:lineRule="auto"/>
        <w:ind w:left="850" w:hanging="357"/>
        <w:jc w:val="both"/>
        <w:rPr>
          <w:color w:val="17365D"/>
          <w:sz w:val="24"/>
          <w:szCs w:val="24"/>
        </w:rPr>
      </w:pPr>
      <w:r w:rsidRPr="00A27896">
        <w:rPr>
          <w:color w:val="17365D"/>
          <w:sz w:val="24"/>
          <w:szCs w:val="24"/>
        </w:rPr>
        <w:t>patiesajā vērtībā novērtētas finanšu saistības, izņemot finanšu garantiju līgumus – patiesajā vērtībā;</w:t>
      </w:r>
    </w:p>
    <w:p w14:paraId="14471FE7" w14:textId="6B34B008" w:rsidR="00C05ED3" w:rsidRPr="00A27896" w:rsidRDefault="00C05ED3" w:rsidP="007C6C15">
      <w:pPr>
        <w:pStyle w:val="tv2131"/>
        <w:numPr>
          <w:ilvl w:val="0"/>
          <w:numId w:val="18"/>
        </w:numPr>
        <w:spacing w:after="120" w:line="240" w:lineRule="auto"/>
        <w:ind w:left="850" w:hanging="357"/>
        <w:jc w:val="both"/>
        <w:rPr>
          <w:rFonts w:eastAsiaTheme="minorHAnsi"/>
          <w:color w:val="17365D"/>
          <w:sz w:val="24"/>
          <w:szCs w:val="24"/>
          <w:lang w:eastAsia="en-US"/>
        </w:rPr>
      </w:pPr>
      <w:r w:rsidRPr="00A27896">
        <w:rPr>
          <w:rFonts w:eastAsiaTheme="minorHAnsi"/>
          <w:color w:val="17365D"/>
          <w:sz w:val="24"/>
          <w:szCs w:val="24"/>
          <w:lang w:eastAsia="en-US"/>
        </w:rPr>
        <w:t>finanšu saistības, kas noteiktas kā riska ierobežošanas instrumenti – patiesajā vērtībā;</w:t>
      </w:r>
    </w:p>
    <w:p w14:paraId="23B53350" w14:textId="0112ED6A" w:rsidR="00954F0C" w:rsidRPr="00A27896" w:rsidRDefault="00954F0C" w:rsidP="007C6C15">
      <w:pPr>
        <w:pStyle w:val="tv2131"/>
        <w:numPr>
          <w:ilvl w:val="0"/>
          <w:numId w:val="18"/>
        </w:numPr>
        <w:spacing w:after="120" w:line="240" w:lineRule="auto"/>
        <w:ind w:left="850" w:hanging="357"/>
        <w:jc w:val="both"/>
        <w:rPr>
          <w:color w:val="17365D"/>
          <w:sz w:val="24"/>
          <w:szCs w:val="24"/>
        </w:rPr>
      </w:pPr>
      <w:r w:rsidRPr="00A27896">
        <w:rPr>
          <w:color w:val="17365D"/>
          <w:sz w:val="24"/>
          <w:szCs w:val="24"/>
        </w:rPr>
        <w:t xml:space="preserve">pārējās finanšu saistības – amortizētajā vērtībā; </w:t>
      </w:r>
    </w:p>
    <w:p w14:paraId="797E5355" w14:textId="69BE05AB" w:rsidR="00954F0C" w:rsidRPr="00A27896" w:rsidRDefault="00954F0C" w:rsidP="007C6C15">
      <w:pPr>
        <w:pStyle w:val="tv2131"/>
        <w:numPr>
          <w:ilvl w:val="0"/>
          <w:numId w:val="18"/>
        </w:numPr>
        <w:spacing w:after="120" w:line="240" w:lineRule="auto"/>
        <w:ind w:left="850" w:hanging="357"/>
        <w:jc w:val="both"/>
        <w:rPr>
          <w:color w:val="17365D"/>
          <w:sz w:val="24"/>
          <w:szCs w:val="24"/>
        </w:rPr>
      </w:pPr>
      <w:r w:rsidRPr="00A27896">
        <w:rPr>
          <w:color w:val="17365D"/>
          <w:sz w:val="24"/>
          <w:szCs w:val="24"/>
        </w:rPr>
        <w:t>finanšu garantiju līgumi – visticamākās aplēses pašreizējā vērtībā.</w:t>
      </w:r>
    </w:p>
    <w:p w14:paraId="3B133953" w14:textId="47681369" w:rsidR="003F5182" w:rsidRPr="00A27896" w:rsidRDefault="003F5182" w:rsidP="00D70E8B">
      <w:pPr>
        <w:pStyle w:val="tv2133"/>
        <w:spacing w:after="120" w:line="240" w:lineRule="auto"/>
        <w:ind w:firstLine="284"/>
        <w:jc w:val="both"/>
        <w:rPr>
          <w:color w:val="17365D"/>
          <w:sz w:val="24"/>
          <w:szCs w:val="24"/>
        </w:rPr>
      </w:pPr>
      <w:r w:rsidRPr="00A27896">
        <w:rPr>
          <w:color w:val="17365D"/>
          <w:sz w:val="24"/>
          <w:szCs w:val="24"/>
        </w:rPr>
        <w:t>Bilances poste</w:t>
      </w:r>
      <w:r w:rsidR="00745C0F" w:rsidRPr="00A27896">
        <w:rPr>
          <w:color w:val="17365D"/>
          <w:sz w:val="24"/>
          <w:szCs w:val="24"/>
        </w:rPr>
        <w:t>ņa</w:t>
      </w:r>
      <w:r w:rsidRPr="00A27896">
        <w:rPr>
          <w:color w:val="17365D"/>
          <w:sz w:val="24"/>
          <w:szCs w:val="24"/>
        </w:rPr>
        <w:t xml:space="preserve"> “Ilgte</w:t>
      </w:r>
      <w:r w:rsidR="00D70E8B" w:rsidRPr="00A27896">
        <w:rPr>
          <w:color w:val="17365D"/>
          <w:sz w:val="24"/>
          <w:szCs w:val="24"/>
        </w:rPr>
        <w:t>r</w:t>
      </w:r>
      <w:r w:rsidRPr="00A27896">
        <w:rPr>
          <w:color w:val="17365D"/>
          <w:sz w:val="24"/>
          <w:szCs w:val="24"/>
        </w:rPr>
        <w:t xml:space="preserve">miņa aizņēmumi” </w:t>
      </w:r>
      <w:r w:rsidR="00745C0F" w:rsidRPr="00A27896">
        <w:rPr>
          <w:color w:val="17365D"/>
          <w:sz w:val="24"/>
          <w:szCs w:val="24"/>
        </w:rPr>
        <w:t xml:space="preserve">dati par iepriekšējo pārskata periodu </w:t>
      </w:r>
      <w:r w:rsidRPr="00A27896">
        <w:rPr>
          <w:color w:val="17365D"/>
          <w:sz w:val="24"/>
          <w:szCs w:val="24"/>
        </w:rPr>
        <w:t>koriģēt</w:t>
      </w:r>
      <w:r w:rsidR="00745C0F" w:rsidRPr="00A27896">
        <w:rPr>
          <w:color w:val="17365D"/>
          <w:sz w:val="24"/>
          <w:szCs w:val="24"/>
        </w:rPr>
        <w:t>i</w:t>
      </w:r>
      <w:r w:rsidRPr="00A27896">
        <w:rPr>
          <w:color w:val="17365D"/>
          <w:sz w:val="24"/>
          <w:szCs w:val="24"/>
        </w:rPr>
        <w:t xml:space="preserve"> par parāda instrumentiem piesaistīto atvasināto finanšu instrumentu</w:t>
      </w:r>
      <w:r w:rsidR="00745C0F" w:rsidRPr="00A27896">
        <w:rPr>
          <w:color w:val="17365D"/>
          <w:sz w:val="24"/>
          <w:szCs w:val="24"/>
        </w:rPr>
        <w:t>, kas nav riska ierobežošanas instrumenti,</w:t>
      </w:r>
      <w:r w:rsidRPr="00A27896">
        <w:rPr>
          <w:color w:val="17365D"/>
          <w:sz w:val="24"/>
          <w:szCs w:val="24"/>
        </w:rPr>
        <w:t xml:space="preserve"> valūtas kursa svārstību efektu, pārskatā to uzrādot pie parāda instrumenta vērtības.</w:t>
      </w:r>
    </w:p>
    <w:p w14:paraId="7E4FEAD2" w14:textId="5CBB0100" w:rsidR="00954F0C" w:rsidRPr="00A27896" w:rsidRDefault="00954F0C" w:rsidP="00954F0C">
      <w:pPr>
        <w:pStyle w:val="tv2133"/>
        <w:spacing w:after="120" w:line="240" w:lineRule="auto"/>
        <w:ind w:firstLine="284"/>
        <w:jc w:val="both"/>
        <w:rPr>
          <w:color w:val="17365D"/>
          <w:sz w:val="24"/>
          <w:szCs w:val="24"/>
        </w:rPr>
      </w:pPr>
      <w:r w:rsidRPr="00A27896">
        <w:rPr>
          <w:color w:val="17365D"/>
          <w:sz w:val="24"/>
          <w:szCs w:val="24"/>
        </w:rPr>
        <w:t xml:space="preserve">Saistību atlikumi gada beigās saskaņoti ar </w:t>
      </w:r>
      <w:r w:rsidR="00AB5EC5" w:rsidRPr="00A27896">
        <w:rPr>
          <w:color w:val="17365D"/>
          <w:sz w:val="24"/>
          <w:szCs w:val="24"/>
        </w:rPr>
        <w:t xml:space="preserve">darījuma partneriem </w:t>
      </w:r>
      <w:r w:rsidRPr="00A27896">
        <w:rPr>
          <w:color w:val="17365D"/>
          <w:sz w:val="24"/>
          <w:szCs w:val="24"/>
        </w:rPr>
        <w:t xml:space="preserve">atbilstoši savstarpējo norēķinu salīdzināšanas aktiem. Saistību atlikumi pret valsts un pašvaldību budžeta iestādēm, no valsts budžeta daļēji finansētām atvasinātām publiskām personām, budžeta nefinansētām iestādēm saskaņoti elektroniski </w:t>
      </w:r>
      <w:proofErr w:type="spellStart"/>
      <w:r w:rsidR="00AB5EC5" w:rsidRPr="00A27896">
        <w:rPr>
          <w:color w:val="17365D"/>
          <w:sz w:val="24"/>
          <w:szCs w:val="24"/>
        </w:rPr>
        <w:t>ePārskatos</w:t>
      </w:r>
      <w:proofErr w:type="spellEnd"/>
      <w:r w:rsidRPr="00A27896">
        <w:rPr>
          <w:color w:val="17365D"/>
          <w:sz w:val="24"/>
          <w:szCs w:val="24"/>
        </w:rPr>
        <w:t xml:space="preserve"> atbilstoši MK noteikumos Nr.</w:t>
      </w:r>
      <w:r w:rsidR="003B558A" w:rsidRPr="00A27896">
        <w:rPr>
          <w:color w:val="17365D"/>
          <w:sz w:val="24"/>
          <w:szCs w:val="24"/>
        </w:rPr>
        <w:t> </w:t>
      </w:r>
      <w:r w:rsidRPr="00A27896">
        <w:rPr>
          <w:color w:val="17365D"/>
          <w:sz w:val="24"/>
          <w:szCs w:val="24"/>
        </w:rPr>
        <w:t>344 noteiktajam.</w:t>
      </w:r>
      <w:r w:rsidRPr="00A27896">
        <w:rPr>
          <w:rFonts w:eastAsiaTheme="minorHAnsi"/>
          <w:color w:val="17365D"/>
          <w:sz w:val="24"/>
          <w:szCs w:val="24"/>
          <w:lang w:eastAsia="en-US"/>
        </w:rPr>
        <w:t xml:space="preserve"> </w:t>
      </w:r>
      <w:r w:rsidR="00141376" w:rsidRPr="00A27896">
        <w:rPr>
          <w:rFonts w:eastAsiaTheme="minorHAnsi"/>
          <w:color w:val="17365D"/>
          <w:sz w:val="24"/>
          <w:szCs w:val="24"/>
          <w:lang w:eastAsia="en-US"/>
        </w:rPr>
        <w:t>VID</w:t>
      </w:r>
      <w:r w:rsidR="009F6897" w:rsidRPr="00A27896">
        <w:rPr>
          <w:rFonts w:eastAsiaTheme="minorHAnsi"/>
          <w:color w:val="17365D"/>
          <w:sz w:val="24"/>
          <w:szCs w:val="24"/>
          <w:lang w:eastAsia="en-US"/>
        </w:rPr>
        <w:t xml:space="preserve"> </w:t>
      </w:r>
      <w:r w:rsidR="00785427" w:rsidRPr="00A27896">
        <w:rPr>
          <w:rFonts w:eastAsiaTheme="minorHAnsi"/>
          <w:color w:val="17365D"/>
          <w:sz w:val="24"/>
          <w:szCs w:val="24"/>
          <w:lang w:eastAsia="en-US"/>
        </w:rPr>
        <w:t xml:space="preserve">inventarizāciju </w:t>
      </w:r>
      <w:r w:rsidR="009042E6" w:rsidRPr="00A27896">
        <w:rPr>
          <w:rFonts w:eastAsiaTheme="minorHAnsi"/>
          <w:color w:val="17365D"/>
          <w:sz w:val="24"/>
          <w:szCs w:val="24"/>
          <w:lang w:eastAsia="en-US"/>
        </w:rPr>
        <w:t>p</w:t>
      </w:r>
      <w:r w:rsidR="009F6897" w:rsidRPr="00A27896">
        <w:rPr>
          <w:rFonts w:eastAsiaTheme="minorHAnsi"/>
          <w:color w:val="17365D"/>
          <w:sz w:val="24"/>
          <w:szCs w:val="24"/>
          <w:lang w:eastAsia="en-US"/>
        </w:rPr>
        <w:t xml:space="preserve">ar </w:t>
      </w:r>
      <w:r w:rsidR="00785427" w:rsidRPr="00A27896">
        <w:rPr>
          <w:rFonts w:eastAsiaTheme="minorHAnsi"/>
          <w:color w:val="17365D"/>
          <w:sz w:val="24"/>
          <w:szCs w:val="24"/>
          <w:lang w:eastAsia="en-US"/>
        </w:rPr>
        <w:t xml:space="preserve">saistībām, kas izriet no </w:t>
      </w:r>
      <w:r w:rsidR="009F6897" w:rsidRPr="00A27896">
        <w:rPr>
          <w:rFonts w:eastAsiaTheme="minorHAnsi"/>
          <w:color w:val="17365D"/>
          <w:sz w:val="24"/>
          <w:szCs w:val="24"/>
          <w:lang w:eastAsia="en-US"/>
        </w:rPr>
        <w:t>tā administrētajiem valsts budžeta ieņēmumiem</w:t>
      </w:r>
      <w:r w:rsidR="00785427" w:rsidRPr="00A27896">
        <w:rPr>
          <w:rFonts w:eastAsiaTheme="minorHAnsi"/>
          <w:color w:val="17365D"/>
          <w:sz w:val="24"/>
          <w:szCs w:val="24"/>
          <w:lang w:eastAsia="en-US"/>
        </w:rPr>
        <w:t>,</w:t>
      </w:r>
      <w:r w:rsidR="009F6897" w:rsidRPr="00A27896">
        <w:rPr>
          <w:rFonts w:eastAsiaTheme="minorHAnsi"/>
          <w:color w:val="17365D"/>
          <w:sz w:val="24"/>
          <w:szCs w:val="24"/>
          <w:lang w:eastAsia="en-US"/>
        </w:rPr>
        <w:t xml:space="preserve"> var veikt izlases kārtībā pēc būtiskuma principa, ievērojot Ministru kabineta 20</w:t>
      </w:r>
      <w:r w:rsidR="00E61B3D" w:rsidRPr="00A27896">
        <w:rPr>
          <w:rFonts w:eastAsiaTheme="minorHAnsi"/>
          <w:color w:val="17365D"/>
          <w:sz w:val="24"/>
          <w:szCs w:val="24"/>
          <w:lang w:eastAsia="en-US"/>
        </w:rPr>
        <w:t>21</w:t>
      </w:r>
      <w:r w:rsidR="009F6897" w:rsidRPr="00A27896">
        <w:rPr>
          <w:rFonts w:eastAsiaTheme="minorHAnsi"/>
          <w:color w:val="17365D"/>
          <w:sz w:val="24"/>
          <w:szCs w:val="24"/>
          <w:lang w:eastAsia="en-US"/>
        </w:rPr>
        <w:t xml:space="preserve">. gada </w:t>
      </w:r>
      <w:r w:rsidR="007B7C14" w:rsidRPr="00A27896">
        <w:rPr>
          <w:rFonts w:eastAsiaTheme="minorHAnsi"/>
          <w:color w:val="17365D"/>
          <w:sz w:val="24"/>
          <w:szCs w:val="24"/>
          <w:lang w:eastAsia="en-US"/>
        </w:rPr>
        <w:t>21. </w:t>
      </w:r>
      <w:r w:rsidR="00E61B3D" w:rsidRPr="00A27896">
        <w:rPr>
          <w:rFonts w:eastAsiaTheme="minorHAnsi"/>
          <w:color w:val="17365D"/>
          <w:sz w:val="24"/>
          <w:szCs w:val="24"/>
          <w:lang w:eastAsia="en-US"/>
        </w:rPr>
        <w:t>decembra</w:t>
      </w:r>
      <w:r w:rsidR="007B7C14" w:rsidRPr="00A27896">
        <w:rPr>
          <w:rFonts w:eastAsiaTheme="minorHAnsi"/>
          <w:color w:val="17365D"/>
          <w:sz w:val="24"/>
          <w:szCs w:val="24"/>
          <w:lang w:eastAsia="en-US"/>
        </w:rPr>
        <w:t xml:space="preserve"> noteikumus Nr. </w:t>
      </w:r>
      <w:r w:rsidR="00E61B3D" w:rsidRPr="00A27896">
        <w:rPr>
          <w:rFonts w:eastAsiaTheme="minorHAnsi"/>
          <w:color w:val="17365D"/>
          <w:sz w:val="24"/>
          <w:szCs w:val="24"/>
          <w:lang w:eastAsia="en-US"/>
        </w:rPr>
        <w:t>877</w:t>
      </w:r>
      <w:r w:rsidR="007B7C14" w:rsidRPr="00A27896">
        <w:rPr>
          <w:rFonts w:eastAsiaTheme="minorHAnsi"/>
          <w:color w:val="17365D"/>
          <w:sz w:val="24"/>
          <w:szCs w:val="24"/>
          <w:lang w:eastAsia="en-US"/>
        </w:rPr>
        <w:t xml:space="preserve"> “</w:t>
      </w:r>
      <w:r w:rsidR="00E61B3D" w:rsidRPr="00A27896">
        <w:rPr>
          <w:color w:val="17365D"/>
          <w:sz w:val="24"/>
          <w:szCs w:val="24"/>
        </w:rPr>
        <w:t>Grāmatvedības kārtošanas noteikumi</w:t>
      </w:r>
      <w:r w:rsidR="007B7C14" w:rsidRPr="00A27896">
        <w:rPr>
          <w:rFonts w:eastAsiaTheme="minorHAnsi"/>
          <w:color w:val="17365D"/>
          <w:sz w:val="24"/>
          <w:szCs w:val="24"/>
          <w:lang w:eastAsia="en-US"/>
        </w:rPr>
        <w:t>”</w:t>
      </w:r>
      <w:r w:rsidR="009F6897" w:rsidRPr="00A27896">
        <w:rPr>
          <w:rFonts w:eastAsiaTheme="minorHAnsi"/>
          <w:color w:val="17365D"/>
          <w:sz w:val="24"/>
          <w:szCs w:val="24"/>
          <w:lang w:eastAsia="en-US"/>
        </w:rPr>
        <w:t>.</w:t>
      </w:r>
    </w:p>
    <w:p w14:paraId="5AF07FBC" w14:textId="77777777" w:rsidR="00954F0C" w:rsidRPr="00A27896" w:rsidRDefault="00954F0C" w:rsidP="00FD10CC">
      <w:pPr>
        <w:pStyle w:val="Heading3"/>
      </w:pPr>
      <w:r w:rsidRPr="00A27896">
        <w:t>Konsolidētais pārskats par darbības finansiālajiem rezultātiem</w:t>
      </w:r>
    </w:p>
    <w:p w14:paraId="57613C77" w14:textId="223A8BF4" w:rsidR="00954F0C" w:rsidRPr="00A27896" w:rsidRDefault="00954F0C" w:rsidP="00954F0C">
      <w:pPr>
        <w:pStyle w:val="Pamatteksts"/>
        <w:ind w:firstLine="284"/>
        <w:rPr>
          <w:rFonts w:eastAsia="Calibri"/>
          <w:color w:val="17365D"/>
        </w:rPr>
      </w:pPr>
      <w:r w:rsidRPr="00A27896">
        <w:rPr>
          <w:rFonts w:eastAsia="Calibri"/>
          <w:noProof w:val="0"/>
          <w:color w:val="17365D"/>
        </w:rPr>
        <w:t>Konsolidētajā pārskatā par darbības finansiālajiem rezultātiem uzrādīta finanšu informācija par ministriju, centrālo valsts iestāžu, pašvaldību</w:t>
      </w:r>
      <w:r w:rsidR="00273ECF" w:rsidRPr="00A27896">
        <w:rPr>
          <w:rFonts w:eastAsia="Calibri"/>
          <w:noProof w:val="0"/>
          <w:color w:val="17365D"/>
        </w:rPr>
        <w:t>,</w:t>
      </w:r>
      <w:r w:rsidRPr="00A27896">
        <w:rPr>
          <w:rFonts w:eastAsia="Calibri"/>
          <w:noProof w:val="0"/>
          <w:color w:val="17365D"/>
        </w:rPr>
        <w:t xml:space="preserve"> valsts budžeta finanšu uzskaites </w:t>
      </w:r>
      <w:r w:rsidR="00273ECF" w:rsidRPr="00A27896">
        <w:rPr>
          <w:rFonts w:eastAsia="Calibri"/>
          <w:noProof w:val="0"/>
          <w:color w:val="17365D"/>
        </w:rPr>
        <w:t xml:space="preserve">un </w:t>
      </w:r>
      <w:r w:rsidR="00785427" w:rsidRPr="00A27896">
        <w:rPr>
          <w:rFonts w:eastAsia="Calibri"/>
          <w:noProof w:val="0"/>
          <w:color w:val="17365D"/>
        </w:rPr>
        <w:t>VID</w:t>
      </w:r>
      <w:r w:rsidR="00273ECF" w:rsidRPr="00A27896">
        <w:rPr>
          <w:rFonts w:eastAsia="Calibri"/>
          <w:noProof w:val="0"/>
          <w:color w:val="17365D"/>
        </w:rPr>
        <w:t xml:space="preserve"> administrētiem valsts budžeta </w:t>
      </w:r>
      <w:r w:rsidRPr="00A27896">
        <w:rPr>
          <w:rFonts w:eastAsia="Calibri"/>
          <w:noProof w:val="0"/>
          <w:color w:val="17365D"/>
        </w:rPr>
        <w:t xml:space="preserve">ieņēmumiem un izdevumiem </w:t>
      </w:r>
      <w:r w:rsidR="00980EC2" w:rsidRPr="00A27896">
        <w:rPr>
          <w:rFonts w:eastAsia="Calibri"/>
          <w:noProof w:val="0"/>
          <w:color w:val="17365D"/>
        </w:rPr>
        <w:t>202</w:t>
      </w:r>
      <w:r w:rsidR="00CD34C5" w:rsidRPr="00A27896">
        <w:rPr>
          <w:rFonts w:eastAsia="Calibri"/>
          <w:noProof w:val="0"/>
          <w:color w:val="17365D"/>
        </w:rPr>
        <w:t>2</w:t>
      </w:r>
      <w:r w:rsidRPr="00A27896">
        <w:rPr>
          <w:rFonts w:eastAsia="Calibri"/>
          <w:noProof w:val="0"/>
          <w:color w:val="17365D"/>
        </w:rPr>
        <w:t>. gadā,</w:t>
      </w:r>
      <w:r w:rsidRPr="00A27896">
        <w:rPr>
          <w:color w:val="17365D"/>
        </w:rPr>
        <w:t xml:space="preserve"> kā arī salīdzinošā informācija par </w:t>
      </w:r>
      <w:r w:rsidR="00980EC2" w:rsidRPr="00A27896">
        <w:rPr>
          <w:color w:val="17365D"/>
        </w:rPr>
        <w:t>20</w:t>
      </w:r>
      <w:r w:rsidR="001C23FC" w:rsidRPr="00A27896">
        <w:rPr>
          <w:color w:val="17365D"/>
        </w:rPr>
        <w:t>2</w:t>
      </w:r>
      <w:r w:rsidR="00203DA3" w:rsidRPr="00A27896">
        <w:rPr>
          <w:color w:val="17365D"/>
        </w:rPr>
        <w:t>1</w:t>
      </w:r>
      <w:r w:rsidRPr="00A27896">
        <w:rPr>
          <w:color w:val="17365D"/>
        </w:rPr>
        <w:t>. gadu.</w:t>
      </w:r>
      <w:r w:rsidR="00ED32DB" w:rsidRPr="00A27896">
        <w:rPr>
          <w:rStyle w:val="CommentReference"/>
          <w:rFonts w:eastAsiaTheme="minorHAnsi"/>
          <w:noProof w:val="0"/>
          <w:color w:val="17365D"/>
          <w:lang w:eastAsia="en-US"/>
        </w:rPr>
        <w:t xml:space="preserve"> </w:t>
      </w:r>
    </w:p>
    <w:p w14:paraId="48599405" w14:textId="00013C40" w:rsidR="00954F0C" w:rsidRPr="00A27896" w:rsidRDefault="00954F0C" w:rsidP="00954F0C">
      <w:pPr>
        <w:pStyle w:val="Pamatteksts"/>
        <w:ind w:firstLine="284"/>
        <w:rPr>
          <w:rFonts w:eastAsia="Calibri"/>
          <w:noProof w:val="0"/>
          <w:color w:val="17365D"/>
        </w:rPr>
      </w:pPr>
      <w:r w:rsidRPr="00A27896">
        <w:rPr>
          <w:rFonts w:eastAsia="Calibri"/>
          <w:noProof w:val="0"/>
          <w:color w:val="17365D"/>
        </w:rPr>
        <w:t>Konsolidētajā pārskatā</w:t>
      </w:r>
      <w:r w:rsidRPr="00A27896">
        <w:rPr>
          <w:rFonts w:eastAsia="Calibri"/>
          <w:noProof w:val="0"/>
          <w:color w:val="17365D"/>
          <w:szCs w:val="22"/>
          <w:lang w:eastAsia="en-US"/>
        </w:rPr>
        <w:t xml:space="preserve"> </w:t>
      </w:r>
      <w:r w:rsidRPr="00A27896">
        <w:rPr>
          <w:rFonts w:eastAsia="Calibri"/>
          <w:noProof w:val="0"/>
          <w:color w:val="17365D"/>
        </w:rPr>
        <w:t>par darbības finansiālajiem rezultātiem iepriekšējo pārskata periodu kļūdu labojumi iekļauti pārskata gada ieņēmumu un izdevumu sastāvā, izņemot būtisku kļūdu labojumus, kas uzrādīti</w:t>
      </w:r>
      <w:r w:rsidR="00F048F2" w:rsidRPr="00A27896">
        <w:rPr>
          <w:rFonts w:eastAsia="Calibri"/>
          <w:noProof w:val="0"/>
          <w:color w:val="17365D"/>
        </w:rPr>
        <w:t>, koriģējot</w:t>
      </w:r>
      <w:r w:rsidRPr="00A27896">
        <w:rPr>
          <w:rFonts w:eastAsia="Calibri"/>
          <w:noProof w:val="0"/>
          <w:color w:val="17365D"/>
        </w:rPr>
        <w:t xml:space="preserve"> </w:t>
      </w:r>
      <w:r w:rsidR="00F048F2" w:rsidRPr="00A27896">
        <w:rPr>
          <w:rFonts w:eastAsia="Calibri"/>
          <w:noProof w:val="0"/>
          <w:color w:val="17365D"/>
        </w:rPr>
        <w:t xml:space="preserve">salīdzināmo informāciju tādā </w:t>
      </w:r>
      <w:r w:rsidR="00D31685" w:rsidRPr="00A27896">
        <w:rPr>
          <w:rFonts w:eastAsia="Calibri"/>
          <w:noProof w:val="0"/>
          <w:color w:val="17365D"/>
        </w:rPr>
        <w:t>vērtībā</w:t>
      </w:r>
      <w:r w:rsidR="00F048F2" w:rsidRPr="00A27896">
        <w:rPr>
          <w:rFonts w:eastAsia="Calibri"/>
          <w:noProof w:val="0"/>
          <w:color w:val="17365D"/>
        </w:rPr>
        <w:t>, kād</w:t>
      </w:r>
      <w:r w:rsidR="00D31685" w:rsidRPr="00A27896">
        <w:rPr>
          <w:rFonts w:eastAsia="Calibri"/>
          <w:noProof w:val="0"/>
          <w:color w:val="17365D"/>
        </w:rPr>
        <w:t>a</w:t>
      </w:r>
      <w:r w:rsidR="00F048F2" w:rsidRPr="00A27896">
        <w:rPr>
          <w:rFonts w:eastAsia="Calibri"/>
          <w:noProof w:val="0"/>
          <w:color w:val="17365D"/>
        </w:rPr>
        <w:t xml:space="preserve"> attiecas uz </w:t>
      </w:r>
      <w:r w:rsidR="00D31685" w:rsidRPr="00A27896">
        <w:rPr>
          <w:rFonts w:eastAsia="Calibri"/>
          <w:noProof w:val="0"/>
          <w:color w:val="17365D"/>
        </w:rPr>
        <w:t>iepriekšējo pārskata</w:t>
      </w:r>
      <w:r w:rsidR="00F048F2" w:rsidRPr="00A27896">
        <w:rPr>
          <w:rFonts w:eastAsia="Calibri"/>
          <w:noProof w:val="0"/>
          <w:color w:val="17365D"/>
        </w:rPr>
        <w:t xml:space="preserve"> periodu</w:t>
      </w:r>
      <w:r w:rsidRPr="00A27896">
        <w:rPr>
          <w:rFonts w:eastAsia="Calibri"/>
          <w:noProof w:val="0"/>
          <w:color w:val="17365D"/>
        </w:rPr>
        <w:t>. Iepriekšējā pārskata perioda darījumi uzrādīti atbilstoši pārskata gadam noteiktai pārskata struktūrai.</w:t>
      </w:r>
    </w:p>
    <w:p w14:paraId="2F906826" w14:textId="77777777" w:rsidR="00954F0C" w:rsidRPr="00A27896" w:rsidRDefault="00954F0C" w:rsidP="00954F0C">
      <w:pPr>
        <w:pStyle w:val="Pamatteksts"/>
        <w:ind w:firstLine="284"/>
        <w:rPr>
          <w:rFonts w:eastAsia="Calibri"/>
          <w:noProof w:val="0"/>
          <w:color w:val="17365D"/>
        </w:rPr>
      </w:pPr>
      <w:r w:rsidRPr="00A27896">
        <w:rPr>
          <w:rFonts w:eastAsia="Calibri"/>
          <w:noProof w:val="0"/>
          <w:color w:val="17365D"/>
        </w:rPr>
        <w:t>Ieņēmumus un izdevumus konsolidētajā pārskatā par darbības finansiālajiem rezultātiem uzrāda pa ieņēmumu un izdevumu grupām, izņemot ieņēmumus un izdevumus, kurus norāda atsevišķā pozīcijā, savstarpēji izslēdzot, un kas radušies sakarā ar:</w:t>
      </w:r>
    </w:p>
    <w:p w14:paraId="51F83599"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finanšu instrumentu patiesās vērtības izmaiņām, ārvalstu valūtas kursa svārstībām, atsavināšanu un izslēgšanu no uzskaites, kā arī sakarā ar pārdošanai pieejamu finanšu instrumentu </w:t>
      </w:r>
      <w:proofErr w:type="spellStart"/>
      <w:r w:rsidRPr="00A27896">
        <w:rPr>
          <w:color w:val="17365D"/>
          <w:sz w:val="24"/>
          <w:szCs w:val="24"/>
        </w:rPr>
        <w:t>pārklasifikāciju</w:t>
      </w:r>
      <w:proofErr w:type="spellEnd"/>
      <w:r w:rsidRPr="00A27896">
        <w:rPr>
          <w:color w:val="17365D"/>
          <w:sz w:val="24"/>
          <w:szCs w:val="24"/>
        </w:rPr>
        <w:t xml:space="preserve"> uz citu finanšu instrumentu kategoriju. Ieņēmumus vai izdevumus no finanšu instrumentiem konsolidētajā pārskatā par darbības finansiālajiem rezultātiem uzrāda neto vērtībā;</w:t>
      </w:r>
    </w:p>
    <w:p w14:paraId="3A2D0679" w14:textId="4F9C1DD8" w:rsidR="00954F0C" w:rsidRPr="00A27896" w:rsidRDefault="00954F0C" w:rsidP="007C6C15">
      <w:pPr>
        <w:pStyle w:val="tv2131"/>
        <w:numPr>
          <w:ilvl w:val="0"/>
          <w:numId w:val="18"/>
        </w:numPr>
        <w:spacing w:after="120" w:line="240" w:lineRule="auto"/>
        <w:ind w:left="851"/>
        <w:jc w:val="both"/>
        <w:rPr>
          <w:color w:val="17365D"/>
          <w:sz w:val="24"/>
          <w:szCs w:val="24"/>
        </w:rPr>
      </w:pPr>
      <w:proofErr w:type="spellStart"/>
      <w:r w:rsidRPr="00A27896">
        <w:rPr>
          <w:color w:val="17365D"/>
          <w:sz w:val="24"/>
          <w:szCs w:val="24"/>
        </w:rPr>
        <w:t>nefinanšu</w:t>
      </w:r>
      <w:proofErr w:type="spellEnd"/>
      <w:r w:rsidRPr="00A27896">
        <w:rPr>
          <w:color w:val="17365D"/>
          <w:sz w:val="24"/>
          <w:szCs w:val="24"/>
        </w:rPr>
        <w:t xml:space="preserve"> aktīvu atsavināšanu. Konsolidētajā pārskatā par darbības finansiālajiem</w:t>
      </w:r>
      <w:r w:rsidR="00D50D19" w:rsidRPr="00A27896">
        <w:rPr>
          <w:color w:val="17365D"/>
          <w:sz w:val="24"/>
          <w:szCs w:val="24"/>
        </w:rPr>
        <w:t xml:space="preserve"> </w:t>
      </w:r>
      <w:r w:rsidRPr="00A27896">
        <w:rPr>
          <w:color w:val="17365D"/>
          <w:sz w:val="24"/>
          <w:szCs w:val="24"/>
        </w:rPr>
        <w:t xml:space="preserve">rezultātiem uzrāda neto vērtību – ieņēmumus (+) vai zaudējumus (–) no ilgtermiņa ieguldījumu objektu atsavināšanas, kuru aprēķina kā starpību starp izslēgtā objekta uzskaites vērtību un tā atsavināšanas ieņēmumiem un izdevumiem. </w:t>
      </w:r>
    </w:p>
    <w:p w14:paraId="6C5E2C44" w14:textId="77777777" w:rsidR="00954F0C" w:rsidRPr="00A27896" w:rsidRDefault="00954F0C" w:rsidP="00FD10CC">
      <w:pPr>
        <w:pStyle w:val="Heading3"/>
      </w:pPr>
      <w:r w:rsidRPr="00A27896">
        <w:t>Konsolidētais pašu kapitāla izmaiņu pārskats</w:t>
      </w:r>
    </w:p>
    <w:p w14:paraId="73D52483" w14:textId="77777777" w:rsidR="00954F0C" w:rsidRPr="00A27896" w:rsidRDefault="00954F0C" w:rsidP="00686079">
      <w:pPr>
        <w:pStyle w:val="Pamatteksts"/>
        <w:ind w:firstLine="284"/>
        <w:rPr>
          <w:rFonts w:eastAsia="Calibri"/>
          <w:noProof w:val="0"/>
          <w:color w:val="17365D"/>
        </w:rPr>
      </w:pPr>
      <w:r w:rsidRPr="00A27896">
        <w:rPr>
          <w:rFonts w:eastAsia="Calibri"/>
          <w:noProof w:val="0"/>
          <w:color w:val="17365D"/>
        </w:rPr>
        <w:t>Konsolidētajā pašu kapitāla izmaiņu pārskatā uzrāda neto aktīvu pieaugumu vai samazinājumu pārskata periodā un iepriekšējā pārskata periodā. Neto aktīvi ir starpība starp budžeta iestādes kopējiem aktīviem un kopējām saistībām un uzkrājumiem. Pašu kapitāls var būt gan pozitīvs, gan negatīvs.</w:t>
      </w:r>
    </w:p>
    <w:p w14:paraId="52E6A083" w14:textId="40F90D07" w:rsidR="00954F0C" w:rsidRPr="00A27896" w:rsidRDefault="00954F0C" w:rsidP="00686079">
      <w:pPr>
        <w:pStyle w:val="Pamatteksts"/>
        <w:ind w:firstLine="284"/>
        <w:rPr>
          <w:rFonts w:eastAsia="Calibri"/>
          <w:noProof w:val="0"/>
          <w:color w:val="17365D"/>
        </w:rPr>
      </w:pPr>
      <w:r w:rsidRPr="00A27896">
        <w:rPr>
          <w:rFonts w:eastAsia="Calibri"/>
          <w:noProof w:val="0"/>
          <w:color w:val="17365D"/>
        </w:rPr>
        <w:lastRenderedPageBreak/>
        <w:t>Pārskata periodā veiktie būtisku iepriekšējo pārskata periodu kļūdu labojumi uzrādīti</w:t>
      </w:r>
      <w:r w:rsidR="004B6226" w:rsidRPr="00A27896">
        <w:rPr>
          <w:rFonts w:eastAsia="Calibri"/>
          <w:noProof w:val="0"/>
          <w:color w:val="17365D"/>
        </w:rPr>
        <w:t xml:space="preserve">, koriģējot salīdzināmo informāciju </w:t>
      </w:r>
      <w:r w:rsidRPr="00A27896">
        <w:rPr>
          <w:rFonts w:eastAsia="Calibri"/>
          <w:noProof w:val="0"/>
          <w:color w:val="17365D"/>
        </w:rPr>
        <w:t>tādā vērtībā, kāda attiecas uz iepriekšējiem pārskata periodiem.</w:t>
      </w:r>
    </w:p>
    <w:p w14:paraId="74A8A338" w14:textId="77777777" w:rsidR="00954F0C" w:rsidRPr="00A27896" w:rsidRDefault="00954F0C" w:rsidP="00FD10CC">
      <w:pPr>
        <w:pStyle w:val="Heading3"/>
      </w:pPr>
      <w:r w:rsidRPr="00A27896">
        <w:t>Konsolidētais naudas plūsmas pārskats</w:t>
      </w:r>
    </w:p>
    <w:p w14:paraId="048A8F30" w14:textId="7DF2FA83" w:rsidR="00954F0C" w:rsidRPr="00A27896" w:rsidRDefault="00954F0C" w:rsidP="007B7C14">
      <w:pPr>
        <w:pStyle w:val="Pamatteksts"/>
        <w:ind w:firstLine="284"/>
        <w:rPr>
          <w:color w:val="17365D"/>
        </w:rPr>
      </w:pPr>
      <w:r w:rsidRPr="00A27896">
        <w:rPr>
          <w:color w:val="17365D"/>
        </w:rPr>
        <w:t>Konsolidētajā naudas plūsmas pārskatā uzrādīta finanšu informācija par ministriju, centrālo valsts iestāžu, pašvaldību</w:t>
      </w:r>
      <w:r w:rsidR="005406D4" w:rsidRPr="00A27896">
        <w:rPr>
          <w:color w:val="17365D"/>
        </w:rPr>
        <w:t>,</w:t>
      </w:r>
      <w:r w:rsidRPr="00A27896">
        <w:rPr>
          <w:color w:val="17365D"/>
        </w:rPr>
        <w:t xml:space="preserve"> valsts budžeta finanšu uzskaites</w:t>
      </w:r>
      <w:r w:rsidR="005406D4" w:rsidRPr="00A27896">
        <w:rPr>
          <w:color w:val="17365D"/>
        </w:rPr>
        <w:t xml:space="preserve"> </w:t>
      </w:r>
      <w:r w:rsidR="005406D4" w:rsidRPr="00A27896">
        <w:rPr>
          <w:rFonts w:eastAsia="Calibri"/>
          <w:noProof w:val="0"/>
          <w:color w:val="17365D"/>
        </w:rPr>
        <w:t xml:space="preserve">un </w:t>
      </w:r>
      <w:r w:rsidR="00785427" w:rsidRPr="00A27896">
        <w:rPr>
          <w:rFonts w:eastAsia="Calibri"/>
          <w:noProof w:val="0"/>
          <w:color w:val="17365D"/>
        </w:rPr>
        <w:t>VID</w:t>
      </w:r>
      <w:r w:rsidR="005406D4" w:rsidRPr="00A27896">
        <w:rPr>
          <w:rFonts w:eastAsia="Calibri"/>
          <w:noProof w:val="0"/>
          <w:color w:val="17365D"/>
        </w:rPr>
        <w:t xml:space="preserve"> administrētiem valsts budžeta</w:t>
      </w:r>
      <w:r w:rsidR="005406D4" w:rsidRPr="00A27896">
        <w:rPr>
          <w:color w:val="17365D"/>
        </w:rPr>
        <w:t xml:space="preserve"> </w:t>
      </w:r>
      <w:r w:rsidRPr="00A27896">
        <w:rPr>
          <w:color w:val="17365D"/>
        </w:rPr>
        <w:t xml:space="preserve">ieņēmumiem, izdevumiem un finansēšanas kategorijām </w:t>
      </w:r>
      <w:r w:rsidR="00980EC2" w:rsidRPr="00A27896">
        <w:rPr>
          <w:color w:val="17365D"/>
        </w:rPr>
        <w:t>202</w:t>
      </w:r>
      <w:r w:rsidR="00203DA3" w:rsidRPr="00A27896">
        <w:rPr>
          <w:color w:val="17365D"/>
        </w:rPr>
        <w:t>2</w:t>
      </w:r>
      <w:r w:rsidRPr="00A27896">
        <w:rPr>
          <w:color w:val="17365D"/>
        </w:rPr>
        <w:t>.</w:t>
      </w:r>
      <w:r w:rsidR="00203DA3" w:rsidRPr="00A27896">
        <w:rPr>
          <w:color w:val="17365D"/>
        </w:rPr>
        <w:t> </w:t>
      </w:r>
      <w:r w:rsidRPr="00A27896">
        <w:rPr>
          <w:color w:val="17365D"/>
        </w:rPr>
        <w:t xml:space="preserve">gadā, ievērojot naudas plūsmas principu, kā arī salīdzinošā informācija par </w:t>
      </w:r>
      <w:r w:rsidR="00980EC2" w:rsidRPr="00A27896">
        <w:rPr>
          <w:color w:val="17365D"/>
        </w:rPr>
        <w:t>20</w:t>
      </w:r>
      <w:r w:rsidR="001C23FC" w:rsidRPr="00A27896">
        <w:rPr>
          <w:color w:val="17365D"/>
        </w:rPr>
        <w:t>2</w:t>
      </w:r>
      <w:r w:rsidR="00203DA3" w:rsidRPr="00A27896">
        <w:rPr>
          <w:color w:val="17365D"/>
        </w:rPr>
        <w:t>1</w:t>
      </w:r>
      <w:r w:rsidRPr="00A27896">
        <w:rPr>
          <w:color w:val="17365D"/>
        </w:rPr>
        <w:t xml:space="preserve">. gadu. </w:t>
      </w:r>
    </w:p>
    <w:p w14:paraId="52A3D105" w14:textId="77777777" w:rsidR="00954F0C" w:rsidRPr="00A27896" w:rsidRDefault="00954F0C" w:rsidP="00686079">
      <w:pPr>
        <w:spacing w:after="120" w:line="240" w:lineRule="auto"/>
        <w:ind w:firstLine="284"/>
        <w:jc w:val="both"/>
        <w:rPr>
          <w:rFonts w:cs="Times New Roman"/>
          <w:color w:val="17365D"/>
          <w:szCs w:val="24"/>
        </w:rPr>
      </w:pPr>
      <w:r w:rsidRPr="00A27896">
        <w:rPr>
          <w:rFonts w:cs="Times New Roman"/>
          <w:color w:val="17365D"/>
          <w:szCs w:val="24"/>
        </w:rPr>
        <w:t>Konsolidētais naudas plūsmas pārskats sagatavots pēc tiešās metodes. Pārskatā ieņēmumi un izdevumi uzrādīti atbilstoši pamatdarbībai, ieguldījumu un finansēšanas darbībai.</w:t>
      </w:r>
    </w:p>
    <w:p w14:paraId="71968993" w14:textId="77777777" w:rsidR="00954F0C" w:rsidRPr="00A27896" w:rsidRDefault="00954F0C" w:rsidP="00686079">
      <w:pPr>
        <w:spacing w:after="120" w:line="240" w:lineRule="auto"/>
        <w:ind w:firstLine="284"/>
        <w:jc w:val="both"/>
        <w:rPr>
          <w:rFonts w:cs="Times New Roman"/>
          <w:color w:val="17365D"/>
          <w:szCs w:val="24"/>
        </w:rPr>
      </w:pPr>
      <w:r w:rsidRPr="00A27896">
        <w:rPr>
          <w:rFonts w:cs="Times New Roman"/>
          <w:color w:val="17365D"/>
          <w:szCs w:val="24"/>
        </w:rPr>
        <w:t>Konsolidētajā naudas plūsmas pārskatā atsevišķi uzrādītas naudas līdzekļu un naudas ekvivalentu savstarpējās izmaiņas, kas nav uzskatāmas par naudas plūsmu.</w:t>
      </w:r>
    </w:p>
    <w:p w14:paraId="3728C7A9" w14:textId="77777777" w:rsidR="00954F0C" w:rsidRPr="00A27896" w:rsidRDefault="00954F0C" w:rsidP="005A3758">
      <w:pPr>
        <w:pStyle w:val="Heading4"/>
        <w:rPr>
          <w:rFonts w:cs="Times New Roman"/>
        </w:rPr>
      </w:pPr>
      <w:r w:rsidRPr="00A27896">
        <w:rPr>
          <w:rFonts w:cs="Times New Roman"/>
        </w:rPr>
        <w:t>Pamatdarbība (ieņēmumi un izdevumi)</w:t>
      </w:r>
    </w:p>
    <w:p w14:paraId="32807098" w14:textId="77777777" w:rsidR="00954F0C" w:rsidRPr="00A27896" w:rsidRDefault="00954F0C" w:rsidP="00686079">
      <w:pPr>
        <w:spacing w:after="120" w:line="240" w:lineRule="auto"/>
        <w:ind w:firstLine="284"/>
        <w:jc w:val="both"/>
        <w:rPr>
          <w:rFonts w:cs="Times New Roman"/>
          <w:color w:val="17365D"/>
          <w:szCs w:val="24"/>
        </w:rPr>
      </w:pPr>
      <w:r w:rsidRPr="00A27896">
        <w:rPr>
          <w:rFonts w:cs="Times New Roman"/>
          <w:color w:val="17365D"/>
          <w:szCs w:val="24"/>
        </w:rPr>
        <w:t xml:space="preserve">Pamatdarbība ir darbība, kas nodrošina nozīmīgākās ienākumu daļas gūšanu, un citas darbības, kas nav saistītas ar ieguldīšanu un finansēšanu. Pamatdarbības ieņēmumi un izdevumi veikti, lai sasniegtu budžeta iestādes primāros mērķus, kas noteikti likumā par valsts budžetu saimnieciskajam gadam vai saistošajos noteikumos par pašvaldības budžetu, tie ietver ziedojumus un dāvinājumus, kā arī citos budžetos uzskaitītos līdzekļus. </w:t>
      </w:r>
    </w:p>
    <w:p w14:paraId="046C34AA" w14:textId="77777777" w:rsidR="00954F0C" w:rsidRPr="00A27896" w:rsidRDefault="00954F0C" w:rsidP="00686079">
      <w:pPr>
        <w:spacing w:after="120" w:line="240" w:lineRule="auto"/>
        <w:ind w:firstLine="284"/>
        <w:jc w:val="both"/>
        <w:rPr>
          <w:rFonts w:cs="Times New Roman"/>
          <w:color w:val="17365D"/>
          <w:szCs w:val="24"/>
        </w:rPr>
      </w:pPr>
      <w:r w:rsidRPr="00A27896">
        <w:rPr>
          <w:rFonts w:cs="Times New Roman"/>
          <w:color w:val="17365D"/>
          <w:szCs w:val="24"/>
        </w:rPr>
        <w:t>Pamatdarbības naudas plūsmā ieņēmumus un izdevumus veido darījumi, kas saistīti ar:</w:t>
      </w:r>
    </w:p>
    <w:p w14:paraId="462D0F23"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budžeta iestādes sniegtajiem pakalpojumiem un piegādātajām precēm, kā arī saņemtajiem pakalpojumiem un iegādātajām precēm;</w:t>
      </w:r>
    </w:p>
    <w:p w14:paraId="49AA8017"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saņemto ārvalstu finanšu palīdzību, ziedojumiem un dāvinājumiem;</w:t>
      </w:r>
    </w:p>
    <w:p w14:paraId="2D00CC0C"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atlīdzību nodarbinātajiem;</w:t>
      </w:r>
    </w:p>
    <w:p w14:paraId="12A0AC19"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saņemtajiem un veiktajiem nodokļu un nodevu maksājumiem, citiem maksājumiem budžetos un </w:t>
      </w:r>
      <w:proofErr w:type="spellStart"/>
      <w:r w:rsidRPr="00A27896">
        <w:rPr>
          <w:color w:val="17365D"/>
          <w:sz w:val="24"/>
          <w:szCs w:val="24"/>
        </w:rPr>
        <w:t>transfertu</w:t>
      </w:r>
      <w:proofErr w:type="spellEnd"/>
      <w:r w:rsidRPr="00A27896">
        <w:rPr>
          <w:color w:val="17365D"/>
          <w:sz w:val="24"/>
          <w:szCs w:val="24"/>
        </w:rPr>
        <w:t xml:space="preserve"> maksājumiem;</w:t>
      </w:r>
    </w:p>
    <w:p w14:paraId="38F6F65A"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tiesvedību;</w:t>
      </w:r>
    </w:p>
    <w:p w14:paraId="7555A82B"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aizdevumiem;</w:t>
      </w:r>
    </w:p>
    <w:p w14:paraId="722172C7"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atvasinātajiem finanšu instrumentiem, ja tie ir piesaistīti pamatdarbībā iekļautajiem finanšu instrumentiem;</w:t>
      </w:r>
    </w:p>
    <w:p w14:paraId="083D318F"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ieguldījuma īpašumu iegādi, izveidošanu, iznomāšanu un atsavināšanu;</w:t>
      </w:r>
    </w:p>
    <w:p w14:paraId="2EA2F8C4"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saņemtajiem maksājumiem publiskās un privātās partnerības līgumu ietvaros;</w:t>
      </w:r>
    </w:p>
    <w:p w14:paraId="3D2E4B6C"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citiem uz pamatdarbību attiecināmiem saņemtajiem un veiktajiem maksājumiem.</w:t>
      </w:r>
    </w:p>
    <w:p w14:paraId="34104E5E" w14:textId="787EEECA"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Valsts budžeta finanšu uzskaites pamatdarbība ir valsts pamatbudžeta izpildes un valsts budžeta finanšu uzskaites organizēšana. Valsts budžeta finanšu uzskaites nodrošināšanai iegādāto vērtspapīru, kā arī aizdevumu izsniegšanas un aizdevumu atmaksas naudas plūsma konsolidētajā pārskatā uzrādīta kā pamatdarbības naudas plūsma.</w:t>
      </w:r>
    </w:p>
    <w:p w14:paraId="709B47B5"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Procentu ieņēmumus un izdevumus no pamatdarbības klasificē šādi:</w:t>
      </w:r>
    </w:p>
    <w:p w14:paraId="101AE99C"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valsts un pašvaldību budžeta iestādes procentu ieņēmumi vai izdevumi par kontu atlikumiem, </w:t>
      </w:r>
      <w:proofErr w:type="spellStart"/>
      <w:r w:rsidRPr="00A27896">
        <w:rPr>
          <w:color w:val="17365D"/>
          <w:sz w:val="24"/>
          <w:szCs w:val="24"/>
        </w:rPr>
        <w:t>overdraftiem</w:t>
      </w:r>
      <w:proofErr w:type="spellEnd"/>
      <w:r w:rsidRPr="00A27896">
        <w:rPr>
          <w:color w:val="17365D"/>
          <w:sz w:val="24"/>
          <w:szCs w:val="24"/>
        </w:rPr>
        <w:t xml:space="preserve"> un aizdevumiem;</w:t>
      </w:r>
    </w:p>
    <w:p w14:paraId="7380CD13"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valsts budžeta finanšu uzskaites procentu izdevumi vai ieņēmumi (negatīva procentu likme) par Valsts kases klientu kontu atlikumiem un </w:t>
      </w:r>
      <w:proofErr w:type="spellStart"/>
      <w:r w:rsidRPr="00A27896">
        <w:rPr>
          <w:color w:val="17365D"/>
          <w:sz w:val="24"/>
          <w:szCs w:val="24"/>
        </w:rPr>
        <w:t>overdraftiem</w:t>
      </w:r>
      <w:proofErr w:type="spellEnd"/>
      <w:r w:rsidRPr="00A27896">
        <w:rPr>
          <w:color w:val="17365D"/>
          <w:sz w:val="24"/>
          <w:szCs w:val="24"/>
        </w:rPr>
        <w:t xml:space="preserve">, procentu ieņēmumi un </w:t>
      </w:r>
      <w:r w:rsidRPr="00A27896">
        <w:rPr>
          <w:color w:val="17365D"/>
          <w:sz w:val="24"/>
          <w:szCs w:val="24"/>
        </w:rPr>
        <w:lastRenderedPageBreak/>
        <w:t xml:space="preserve">izdevumi (negatīva procentu likme) par Valsts kases kontu atlikumiem, </w:t>
      </w:r>
      <w:proofErr w:type="spellStart"/>
      <w:r w:rsidRPr="00A27896">
        <w:rPr>
          <w:color w:val="17365D"/>
          <w:sz w:val="24"/>
          <w:szCs w:val="24"/>
        </w:rPr>
        <w:t>overdraftiem</w:t>
      </w:r>
      <w:proofErr w:type="spellEnd"/>
      <w:r w:rsidRPr="00A27896">
        <w:rPr>
          <w:color w:val="17365D"/>
          <w:sz w:val="24"/>
          <w:szCs w:val="24"/>
        </w:rPr>
        <w:t xml:space="preserve"> Latvijas Bankā vai kredītiestādēs, kā arī procentu ieņēmumi par izsniegtajiem aizdevumiem.</w:t>
      </w:r>
    </w:p>
    <w:p w14:paraId="2F485614"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Citos ieņēmumos un izdevumos no pamatdarbības uzskaitīti pārējie ieņēmumi un izdevumi, kas nav uzskaitīti citos pamatdarbības posteņos, kā arī citu budžetu līdzekļi, kas uz laiku ir iestādes glabājumā (konkursa vai drošības nauda, vēlēšanu drošības nauda, pansionātos dzīvojošo pensijas, atsavinātie līdzekļi no aizturētām personām un ieņēmumi par mantas realizāciju no krimināllietām un administratīvo pārkāpumu lietām līdz tiesas lēmumam, ieslodzīto un citu personu personīgā nauda, drošības nauda par kasācijas sūdzību). Citu budžetu līdzekļus pamatdarbības ieņēmumos norāda neto vērtībā, t.i., no pārskata periodā saņemtiem līdzekļiem atskaitot pārskata periodā atmaksātos līdzekļus.</w:t>
      </w:r>
    </w:p>
    <w:p w14:paraId="051B00A1" w14:textId="77777777" w:rsidR="00954F0C" w:rsidRPr="00A27896" w:rsidRDefault="00954F0C" w:rsidP="005A3758">
      <w:pPr>
        <w:pStyle w:val="Heading4"/>
        <w:rPr>
          <w:rFonts w:cs="Times New Roman"/>
        </w:rPr>
      </w:pPr>
      <w:r w:rsidRPr="00A27896">
        <w:rPr>
          <w:rFonts w:cs="Times New Roman"/>
        </w:rPr>
        <w:t>Ieguldījumu darbība (ieņēmumi un izdevumi)</w:t>
      </w:r>
    </w:p>
    <w:p w14:paraId="77F3DF46"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Ieguldījumu darbības naudas plūsma veidojas no aktīvu iegādes, kas paredzēti budžeta iestāžu funkciju nodrošināšanai, ienākumu gūšanai un naudas plūsmas radīšanai nākotnē, un no šādu aktīvu pārdošanas.</w:t>
      </w:r>
    </w:p>
    <w:p w14:paraId="61C988DF"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Ieguldījumu darbības naudas plūsmā ieņēmumus un izdevumus veido šādi darījumi:</w:t>
      </w:r>
    </w:p>
    <w:p w14:paraId="0B94CA60"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ilgtermiņa </w:t>
      </w:r>
      <w:proofErr w:type="spellStart"/>
      <w:r w:rsidRPr="00A27896">
        <w:rPr>
          <w:color w:val="17365D"/>
          <w:sz w:val="24"/>
          <w:szCs w:val="24"/>
        </w:rPr>
        <w:t>nefinanšu</w:t>
      </w:r>
      <w:proofErr w:type="spellEnd"/>
      <w:r w:rsidRPr="00A27896">
        <w:rPr>
          <w:color w:val="17365D"/>
          <w:sz w:val="24"/>
          <w:szCs w:val="24"/>
        </w:rPr>
        <w:t xml:space="preserve"> aktīvu (izņemot ieguldījuma īpašumus) iegāde (tai skaitā veiktie maksājumi par kapitalizētām attīstības izmaksām un </w:t>
      </w:r>
      <w:proofErr w:type="spellStart"/>
      <w:r w:rsidRPr="00A27896">
        <w:rPr>
          <w:color w:val="17365D"/>
          <w:sz w:val="24"/>
          <w:szCs w:val="24"/>
        </w:rPr>
        <w:t>pašradītiem</w:t>
      </w:r>
      <w:proofErr w:type="spellEnd"/>
      <w:r w:rsidRPr="00A27896">
        <w:rPr>
          <w:color w:val="17365D"/>
          <w:sz w:val="24"/>
          <w:szCs w:val="24"/>
        </w:rPr>
        <w:t xml:space="preserve"> ilgtermiņa ieguldījumiem), avanss par šiem aktīviem un šādu aktīvu atsavināšana;</w:t>
      </w:r>
    </w:p>
    <w:p w14:paraId="662485E9"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ilgtermiņa finanšu aktīvu (piemēram, līdzdalība kapitālā un iegādātie parāda vērtspapīri) iegāde, avanss par šiem aktīviem un šādu aktīvu atsavināšana; </w:t>
      </w:r>
    </w:p>
    <w:p w14:paraId="7A405BBF"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saņemtie maksājumi finanšu nomas līgumu ietvaros un veiktie maksājumi partnerības līgumu ietvaros;</w:t>
      </w:r>
    </w:p>
    <w:p w14:paraId="120C9A10"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citi uz ieguldījumu darbību attiecināmi saņemti un veikti maksājumi;</w:t>
      </w:r>
    </w:p>
    <w:p w14:paraId="087F0C0B" w14:textId="51A60E1B"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valsts budžeta finanšu uzskaites ieņēmumi vai izdevumi no parāda vērtspapīru pārdošanas un ieguldījuma vērtspapīru iegādes. </w:t>
      </w:r>
    </w:p>
    <w:p w14:paraId="0CFDA644"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Procentu ieņēmumus vai izdevumus no ieguldījumu darbības klasificē šādi:</w:t>
      </w:r>
    </w:p>
    <w:p w14:paraId="79E02EE1"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valsts un pašvaldību budžeta iestādes procentu ieņēmumi vai izdevumi, ja ieguldījuma mērķis ir gūt atdevi (termiņnoguldījumi, ieguldījumi kapitālsabiedrībās, finanšu noma (iznomātājam), ieguldījumi vērtspapīros);</w:t>
      </w:r>
    </w:p>
    <w:p w14:paraId="28736613"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valsts budžeta finanšu uzskaites procentu izdevumi par pieņemtajiem noguldījumiem, procentu ieņēmumi par ieguldījuma vērtspapīriem un procentu izdevumi par emitētajiem parāda vērtspapīriem. </w:t>
      </w:r>
    </w:p>
    <w:p w14:paraId="6E1FB5F3" w14:textId="77777777" w:rsidR="00954F0C" w:rsidRPr="00A27896" w:rsidRDefault="00954F0C" w:rsidP="005A3758">
      <w:pPr>
        <w:pStyle w:val="Heading4"/>
        <w:rPr>
          <w:rFonts w:cs="Times New Roman"/>
        </w:rPr>
      </w:pPr>
      <w:r w:rsidRPr="00A27896">
        <w:rPr>
          <w:rFonts w:cs="Times New Roman"/>
        </w:rPr>
        <w:t>Finansēšanas darbība (ieņēmumi un izdevumi)</w:t>
      </w:r>
    </w:p>
    <w:p w14:paraId="51941D51" w14:textId="56684AAE"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Par finansēšanas darbību uzskata darbību, kas rada izmaiņas aizņēmumu (piemēram, emitētie parāda vērtspapīri, aizņēmumi, izņemot pārsnieguma kredītus (</w:t>
      </w:r>
      <w:proofErr w:type="spellStart"/>
      <w:r w:rsidRPr="00A27896">
        <w:rPr>
          <w:rFonts w:cs="Times New Roman"/>
          <w:color w:val="17365D"/>
          <w:szCs w:val="24"/>
        </w:rPr>
        <w:t>overdraftus</w:t>
      </w:r>
      <w:proofErr w:type="spellEnd"/>
      <w:r w:rsidRPr="00A27896">
        <w:rPr>
          <w:rFonts w:cs="Times New Roman"/>
          <w:color w:val="17365D"/>
          <w:szCs w:val="24"/>
        </w:rPr>
        <w:t xml:space="preserve">)) apmērā un sastāvā, kā arī darījumus ar atvasinātiem finanšu instrumentiem, </w:t>
      </w:r>
      <w:r w:rsidR="00A23002" w:rsidRPr="00A27896">
        <w:rPr>
          <w:rFonts w:cs="Times New Roman"/>
          <w:color w:val="17365D"/>
          <w:szCs w:val="24"/>
        </w:rPr>
        <w:t xml:space="preserve">tai skaitā, </w:t>
      </w:r>
      <w:r w:rsidR="00A8298C" w:rsidRPr="00A27896">
        <w:rPr>
          <w:rFonts w:cs="Times New Roman"/>
          <w:color w:val="17365D"/>
          <w:szCs w:val="24"/>
        </w:rPr>
        <w:t xml:space="preserve">kas noteikti kā riska ierobežošanas instrumenti, </w:t>
      </w:r>
      <w:r w:rsidRPr="00A27896">
        <w:rPr>
          <w:rFonts w:cs="Times New Roman"/>
          <w:color w:val="17365D"/>
          <w:szCs w:val="24"/>
        </w:rPr>
        <w:t>ja tie piesaistīti finansēšanas darbībā iekļautajiem finanšu instrumentiem, un veiktos maksājumus finanšu nomas līguma ietvaros.</w:t>
      </w:r>
    </w:p>
    <w:p w14:paraId="3A3597F3" w14:textId="1F0C20D5"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Ieņēmumos vai izdevumos no finansēšanas darbības uzskaita nauda</w:t>
      </w:r>
      <w:r w:rsidR="00FF4433" w:rsidRPr="00A27896">
        <w:rPr>
          <w:rFonts w:cs="Times New Roman"/>
          <w:color w:val="17365D"/>
          <w:szCs w:val="24"/>
        </w:rPr>
        <w:t>s līdzekļus un tās ekvivalentus.</w:t>
      </w:r>
      <w:r w:rsidRPr="00A27896">
        <w:rPr>
          <w:rFonts w:cs="Times New Roman"/>
          <w:color w:val="17365D"/>
          <w:szCs w:val="24"/>
        </w:rPr>
        <w:t xml:space="preserve"> </w:t>
      </w:r>
    </w:p>
    <w:p w14:paraId="0E10127C" w14:textId="77777777" w:rsidR="00FF4433" w:rsidRPr="00A27896" w:rsidRDefault="00FF4433" w:rsidP="00954F0C">
      <w:pPr>
        <w:spacing w:after="120" w:line="240" w:lineRule="auto"/>
        <w:ind w:firstLine="284"/>
        <w:jc w:val="both"/>
        <w:rPr>
          <w:rFonts w:cs="Times New Roman"/>
          <w:color w:val="17365D"/>
          <w:szCs w:val="24"/>
        </w:rPr>
      </w:pPr>
    </w:p>
    <w:p w14:paraId="0AD18ED4" w14:textId="77777777" w:rsidR="00FF4433" w:rsidRPr="00A27896" w:rsidRDefault="00FF4433" w:rsidP="00954F0C">
      <w:pPr>
        <w:spacing w:after="120" w:line="240" w:lineRule="auto"/>
        <w:ind w:firstLine="284"/>
        <w:jc w:val="both"/>
        <w:rPr>
          <w:rFonts w:cs="Times New Roman"/>
          <w:color w:val="17365D"/>
          <w:szCs w:val="24"/>
        </w:rPr>
      </w:pPr>
    </w:p>
    <w:p w14:paraId="351311DB" w14:textId="2A89FD92"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lastRenderedPageBreak/>
        <w:t>Par finansēšanas darbību uzskata:</w:t>
      </w:r>
    </w:p>
    <w:p w14:paraId="37A0CA76"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valsts un pašvaldību budžeta iestāžu ieņēmumus, kas saņemti par aizdevumu atmaksām vai saņemtiem aizņēmumiem, vai izdevumus, kas samaksāti par aizdevumu izsniegšanu vai aizņēmumu atmaksu;</w:t>
      </w:r>
    </w:p>
    <w:p w14:paraId="2E83EAC8"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valsts budžeta finanšu vadībā – naudas līdzekļus, kas saņemti par pašu emitēto vērtspapīru pārdošanu vai samaksāti par emitēto vērtspapīru dzēšanu.</w:t>
      </w:r>
    </w:p>
    <w:p w14:paraId="15D2D34D" w14:textId="794BDC86"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Procentu ieņēmumus vai izdevumus no finansēšanas darbības klasificē šādi:</w:t>
      </w:r>
    </w:p>
    <w:p w14:paraId="5400DFE0" w14:textId="77777777"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valsts un pašvaldību budžeta iestāžu procentu ieņēmumi vai izdevumi par aizņēmumiem, finanšu nomu (nomniekam) un citiem darījumiem atbilstoši </w:t>
      </w:r>
      <w:proofErr w:type="spellStart"/>
      <w:r w:rsidRPr="00A27896">
        <w:rPr>
          <w:color w:val="17365D"/>
          <w:sz w:val="24"/>
          <w:szCs w:val="24"/>
        </w:rPr>
        <w:t>izvērtējumam</w:t>
      </w:r>
      <w:proofErr w:type="spellEnd"/>
      <w:r w:rsidRPr="00A27896">
        <w:rPr>
          <w:color w:val="17365D"/>
          <w:sz w:val="24"/>
          <w:szCs w:val="24"/>
        </w:rPr>
        <w:t>;</w:t>
      </w:r>
    </w:p>
    <w:p w14:paraId="40998957" w14:textId="17E5B8F5" w:rsidR="00954F0C" w:rsidRPr="00A27896" w:rsidRDefault="00954F0C"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valsts budžeta finanšu uzskaites procentu ieņēmumi, kas samaksāti par aizņēmumiem un</w:t>
      </w:r>
      <w:r w:rsidR="00D50D19" w:rsidRPr="00A27896">
        <w:rPr>
          <w:color w:val="17365D"/>
          <w:sz w:val="24"/>
          <w:szCs w:val="24"/>
        </w:rPr>
        <w:t xml:space="preserve"> </w:t>
      </w:r>
      <w:r w:rsidRPr="00A27896">
        <w:rPr>
          <w:color w:val="17365D"/>
          <w:sz w:val="24"/>
          <w:szCs w:val="24"/>
        </w:rPr>
        <w:t>emitētajiem parāda vērtspapīriem.</w:t>
      </w:r>
    </w:p>
    <w:p w14:paraId="5D3696D6" w14:textId="13B99758" w:rsidR="00954F0C" w:rsidRPr="00A27896" w:rsidRDefault="00954F0C" w:rsidP="00686079">
      <w:pPr>
        <w:spacing w:after="120" w:line="240" w:lineRule="auto"/>
        <w:ind w:firstLine="284"/>
        <w:jc w:val="both"/>
        <w:rPr>
          <w:rFonts w:eastAsia="Times New Roman" w:cs="Times New Roman"/>
          <w:b/>
          <w:bCs/>
          <w:i/>
          <w:color w:val="17365D"/>
          <w:szCs w:val="24"/>
        </w:rPr>
      </w:pPr>
      <w:r w:rsidRPr="00A27896">
        <w:rPr>
          <w:rFonts w:eastAsia="Times New Roman" w:cs="Times New Roman"/>
          <w:b/>
          <w:bCs/>
          <w:i/>
          <w:color w:val="17365D"/>
          <w:szCs w:val="24"/>
        </w:rPr>
        <w:t xml:space="preserve">Naudas līdzekļu </w:t>
      </w:r>
      <w:r w:rsidR="00EE17D8" w:rsidRPr="00A27896">
        <w:rPr>
          <w:rFonts w:eastAsia="Times New Roman" w:cs="Times New Roman"/>
          <w:b/>
          <w:bCs/>
          <w:i/>
          <w:color w:val="17365D"/>
          <w:szCs w:val="24"/>
        </w:rPr>
        <w:t>plūsma no</w:t>
      </w:r>
      <w:r w:rsidRPr="00A27896">
        <w:rPr>
          <w:rFonts w:eastAsia="Times New Roman" w:cs="Times New Roman"/>
          <w:b/>
          <w:bCs/>
          <w:i/>
          <w:color w:val="17365D"/>
          <w:szCs w:val="24"/>
        </w:rPr>
        <w:t xml:space="preserve"> piesaistītajiem līdzekļiem</w:t>
      </w:r>
    </w:p>
    <w:p w14:paraId="12456D7B" w14:textId="746458DA" w:rsidR="00954F0C" w:rsidRPr="00A27896" w:rsidRDefault="00954F0C" w:rsidP="00686079">
      <w:pPr>
        <w:spacing w:after="120" w:line="240" w:lineRule="auto"/>
        <w:ind w:firstLine="284"/>
        <w:jc w:val="both"/>
        <w:rPr>
          <w:rFonts w:cs="Times New Roman"/>
          <w:color w:val="17365D"/>
          <w:szCs w:val="24"/>
        </w:rPr>
      </w:pPr>
      <w:r w:rsidRPr="00A27896">
        <w:rPr>
          <w:rFonts w:cs="Times New Roman"/>
          <w:color w:val="17365D"/>
          <w:szCs w:val="24"/>
        </w:rPr>
        <w:t xml:space="preserve">Naudas līdzekļu </w:t>
      </w:r>
      <w:r w:rsidR="00EE17D8" w:rsidRPr="00A27896">
        <w:rPr>
          <w:rFonts w:eastAsia="Times New Roman" w:cs="Times New Roman"/>
          <w:bCs/>
          <w:color w:val="17365D"/>
          <w:szCs w:val="24"/>
        </w:rPr>
        <w:t>plūsma no</w:t>
      </w:r>
      <w:r w:rsidR="00EE17D8" w:rsidRPr="00A27896">
        <w:rPr>
          <w:rFonts w:eastAsia="Times New Roman" w:cs="Times New Roman"/>
          <w:b/>
          <w:bCs/>
          <w:i/>
          <w:color w:val="17365D"/>
          <w:szCs w:val="24"/>
        </w:rPr>
        <w:t xml:space="preserve"> </w:t>
      </w:r>
      <w:r w:rsidRPr="00A27896">
        <w:rPr>
          <w:rFonts w:cs="Times New Roman"/>
          <w:color w:val="17365D"/>
          <w:szCs w:val="24"/>
        </w:rPr>
        <w:t xml:space="preserve">piesaistītajiem līdzekļiem ir naudas plūsma, kas veidojas no naudas saņemšanas vai izmaksāšanas Valsts kases klientu kontos, kā arī no naudas </w:t>
      </w:r>
      <w:proofErr w:type="spellStart"/>
      <w:r w:rsidRPr="00A27896">
        <w:rPr>
          <w:rFonts w:cs="Times New Roman"/>
          <w:color w:val="17365D"/>
          <w:szCs w:val="24"/>
        </w:rPr>
        <w:t>pārskaitījumiem</w:t>
      </w:r>
      <w:proofErr w:type="spellEnd"/>
      <w:r w:rsidRPr="00A27896">
        <w:rPr>
          <w:rFonts w:cs="Times New Roman"/>
          <w:color w:val="17365D"/>
          <w:szCs w:val="24"/>
        </w:rPr>
        <w:t xml:space="preserve"> starp Valsts kases kontiem un ieguldījumiem depozītos Valsts kases kontos.</w:t>
      </w:r>
    </w:p>
    <w:p w14:paraId="0C85C414" w14:textId="77777777" w:rsidR="00954F0C" w:rsidRPr="00A27896" w:rsidRDefault="00954F0C" w:rsidP="005A3758">
      <w:pPr>
        <w:pStyle w:val="Heading4"/>
        <w:rPr>
          <w:rFonts w:cs="Times New Roman"/>
        </w:rPr>
      </w:pPr>
      <w:r w:rsidRPr="00A27896">
        <w:rPr>
          <w:rFonts w:cs="Times New Roman"/>
        </w:rPr>
        <w:t>Ārvalstu valūtu kursu svārstību rezultāts</w:t>
      </w:r>
    </w:p>
    <w:p w14:paraId="02BFF62E"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Peļņa vai zaudējumi, kas rodas ārvalstu valūtas kursa svārstību rezultātā, nav uzskatāmi par naudas plūsmu. Tomēr, lai salīdzinātu naudas līdzekļu un naudas ekvivalentus (tai skaitā noguldījumus, kuru termiņš nepārsniedz 90 dienas) atlikumu perioda sākumā un beigās, naudas plūsmas pārskatā uzrāda ārvalstu valūtas kursa svārstību ietekmi uz naudas līdzekļu atlikumiem un to ekvivalentiem ārvalstu valūtā. Šo ietekmi uzrāda atsevišķi no pamatdarbības, ieguldījumu darbības un finansēšanas darbības.</w:t>
      </w:r>
    </w:p>
    <w:p w14:paraId="3A239018" w14:textId="77777777" w:rsidR="004C46B4" w:rsidRPr="00A27896" w:rsidRDefault="004C46B4">
      <w:pPr>
        <w:rPr>
          <w:rFonts w:eastAsiaTheme="majorEastAsia" w:cs="Times New Roman"/>
          <w:b/>
          <w:bCs/>
          <w:color w:val="17365D"/>
          <w:szCs w:val="26"/>
          <w:u w:val="single"/>
        </w:rPr>
      </w:pPr>
      <w:r w:rsidRPr="00A27896">
        <w:rPr>
          <w:rFonts w:cs="Times New Roman"/>
          <w:color w:val="17365D"/>
        </w:rPr>
        <w:br w:type="page"/>
      </w:r>
    </w:p>
    <w:p w14:paraId="4E5C567F" w14:textId="4019D595" w:rsidR="00AB2439" w:rsidRPr="00A27896" w:rsidRDefault="00AB2439" w:rsidP="00C60CCF">
      <w:pPr>
        <w:pStyle w:val="Heading2"/>
        <w:rPr>
          <w:rFonts w:cs="Times New Roman"/>
        </w:rPr>
      </w:pPr>
      <w:r w:rsidRPr="00A27896">
        <w:rPr>
          <w:rFonts w:cs="Times New Roman"/>
        </w:rPr>
        <w:lastRenderedPageBreak/>
        <w:t>Finanšu instrumentu risku pārvaldīšanas apraksts</w:t>
      </w:r>
    </w:p>
    <w:p w14:paraId="476F2A3E" w14:textId="77777777" w:rsidR="00AB2439" w:rsidRPr="00A27896" w:rsidRDefault="00AB2439" w:rsidP="00AB2439">
      <w:pPr>
        <w:autoSpaceDE w:val="0"/>
        <w:autoSpaceDN w:val="0"/>
        <w:adjustRightInd w:val="0"/>
        <w:spacing w:after="120" w:line="240" w:lineRule="auto"/>
        <w:ind w:firstLine="284"/>
        <w:jc w:val="both"/>
        <w:rPr>
          <w:rFonts w:cs="Times New Roman"/>
          <w:color w:val="17365D"/>
          <w:szCs w:val="24"/>
        </w:rPr>
      </w:pPr>
      <w:r w:rsidRPr="00A27896">
        <w:rPr>
          <w:rFonts w:cs="Times New Roman"/>
          <w:color w:val="17365D"/>
          <w:szCs w:val="24"/>
        </w:rPr>
        <w:t xml:space="preserve">Ministrijas un pašvaldības konsolidētā gada pārskata pielikumā pievieno tās īstenoto finanšu instrumentu risku pārvaldīšanas aprakstu. </w:t>
      </w:r>
    </w:p>
    <w:p w14:paraId="0EB459C7" w14:textId="3A7E1EDB" w:rsidR="00AB2439" w:rsidRPr="00A27896" w:rsidRDefault="00AB2439" w:rsidP="00AB2439">
      <w:pPr>
        <w:autoSpaceDE w:val="0"/>
        <w:autoSpaceDN w:val="0"/>
        <w:adjustRightInd w:val="0"/>
        <w:spacing w:after="120" w:line="240" w:lineRule="auto"/>
        <w:ind w:firstLine="284"/>
        <w:jc w:val="both"/>
        <w:rPr>
          <w:rFonts w:cs="Times New Roman"/>
          <w:color w:val="17365D"/>
          <w:szCs w:val="24"/>
        </w:rPr>
      </w:pPr>
      <w:r w:rsidRPr="00A27896">
        <w:rPr>
          <w:rFonts w:cs="Times New Roman"/>
          <w:color w:val="17365D"/>
          <w:szCs w:val="24"/>
        </w:rPr>
        <w:t xml:space="preserve">Būtiskākos skaidrojumus par </w:t>
      </w:r>
      <w:r w:rsidRPr="00A27896">
        <w:rPr>
          <w:rFonts w:cs="Times New Roman"/>
          <w:color w:val="17365D"/>
        </w:rPr>
        <w:t xml:space="preserve">finanšu instrumentu risku pārvaldību sniegusi Valsts kase un Rīgas </w:t>
      </w:r>
      <w:proofErr w:type="spellStart"/>
      <w:r w:rsidR="00FA4C96" w:rsidRPr="00A27896">
        <w:rPr>
          <w:rFonts w:cs="Times New Roman"/>
          <w:color w:val="17365D"/>
        </w:rPr>
        <w:t>valsts</w:t>
      </w:r>
      <w:r w:rsidRPr="00A27896">
        <w:rPr>
          <w:rFonts w:cs="Times New Roman"/>
          <w:color w:val="17365D"/>
        </w:rPr>
        <w:t>pilsētas</w:t>
      </w:r>
      <w:proofErr w:type="spellEnd"/>
      <w:r w:rsidRPr="00A27896">
        <w:rPr>
          <w:rFonts w:cs="Times New Roman"/>
          <w:color w:val="17365D"/>
        </w:rPr>
        <w:t xml:space="preserve"> pašvaldība.</w:t>
      </w:r>
    </w:p>
    <w:p w14:paraId="37E4E52F" w14:textId="0C92FFDA" w:rsidR="00AB2439" w:rsidRPr="00A27896" w:rsidRDefault="00AB2439" w:rsidP="00FD10CC">
      <w:pPr>
        <w:pStyle w:val="Heading3"/>
      </w:pPr>
      <w:r w:rsidRPr="00A27896">
        <w:t>Valsts budžeta finanšu uzskaites finanšu instrumentu risku pārvaldīšana</w:t>
      </w:r>
    </w:p>
    <w:p w14:paraId="63391743" w14:textId="406E64CB" w:rsidR="00AB2439" w:rsidRPr="00A27896" w:rsidRDefault="00AB2439" w:rsidP="00EC45E4">
      <w:pPr>
        <w:pStyle w:val="Default"/>
        <w:spacing w:after="120"/>
        <w:ind w:firstLine="284"/>
        <w:jc w:val="both"/>
        <w:rPr>
          <w:color w:val="17365D"/>
        </w:rPr>
      </w:pPr>
      <w:r w:rsidRPr="00A27896">
        <w:rPr>
          <w:color w:val="17365D"/>
        </w:rPr>
        <w:t>Valsts budžeta finanšu uzskaitē esošo parāda finanšu instrumentu risku pārvaldību īsteno Valsts kase saskaņā ar Valsts parāda un naudas līdzekļu vadības stratēģijā</w:t>
      </w:r>
      <w:r w:rsidRPr="00A27896">
        <w:rPr>
          <w:rStyle w:val="FootnoteReference"/>
          <w:color w:val="17365D"/>
        </w:rPr>
        <w:footnoteReference w:id="8"/>
      </w:r>
      <w:r w:rsidRPr="00A27896">
        <w:rPr>
          <w:color w:val="17365D"/>
        </w:rPr>
        <w:t xml:space="preserve"> (turpmāk</w:t>
      </w:r>
      <w:r w:rsidR="007425AD" w:rsidRPr="00A27896">
        <w:rPr>
          <w:color w:val="17365D"/>
        </w:rPr>
        <w:t xml:space="preserve"> –</w:t>
      </w:r>
      <w:r w:rsidRPr="00A27896">
        <w:rPr>
          <w:color w:val="17365D"/>
        </w:rPr>
        <w:t xml:space="preserve"> VK stratēģija) noteiktiem finanšu risku vadības pamatprincipiem. </w:t>
      </w:r>
    </w:p>
    <w:p w14:paraId="203E415B" w14:textId="77777777" w:rsidR="00AB2439" w:rsidRPr="00A27896" w:rsidRDefault="00AB2439" w:rsidP="00EC45E4">
      <w:pPr>
        <w:pStyle w:val="Default"/>
        <w:spacing w:after="120"/>
        <w:ind w:firstLine="284"/>
        <w:jc w:val="both"/>
        <w:rPr>
          <w:color w:val="17365D"/>
        </w:rPr>
      </w:pPr>
      <w:r w:rsidRPr="00A27896">
        <w:rPr>
          <w:color w:val="17365D"/>
        </w:rPr>
        <w:t>Finanšu risku vadības mērķis ir nepieļaut valsts parāda apkalpošanas izmaksu nekontrolētu palielināšanos un ierobežot saistību neizpildes risku VK stratēģijas ietvaros noslēgtajos darījumos.</w:t>
      </w:r>
    </w:p>
    <w:p w14:paraId="0F5DF5A3" w14:textId="77777777" w:rsidR="00AB2439" w:rsidRPr="00A27896" w:rsidRDefault="00AB2439" w:rsidP="00AB2439">
      <w:pPr>
        <w:autoSpaceDE w:val="0"/>
        <w:autoSpaceDN w:val="0"/>
        <w:adjustRightInd w:val="0"/>
        <w:spacing w:after="120" w:line="240" w:lineRule="auto"/>
        <w:ind w:firstLine="284"/>
        <w:jc w:val="both"/>
        <w:rPr>
          <w:rFonts w:cs="Times New Roman"/>
          <w:color w:val="17365D"/>
          <w:szCs w:val="24"/>
        </w:rPr>
      </w:pPr>
      <w:r w:rsidRPr="00A27896">
        <w:rPr>
          <w:rFonts w:cs="Times New Roman"/>
          <w:color w:val="17365D"/>
          <w:szCs w:val="24"/>
        </w:rPr>
        <w:t>Valsts kase saskaņā ar VK stratēģijā noteiktajiem pamatprincipiem vada sekojošus finanšu riskus:</w:t>
      </w:r>
      <w:r w:rsidRPr="00A27896" w:rsidDel="00BE11A6">
        <w:rPr>
          <w:rFonts w:cs="Times New Roman"/>
          <w:color w:val="17365D"/>
          <w:szCs w:val="24"/>
        </w:rPr>
        <w:t xml:space="preserve"> </w:t>
      </w:r>
    </w:p>
    <w:p w14:paraId="22A51CD3" w14:textId="77777777" w:rsidR="00AB2439" w:rsidRPr="00A27896" w:rsidRDefault="00AB2439"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kredītrisku – iespēju, ka </w:t>
      </w:r>
      <w:proofErr w:type="spellStart"/>
      <w:r w:rsidRPr="00A27896">
        <w:rPr>
          <w:color w:val="17365D"/>
          <w:sz w:val="24"/>
          <w:szCs w:val="24"/>
        </w:rPr>
        <w:t>partnerpuse</w:t>
      </w:r>
      <w:proofErr w:type="spellEnd"/>
      <w:r w:rsidRPr="00A27896">
        <w:rPr>
          <w:color w:val="17365D"/>
          <w:sz w:val="24"/>
          <w:szCs w:val="24"/>
        </w:rPr>
        <w:t>, finanšu instrumenta emitents un/vai tā galvinieks nespēs noteiktā laikā un pilnā apmērā pildīt savas saistības;</w:t>
      </w:r>
    </w:p>
    <w:p w14:paraId="334F7D61" w14:textId="77777777" w:rsidR="00AB2439" w:rsidRPr="00A27896" w:rsidRDefault="00AB2439"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likviditātes risku – finansējuma nepietiekamības risku Valsts kases naudas līdzekļu kontos valsts finansiālo saistību savlaicīgai izpildei pilnā apmērā nākamo 12 mēnešu laikā;</w:t>
      </w:r>
    </w:p>
    <w:p w14:paraId="0B89CAF5" w14:textId="77777777" w:rsidR="00AB2439" w:rsidRPr="00A27896" w:rsidRDefault="00AB2439"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pārfinansēšanas risku – nespēja pārfinansēt valsts parāda saistības vidējā termiņā ar pieņemamiem nosacījumiem;</w:t>
      </w:r>
    </w:p>
    <w:p w14:paraId="403BCEE1" w14:textId="77777777" w:rsidR="00AB2439" w:rsidRPr="00A27896" w:rsidRDefault="00AB2439"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procentu likmju risku – iespēju, ka procentu likmju izmaiņas nelabvēlīgi ietekmēs ieņēmumus/ izdevumus. Risks rodas, ja pastāv ievērojama starpība starp aktīvu un pasīvu, kas jūtīgi reaģē uz procentu likmju izmaiņām;</w:t>
      </w:r>
    </w:p>
    <w:p w14:paraId="517C5837" w14:textId="77777777" w:rsidR="00AB2439" w:rsidRPr="00A27896" w:rsidRDefault="00AB2439"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valūtu risku – iespēju, ka valūtas kursa svārstību rezultātā ārvalstu valūtā </w:t>
      </w:r>
      <w:proofErr w:type="spellStart"/>
      <w:r w:rsidRPr="00A27896">
        <w:rPr>
          <w:color w:val="17365D"/>
          <w:sz w:val="24"/>
          <w:szCs w:val="24"/>
        </w:rPr>
        <w:t>denominēto</w:t>
      </w:r>
      <w:proofErr w:type="spellEnd"/>
      <w:r w:rsidRPr="00A27896">
        <w:rPr>
          <w:color w:val="17365D"/>
          <w:sz w:val="24"/>
          <w:szCs w:val="24"/>
        </w:rPr>
        <w:t xml:space="preserve"> aktīvu/ saistību vērtība </w:t>
      </w:r>
      <w:proofErr w:type="spellStart"/>
      <w:r w:rsidRPr="00A27896">
        <w:rPr>
          <w:color w:val="17365D"/>
          <w:sz w:val="24"/>
          <w:szCs w:val="24"/>
        </w:rPr>
        <w:t>euro</w:t>
      </w:r>
      <w:proofErr w:type="spellEnd"/>
      <w:r w:rsidRPr="00A27896">
        <w:rPr>
          <w:color w:val="17365D"/>
          <w:sz w:val="24"/>
          <w:szCs w:val="24"/>
        </w:rPr>
        <w:t xml:space="preserve"> izteiksmē mainīsies negatīvā virzienā. Valūtas risks rodas, ja pastāv nesaskaņotība prasību un saistību summās ārvalstu valūtās.</w:t>
      </w:r>
    </w:p>
    <w:p w14:paraId="04A2623A" w14:textId="3E1C1B15" w:rsidR="00340325" w:rsidRPr="00A27896" w:rsidRDefault="00AB2439" w:rsidP="007B7C14">
      <w:pPr>
        <w:autoSpaceDE w:val="0"/>
        <w:autoSpaceDN w:val="0"/>
        <w:adjustRightInd w:val="0"/>
        <w:spacing w:after="0" w:line="240" w:lineRule="auto"/>
        <w:ind w:firstLine="425"/>
        <w:jc w:val="both"/>
        <w:rPr>
          <w:rFonts w:cs="Times New Roman"/>
          <w:color w:val="17365D"/>
          <w:szCs w:val="24"/>
        </w:rPr>
      </w:pPr>
      <w:r w:rsidRPr="00A27896">
        <w:rPr>
          <w:rFonts w:cs="Times New Roman"/>
          <w:color w:val="17365D"/>
          <w:szCs w:val="24"/>
        </w:rPr>
        <w:t xml:space="preserve">Detalizēta informācija par parāda vadības rādītājiem </w:t>
      </w:r>
      <w:r w:rsidR="000C1009" w:rsidRPr="00A27896">
        <w:rPr>
          <w:rFonts w:cs="Times New Roman"/>
          <w:color w:val="17365D"/>
          <w:szCs w:val="24"/>
        </w:rPr>
        <w:t>202</w:t>
      </w:r>
      <w:r w:rsidR="00BB3F89" w:rsidRPr="00A27896">
        <w:rPr>
          <w:rFonts w:cs="Times New Roman"/>
          <w:color w:val="17365D"/>
          <w:szCs w:val="24"/>
        </w:rPr>
        <w:t>2</w:t>
      </w:r>
      <w:r w:rsidR="000C1009" w:rsidRPr="00A27896">
        <w:rPr>
          <w:rFonts w:cs="Times New Roman"/>
          <w:color w:val="17365D"/>
          <w:szCs w:val="24"/>
        </w:rPr>
        <w:t>. gad</w:t>
      </w:r>
      <w:r w:rsidRPr="00A27896">
        <w:rPr>
          <w:rFonts w:cs="Times New Roman"/>
          <w:color w:val="17365D"/>
          <w:szCs w:val="24"/>
        </w:rPr>
        <w:t>ā pieejama Valsts kases sagatavotajā 20</w:t>
      </w:r>
      <w:r w:rsidR="00B0423E" w:rsidRPr="00A27896">
        <w:rPr>
          <w:rFonts w:cs="Times New Roman"/>
          <w:color w:val="17365D"/>
          <w:szCs w:val="24"/>
        </w:rPr>
        <w:t>2</w:t>
      </w:r>
      <w:r w:rsidR="00BB3F89" w:rsidRPr="00A27896">
        <w:rPr>
          <w:rFonts w:cs="Times New Roman"/>
          <w:color w:val="17365D"/>
          <w:szCs w:val="24"/>
        </w:rPr>
        <w:t>2</w:t>
      </w:r>
      <w:r w:rsidRPr="00A27896">
        <w:rPr>
          <w:rFonts w:cs="Times New Roman"/>
          <w:color w:val="17365D"/>
          <w:szCs w:val="24"/>
        </w:rPr>
        <w:t>.</w:t>
      </w:r>
      <w:r w:rsidR="0035073E" w:rsidRPr="00A27896">
        <w:rPr>
          <w:rFonts w:cs="Times New Roman"/>
          <w:color w:val="17365D"/>
          <w:szCs w:val="24"/>
        </w:rPr>
        <w:t xml:space="preserve"> </w:t>
      </w:r>
      <w:r w:rsidRPr="00A27896">
        <w:rPr>
          <w:rFonts w:cs="Times New Roman"/>
          <w:color w:val="17365D"/>
          <w:szCs w:val="24"/>
        </w:rPr>
        <w:t>gada parāda vadības pārskatā, kas ir publicēts Valsts kases</w:t>
      </w:r>
      <w:r w:rsidR="00D76DAA" w:rsidRPr="00A27896">
        <w:rPr>
          <w:rFonts w:cs="Times New Roman"/>
          <w:color w:val="17365D"/>
          <w:szCs w:val="24"/>
        </w:rPr>
        <w:t xml:space="preserve"> tīmekļa vietnē</w:t>
      </w:r>
      <w:r w:rsidRPr="00A27896">
        <w:rPr>
          <w:rFonts w:cs="Times New Roman"/>
          <w:color w:val="17365D"/>
          <w:szCs w:val="24"/>
        </w:rPr>
        <w:t>:</w:t>
      </w:r>
    </w:p>
    <w:p w14:paraId="2A5124F3" w14:textId="0333D089" w:rsidR="00AB2439" w:rsidRPr="00A27896" w:rsidRDefault="00340325" w:rsidP="00442CB4">
      <w:pPr>
        <w:autoSpaceDE w:val="0"/>
        <w:autoSpaceDN w:val="0"/>
        <w:adjustRightInd w:val="0"/>
        <w:spacing w:after="120" w:line="240" w:lineRule="auto"/>
        <w:jc w:val="both"/>
        <w:rPr>
          <w:rFonts w:cs="Times New Roman"/>
          <w:color w:val="17365D"/>
          <w:szCs w:val="24"/>
        </w:rPr>
      </w:pPr>
      <w:r w:rsidRPr="00A27896">
        <w:rPr>
          <w:rFonts w:cs="Times New Roman"/>
          <w:color w:val="17365D"/>
          <w:szCs w:val="24"/>
        </w:rPr>
        <w:t>www.kase.gov.lv/Pārskati un tāmes/Valsts parāda vadības pārskati/Gada pārskati/202</w:t>
      </w:r>
      <w:r w:rsidR="00BB3F89" w:rsidRPr="00A27896">
        <w:rPr>
          <w:rFonts w:cs="Times New Roman"/>
          <w:color w:val="17365D"/>
          <w:szCs w:val="24"/>
        </w:rPr>
        <w:t>2</w:t>
      </w:r>
    </w:p>
    <w:p w14:paraId="2AFA0E2B" w14:textId="7EB57049" w:rsidR="00B0423E"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Valsts budžeta finanšu uzskaitē finanšu aktīvu vērtības samazinājumu regulāri pārskata un izvērtē, vai ir objektīvi pierādījumi, kas liecina par iespējamo aplēsto nākotnes naudas plūsmu samazināšanos</w:t>
      </w:r>
      <w:r w:rsidR="005528D1" w:rsidRPr="00A27896">
        <w:rPr>
          <w:rFonts w:cs="Times New Roman"/>
          <w:color w:val="17365D"/>
          <w:szCs w:val="24"/>
        </w:rPr>
        <w:t>,</w:t>
      </w:r>
      <w:r w:rsidRPr="00A27896">
        <w:rPr>
          <w:rFonts w:cs="Times New Roman"/>
          <w:color w:val="17365D"/>
          <w:szCs w:val="24"/>
        </w:rPr>
        <w:t xml:space="preserve"> un vai šo apmēru var ticami novērtēt.</w:t>
      </w:r>
    </w:p>
    <w:p w14:paraId="4966A7EC" w14:textId="2FF81C0D"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Valsts kase ne retāk kā reizi ceturksnī vērtē, vai nav iestājies kredīta ņēmēja kredītriska notikums, tas ir</w:t>
      </w:r>
      <w:r w:rsidR="005528D1" w:rsidRPr="00A27896">
        <w:rPr>
          <w:rFonts w:cs="Times New Roman"/>
          <w:color w:val="17365D"/>
          <w:szCs w:val="24"/>
        </w:rPr>
        <w:t>,</w:t>
      </w:r>
      <w:r w:rsidRPr="00A27896">
        <w:rPr>
          <w:rFonts w:cs="Times New Roman"/>
          <w:color w:val="17365D"/>
          <w:szCs w:val="24"/>
        </w:rPr>
        <w:t xml:space="preserve"> ja tiek konstatēta viena no zemāk minētajām pazīmēm:</w:t>
      </w:r>
    </w:p>
    <w:p w14:paraId="0244F3E3" w14:textId="77777777" w:rsidR="00AB2439" w:rsidRPr="00A27896" w:rsidRDefault="00AB2439"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vāja vai slikta kredītspēja;</w:t>
      </w:r>
    </w:p>
    <w:p w14:paraId="2A4CF534" w14:textId="24BDD646" w:rsidR="00AB2439" w:rsidRPr="00A27896" w:rsidRDefault="00AB2439"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parāds (</w:t>
      </w:r>
      <w:proofErr w:type="spellStart"/>
      <w:r w:rsidRPr="00A27896">
        <w:rPr>
          <w:color w:val="17365D"/>
          <w:sz w:val="24"/>
          <w:szCs w:val="24"/>
        </w:rPr>
        <w:t>kredītmaksājumiem</w:t>
      </w:r>
      <w:proofErr w:type="spellEnd"/>
      <w:r w:rsidRPr="00A27896">
        <w:rPr>
          <w:color w:val="17365D"/>
          <w:sz w:val="24"/>
          <w:szCs w:val="24"/>
        </w:rPr>
        <w:t xml:space="preserve"> nokavēti termiņi vairāk par 5 dienām</w:t>
      </w:r>
      <w:r w:rsidR="007D5CA7" w:rsidRPr="00A27896">
        <w:rPr>
          <w:color w:val="17365D"/>
          <w:sz w:val="24"/>
          <w:szCs w:val="24"/>
        </w:rPr>
        <w:t>,</w:t>
      </w:r>
      <w:r w:rsidRPr="00A27896">
        <w:rPr>
          <w:color w:val="17365D"/>
          <w:sz w:val="24"/>
          <w:szCs w:val="24"/>
        </w:rPr>
        <w:t xml:space="preserve"> vai no iepriekšējiem mēnešiem uzkrāti nodokļu parādi</w:t>
      </w:r>
      <w:r w:rsidR="00350384" w:rsidRPr="00A27896">
        <w:rPr>
          <w:color w:val="17365D"/>
          <w:sz w:val="24"/>
          <w:szCs w:val="24"/>
        </w:rPr>
        <w:t xml:space="preserve"> vai saņemta informācija par kredītu ņēmēju nespēju segt saistības</w:t>
      </w:r>
      <w:r w:rsidRPr="00A27896">
        <w:rPr>
          <w:color w:val="17365D"/>
          <w:sz w:val="24"/>
          <w:szCs w:val="24"/>
        </w:rPr>
        <w:t>);</w:t>
      </w:r>
    </w:p>
    <w:p w14:paraId="65678609" w14:textId="77777777" w:rsidR="00AB2439" w:rsidRPr="00A27896" w:rsidRDefault="00AB2439"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pēdējo divu gadu laikā ir veikta valsts aizdevuma restrukturizācija (atvieglojumu piešķiršana, kuri netiktu izskatīti citos apstākļos);</w:t>
      </w:r>
    </w:p>
    <w:p w14:paraId="4F8DF650" w14:textId="77777777" w:rsidR="00AB2439" w:rsidRPr="00A27896" w:rsidRDefault="00AB2439" w:rsidP="007C6C15">
      <w:pPr>
        <w:pStyle w:val="tv2131"/>
        <w:numPr>
          <w:ilvl w:val="0"/>
          <w:numId w:val="18"/>
        </w:numPr>
        <w:spacing w:after="120" w:line="240" w:lineRule="auto"/>
        <w:ind w:left="851"/>
        <w:jc w:val="both"/>
        <w:rPr>
          <w:color w:val="17365D"/>
          <w:sz w:val="24"/>
          <w:szCs w:val="24"/>
        </w:rPr>
      </w:pPr>
      <w:r w:rsidRPr="00A27896">
        <w:rPr>
          <w:color w:val="17365D"/>
          <w:sz w:val="24"/>
          <w:szCs w:val="24"/>
        </w:rPr>
        <w:lastRenderedPageBreak/>
        <w:t>pret kredīta ņēmēju uzsākts Maksātnespējas likumā noteiktais tiesiskās aizsardzības vai maksātnespējas process.</w:t>
      </w:r>
    </w:p>
    <w:p w14:paraId="142F3C3F" w14:textId="70134717"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Valsts aizdevumiem Valsts kase analizē kredītrisku un nosaka atbilstošu vērtības samazinājumu gan noteiktām aizņēmēju grupām, gan katram aizņēmējam individuāli (individuāli vērtējamo aizņēmēju grupā), izvērtējot kredītriska notikumu un nākotnē sagaidāmo naudas plūsmu no valsts aizdevuma</w:t>
      </w:r>
      <w:r w:rsidR="00350384" w:rsidRPr="00A27896">
        <w:rPr>
          <w:rFonts w:cs="Times New Roman"/>
          <w:color w:val="17365D"/>
          <w:szCs w:val="24"/>
        </w:rPr>
        <w:t>, un nepieciešamību veidot uzkrājumus, iespējamās saistības vai uzkrātās saistības valsts aizdevuma un valsts galvotā aizdevuma nemaksāšanas gadījumiem.</w:t>
      </w:r>
    </w:p>
    <w:p w14:paraId="732706EA" w14:textId="77777777"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Valsts aizdevuma vai debitora prasības naudas plūsmas tagadnes vērtību Valsts kase aprēķina, diskontējot nākotnes naudas plūsmu ar efektīvo procentu likmi (spēkā līgumā ar kredīta ņēmēju noteiktā procentu likme, kas ietver aizdevuma, riska un apkalpošanas izmaksu likmi un citas līgumā noteiktās likmes, vai cita konkrētajai situācijai atbilstoša likme).</w:t>
      </w:r>
    </w:p>
    <w:p w14:paraId="3B412A88" w14:textId="77777777" w:rsidR="00AB2439" w:rsidRPr="00A27896" w:rsidRDefault="00AB2439" w:rsidP="00AB2439">
      <w:pPr>
        <w:spacing w:after="120" w:line="240" w:lineRule="auto"/>
        <w:ind w:firstLine="284"/>
        <w:jc w:val="both"/>
        <w:rPr>
          <w:rFonts w:cs="Times New Roman"/>
          <w:color w:val="17365D"/>
          <w:szCs w:val="24"/>
        </w:rPr>
      </w:pPr>
      <w:bookmarkStart w:id="65" w:name="_Ref17724497"/>
      <w:r w:rsidRPr="00A27896">
        <w:rPr>
          <w:rFonts w:cs="Times New Roman"/>
          <w:color w:val="17365D"/>
          <w:szCs w:val="24"/>
        </w:rPr>
        <w:t>Valsts galvotā aizdevuma naudas plūsmas tagadnes vērtību Valsts kase aprēķina, diskontējot valsts galvotā aizdevuma nākotnes naudas plūsmu, piemērojot Valsts kases tīmekļvietnē publicēto attiecīgo diskonta likmi</w:t>
      </w:r>
      <w:bookmarkEnd w:id="65"/>
      <w:r w:rsidRPr="00A27896">
        <w:rPr>
          <w:rFonts w:cs="Times New Roman"/>
          <w:color w:val="17365D"/>
          <w:szCs w:val="24"/>
        </w:rPr>
        <w:t>.</w:t>
      </w:r>
    </w:p>
    <w:p w14:paraId="4E09700F" w14:textId="77777777" w:rsidR="00AB2439" w:rsidRPr="00A27896" w:rsidRDefault="00AB2439" w:rsidP="00AB2439">
      <w:pPr>
        <w:spacing w:after="120" w:line="240" w:lineRule="auto"/>
        <w:ind w:firstLine="284"/>
        <w:jc w:val="both"/>
        <w:rPr>
          <w:rFonts w:cs="Times New Roman"/>
          <w:color w:val="17365D"/>
          <w:szCs w:val="24"/>
        </w:rPr>
      </w:pPr>
      <w:bookmarkStart w:id="66" w:name="_Ref17789568"/>
      <w:r w:rsidRPr="00A27896">
        <w:rPr>
          <w:rFonts w:cs="Times New Roman"/>
          <w:color w:val="17365D"/>
          <w:szCs w:val="24"/>
        </w:rPr>
        <w:t>Valsts kases iekšējos normatīvajos aktos noteikts, ka Valsts kase kredīta ņēmēja kredītspēju izvērtē, ņemot vērā šādus kritērijus, kuriem tiek piešķirts noteikts novērtējums vai noteikts riska līmenis:</w:t>
      </w:r>
      <w:bookmarkEnd w:id="66"/>
    </w:p>
    <w:p w14:paraId="5B1CC252" w14:textId="77777777" w:rsidR="00AB2439" w:rsidRPr="00A27896" w:rsidRDefault="00AB2439"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finanšu rādītāji:</w:t>
      </w:r>
    </w:p>
    <w:p w14:paraId="79579994" w14:textId="77777777" w:rsidR="00AB2439" w:rsidRPr="00A27896" w:rsidRDefault="00AB2439" w:rsidP="007C6C15">
      <w:pPr>
        <w:pStyle w:val="Pamatteksts"/>
        <w:numPr>
          <w:ilvl w:val="1"/>
          <w:numId w:val="28"/>
        </w:numPr>
        <w:spacing w:after="0"/>
        <w:ind w:left="1134" w:hanging="284"/>
        <w:rPr>
          <w:rFonts w:eastAsiaTheme="minorHAnsi"/>
          <w:noProof w:val="0"/>
          <w:color w:val="17365D"/>
          <w:szCs w:val="22"/>
          <w:lang w:eastAsia="en-US"/>
        </w:rPr>
      </w:pPr>
      <w:r w:rsidRPr="00A27896">
        <w:rPr>
          <w:rFonts w:eastAsiaTheme="minorHAnsi"/>
          <w:noProof w:val="0"/>
          <w:color w:val="17365D"/>
          <w:szCs w:val="22"/>
          <w:lang w:eastAsia="en-US"/>
        </w:rPr>
        <w:t>pašu kapitāla pietiekamības rādītājs;</w:t>
      </w:r>
    </w:p>
    <w:p w14:paraId="30ABC225" w14:textId="77777777" w:rsidR="00AB2439" w:rsidRPr="00A27896" w:rsidRDefault="00AB2439" w:rsidP="007C6C15">
      <w:pPr>
        <w:pStyle w:val="Pamatteksts"/>
        <w:numPr>
          <w:ilvl w:val="1"/>
          <w:numId w:val="28"/>
        </w:numPr>
        <w:spacing w:after="0"/>
        <w:ind w:left="1134" w:hanging="284"/>
        <w:rPr>
          <w:rFonts w:eastAsiaTheme="minorHAnsi"/>
          <w:noProof w:val="0"/>
          <w:color w:val="17365D"/>
          <w:szCs w:val="22"/>
          <w:lang w:eastAsia="en-US"/>
        </w:rPr>
      </w:pPr>
      <w:proofErr w:type="spellStart"/>
      <w:r w:rsidRPr="00A27896">
        <w:rPr>
          <w:rFonts w:eastAsiaTheme="minorHAnsi"/>
          <w:noProof w:val="0"/>
          <w:color w:val="17365D"/>
          <w:szCs w:val="22"/>
          <w:lang w:eastAsia="en-US"/>
        </w:rPr>
        <w:t>pelnītspējas</w:t>
      </w:r>
      <w:proofErr w:type="spellEnd"/>
      <w:r w:rsidRPr="00A27896">
        <w:rPr>
          <w:rFonts w:eastAsiaTheme="minorHAnsi"/>
          <w:noProof w:val="0"/>
          <w:color w:val="17365D"/>
          <w:szCs w:val="22"/>
          <w:lang w:eastAsia="en-US"/>
        </w:rPr>
        <w:t xml:space="preserve"> / budžeta izpildes rādītājs;</w:t>
      </w:r>
    </w:p>
    <w:p w14:paraId="4843D730" w14:textId="77777777" w:rsidR="00AB2439" w:rsidRPr="00A27896" w:rsidRDefault="00AB2439" w:rsidP="007C6C15">
      <w:pPr>
        <w:pStyle w:val="Pamatteksts"/>
        <w:numPr>
          <w:ilvl w:val="1"/>
          <w:numId w:val="28"/>
        </w:numPr>
        <w:spacing w:after="0"/>
        <w:ind w:left="1134" w:hanging="284"/>
        <w:rPr>
          <w:rFonts w:eastAsiaTheme="minorHAnsi"/>
          <w:noProof w:val="0"/>
          <w:color w:val="17365D"/>
          <w:szCs w:val="22"/>
          <w:lang w:eastAsia="en-US"/>
        </w:rPr>
      </w:pPr>
      <w:r w:rsidRPr="00A27896">
        <w:rPr>
          <w:rFonts w:eastAsiaTheme="minorHAnsi"/>
          <w:noProof w:val="0"/>
          <w:color w:val="17365D"/>
          <w:szCs w:val="22"/>
          <w:lang w:eastAsia="en-US"/>
        </w:rPr>
        <w:t>likviditātes rādītājs;</w:t>
      </w:r>
    </w:p>
    <w:p w14:paraId="6DA32CCB" w14:textId="77777777" w:rsidR="00AB2439" w:rsidRPr="00A27896" w:rsidRDefault="00AB2439" w:rsidP="007C6C15">
      <w:pPr>
        <w:pStyle w:val="ListParagraph"/>
        <w:numPr>
          <w:ilvl w:val="0"/>
          <w:numId w:val="16"/>
        </w:numPr>
        <w:spacing w:before="120" w:after="120" w:line="240" w:lineRule="auto"/>
        <w:ind w:left="850" w:hanging="357"/>
        <w:contextualSpacing w:val="0"/>
        <w:jc w:val="both"/>
        <w:rPr>
          <w:rFonts w:cs="Times New Roman"/>
          <w:color w:val="17365D"/>
          <w:szCs w:val="24"/>
        </w:rPr>
      </w:pPr>
      <w:proofErr w:type="spellStart"/>
      <w:r w:rsidRPr="00A27896">
        <w:rPr>
          <w:rFonts w:cs="Times New Roman"/>
          <w:color w:val="17365D"/>
          <w:szCs w:val="24"/>
        </w:rPr>
        <w:t>kredītvēsture</w:t>
      </w:r>
      <w:proofErr w:type="spellEnd"/>
      <w:r w:rsidRPr="00A27896">
        <w:rPr>
          <w:rFonts w:cs="Times New Roman"/>
          <w:color w:val="17365D"/>
          <w:szCs w:val="24"/>
        </w:rPr>
        <w:t>;</w:t>
      </w:r>
    </w:p>
    <w:p w14:paraId="27FA5837" w14:textId="77777777" w:rsidR="00AB2439" w:rsidRPr="00A27896" w:rsidRDefault="00AB2439" w:rsidP="007C6C15">
      <w:pPr>
        <w:pStyle w:val="ListParagraph"/>
        <w:numPr>
          <w:ilvl w:val="0"/>
          <w:numId w:val="16"/>
        </w:numPr>
        <w:spacing w:after="120" w:line="240" w:lineRule="auto"/>
        <w:ind w:left="851"/>
        <w:contextualSpacing w:val="0"/>
        <w:jc w:val="both"/>
        <w:rPr>
          <w:rFonts w:cs="Times New Roman"/>
          <w:color w:val="17365D"/>
          <w:szCs w:val="24"/>
        </w:rPr>
      </w:pPr>
      <w:r w:rsidRPr="00A27896">
        <w:rPr>
          <w:rFonts w:cs="Times New Roman"/>
          <w:color w:val="17365D"/>
          <w:szCs w:val="24"/>
        </w:rPr>
        <w:t>biznesa risks.</w:t>
      </w:r>
    </w:p>
    <w:p w14:paraId="4A17022F" w14:textId="15A70684" w:rsidR="00AB2439" w:rsidRPr="00A27896" w:rsidRDefault="00AB2439" w:rsidP="00AB2439">
      <w:pPr>
        <w:spacing w:after="120" w:line="240" w:lineRule="auto"/>
        <w:ind w:firstLine="284"/>
        <w:jc w:val="both"/>
        <w:rPr>
          <w:rFonts w:cs="Times New Roman"/>
          <w:color w:val="17365D"/>
          <w:szCs w:val="24"/>
        </w:rPr>
      </w:pPr>
      <w:bookmarkStart w:id="67" w:name="_Ref19108350"/>
      <w:r w:rsidRPr="00A27896">
        <w:rPr>
          <w:rFonts w:cs="Times New Roman"/>
          <w:color w:val="17365D"/>
          <w:szCs w:val="24"/>
        </w:rPr>
        <w:t>Valsts kase kredīta ņēmēja kredītspējas novērtējuma kategoriju nosaka, ņemot vērā noteikto biznesa riska novērtējumu.</w:t>
      </w:r>
      <w:bookmarkEnd w:id="67"/>
    </w:p>
    <w:p w14:paraId="1D9BE441" w14:textId="79DBF6CF" w:rsidR="00C8779F" w:rsidRPr="00A27896" w:rsidRDefault="009B28A3" w:rsidP="006D6DD7">
      <w:pPr>
        <w:pStyle w:val="Heading3"/>
        <w:ind w:left="567"/>
      </w:pPr>
      <w:r w:rsidRPr="00A27896">
        <w:t>Valsts budžeta finanšu uzskaites finanšu instrumentu r</w:t>
      </w:r>
      <w:r w:rsidR="00BB1FDC" w:rsidRPr="00A27896">
        <w:t>iska ierobež</w:t>
      </w:r>
      <w:r w:rsidR="00C8779F" w:rsidRPr="00A27896">
        <w:t>o</w:t>
      </w:r>
      <w:r w:rsidRPr="00A27896">
        <w:t>šanas uzskaite</w:t>
      </w:r>
    </w:p>
    <w:p w14:paraId="16D15BB3" w14:textId="2E5EE5BB" w:rsidR="009C1E6E" w:rsidRPr="00A27896" w:rsidRDefault="009C1E6E" w:rsidP="009C1E6E">
      <w:pPr>
        <w:spacing w:after="120" w:line="240" w:lineRule="auto"/>
        <w:ind w:firstLine="284"/>
        <w:jc w:val="both"/>
        <w:rPr>
          <w:rFonts w:cs="Times New Roman"/>
          <w:color w:val="17365D"/>
          <w:szCs w:val="24"/>
        </w:rPr>
      </w:pPr>
      <w:r w:rsidRPr="00A27896">
        <w:rPr>
          <w:rFonts w:cs="Times New Roman"/>
          <w:color w:val="17365D"/>
          <w:szCs w:val="24"/>
        </w:rPr>
        <w:t>Valsts kase piemēro riska ierobežošanas uzskaiti, ja riska ierobežošana atbilst V</w:t>
      </w:r>
      <w:r w:rsidR="002D7C41" w:rsidRPr="00A27896">
        <w:rPr>
          <w:rFonts w:cs="Times New Roman"/>
          <w:color w:val="17365D"/>
          <w:szCs w:val="24"/>
        </w:rPr>
        <w:t>alsts kases</w:t>
      </w:r>
      <w:r w:rsidRPr="00A27896">
        <w:rPr>
          <w:rFonts w:cs="Times New Roman"/>
          <w:color w:val="17365D"/>
          <w:szCs w:val="24"/>
        </w:rPr>
        <w:t xml:space="preserve"> stratēģijai un tās mērķiem, ievērojot šādus nosacījumus: </w:t>
      </w:r>
    </w:p>
    <w:p w14:paraId="78B79965" w14:textId="01AB965C" w:rsidR="009C1E6E" w:rsidRPr="00A27896" w:rsidRDefault="009C1E6E"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pirms riska ierobežošanas uzskaites uzsākšanas katram riska ierobežošanas darījumam izstrādā riska</w:t>
      </w:r>
      <w:r w:rsidR="00BB1FDC" w:rsidRPr="00A27896">
        <w:rPr>
          <w:color w:val="17365D"/>
          <w:sz w:val="24"/>
          <w:szCs w:val="24"/>
        </w:rPr>
        <w:t xml:space="preserve"> ierobežošanas dokumentāciju;</w:t>
      </w:r>
    </w:p>
    <w:p w14:paraId="3684C0D0" w14:textId="08B45F8C" w:rsidR="009C1E6E" w:rsidRPr="00A27896" w:rsidRDefault="009C1E6E"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nodrošinātā posteņa patieso vērtību vai naudas plūsmas, kuras attiecināmas uz ierobežoto risku, un riska ierobežošanas instrumenta patieso vērtību var ticami novērtēt;</w:t>
      </w:r>
    </w:p>
    <w:p w14:paraId="1DE5AEA0" w14:textId="379193A2" w:rsidR="009C1E6E" w:rsidRPr="00A27896" w:rsidRDefault="009C1E6E"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riska ierobežošanas efektivitāti atkārtoti novērtē vienu reizi ceturksnī laika periodā, kurā riska ierobežošana ir noteikta. Riska ierobežošanu novērtē kā efektīvu, ja tā atbilst šādiem kritērijiem:</w:t>
      </w:r>
    </w:p>
    <w:p w14:paraId="0F68F968" w14:textId="215D211B" w:rsidR="009C1E6E" w:rsidRPr="00A27896" w:rsidRDefault="009C1E6E" w:rsidP="007C6C15">
      <w:pPr>
        <w:pStyle w:val="ListParagraph"/>
        <w:numPr>
          <w:ilvl w:val="0"/>
          <w:numId w:val="35"/>
        </w:numPr>
        <w:spacing w:after="120" w:line="240" w:lineRule="auto"/>
        <w:ind w:left="1134" w:hanging="283"/>
        <w:jc w:val="both"/>
        <w:rPr>
          <w:rFonts w:cs="Times New Roman"/>
          <w:color w:val="17365D"/>
          <w:szCs w:val="24"/>
        </w:rPr>
      </w:pPr>
      <w:r w:rsidRPr="00A27896">
        <w:rPr>
          <w:rFonts w:cs="Times New Roman"/>
          <w:color w:val="17365D"/>
          <w:szCs w:val="24"/>
        </w:rPr>
        <w:t xml:space="preserve">riska ierobežošanas instrumenta patiesās vērtības vai naudas plūsmas izmaiņas </w:t>
      </w:r>
      <w:r w:rsidRPr="00A27896">
        <w:rPr>
          <w:rFonts w:cs="Times New Roman"/>
          <w:color w:val="17365D"/>
        </w:rPr>
        <w:t>kompensē nodrošinātā posteņa patiesās vērtības vai naudas plūsmas izmaiņas, kas</w:t>
      </w:r>
      <w:r w:rsidRPr="00A27896">
        <w:rPr>
          <w:rFonts w:cs="Times New Roman"/>
          <w:color w:val="17365D"/>
          <w:szCs w:val="24"/>
        </w:rPr>
        <w:t xml:space="preserve"> attiecināmas uz ierobežoto risku;</w:t>
      </w:r>
    </w:p>
    <w:p w14:paraId="667AA0CE" w14:textId="6174E6DD" w:rsidR="009C1E6E" w:rsidRPr="00A27896" w:rsidRDefault="009C1E6E" w:rsidP="007C6C15">
      <w:pPr>
        <w:pStyle w:val="ListParagraph"/>
        <w:numPr>
          <w:ilvl w:val="0"/>
          <w:numId w:val="35"/>
        </w:numPr>
        <w:spacing w:after="120" w:line="240" w:lineRule="auto"/>
        <w:ind w:left="1134" w:hanging="283"/>
        <w:jc w:val="both"/>
        <w:rPr>
          <w:rFonts w:cs="Times New Roman"/>
          <w:color w:val="17365D"/>
          <w:szCs w:val="24"/>
        </w:rPr>
      </w:pPr>
      <w:r w:rsidRPr="00A27896">
        <w:rPr>
          <w:rFonts w:cs="Times New Roman"/>
          <w:color w:val="17365D"/>
          <w:szCs w:val="24"/>
        </w:rPr>
        <w:t>riska ierobežošanas efektivitātes pakāpe ir 80% līdz 125%, ko aprēķina, attiecinot riska ierobežošanas instrumenta patiesās vērtības vai naudas plūsmas izmaiņas pret nodrošinātā posteņa patiesās vērtības vai naudas plūsmas izmaiņām.</w:t>
      </w:r>
    </w:p>
    <w:p w14:paraId="1EBD79DB" w14:textId="77777777" w:rsidR="00895EC5" w:rsidRPr="00A27896" w:rsidRDefault="006D6DD7" w:rsidP="00895EC5">
      <w:pPr>
        <w:spacing w:after="120" w:line="240" w:lineRule="auto"/>
        <w:ind w:firstLine="284"/>
        <w:jc w:val="both"/>
        <w:rPr>
          <w:rFonts w:cs="Times New Roman"/>
          <w:color w:val="17365D"/>
          <w:szCs w:val="24"/>
        </w:rPr>
      </w:pPr>
      <w:r w:rsidRPr="00A27896">
        <w:rPr>
          <w:rFonts w:cs="Times New Roman"/>
          <w:color w:val="17365D"/>
          <w:szCs w:val="24"/>
        </w:rPr>
        <w:t xml:space="preserve">Valsts kase </w:t>
      </w:r>
      <w:r w:rsidR="00932FA7" w:rsidRPr="00A27896">
        <w:rPr>
          <w:rFonts w:cs="Times New Roman"/>
          <w:color w:val="17365D"/>
          <w:szCs w:val="24"/>
        </w:rPr>
        <w:t xml:space="preserve">valsts budžeta finanšu uzskaitē </w:t>
      </w:r>
      <w:r w:rsidRPr="00A27896">
        <w:rPr>
          <w:rFonts w:cs="Times New Roman"/>
          <w:color w:val="17365D"/>
          <w:szCs w:val="24"/>
        </w:rPr>
        <w:t>piemēro na</w:t>
      </w:r>
      <w:r w:rsidR="00932FA7" w:rsidRPr="00A27896">
        <w:rPr>
          <w:rFonts w:cs="Times New Roman"/>
          <w:color w:val="17365D"/>
          <w:szCs w:val="24"/>
        </w:rPr>
        <w:t>udas plūsmas riska ierobežošanu. N</w:t>
      </w:r>
      <w:r w:rsidRPr="00A27896">
        <w:rPr>
          <w:rFonts w:cs="Times New Roman"/>
          <w:color w:val="17365D"/>
          <w:szCs w:val="24"/>
        </w:rPr>
        <w:t>au</w:t>
      </w:r>
      <w:r w:rsidR="00932FA7" w:rsidRPr="00A27896">
        <w:rPr>
          <w:rFonts w:cs="Times New Roman"/>
          <w:color w:val="17365D"/>
          <w:szCs w:val="24"/>
        </w:rPr>
        <w:t xml:space="preserve">das plūsmas riska ierobežošana ir </w:t>
      </w:r>
      <w:r w:rsidRPr="00A27896">
        <w:rPr>
          <w:rFonts w:cs="Times New Roman"/>
          <w:color w:val="17365D"/>
          <w:szCs w:val="24"/>
        </w:rPr>
        <w:t xml:space="preserve">naudas plūsmu mainības riska ierobežošana, kas ir attiecināma uz atsevišķu risku, kas saistīts ar atzītu aktīvu vai saistībām (tādu kā visi vai daži mainīgas likmes </w:t>
      </w:r>
      <w:r w:rsidRPr="00A27896">
        <w:rPr>
          <w:rFonts w:cs="Times New Roman"/>
          <w:color w:val="17365D"/>
          <w:szCs w:val="24"/>
        </w:rPr>
        <w:lastRenderedPageBreak/>
        <w:t>parāda nākotnes procentu maksājumi) vai ļoti ticami prognozētu darījumu, un var ietekmēt valsts budžeta finanšu uzskaites ieņēmumus vai izdevumus.</w:t>
      </w:r>
      <w:r w:rsidR="00895EC5" w:rsidRPr="00A27896">
        <w:rPr>
          <w:rFonts w:cs="Times New Roman"/>
          <w:color w:val="17365D"/>
          <w:szCs w:val="24"/>
        </w:rPr>
        <w:t xml:space="preserve"> </w:t>
      </w:r>
    </w:p>
    <w:p w14:paraId="37C749E4" w14:textId="77777777" w:rsidR="00442CB4" w:rsidRPr="00A27896" w:rsidRDefault="008B5A68" w:rsidP="00BB1FDC">
      <w:pPr>
        <w:pStyle w:val="CommentText"/>
        <w:spacing w:after="120" w:line="240" w:lineRule="auto"/>
        <w:rPr>
          <w:rFonts w:cs="Times New Roman"/>
          <w:color w:val="17365D"/>
          <w:sz w:val="24"/>
          <w:szCs w:val="24"/>
        </w:rPr>
      </w:pPr>
      <w:r w:rsidRPr="00A27896">
        <w:rPr>
          <w:rFonts w:cs="Times New Roman"/>
          <w:color w:val="17365D"/>
          <w:sz w:val="24"/>
          <w:szCs w:val="24"/>
        </w:rPr>
        <w:t>Valsts kase noteikusi sekojošus riska ierobežošanas instrumentus:</w:t>
      </w:r>
    </w:p>
    <w:p w14:paraId="43B1BEB5" w14:textId="3CB5E901" w:rsidR="00C8779F" w:rsidRPr="00A27896" w:rsidRDefault="00442CB4"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nākotnes valūtas mijmaiņas darījums</w:t>
      </w:r>
      <w:r w:rsidR="00272A58" w:rsidRPr="00A27896">
        <w:rPr>
          <w:color w:val="17365D"/>
          <w:sz w:val="24"/>
          <w:szCs w:val="24"/>
        </w:rPr>
        <w:t xml:space="preserve"> </w:t>
      </w:r>
      <w:r w:rsidR="00772BF4" w:rsidRPr="00A27896">
        <w:rPr>
          <w:color w:val="17365D"/>
          <w:sz w:val="24"/>
          <w:szCs w:val="24"/>
        </w:rPr>
        <w:t>(</w:t>
      </w:r>
      <w:proofErr w:type="spellStart"/>
      <w:r w:rsidR="00772BF4" w:rsidRPr="00A27896">
        <w:rPr>
          <w:color w:val="17365D"/>
          <w:sz w:val="24"/>
          <w:szCs w:val="24"/>
        </w:rPr>
        <w:t>Forward</w:t>
      </w:r>
      <w:proofErr w:type="spellEnd"/>
      <w:r w:rsidR="00772BF4" w:rsidRPr="00A27896">
        <w:rPr>
          <w:color w:val="17365D"/>
          <w:sz w:val="24"/>
          <w:szCs w:val="24"/>
        </w:rPr>
        <w:t>)</w:t>
      </w:r>
      <w:r w:rsidRPr="00A27896">
        <w:rPr>
          <w:color w:val="17365D"/>
          <w:sz w:val="24"/>
          <w:szCs w:val="24"/>
        </w:rPr>
        <w:t>;</w:t>
      </w:r>
    </w:p>
    <w:p w14:paraId="216C2CAA" w14:textId="6EFD51F4" w:rsidR="00442CB4" w:rsidRPr="00A27896" w:rsidRDefault="00442CB4"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procentu likmju mijmaiņas darījums</w:t>
      </w:r>
      <w:r w:rsidR="00272A58" w:rsidRPr="00A27896">
        <w:rPr>
          <w:color w:val="17365D"/>
          <w:sz w:val="24"/>
          <w:szCs w:val="24"/>
        </w:rPr>
        <w:t xml:space="preserve"> </w:t>
      </w:r>
      <w:r w:rsidR="00772BF4" w:rsidRPr="00A27896">
        <w:rPr>
          <w:color w:val="17365D"/>
          <w:sz w:val="24"/>
          <w:szCs w:val="24"/>
        </w:rPr>
        <w:t>(</w:t>
      </w:r>
      <w:r w:rsidR="00272A58" w:rsidRPr="00A27896">
        <w:rPr>
          <w:color w:val="17365D"/>
          <w:sz w:val="24"/>
          <w:szCs w:val="24"/>
        </w:rPr>
        <w:t>IRS</w:t>
      </w:r>
      <w:r w:rsidR="00772BF4" w:rsidRPr="00A27896">
        <w:rPr>
          <w:color w:val="17365D"/>
          <w:sz w:val="24"/>
          <w:szCs w:val="24"/>
        </w:rPr>
        <w:t>)</w:t>
      </w:r>
      <w:r w:rsidR="00F169CA" w:rsidRPr="00A27896">
        <w:rPr>
          <w:color w:val="17365D"/>
          <w:sz w:val="24"/>
          <w:szCs w:val="24"/>
        </w:rPr>
        <w:t>.</w:t>
      </w:r>
    </w:p>
    <w:p w14:paraId="073DEA97" w14:textId="46A53C12" w:rsidR="001F3D80" w:rsidRPr="00A27896" w:rsidRDefault="001F3D80" w:rsidP="001F3D80">
      <w:pPr>
        <w:spacing w:after="120" w:line="240" w:lineRule="auto"/>
        <w:ind w:firstLine="284"/>
        <w:jc w:val="both"/>
        <w:rPr>
          <w:rFonts w:cs="Times New Roman"/>
          <w:color w:val="17365D"/>
          <w:szCs w:val="24"/>
        </w:rPr>
      </w:pPr>
      <w:r w:rsidRPr="00A27896">
        <w:rPr>
          <w:rFonts w:cs="Times New Roman"/>
          <w:color w:val="17365D"/>
          <w:szCs w:val="24"/>
        </w:rPr>
        <w:t xml:space="preserve">2022. gadā ir noslēdzies Valsts kases FORWARD darījums un </w:t>
      </w:r>
      <w:r w:rsidR="00356DAD" w:rsidRPr="00A27896">
        <w:rPr>
          <w:rFonts w:cs="Times New Roman"/>
          <w:color w:val="17365D"/>
          <w:szCs w:val="24"/>
        </w:rPr>
        <w:t>jaunus FORWARD darījumus valsts parāda valūtu riska izslēgšanai Valsts kase nav veikusi.</w:t>
      </w:r>
    </w:p>
    <w:p w14:paraId="66BAB93C" w14:textId="5337174D" w:rsidR="00F169CA" w:rsidRPr="00A27896" w:rsidRDefault="00F169CA" w:rsidP="00272A58">
      <w:pPr>
        <w:pStyle w:val="tv2131"/>
        <w:spacing w:after="120" w:line="240" w:lineRule="auto"/>
        <w:jc w:val="both"/>
        <w:rPr>
          <w:color w:val="17365D"/>
          <w:sz w:val="24"/>
          <w:szCs w:val="24"/>
        </w:rPr>
      </w:pPr>
      <w:r w:rsidRPr="00A27896">
        <w:rPr>
          <w:color w:val="17365D"/>
          <w:sz w:val="24"/>
          <w:szCs w:val="24"/>
        </w:rPr>
        <w:t>Valsts kases</w:t>
      </w:r>
      <w:r w:rsidR="00772BF4" w:rsidRPr="00A27896">
        <w:rPr>
          <w:color w:val="17365D"/>
          <w:sz w:val="24"/>
          <w:szCs w:val="24"/>
        </w:rPr>
        <w:t xml:space="preserve"> finanšu instrumentu riska ierobežošanas pārvaldība</w:t>
      </w:r>
      <w:r w:rsidRPr="00A27896">
        <w:rPr>
          <w:color w:val="17365D"/>
          <w:sz w:val="24"/>
          <w:szCs w:val="24"/>
        </w:rPr>
        <w:t xml:space="preserve"> ir saistīta ar šādiem finanšu riskiem:</w:t>
      </w:r>
    </w:p>
    <w:p w14:paraId="68A7BDF4" w14:textId="01914DD2" w:rsidR="00772BF4" w:rsidRPr="00A27896" w:rsidRDefault="00772BF4"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ārvalstu valūtas risks;</w:t>
      </w:r>
    </w:p>
    <w:p w14:paraId="6B6A48DA" w14:textId="77777777" w:rsidR="00895EC5" w:rsidRPr="00A27896" w:rsidRDefault="00772BF4"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procentu likmju risks.</w:t>
      </w:r>
    </w:p>
    <w:p w14:paraId="31FD6F24" w14:textId="79E6CD9B" w:rsidR="0060113E" w:rsidRPr="00A27896" w:rsidRDefault="00CB3BE2" w:rsidP="0060113E">
      <w:pPr>
        <w:spacing w:after="120" w:line="240" w:lineRule="auto"/>
        <w:ind w:firstLine="284"/>
        <w:jc w:val="both"/>
        <w:rPr>
          <w:rFonts w:cs="Times New Roman"/>
          <w:color w:val="17365D"/>
          <w:szCs w:val="24"/>
        </w:rPr>
      </w:pPr>
      <w:r w:rsidRPr="00A27896">
        <w:rPr>
          <w:rFonts w:cs="Times New Roman"/>
          <w:color w:val="17365D"/>
          <w:szCs w:val="24"/>
        </w:rPr>
        <w:t>Procentu likmju risks tiek vadīts, nosakot optimālo parāda apkalpošanas izmaksu un izmaksu pieauguma riska līdzsvaru, nosakot procentu likmju vidējo svērto fiksēto periodu (gados), tas ir</w:t>
      </w:r>
      <w:r w:rsidR="00D50D19" w:rsidRPr="00A27896">
        <w:rPr>
          <w:rFonts w:cs="Times New Roman"/>
          <w:color w:val="17365D"/>
          <w:szCs w:val="24"/>
        </w:rPr>
        <w:t xml:space="preserve"> </w:t>
      </w:r>
      <w:proofErr w:type="spellStart"/>
      <w:r w:rsidR="0060113E" w:rsidRPr="00A27896">
        <w:rPr>
          <w:rFonts w:cs="Times New Roman"/>
          <w:i/>
          <w:color w:val="17365D"/>
          <w:szCs w:val="24"/>
        </w:rPr>
        <w:t>d</w:t>
      </w:r>
      <w:r w:rsidRPr="00A27896">
        <w:rPr>
          <w:rFonts w:cs="Times New Roman"/>
          <w:i/>
          <w:color w:val="17365D"/>
          <w:szCs w:val="24"/>
        </w:rPr>
        <w:t>uration</w:t>
      </w:r>
      <w:proofErr w:type="spellEnd"/>
      <w:r w:rsidRPr="00A27896">
        <w:rPr>
          <w:rFonts w:cs="Times New Roman"/>
          <w:color w:val="17365D"/>
          <w:szCs w:val="24"/>
        </w:rPr>
        <w:t xml:space="preserve"> rādītāju. </w:t>
      </w:r>
      <w:r w:rsidR="00D51DAD" w:rsidRPr="00A27896">
        <w:rPr>
          <w:rFonts w:cs="Times New Roman"/>
          <w:color w:val="17365D"/>
          <w:szCs w:val="24"/>
        </w:rPr>
        <w:t>R</w:t>
      </w:r>
      <w:r w:rsidR="0060113E" w:rsidRPr="00A27896">
        <w:rPr>
          <w:rFonts w:cs="Times New Roman"/>
          <w:color w:val="17365D"/>
          <w:szCs w:val="24"/>
        </w:rPr>
        <w:t>iska ierobežošanas uzskait</w:t>
      </w:r>
      <w:r w:rsidR="00D51DAD" w:rsidRPr="00A27896">
        <w:rPr>
          <w:rFonts w:cs="Times New Roman"/>
          <w:color w:val="17365D"/>
          <w:szCs w:val="24"/>
        </w:rPr>
        <w:t>ē</w:t>
      </w:r>
      <w:r w:rsidR="0060113E" w:rsidRPr="00A27896">
        <w:rPr>
          <w:rFonts w:cs="Times New Roman"/>
          <w:color w:val="17365D"/>
          <w:szCs w:val="24"/>
        </w:rPr>
        <w:t>, pret risku nodrošinātais postenis tiek konkretizēts piesaistot IRS konkrētā aizņēmuma ar mainīgo procentu likmi naudas plūsmai.</w:t>
      </w:r>
    </w:p>
    <w:p w14:paraId="0D0C97D9" w14:textId="77777777" w:rsidR="00E01689" w:rsidRPr="00A27896" w:rsidRDefault="00E01689" w:rsidP="00E01689">
      <w:pPr>
        <w:pStyle w:val="Pamatteksts"/>
        <w:rPr>
          <w:rFonts w:eastAsiaTheme="minorHAnsi"/>
          <w:b/>
          <w:noProof w:val="0"/>
          <w:color w:val="17365D"/>
          <w:szCs w:val="22"/>
          <w:lang w:eastAsia="en-US"/>
        </w:rPr>
      </w:pPr>
      <w:r w:rsidRPr="00A27896">
        <w:rPr>
          <w:rFonts w:eastAsiaTheme="minorHAnsi"/>
          <w:b/>
          <w:noProof w:val="0"/>
          <w:color w:val="17365D"/>
          <w:szCs w:val="22"/>
          <w:lang w:eastAsia="en-US"/>
        </w:rPr>
        <w:t>Valsts budžeta finanšu uzskaitē izmantoto atvasināto finanšu instrumentu maksimālā pakļautība kredītriskam</w:t>
      </w:r>
    </w:p>
    <w:p w14:paraId="372A20A5" w14:textId="77777777" w:rsidR="00E01689" w:rsidRPr="00A27896" w:rsidRDefault="00E01689" w:rsidP="00927CDF">
      <w:pPr>
        <w:pStyle w:val="Pamatteksts"/>
        <w:rPr>
          <w:rFonts w:eastAsiaTheme="minorHAnsi"/>
          <w:noProof w:val="0"/>
          <w:color w:val="17365D"/>
          <w:lang w:eastAsia="en-US"/>
        </w:rPr>
      </w:pPr>
      <w:r w:rsidRPr="00A27896">
        <w:rPr>
          <w:rFonts w:eastAsiaTheme="minorHAnsi"/>
          <w:noProof w:val="0"/>
          <w:color w:val="17365D"/>
          <w:lang w:eastAsia="en-US"/>
        </w:rPr>
        <w:t xml:space="preserve">Attiecībā uz noslēgtajiem atvasināto finanšu instrumentu darījumiem pastāv </w:t>
      </w:r>
      <w:proofErr w:type="spellStart"/>
      <w:r w:rsidRPr="00A27896">
        <w:rPr>
          <w:rFonts w:eastAsiaTheme="minorHAnsi"/>
          <w:noProof w:val="0"/>
          <w:color w:val="17365D"/>
          <w:lang w:eastAsia="en-US"/>
        </w:rPr>
        <w:t>partnerpuses</w:t>
      </w:r>
      <w:proofErr w:type="spellEnd"/>
      <w:r w:rsidRPr="00A27896">
        <w:rPr>
          <w:rFonts w:eastAsiaTheme="minorHAnsi"/>
          <w:noProof w:val="0"/>
          <w:color w:val="17365D"/>
          <w:lang w:eastAsia="en-US"/>
        </w:rPr>
        <w:t xml:space="preserve"> kredītrisks – ka darījumu partneris nepildīs savas saistības, līdz ar to radot darījumu pārtraukšanas izdevumus (darījumu izbeigšanas brīdī). Valsts parāda un naudas līdzekļu vadības stratēģijā finanšu risku vadībā ir izvirzīts uzdevums </w:t>
      </w:r>
      <w:proofErr w:type="spellStart"/>
      <w:r w:rsidRPr="00A27896">
        <w:rPr>
          <w:rFonts w:eastAsiaTheme="minorHAnsi"/>
          <w:noProof w:val="0"/>
          <w:color w:val="17365D"/>
          <w:lang w:eastAsia="en-US"/>
        </w:rPr>
        <w:t>partnerpušu</w:t>
      </w:r>
      <w:proofErr w:type="spellEnd"/>
      <w:r w:rsidRPr="00A27896">
        <w:rPr>
          <w:rFonts w:eastAsiaTheme="minorHAnsi"/>
          <w:noProof w:val="0"/>
          <w:color w:val="17365D"/>
          <w:lang w:eastAsia="en-US"/>
        </w:rPr>
        <w:t xml:space="preserve"> kredītriska novērtēšanu veikt pamatojoties uz kredītreitingu un citiem starptautiskajā finanšu vadības praksē pielietotajiem riska novērtēšanas kritērijiem. </w:t>
      </w:r>
      <w:proofErr w:type="spellStart"/>
      <w:r w:rsidRPr="00A27896">
        <w:rPr>
          <w:rFonts w:eastAsiaTheme="minorHAnsi"/>
          <w:noProof w:val="0"/>
          <w:color w:val="17365D"/>
          <w:lang w:eastAsia="en-US"/>
        </w:rPr>
        <w:t>Partnerpuses</w:t>
      </w:r>
      <w:proofErr w:type="spellEnd"/>
      <w:r w:rsidRPr="00A27896">
        <w:rPr>
          <w:rFonts w:eastAsiaTheme="minorHAnsi"/>
          <w:noProof w:val="0"/>
          <w:color w:val="17365D"/>
          <w:lang w:eastAsia="en-US"/>
        </w:rPr>
        <w:t xml:space="preserve"> kredītriska vadības kritēriji ir noteikti Valsts kases iekšējos noteikumos. </w:t>
      </w:r>
    </w:p>
    <w:p w14:paraId="66333859" w14:textId="77777777" w:rsidR="00E01689" w:rsidRPr="00A27896" w:rsidRDefault="00E01689" w:rsidP="00927CDF">
      <w:pPr>
        <w:pStyle w:val="Pamatteksts"/>
        <w:rPr>
          <w:rFonts w:eastAsiaTheme="minorHAnsi"/>
          <w:noProof w:val="0"/>
          <w:color w:val="17365D"/>
          <w:lang w:eastAsia="en-US"/>
        </w:rPr>
      </w:pPr>
      <w:proofErr w:type="spellStart"/>
      <w:r w:rsidRPr="00A27896">
        <w:rPr>
          <w:rFonts w:eastAsiaTheme="minorHAnsi"/>
          <w:noProof w:val="0"/>
          <w:color w:val="17365D"/>
          <w:lang w:eastAsia="en-US"/>
        </w:rPr>
        <w:t>Partnerpušu</w:t>
      </w:r>
      <w:proofErr w:type="spellEnd"/>
      <w:r w:rsidRPr="00A27896">
        <w:rPr>
          <w:rFonts w:eastAsiaTheme="minorHAnsi"/>
          <w:noProof w:val="0"/>
          <w:color w:val="17365D"/>
          <w:lang w:eastAsia="en-US"/>
        </w:rPr>
        <w:t xml:space="preserve"> kredītrisku vada saskaņā ar Valsts kases iekšējiem noteikumiem, nosakot ieguldījumu struktūras ierobežojumus. Nosaka un uzrauga </w:t>
      </w:r>
      <w:proofErr w:type="spellStart"/>
      <w:r w:rsidRPr="00A27896">
        <w:rPr>
          <w:rFonts w:eastAsiaTheme="minorHAnsi"/>
          <w:noProof w:val="0"/>
          <w:color w:val="17365D"/>
          <w:lang w:eastAsia="en-US"/>
        </w:rPr>
        <w:t>partnerpusēm</w:t>
      </w:r>
      <w:proofErr w:type="spellEnd"/>
      <w:r w:rsidRPr="00A27896">
        <w:rPr>
          <w:rFonts w:eastAsiaTheme="minorHAnsi"/>
          <w:noProof w:val="0"/>
          <w:color w:val="17365D"/>
          <w:lang w:eastAsia="en-US"/>
        </w:rPr>
        <w:t xml:space="preserve"> pieļaujamos darījumu veidus, darījumu apjoma un termiņa limitus un kredītreitinga kategorijas limitus. </w:t>
      </w:r>
    </w:p>
    <w:p w14:paraId="5605A970" w14:textId="77777777" w:rsidR="00E01689" w:rsidRPr="00A27896" w:rsidRDefault="00E01689" w:rsidP="00927CDF">
      <w:pPr>
        <w:pStyle w:val="Pamatteksts"/>
        <w:rPr>
          <w:rFonts w:eastAsiaTheme="minorHAnsi"/>
          <w:noProof w:val="0"/>
          <w:color w:val="17365D"/>
          <w:lang w:eastAsia="en-US"/>
        </w:rPr>
      </w:pPr>
      <w:proofErr w:type="spellStart"/>
      <w:r w:rsidRPr="00A27896">
        <w:rPr>
          <w:rFonts w:eastAsiaTheme="minorHAnsi"/>
          <w:noProof w:val="0"/>
          <w:color w:val="17365D"/>
          <w:lang w:eastAsia="en-US"/>
        </w:rPr>
        <w:t>Partnerpuses</w:t>
      </w:r>
      <w:proofErr w:type="spellEnd"/>
      <w:r w:rsidRPr="00A27896">
        <w:rPr>
          <w:rFonts w:eastAsiaTheme="minorHAnsi"/>
          <w:noProof w:val="0"/>
          <w:color w:val="17365D"/>
          <w:lang w:eastAsia="en-US"/>
        </w:rPr>
        <w:t xml:space="preserve"> kredītriska ierobežošanai, izdevīgāku atvasināto finanšu instrumentu darījumu nosacījumu nodrošināšanai, </w:t>
      </w:r>
      <w:proofErr w:type="spellStart"/>
      <w:r w:rsidRPr="00A27896">
        <w:rPr>
          <w:rFonts w:eastAsiaTheme="minorHAnsi"/>
          <w:noProof w:val="0"/>
          <w:color w:val="17365D"/>
          <w:lang w:eastAsia="en-US"/>
        </w:rPr>
        <w:t>partnerpušu</w:t>
      </w:r>
      <w:proofErr w:type="spellEnd"/>
      <w:r w:rsidRPr="00A27896">
        <w:rPr>
          <w:rFonts w:eastAsiaTheme="minorHAnsi"/>
          <w:noProof w:val="0"/>
          <w:color w:val="17365D"/>
          <w:lang w:eastAsia="en-US"/>
        </w:rPr>
        <w:t xml:space="preserve"> loka paplašināšanai un sadarbības apjomu paaugstināšanai pieļaujama līgumu un attiecīgu darījumu slēgšana, kas paredz garantijas nodrošinājumu, vienlaikus ievērojot likviditātes vadības prasības.</w:t>
      </w:r>
    </w:p>
    <w:p w14:paraId="3242183D" w14:textId="77777777" w:rsidR="00E01689" w:rsidRPr="00A27896" w:rsidRDefault="00E01689" w:rsidP="00927CDF">
      <w:pPr>
        <w:pStyle w:val="Pamatteksts"/>
        <w:rPr>
          <w:rFonts w:eastAsiaTheme="minorHAnsi"/>
          <w:noProof w:val="0"/>
          <w:color w:val="17365D"/>
          <w:lang w:eastAsia="en-US"/>
        </w:rPr>
      </w:pPr>
      <w:r w:rsidRPr="00A27896">
        <w:rPr>
          <w:rFonts w:eastAsiaTheme="minorHAnsi"/>
          <w:noProof w:val="0"/>
          <w:color w:val="17365D"/>
          <w:lang w:eastAsia="en-US"/>
        </w:rPr>
        <w:t xml:space="preserve">2022. gadā atvasināto finanšu instrumentu atmaksa nav bijusi kavēta. </w:t>
      </w:r>
    </w:p>
    <w:p w14:paraId="52BDBBFB" w14:textId="014303F4" w:rsidR="006D6DD7" w:rsidRPr="00A27896" w:rsidRDefault="006D6DD7" w:rsidP="006D6DD7">
      <w:pPr>
        <w:pStyle w:val="tv2131"/>
        <w:spacing w:after="120" w:line="240" w:lineRule="auto"/>
        <w:ind w:left="284" w:firstLine="0"/>
        <w:jc w:val="both"/>
        <w:rPr>
          <w:rFonts w:eastAsiaTheme="minorHAnsi"/>
          <w:b/>
          <w:bCs/>
          <w:i/>
          <w:iCs/>
          <w:color w:val="17365D"/>
          <w:sz w:val="24"/>
          <w:szCs w:val="22"/>
        </w:rPr>
      </w:pPr>
    </w:p>
    <w:p w14:paraId="6FBB947F" w14:textId="66A278B5" w:rsidR="00AB2439" w:rsidRPr="00A27896" w:rsidRDefault="00AB2439" w:rsidP="00FD10CC">
      <w:pPr>
        <w:pStyle w:val="Heading3"/>
      </w:pPr>
      <w:r w:rsidRPr="00A27896">
        <w:t xml:space="preserve">Rīgas </w:t>
      </w:r>
      <w:proofErr w:type="spellStart"/>
      <w:r w:rsidR="00442CB4" w:rsidRPr="00A27896">
        <w:t>valsts</w:t>
      </w:r>
      <w:r w:rsidRPr="00A27896">
        <w:t>pilsētas</w:t>
      </w:r>
      <w:proofErr w:type="spellEnd"/>
      <w:r w:rsidRPr="00A27896">
        <w:t xml:space="preserve"> pašvaldības finanšu instrumentu risku pārvaldīšana </w:t>
      </w:r>
    </w:p>
    <w:p w14:paraId="0A3CBAA9" w14:textId="3DD71A62"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 xml:space="preserve">Rīgas </w:t>
      </w:r>
      <w:proofErr w:type="spellStart"/>
      <w:r w:rsidR="00D341F3" w:rsidRPr="00A27896">
        <w:rPr>
          <w:rFonts w:cs="Times New Roman"/>
          <w:color w:val="17365D"/>
          <w:szCs w:val="24"/>
        </w:rPr>
        <w:t>valsts</w:t>
      </w:r>
      <w:r w:rsidRPr="00A27896">
        <w:rPr>
          <w:rFonts w:cs="Times New Roman"/>
          <w:color w:val="17365D"/>
          <w:szCs w:val="24"/>
        </w:rPr>
        <w:t>pilsētas</w:t>
      </w:r>
      <w:proofErr w:type="spellEnd"/>
      <w:r w:rsidRPr="00A27896">
        <w:rPr>
          <w:rFonts w:cs="Times New Roman"/>
          <w:color w:val="17365D"/>
          <w:szCs w:val="24"/>
        </w:rPr>
        <w:t xml:space="preserve"> pašvaldība finanšu instrumentu risku pārvaldību uzskata par neatņemamu pašvaldības finanšu darbības sastāvdaļu, īstenojot savu parādsaistību vadību, kura tiek veikta “Pašvaldības aizņēmumu, galvojumu un citu ilgtermiņa saistību vadības stratēģijas 2018.</w:t>
      </w:r>
      <w:r w:rsidR="00905AEC" w:rsidRPr="00A27896">
        <w:rPr>
          <w:rFonts w:cs="Times New Roman"/>
          <w:color w:val="17365D"/>
          <w:szCs w:val="24"/>
        </w:rPr>
        <w:t xml:space="preserve"> –</w:t>
      </w:r>
      <w:r w:rsidR="003F12DE" w:rsidRPr="00A27896">
        <w:rPr>
          <w:rFonts w:cs="Times New Roman"/>
          <w:color w:val="17365D"/>
          <w:szCs w:val="24"/>
        </w:rPr>
        <w:t>2022. gad</w:t>
      </w:r>
      <w:r w:rsidRPr="00A27896">
        <w:rPr>
          <w:rFonts w:cs="Times New Roman"/>
          <w:color w:val="17365D"/>
          <w:szCs w:val="24"/>
        </w:rPr>
        <w:t xml:space="preserve">am” (turpmāk – Rīgas </w:t>
      </w:r>
      <w:proofErr w:type="spellStart"/>
      <w:r w:rsidR="00751073" w:rsidRPr="00A27896">
        <w:rPr>
          <w:rFonts w:cs="Times New Roman"/>
          <w:color w:val="17365D"/>
          <w:szCs w:val="24"/>
        </w:rPr>
        <w:t>valsts</w:t>
      </w:r>
      <w:r w:rsidRPr="00A27896">
        <w:rPr>
          <w:rFonts w:cs="Times New Roman"/>
          <w:color w:val="17365D"/>
          <w:szCs w:val="24"/>
        </w:rPr>
        <w:t>pilsētas</w:t>
      </w:r>
      <w:proofErr w:type="spellEnd"/>
      <w:r w:rsidR="00EA0E40" w:rsidRPr="00A27896">
        <w:rPr>
          <w:rFonts w:cs="Times New Roman"/>
          <w:color w:val="17365D"/>
          <w:szCs w:val="24"/>
        </w:rPr>
        <w:t xml:space="preserve"> pašvaldības</w:t>
      </w:r>
      <w:r w:rsidRPr="00A27896">
        <w:rPr>
          <w:rFonts w:cs="Times New Roman"/>
          <w:color w:val="17365D"/>
          <w:szCs w:val="24"/>
        </w:rPr>
        <w:t xml:space="preserve"> stratēģija).</w:t>
      </w:r>
    </w:p>
    <w:p w14:paraId="677B3AC4" w14:textId="32FF4F43" w:rsidR="00627188"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 xml:space="preserve">Saskaņā ar Rīgas </w:t>
      </w:r>
      <w:proofErr w:type="spellStart"/>
      <w:r w:rsidR="00751073" w:rsidRPr="00A27896">
        <w:rPr>
          <w:rFonts w:cs="Times New Roman"/>
          <w:color w:val="17365D"/>
          <w:szCs w:val="24"/>
        </w:rPr>
        <w:t>valsts</w:t>
      </w:r>
      <w:r w:rsidRPr="00A27896">
        <w:rPr>
          <w:rFonts w:cs="Times New Roman"/>
          <w:color w:val="17365D"/>
          <w:szCs w:val="24"/>
        </w:rPr>
        <w:t>pilsētas</w:t>
      </w:r>
      <w:proofErr w:type="spellEnd"/>
      <w:r w:rsidRPr="00A27896">
        <w:rPr>
          <w:rFonts w:cs="Times New Roman"/>
          <w:color w:val="17365D"/>
          <w:szCs w:val="24"/>
        </w:rPr>
        <w:t xml:space="preserve"> pašvaldības stratēģiju, pašvaldības parāda portfeļa vadība ir piesardzīga, orientēta uz finanšu risku ierobežošanu un novēršanu, pieļaujot stratēģijā noteikto atvasināto finanšu instrumentu izmantošanu vienīgi finanšu risku nodrošināšanai.</w:t>
      </w:r>
    </w:p>
    <w:p w14:paraId="2D2FA3CA" w14:textId="2EA4D3E5" w:rsidR="00627188" w:rsidRPr="00A27896" w:rsidRDefault="00627188" w:rsidP="00627188">
      <w:pPr>
        <w:spacing w:after="120" w:line="240" w:lineRule="auto"/>
        <w:ind w:firstLine="284"/>
        <w:jc w:val="both"/>
        <w:rPr>
          <w:rFonts w:cs="Times New Roman"/>
          <w:color w:val="17365D"/>
          <w:szCs w:val="24"/>
        </w:rPr>
      </w:pPr>
      <w:r w:rsidRPr="00A27896">
        <w:rPr>
          <w:rFonts w:cs="Times New Roman"/>
          <w:color w:val="17365D"/>
          <w:szCs w:val="24"/>
        </w:rPr>
        <w:t>Pašvaldības īstenotā finanšu resursu vadība 202</w:t>
      </w:r>
      <w:r w:rsidR="009943CD" w:rsidRPr="00A27896">
        <w:rPr>
          <w:rFonts w:cs="Times New Roman"/>
          <w:color w:val="17365D"/>
          <w:szCs w:val="24"/>
        </w:rPr>
        <w:t>2</w:t>
      </w:r>
      <w:r w:rsidRPr="00A27896">
        <w:rPr>
          <w:rFonts w:cs="Times New Roman"/>
          <w:color w:val="17365D"/>
          <w:szCs w:val="24"/>
        </w:rPr>
        <w:t xml:space="preserve">. gadā nodrošināja budžeta un piesaistīto finanšu resursu taupīgu un racionālu izmantošanu. Rīgas </w:t>
      </w:r>
      <w:proofErr w:type="spellStart"/>
      <w:r w:rsidR="00751073" w:rsidRPr="00A27896">
        <w:rPr>
          <w:rFonts w:cs="Times New Roman"/>
          <w:color w:val="17365D"/>
          <w:szCs w:val="24"/>
        </w:rPr>
        <w:t>valsts</w:t>
      </w:r>
      <w:r w:rsidRPr="00A27896">
        <w:rPr>
          <w:rFonts w:cs="Times New Roman"/>
          <w:color w:val="17365D"/>
          <w:szCs w:val="24"/>
        </w:rPr>
        <w:t>pilsētas</w:t>
      </w:r>
      <w:proofErr w:type="spellEnd"/>
      <w:r w:rsidRPr="00A27896">
        <w:rPr>
          <w:rFonts w:cs="Times New Roman"/>
          <w:color w:val="17365D"/>
          <w:szCs w:val="24"/>
        </w:rPr>
        <w:t xml:space="preserve"> pašvaldības stratēģijas </w:t>
      </w:r>
      <w:r w:rsidRPr="00A27896">
        <w:rPr>
          <w:rFonts w:cs="Times New Roman"/>
          <w:color w:val="17365D"/>
          <w:szCs w:val="24"/>
        </w:rPr>
        <w:lastRenderedPageBreak/>
        <w:t>ietvaros tika turpināta iepriekšējos gados īstenotā kredītu procentu riska samazināšanas politika, nodrošinot aizņēmumu apkalpošanas maksājumu stabilitāti.</w:t>
      </w:r>
    </w:p>
    <w:p w14:paraId="56D195DF" w14:textId="70766983" w:rsidR="00AB2439" w:rsidRPr="00A27896" w:rsidRDefault="00627188" w:rsidP="00627188">
      <w:pPr>
        <w:spacing w:after="120" w:line="240" w:lineRule="auto"/>
        <w:ind w:firstLine="284"/>
        <w:jc w:val="both"/>
        <w:rPr>
          <w:rFonts w:cs="Times New Roman"/>
          <w:color w:val="17365D"/>
          <w:szCs w:val="24"/>
        </w:rPr>
      </w:pPr>
      <w:r w:rsidRPr="00A27896">
        <w:rPr>
          <w:rFonts w:cs="Times New Roman"/>
          <w:color w:val="17365D"/>
          <w:szCs w:val="24"/>
        </w:rPr>
        <w:t xml:space="preserve">Ilgtermiņa saistību portfeļa vadība dod iespēju Rīgas </w:t>
      </w:r>
      <w:proofErr w:type="spellStart"/>
      <w:r w:rsidRPr="00A27896">
        <w:rPr>
          <w:rFonts w:cs="Times New Roman"/>
          <w:color w:val="17365D"/>
          <w:szCs w:val="24"/>
        </w:rPr>
        <w:t>valstspilsētas</w:t>
      </w:r>
      <w:proofErr w:type="spellEnd"/>
      <w:r w:rsidRPr="00A27896">
        <w:rPr>
          <w:rFonts w:cs="Times New Roman"/>
          <w:color w:val="17365D"/>
          <w:szCs w:val="24"/>
        </w:rPr>
        <w:t xml:space="preserve"> pašvaldībai koriģēt parāda portfeļa struktūru gan ņemot jaunus vai pārjaunojot esošos aizņēmumus, gan izmantojot budžeta vadības iespējas, kā arī nepieciešamības gadījumā izmantojot stratēģijā atļautos atvasinātos finanšu instrumentus. Tādā veidā tiek nodrošinot pašvaldības ilgtermiņa saistību portfeļa optimālā struktūra, kas nerada neprognozējamu slogu budžetam, un atbilst Rīgas </w:t>
      </w:r>
      <w:proofErr w:type="spellStart"/>
      <w:r w:rsidRPr="00A27896">
        <w:rPr>
          <w:rFonts w:cs="Times New Roman"/>
          <w:color w:val="17365D"/>
          <w:szCs w:val="24"/>
        </w:rPr>
        <w:t>valstspilsētas</w:t>
      </w:r>
      <w:proofErr w:type="spellEnd"/>
      <w:r w:rsidRPr="00A27896">
        <w:rPr>
          <w:rFonts w:cs="Times New Roman"/>
          <w:color w:val="17365D"/>
          <w:szCs w:val="24"/>
        </w:rPr>
        <w:t xml:space="preserve"> pašvaldības ilgtermiņa saistību vadības stratēģijā noteiktajiem parāda struktūras rādītājiem.</w:t>
      </w:r>
    </w:p>
    <w:p w14:paraId="416F79DB" w14:textId="3B8D8BB6"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 xml:space="preserve">Rīgas </w:t>
      </w:r>
      <w:proofErr w:type="spellStart"/>
      <w:r w:rsidR="00751073" w:rsidRPr="00A27896">
        <w:rPr>
          <w:rFonts w:cs="Times New Roman"/>
          <w:color w:val="17365D"/>
          <w:szCs w:val="24"/>
        </w:rPr>
        <w:t>valsts</w:t>
      </w:r>
      <w:r w:rsidRPr="00A27896">
        <w:rPr>
          <w:rFonts w:cs="Times New Roman"/>
          <w:color w:val="17365D"/>
          <w:szCs w:val="24"/>
        </w:rPr>
        <w:t>pilsētas</w:t>
      </w:r>
      <w:proofErr w:type="spellEnd"/>
      <w:r w:rsidRPr="00A27896">
        <w:rPr>
          <w:rFonts w:cs="Times New Roman"/>
          <w:color w:val="17365D"/>
          <w:szCs w:val="24"/>
        </w:rPr>
        <w:t xml:space="preserve"> pašvaldības ilgtermiņa saistību (finanšu instrumentu) vadība ir saistīta ar šādiem finanšu riskiem:</w:t>
      </w:r>
    </w:p>
    <w:p w14:paraId="6CA2AB56" w14:textId="77777777" w:rsidR="00AB2439" w:rsidRPr="00A27896" w:rsidRDefault="00AB2439"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valūtas risks;</w:t>
      </w:r>
    </w:p>
    <w:p w14:paraId="3793E7D9" w14:textId="77777777" w:rsidR="00AB2439" w:rsidRPr="00A27896" w:rsidRDefault="00AB2439"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procentu likmju risks;</w:t>
      </w:r>
    </w:p>
    <w:p w14:paraId="40322EFF" w14:textId="77777777" w:rsidR="00AB2439" w:rsidRPr="00A27896" w:rsidRDefault="00AB2439" w:rsidP="007C6C15">
      <w:pPr>
        <w:pStyle w:val="tv2131"/>
        <w:numPr>
          <w:ilvl w:val="0"/>
          <w:numId w:val="18"/>
        </w:numPr>
        <w:spacing w:after="120" w:line="240" w:lineRule="auto"/>
        <w:ind w:left="851"/>
        <w:jc w:val="both"/>
        <w:rPr>
          <w:color w:val="17365D"/>
          <w:sz w:val="24"/>
          <w:szCs w:val="24"/>
        </w:rPr>
      </w:pPr>
      <w:r w:rsidRPr="00A27896">
        <w:rPr>
          <w:color w:val="17365D"/>
          <w:sz w:val="24"/>
          <w:szCs w:val="24"/>
        </w:rPr>
        <w:t>likviditātes risks.</w:t>
      </w:r>
    </w:p>
    <w:p w14:paraId="6041CB32" w14:textId="43FB1294"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 xml:space="preserve">Valūtu risku vadības nodrošināšanai Rīgas </w:t>
      </w:r>
      <w:proofErr w:type="spellStart"/>
      <w:r w:rsidR="00627188" w:rsidRPr="00A27896">
        <w:rPr>
          <w:rFonts w:cs="Times New Roman"/>
          <w:color w:val="17365D"/>
          <w:szCs w:val="24"/>
        </w:rPr>
        <w:t>valsts</w:t>
      </w:r>
      <w:r w:rsidRPr="00A27896">
        <w:rPr>
          <w:rFonts w:cs="Times New Roman"/>
          <w:color w:val="17365D"/>
          <w:szCs w:val="24"/>
        </w:rPr>
        <w:t>pilsētas</w:t>
      </w:r>
      <w:proofErr w:type="spellEnd"/>
      <w:r w:rsidRPr="00A27896">
        <w:rPr>
          <w:rFonts w:cs="Times New Roman"/>
          <w:color w:val="17365D"/>
          <w:szCs w:val="24"/>
        </w:rPr>
        <w:t xml:space="preserve"> pašvaldība nosaka un uzrauga optimālā</w:t>
      </w:r>
      <w:r w:rsidR="005528D1" w:rsidRPr="00A27896">
        <w:rPr>
          <w:rFonts w:cs="Times New Roman"/>
          <w:color w:val="17365D"/>
          <w:szCs w:val="24"/>
        </w:rPr>
        <w:t xml:space="preserve"> tīrā parāda valūtas kompozīciju</w:t>
      </w:r>
      <w:r w:rsidRPr="00A27896">
        <w:rPr>
          <w:rFonts w:cs="Times New Roman"/>
          <w:color w:val="17365D"/>
          <w:szCs w:val="24"/>
        </w:rPr>
        <w:t>, kas ļauj ievērot saistību ārvalstu valūtas līdzsvaru un tādejādi izvairīties no valūtu kursu svārstību ietekmes.</w:t>
      </w:r>
    </w:p>
    <w:p w14:paraId="571D1FD8" w14:textId="1ADC4802" w:rsidR="00AB2439" w:rsidRPr="00A27896" w:rsidRDefault="00905AEC" w:rsidP="00AB2439">
      <w:pPr>
        <w:spacing w:after="120" w:line="240" w:lineRule="auto"/>
        <w:ind w:firstLine="284"/>
        <w:jc w:val="both"/>
        <w:rPr>
          <w:rFonts w:cs="Times New Roman"/>
          <w:color w:val="17365D"/>
          <w:szCs w:val="24"/>
        </w:rPr>
      </w:pPr>
      <w:r w:rsidRPr="00A27896">
        <w:rPr>
          <w:rFonts w:cs="Times New Roman"/>
          <w:color w:val="17365D"/>
          <w:szCs w:val="24"/>
        </w:rPr>
        <w:t>202</w:t>
      </w:r>
      <w:r w:rsidR="009943CD" w:rsidRPr="00A27896">
        <w:rPr>
          <w:rFonts w:cs="Times New Roman"/>
          <w:color w:val="17365D"/>
          <w:szCs w:val="24"/>
        </w:rPr>
        <w:t>2</w:t>
      </w:r>
      <w:r w:rsidRPr="00A27896">
        <w:rPr>
          <w:rFonts w:cs="Times New Roman"/>
          <w:color w:val="17365D"/>
          <w:szCs w:val="24"/>
        </w:rPr>
        <w:t>. g</w:t>
      </w:r>
      <w:r w:rsidR="00AB2439" w:rsidRPr="00A27896">
        <w:rPr>
          <w:rFonts w:cs="Times New Roman"/>
          <w:color w:val="17365D"/>
          <w:szCs w:val="24"/>
        </w:rPr>
        <w:t xml:space="preserve">ada 31.decembrī Rīgas </w:t>
      </w:r>
      <w:proofErr w:type="spellStart"/>
      <w:r w:rsidR="00751073" w:rsidRPr="00A27896">
        <w:rPr>
          <w:rFonts w:cs="Times New Roman"/>
          <w:color w:val="17365D"/>
          <w:szCs w:val="24"/>
        </w:rPr>
        <w:t>valsts</w:t>
      </w:r>
      <w:r w:rsidR="00AB2439" w:rsidRPr="00A27896">
        <w:rPr>
          <w:rFonts w:cs="Times New Roman"/>
          <w:color w:val="17365D"/>
          <w:szCs w:val="24"/>
        </w:rPr>
        <w:t>pilsētas</w:t>
      </w:r>
      <w:proofErr w:type="spellEnd"/>
      <w:r w:rsidR="00AB2439" w:rsidRPr="00A27896">
        <w:rPr>
          <w:rFonts w:cs="Times New Roman"/>
          <w:color w:val="17365D"/>
          <w:szCs w:val="24"/>
        </w:rPr>
        <w:t xml:space="preserve"> pašvaldības finanšu instrumentu saistības 100</w:t>
      </w:r>
      <w:r w:rsidR="005528D1" w:rsidRPr="00A27896">
        <w:rPr>
          <w:rFonts w:cs="Times New Roman"/>
          <w:color w:val="17365D"/>
          <w:szCs w:val="24"/>
        </w:rPr>
        <w:t> </w:t>
      </w:r>
      <w:r w:rsidR="00AB2439" w:rsidRPr="00A27896">
        <w:rPr>
          <w:rFonts w:cs="Times New Roman"/>
          <w:color w:val="17365D"/>
          <w:szCs w:val="24"/>
        </w:rPr>
        <w:t xml:space="preserve">% apmērā bija </w:t>
      </w:r>
      <w:proofErr w:type="spellStart"/>
      <w:r w:rsidR="00AB2439" w:rsidRPr="00A27896">
        <w:rPr>
          <w:rFonts w:cs="Times New Roman"/>
          <w:i/>
          <w:color w:val="17365D"/>
          <w:szCs w:val="24"/>
        </w:rPr>
        <w:t>euro</w:t>
      </w:r>
      <w:proofErr w:type="spellEnd"/>
      <w:r w:rsidR="00AB2439" w:rsidRPr="00A27896">
        <w:rPr>
          <w:rFonts w:cs="Times New Roman"/>
          <w:color w:val="17365D"/>
          <w:szCs w:val="24"/>
        </w:rPr>
        <w:t xml:space="preserve"> valūtā.</w:t>
      </w:r>
    </w:p>
    <w:p w14:paraId="135B83C7" w14:textId="77777777"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 xml:space="preserve">Procentu likmju risks rodas tiem pašvaldības aizņēmumiem, kuriem ir noteikta mainīga procentu likme, jo pastāv iespējamība, ka aizņēmumu procentu maksājumi var nozīmīgi pieaug situācijās, kad procentu likme palielinās. </w:t>
      </w:r>
    </w:p>
    <w:p w14:paraId="38DB28C2" w14:textId="6C24CB61"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 xml:space="preserve">Lai nodrošinātu stabilas ilgtermiņa saistību apkalpošanas izmaksas un to prognozējamību, ilgtermiņa saistību vadības procesā Rīgas </w:t>
      </w:r>
      <w:proofErr w:type="spellStart"/>
      <w:r w:rsidR="00751073" w:rsidRPr="00A27896">
        <w:rPr>
          <w:rFonts w:cs="Times New Roman"/>
          <w:color w:val="17365D"/>
          <w:szCs w:val="24"/>
        </w:rPr>
        <w:t>valsts</w:t>
      </w:r>
      <w:r w:rsidRPr="00A27896">
        <w:rPr>
          <w:rFonts w:cs="Times New Roman"/>
          <w:color w:val="17365D"/>
          <w:szCs w:val="24"/>
        </w:rPr>
        <w:t>pilsētas</w:t>
      </w:r>
      <w:proofErr w:type="spellEnd"/>
      <w:r w:rsidRPr="00A27896">
        <w:rPr>
          <w:rFonts w:cs="Times New Roman"/>
          <w:color w:val="17365D"/>
          <w:szCs w:val="24"/>
        </w:rPr>
        <w:t xml:space="preserve"> pašvaldība noteikusi, ka ir nepieciešams nodrošināt, ka ne mazāk kā 60</w:t>
      </w:r>
      <w:r w:rsidR="005528D1" w:rsidRPr="00A27896">
        <w:rPr>
          <w:rFonts w:cs="Times New Roman"/>
          <w:color w:val="17365D"/>
          <w:szCs w:val="24"/>
        </w:rPr>
        <w:t> </w:t>
      </w:r>
      <w:r w:rsidRPr="00A27896">
        <w:rPr>
          <w:rFonts w:cs="Times New Roman"/>
          <w:color w:val="17365D"/>
          <w:szCs w:val="24"/>
        </w:rPr>
        <w:t>% no ilgtermiņa saistību portfeļa kopapjoma procentu likme ir fiksēta uz termiņu, kas ir lielāks par vienu gadu, tādejādi mazinot risku, ka tirgus likmju svārstību rezultātā pašvaldības izmaksas par finansējuma izmantošanu būs augstākas nekā plānots.</w:t>
      </w:r>
    </w:p>
    <w:p w14:paraId="4AB76E8C" w14:textId="1E881D79" w:rsidR="00AB2439" w:rsidRPr="00A27896" w:rsidRDefault="00555BA9" w:rsidP="00AB2439">
      <w:pPr>
        <w:spacing w:after="120" w:line="240" w:lineRule="auto"/>
        <w:ind w:firstLine="284"/>
        <w:jc w:val="both"/>
        <w:rPr>
          <w:rFonts w:cs="Times New Roman"/>
          <w:color w:val="17365D"/>
          <w:szCs w:val="24"/>
        </w:rPr>
      </w:pPr>
      <w:r w:rsidRPr="00A27896">
        <w:rPr>
          <w:rFonts w:cs="Times New Roman"/>
          <w:color w:val="17365D"/>
          <w:szCs w:val="24"/>
        </w:rPr>
        <w:t>202</w:t>
      </w:r>
      <w:r w:rsidR="009943CD" w:rsidRPr="00A27896">
        <w:rPr>
          <w:rFonts w:cs="Times New Roman"/>
          <w:color w:val="17365D"/>
          <w:szCs w:val="24"/>
        </w:rPr>
        <w:t>2</w:t>
      </w:r>
      <w:r w:rsidR="00AB2439" w:rsidRPr="00A27896">
        <w:rPr>
          <w:rFonts w:cs="Times New Roman"/>
          <w:color w:val="17365D"/>
          <w:szCs w:val="24"/>
        </w:rPr>
        <w:t xml:space="preserve">. gada beigās </w:t>
      </w:r>
      <w:r w:rsidR="00CE2A61" w:rsidRPr="00A27896">
        <w:rPr>
          <w:rFonts w:cs="Times New Roman"/>
          <w:color w:val="17365D"/>
          <w:szCs w:val="24"/>
        </w:rPr>
        <w:t>6</w:t>
      </w:r>
      <w:r w:rsidR="00AB2439" w:rsidRPr="00A27896">
        <w:rPr>
          <w:rFonts w:cs="Times New Roman"/>
          <w:color w:val="17365D"/>
          <w:szCs w:val="24"/>
        </w:rPr>
        <w:t>7</w:t>
      </w:r>
      <w:r w:rsidR="005528D1" w:rsidRPr="00A27896">
        <w:rPr>
          <w:rFonts w:cs="Times New Roman"/>
          <w:color w:val="17365D"/>
          <w:szCs w:val="24"/>
        </w:rPr>
        <w:t> </w:t>
      </w:r>
      <w:r w:rsidR="00AB2439" w:rsidRPr="00A27896">
        <w:rPr>
          <w:rFonts w:cs="Times New Roman"/>
          <w:color w:val="17365D"/>
          <w:szCs w:val="24"/>
        </w:rPr>
        <w:t xml:space="preserve">% no kopējām pašvaldības saistībām bija ar fiksētu procentu likmi, kas atbilst stratēģijā noteiktajam pieļaujamam līmenim </w:t>
      </w:r>
    </w:p>
    <w:p w14:paraId="7A18C30D" w14:textId="66119303"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Pamatojotie</w:t>
      </w:r>
      <w:r w:rsidR="00EA0E40" w:rsidRPr="00A27896">
        <w:rPr>
          <w:rFonts w:cs="Times New Roman"/>
          <w:color w:val="17365D"/>
          <w:szCs w:val="24"/>
        </w:rPr>
        <w:t xml:space="preserve">s uz Rīgas </w:t>
      </w:r>
      <w:proofErr w:type="spellStart"/>
      <w:r w:rsidR="00FD7A22" w:rsidRPr="00A27896">
        <w:rPr>
          <w:rFonts w:cs="Times New Roman"/>
          <w:color w:val="17365D"/>
          <w:szCs w:val="24"/>
        </w:rPr>
        <w:t>valsts</w:t>
      </w:r>
      <w:r w:rsidR="00EA0E40" w:rsidRPr="00A27896">
        <w:rPr>
          <w:rFonts w:cs="Times New Roman"/>
          <w:color w:val="17365D"/>
          <w:szCs w:val="24"/>
        </w:rPr>
        <w:t>pilsētas</w:t>
      </w:r>
      <w:proofErr w:type="spellEnd"/>
      <w:r w:rsidR="00EA0E40" w:rsidRPr="00A27896">
        <w:rPr>
          <w:rFonts w:cs="Times New Roman"/>
          <w:color w:val="17365D"/>
          <w:szCs w:val="24"/>
        </w:rPr>
        <w:t xml:space="preserve"> pašvaldības </w:t>
      </w:r>
      <w:r w:rsidR="00FD7A22" w:rsidRPr="00A27896">
        <w:rPr>
          <w:rFonts w:cs="Times New Roman"/>
          <w:color w:val="17365D"/>
          <w:szCs w:val="24"/>
        </w:rPr>
        <w:t xml:space="preserve">ilgtermiņa saistību </w:t>
      </w:r>
      <w:r w:rsidRPr="00A27896">
        <w:rPr>
          <w:rFonts w:cs="Times New Roman"/>
          <w:color w:val="17365D"/>
          <w:szCs w:val="24"/>
        </w:rPr>
        <w:t>stratēģijā noteikto nepieciešamību nodrošināt finanšu resursu pietiekamību, kas jebkurā laikā ļauj veikt pašvaldības budžetā apstiprināto izdevumu izpildi, Rīgas</w:t>
      </w:r>
      <w:r w:rsidR="00555BA9" w:rsidRPr="00A27896">
        <w:rPr>
          <w:rFonts w:cs="Times New Roman"/>
          <w:color w:val="17365D"/>
          <w:szCs w:val="24"/>
        </w:rPr>
        <w:t xml:space="preserve"> </w:t>
      </w:r>
      <w:proofErr w:type="spellStart"/>
      <w:r w:rsidR="00FD7A22" w:rsidRPr="00A27896">
        <w:rPr>
          <w:rFonts w:cs="Times New Roman"/>
          <w:color w:val="17365D"/>
          <w:szCs w:val="24"/>
        </w:rPr>
        <w:t>valsts</w:t>
      </w:r>
      <w:r w:rsidR="00555BA9" w:rsidRPr="00A27896">
        <w:rPr>
          <w:rFonts w:cs="Times New Roman"/>
          <w:color w:val="17365D"/>
          <w:szCs w:val="24"/>
        </w:rPr>
        <w:t>pilsētas</w:t>
      </w:r>
      <w:proofErr w:type="spellEnd"/>
      <w:r w:rsidR="00555BA9" w:rsidRPr="00A27896">
        <w:rPr>
          <w:rFonts w:cs="Times New Roman"/>
          <w:color w:val="17365D"/>
          <w:szCs w:val="24"/>
        </w:rPr>
        <w:t xml:space="preserve"> pašvaldība ir veikusi</w:t>
      </w:r>
      <w:r w:rsidRPr="00A27896">
        <w:rPr>
          <w:rFonts w:cs="Times New Roman"/>
          <w:color w:val="17365D"/>
          <w:szCs w:val="24"/>
        </w:rPr>
        <w:t xml:space="preserve"> šādas darbības likviditātes riska mazināšanai:</w:t>
      </w:r>
    </w:p>
    <w:p w14:paraId="22FFD3E4" w14:textId="67564D05"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 xml:space="preserve">1) </w:t>
      </w:r>
      <w:r w:rsidR="00CE2A61" w:rsidRPr="00A27896">
        <w:rPr>
          <w:rFonts w:cs="Times New Roman"/>
          <w:color w:val="17365D"/>
          <w:szCs w:val="24"/>
        </w:rPr>
        <w:t xml:space="preserve">ņemot vērā finansēšanas nepieciešamību un situāciju finanšu tirgos, Rīgas </w:t>
      </w:r>
      <w:proofErr w:type="spellStart"/>
      <w:r w:rsidR="00CE2A61" w:rsidRPr="00A27896">
        <w:rPr>
          <w:rFonts w:cs="Times New Roman"/>
          <w:color w:val="17365D"/>
          <w:szCs w:val="24"/>
        </w:rPr>
        <w:t>valstspilsētas</w:t>
      </w:r>
      <w:proofErr w:type="spellEnd"/>
      <w:r w:rsidR="00CE2A61" w:rsidRPr="00A27896">
        <w:rPr>
          <w:rFonts w:cs="Times New Roman"/>
          <w:color w:val="17365D"/>
          <w:szCs w:val="24"/>
        </w:rPr>
        <w:t xml:space="preserve"> pašvaldība 2022.</w:t>
      </w:r>
      <w:r w:rsidR="0057470D" w:rsidRPr="00A27896">
        <w:rPr>
          <w:rFonts w:cs="Times New Roman"/>
          <w:color w:val="17365D"/>
          <w:szCs w:val="24"/>
        </w:rPr>
        <w:t xml:space="preserve"> </w:t>
      </w:r>
      <w:r w:rsidR="00CE2A61" w:rsidRPr="00A27896">
        <w:rPr>
          <w:rFonts w:cs="Times New Roman"/>
          <w:color w:val="17365D"/>
          <w:szCs w:val="24"/>
        </w:rPr>
        <w:t>gadā ir nodrošinājusi nepieciešamo likvīdo naudas līdzekļu apjomu budžeta izdevumu nodrošināšanai, kā arī uzturējusi nepieciešamo likvīdo naudas līdzekļu rezervi</w:t>
      </w:r>
      <w:r w:rsidR="00D50D19" w:rsidRPr="00A27896">
        <w:rPr>
          <w:rFonts w:cs="Times New Roman"/>
          <w:color w:val="17365D"/>
          <w:szCs w:val="24"/>
        </w:rPr>
        <w:t xml:space="preserve"> </w:t>
      </w:r>
      <w:r w:rsidR="00CE2A61" w:rsidRPr="00A27896">
        <w:rPr>
          <w:rFonts w:cs="Times New Roman"/>
          <w:color w:val="17365D"/>
          <w:szCs w:val="24"/>
        </w:rPr>
        <w:t>tekošā gada un turpmāko gadu saistību segšanai</w:t>
      </w:r>
      <w:r w:rsidRPr="00A27896">
        <w:rPr>
          <w:rFonts w:cs="Times New Roman"/>
          <w:color w:val="17365D"/>
          <w:szCs w:val="24"/>
        </w:rPr>
        <w:t xml:space="preserve">; </w:t>
      </w:r>
    </w:p>
    <w:p w14:paraId="4B70A992" w14:textId="275F82B8"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2) 2008.</w:t>
      </w:r>
      <w:r w:rsidR="005528D1" w:rsidRPr="00A27896">
        <w:rPr>
          <w:rFonts w:cs="Times New Roman"/>
          <w:color w:val="17365D"/>
          <w:szCs w:val="24"/>
        </w:rPr>
        <w:t> </w:t>
      </w:r>
      <w:r w:rsidRPr="00A27896">
        <w:rPr>
          <w:rFonts w:cs="Times New Roman"/>
          <w:color w:val="17365D"/>
          <w:szCs w:val="24"/>
        </w:rPr>
        <w:t>gada 20.</w:t>
      </w:r>
      <w:r w:rsidR="005528D1" w:rsidRPr="00A27896">
        <w:rPr>
          <w:rFonts w:cs="Times New Roman"/>
          <w:color w:val="17365D"/>
          <w:szCs w:val="24"/>
        </w:rPr>
        <w:t> </w:t>
      </w:r>
      <w:r w:rsidRPr="00A27896">
        <w:rPr>
          <w:rFonts w:cs="Times New Roman"/>
          <w:color w:val="17365D"/>
          <w:szCs w:val="24"/>
        </w:rPr>
        <w:t xml:space="preserve">jūnijā tika noslēgts procentu mijmaiņas darījuma līgums starp Rīgas domi un Deutsche </w:t>
      </w:r>
      <w:proofErr w:type="spellStart"/>
      <w:r w:rsidRPr="00A27896">
        <w:rPr>
          <w:rFonts w:cs="Times New Roman"/>
          <w:color w:val="17365D"/>
          <w:szCs w:val="24"/>
        </w:rPr>
        <w:t>Bank</w:t>
      </w:r>
      <w:proofErr w:type="spellEnd"/>
      <w:r w:rsidRPr="00A27896">
        <w:rPr>
          <w:rFonts w:cs="Times New Roman"/>
          <w:color w:val="17365D"/>
          <w:szCs w:val="24"/>
        </w:rPr>
        <w:t xml:space="preserve"> AG ar mērķi ierobežot pašvaldības likviditātes risku un nodrošināt līdzekļus pašvaldības kredītsaistību apkalpošanai finanšu un budžeta situācijas izmaiņu gadījumā. </w:t>
      </w:r>
    </w:p>
    <w:p w14:paraId="3C26146A" w14:textId="24EB9EAB"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 xml:space="preserve">Pieņemot finanšu resursu vadības lēmumus, Rīgas </w:t>
      </w:r>
      <w:proofErr w:type="spellStart"/>
      <w:r w:rsidR="00FD7A22" w:rsidRPr="00A27896">
        <w:rPr>
          <w:rFonts w:cs="Times New Roman"/>
          <w:color w:val="17365D"/>
          <w:szCs w:val="24"/>
        </w:rPr>
        <w:t>valsts</w:t>
      </w:r>
      <w:r w:rsidRPr="00A27896">
        <w:rPr>
          <w:rFonts w:cs="Times New Roman"/>
          <w:color w:val="17365D"/>
          <w:szCs w:val="24"/>
        </w:rPr>
        <w:t>pilsētas</w:t>
      </w:r>
      <w:proofErr w:type="spellEnd"/>
      <w:r w:rsidRPr="00A27896">
        <w:rPr>
          <w:rFonts w:cs="Times New Roman"/>
          <w:color w:val="17365D"/>
          <w:szCs w:val="24"/>
        </w:rPr>
        <w:t xml:space="preserve"> pašvaldība ir ņēmusi vērā notiekošos procesus finanšu tirgū un ir analizējusi to attīstības tendences, lai nodrošinātu efektīvu un drošu finanšu resursu vadību.</w:t>
      </w:r>
    </w:p>
    <w:p w14:paraId="3192EABB" w14:textId="77777777" w:rsidR="00AB2439" w:rsidRPr="00A27896" w:rsidRDefault="00AB2439">
      <w:pPr>
        <w:rPr>
          <w:rFonts w:cs="Times New Roman"/>
          <w:color w:val="17365D"/>
          <w:szCs w:val="24"/>
        </w:rPr>
      </w:pPr>
      <w:r w:rsidRPr="00A27896">
        <w:rPr>
          <w:rFonts w:cs="Times New Roman"/>
          <w:color w:val="17365D"/>
          <w:szCs w:val="24"/>
        </w:rPr>
        <w:br w:type="page"/>
      </w:r>
    </w:p>
    <w:p w14:paraId="1F186DB3" w14:textId="367B19E4" w:rsidR="00831DC9" w:rsidRPr="00A27896" w:rsidRDefault="00831DC9" w:rsidP="00C60CCF">
      <w:pPr>
        <w:pStyle w:val="Heading2"/>
        <w:rPr>
          <w:rFonts w:cs="Times New Roman"/>
        </w:rPr>
      </w:pPr>
      <w:r w:rsidRPr="00A27896">
        <w:rPr>
          <w:rFonts w:cs="Times New Roman"/>
        </w:rPr>
        <w:lastRenderedPageBreak/>
        <w:t>Finanšu pārskata posteņu skaidrojums</w:t>
      </w:r>
    </w:p>
    <w:p w14:paraId="66FAD11B" w14:textId="0BDD3BC0" w:rsidR="00831DC9" w:rsidRPr="00A27896" w:rsidRDefault="00C66415" w:rsidP="00831DC9">
      <w:pPr>
        <w:spacing w:after="120" w:line="240" w:lineRule="auto"/>
        <w:ind w:firstLine="284"/>
        <w:jc w:val="both"/>
        <w:rPr>
          <w:rFonts w:cs="Times New Roman"/>
          <w:color w:val="17365D"/>
          <w:szCs w:val="24"/>
        </w:rPr>
      </w:pPr>
      <w:r w:rsidRPr="00A27896">
        <w:rPr>
          <w:rFonts w:cs="Times New Roman"/>
          <w:color w:val="17365D"/>
          <w:szCs w:val="24"/>
        </w:rPr>
        <w:t xml:space="preserve">Finanšu pārskata posteņu paskaidrojumi sniegti par būtiskām posteņu izmaiņām, kas pārsniedz 10 procentus </w:t>
      </w:r>
      <w:r w:rsidR="00635052" w:rsidRPr="00A27896">
        <w:rPr>
          <w:rFonts w:cs="Times New Roman"/>
          <w:color w:val="17365D"/>
          <w:szCs w:val="24"/>
        </w:rPr>
        <w:t xml:space="preserve">salīdzinājumā ar attiecīgā posteņa vērtību iepriekšējā pārskata periodā </w:t>
      </w:r>
      <w:r w:rsidRPr="00A27896">
        <w:rPr>
          <w:rFonts w:cs="Times New Roman"/>
          <w:color w:val="17365D"/>
          <w:szCs w:val="24"/>
        </w:rPr>
        <w:t xml:space="preserve">un </w:t>
      </w:r>
      <w:r w:rsidR="00635052" w:rsidRPr="00A27896">
        <w:rPr>
          <w:rFonts w:cs="Times New Roman"/>
          <w:color w:val="17365D"/>
          <w:szCs w:val="24"/>
        </w:rPr>
        <w:t xml:space="preserve">izmaiņu vērtība ir vienāda vai lielāka par </w:t>
      </w:r>
      <w:r w:rsidR="00F76131" w:rsidRPr="00A27896">
        <w:rPr>
          <w:rFonts w:cs="Times New Roman"/>
          <w:color w:val="17365D"/>
          <w:szCs w:val="24"/>
        </w:rPr>
        <w:t xml:space="preserve">75 000 000 </w:t>
      </w:r>
      <w:proofErr w:type="spellStart"/>
      <w:r w:rsidRPr="00A27896">
        <w:rPr>
          <w:rFonts w:cs="Times New Roman"/>
          <w:i/>
          <w:color w:val="17365D"/>
          <w:szCs w:val="24"/>
        </w:rPr>
        <w:t>euro</w:t>
      </w:r>
      <w:proofErr w:type="spellEnd"/>
      <w:r w:rsidRPr="00A27896">
        <w:rPr>
          <w:rFonts w:cs="Times New Roman"/>
          <w:color w:val="17365D"/>
          <w:szCs w:val="24"/>
        </w:rPr>
        <w:t xml:space="preserve">. Detalizētāka informācija par posteņu izmaiņām un darījumiem, kas neatbilst noteiktajam būtiskuma līmenim, pieejama </w:t>
      </w:r>
      <w:proofErr w:type="spellStart"/>
      <w:r w:rsidRPr="00A27896">
        <w:rPr>
          <w:rFonts w:cs="Times New Roman"/>
          <w:color w:val="17365D"/>
          <w:szCs w:val="24"/>
        </w:rPr>
        <w:t>ePārskatos</w:t>
      </w:r>
      <w:proofErr w:type="spellEnd"/>
      <w:r w:rsidRPr="00A27896">
        <w:rPr>
          <w:rFonts w:cs="Times New Roman"/>
          <w:color w:val="17365D"/>
          <w:szCs w:val="24"/>
        </w:rPr>
        <w:t xml:space="preserve"> finanšu pārskata posteņu skaidrojumos</w:t>
      </w:r>
      <w:r w:rsidR="00BA2A4A" w:rsidRPr="00A27896">
        <w:rPr>
          <w:rFonts w:cs="Times New Roman"/>
          <w:color w:val="17365D"/>
          <w:szCs w:val="24"/>
        </w:rPr>
        <w:t xml:space="preserve"> un </w:t>
      </w:r>
      <w:hyperlink r:id="rId13" w:history="1">
        <w:r w:rsidR="00BA2A4A" w:rsidRPr="00A27896">
          <w:rPr>
            <w:rStyle w:val="Hyperlink"/>
            <w:rFonts w:cs="Times New Roman"/>
            <w:color w:val="17365D"/>
            <w:szCs w:val="24"/>
          </w:rPr>
          <w:t>Valsts kases tīmekļa vietnē</w:t>
        </w:r>
      </w:hyperlink>
      <w:r w:rsidR="00A04E22" w:rsidRPr="00A27896">
        <w:rPr>
          <w:rFonts w:cs="Times New Roman"/>
          <w:color w:val="17365D"/>
        </w:rPr>
        <w:t xml:space="preserve"> p</w:t>
      </w:r>
      <w:r w:rsidR="00BA2A4A" w:rsidRPr="00A27896">
        <w:rPr>
          <w:rFonts w:cs="Times New Roman"/>
          <w:color w:val="17365D"/>
        </w:rPr>
        <w:t xml:space="preserve">ublicētajā </w:t>
      </w:r>
      <w:proofErr w:type="spellStart"/>
      <w:r w:rsidR="00BA2A4A" w:rsidRPr="00A27896">
        <w:rPr>
          <w:rFonts w:cs="Times New Roman"/>
          <w:color w:val="17365D"/>
        </w:rPr>
        <w:t>ePārskatu</w:t>
      </w:r>
      <w:proofErr w:type="spellEnd"/>
      <w:r w:rsidR="00BA2A4A" w:rsidRPr="00A27896">
        <w:rPr>
          <w:rFonts w:cs="Times New Roman"/>
          <w:color w:val="17365D"/>
        </w:rPr>
        <w:t xml:space="preserve"> informācijā</w:t>
      </w:r>
      <w:r w:rsidRPr="00A27896">
        <w:rPr>
          <w:rFonts w:cs="Times New Roman"/>
          <w:color w:val="17365D"/>
          <w:szCs w:val="24"/>
        </w:rPr>
        <w:t>.</w:t>
      </w:r>
    </w:p>
    <w:p w14:paraId="0E02B740" w14:textId="3B842FAC" w:rsidR="008579B8" w:rsidRPr="00A27896" w:rsidRDefault="008579B8" w:rsidP="008579B8">
      <w:pPr>
        <w:pStyle w:val="ListParagraph"/>
        <w:spacing w:after="120" w:line="240" w:lineRule="auto"/>
        <w:ind w:left="1134"/>
        <w:jc w:val="both"/>
        <w:rPr>
          <w:rFonts w:cs="Times New Roman"/>
          <w:color w:val="17365D"/>
        </w:rPr>
      </w:pPr>
    </w:p>
    <w:p w14:paraId="4254DBC9" w14:textId="2D255110" w:rsidR="00AD15B0" w:rsidRPr="00A27896" w:rsidRDefault="00D41F06" w:rsidP="00FD10CC">
      <w:pPr>
        <w:pStyle w:val="Heading3"/>
      </w:pPr>
      <w:r w:rsidRPr="00A27896">
        <w:t xml:space="preserve">Paskaidrojumi </w:t>
      </w:r>
      <w:r w:rsidR="004C46B4" w:rsidRPr="00A27896">
        <w:t xml:space="preserve">valsts konsolidētās grāmatvedības bilances </w:t>
      </w:r>
      <w:r w:rsidRPr="00A27896">
        <w:t>posteņiem</w:t>
      </w:r>
    </w:p>
    <w:p w14:paraId="7A89CD59" w14:textId="0574A3E4" w:rsidR="00D41F06" w:rsidRPr="00A27896" w:rsidRDefault="00D41F06" w:rsidP="00FD10CC">
      <w:pPr>
        <w:pStyle w:val="Heading3"/>
        <w:rPr>
          <w:lang w:eastAsia="lv-LV"/>
        </w:rPr>
      </w:pPr>
      <w:r w:rsidRPr="00A27896">
        <w:rPr>
          <w:lang w:eastAsia="lv-LV"/>
        </w:rPr>
        <w:t>Ilgtermiņa ieguldījumi</w:t>
      </w:r>
    </w:p>
    <w:p w14:paraId="1397CE7D" w14:textId="5AF88225" w:rsidR="00A7434F" w:rsidRPr="00A27896" w:rsidRDefault="00616585" w:rsidP="00030FB1">
      <w:pPr>
        <w:spacing w:after="120" w:line="240" w:lineRule="auto"/>
        <w:ind w:firstLine="284"/>
        <w:jc w:val="both"/>
        <w:rPr>
          <w:rFonts w:cs="Times New Roman"/>
          <w:color w:val="17365D"/>
        </w:rPr>
      </w:pPr>
      <w:r w:rsidRPr="00A27896">
        <w:rPr>
          <w:rFonts w:cs="Times New Roman"/>
          <w:color w:val="17365D"/>
        </w:rPr>
        <w:t>Ilgtermiņa ieguldījumi konsolidēti par valsts iestāžu, kā arī valsts un pašvaldību budžeta iestāžu savstarpējiem un valsts budžeta finanšu uzskaites savstarpējiem atlikumiem.</w:t>
      </w:r>
    </w:p>
    <w:p w14:paraId="41D94E54" w14:textId="32FC1D8B" w:rsidR="00EA7813" w:rsidRPr="00A27896" w:rsidRDefault="00A8729F" w:rsidP="005A3758">
      <w:pPr>
        <w:pStyle w:val="Heading4"/>
        <w:rPr>
          <w:rFonts w:cs="Times New Roman"/>
          <w:lang w:eastAsia="lv-LV"/>
        </w:rPr>
      </w:pPr>
      <w:r w:rsidRPr="00A27896">
        <w:rPr>
          <w:rFonts w:cs="Times New Roman"/>
          <w:lang w:eastAsia="lv-LV"/>
        </w:rPr>
        <w:t xml:space="preserve">Piezīme Nr. </w:t>
      </w:r>
      <w:r w:rsidR="003E4135" w:rsidRPr="00A27896">
        <w:rPr>
          <w:rFonts w:cs="Times New Roman"/>
          <w:lang w:eastAsia="lv-LV"/>
        </w:rPr>
        <w:t>KB.1</w:t>
      </w:r>
      <w:r w:rsidR="00EE7A9E" w:rsidRPr="00A27896">
        <w:rPr>
          <w:rFonts w:cs="Times New Roman"/>
          <w:lang w:eastAsia="lv-LV"/>
        </w:rPr>
        <w:t>.1</w:t>
      </w:r>
      <w:r w:rsidR="003E4135" w:rsidRPr="00A27896">
        <w:rPr>
          <w:rFonts w:cs="Times New Roman"/>
          <w:lang w:eastAsia="lv-LV"/>
        </w:rPr>
        <w:t xml:space="preserve">. </w:t>
      </w:r>
      <w:r w:rsidR="00EA7813" w:rsidRPr="00A27896">
        <w:rPr>
          <w:rFonts w:cs="Times New Roman"/>
          <w:lang w:eastAsia="lv-LV"/>
        </w:rPr>
        <w:t>Nemateriālie ieguldījumi</w:t>
      </w:r>
    </w:p>
    <w:p w14:paraId="489EB9D7" w14:textId="42CDAE83" w:rsidR="00E5110F" w:rsidRPr="00A27896" w:rsidRDefault="00031CD6" w:rsidP="00EE49CF">
      <w:pPr>
        <w:pStyle w:val="Tabulasnosaukums1"/>
        <w:spacing w:before="60" w:line="240" w:lineRule="auto"/>
        <w:rPr>
          <w:rFonts w:cs="Times New Roman"/>
          <w:i/>
          <w:color w:val="17365D"/>
          <w:szCs w:val="20"/>
        </w:rPr>
      </w:pPr>
      <w:r w:rsidRPr="00A27896">
        <w:rPr>
          <w:rFonts w:cs="Times New Roman"/>
          <w:i/>
          <w:color w:val="17365D"/>
          <w:szCs w:val="20"/>
        </w:rPr>
        <w:t>2</w:t>
      </w:r>
      <w:r w:rsidR="00E5110F" w:rsidRPr="00A27896">
        <w:rPr>
          <w:rFonts w:cs="Times New Roman"/>
          <w:i/>
          <w:color w:val="17365D"/>
          <w:szCs w:val="20"/>
        </w:rPr>
        <w:t>. tabula</w:t>
      </w:r>
      <w:r w:rsidR="006E3568" w:rsidRPr="00A27896">
        <w:rPr>
          <w:rFonts w:cs="Times New Roman"/>
          <w:i/>
          <w:color w:val="17365D"/>
          <w:szCs w:val="20"/>
        </w:rPr>
        <w:t>. Nemateriālie ieguldījumi (</w:t>
      </w:r>
      <w:proofErr w:type="spellStart"/>
      <w:r w:rsidR="00D62A6F" w:rsidRPr="00A27896">
        <w:rPr>
          <w:rFonts w:cs="Times New Roman"/>
          <w:i/>
          <w:color w:val="17365D"/>
          <w:szCs w:val="20"/>
        </w:rPr>
        <w:t>euro</w:t>
      </w:r>
      <w:proofErr w:type="spellEnd"/>
      <w:r w:rsidR="003F166B" w:rsidRPr="00A27896">
        <w:rPr>
          <w:rFonts w:cs="Times New Roman"/>
          <w:i/>
          <w:color w:val="17365D"/>
          <w:szCs w:val="20"/>
        </w:rPr>
        <w:t>)</w:t>
      </w:r>
    </w:p>
    <w:tbl>
      <w:tblPr>
        <w:tblW w:w="4999" w:type="pct"/>
        <w:tblLayout w:type="fixed"/>
        <w:tblLook w:val="04A0" w:firstRow="1" w:lastRow="0" w:firstColumn="1" w:lastColumn="0" w:noHBand="0" w:noVBand="1"/>
      </w:tblPr>
      <w:tblGrid>
        <w:gridCol w:w="2722"/>
        <w:gridCol w:w="964"/>
        <w:gridCol w:w="1484"/>
        <w:gridCol w:w="1465"/>
        <w:gridCol w:w="22"/>
        <w:gridCol w:w="1274"/>
        <w:gridCol w:w="144"/>
        <w:gridCol w:w="1277"/>
      </w:tblGrid>
      <w:tr w:rsidR="000C1009" w:rsidRPr="00A27896" w14:paraId="26A09601" w14:textId="77777777" w:rsidTr="00821FBA">
        <w:trPr>
          <w:trHeight w:val="684"/>
        </w:trPr>
        <w:tc>
          <w:tcPr>
            <w:tcW w:w="1455" w:type="pct"/>
            <w:tcBorders>
              <w:bottom w:val="single" w:sz="4" w:space="0" w:color="17365D"/>
            </w:tcBorders>
            <w:shd w:val="clear" w:color="auto" w:fill="B9CDE5"/>
            <w:vAlign w:val="center"/>
            <w:hideMark/>
          </w:tcPr>
          <w:p w14:paraId="47E68C55" w14:textId="5EC2318D" w:rsidR="00970551" w:rsidRPr="00A27896" w:rsidRDefault="00970551" w:rsidP="00970551">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515" w:type="pct"/>
            <w:tcBorders>
              <w:bottom w:val="single" w:sz="4" w:space="0" w:color="17365D"/>
            </w:tcBorders>
            <w:shd w:val="clear" w:color="auto" w:fill="B9CDE5"/>
            <w:vAlign w:val="center"/>
            <w:hideMark/>
          </w:tcPr>
          <w:p w14:paraId="72A284C6" w14:textId="77777777" w:rsidR="00970551" w:rsidRPr="00A27896" w:rsidRDefault="00970551" w:rsidP="00970551">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793" w:type="pct"/>
            <w:tcBorders>
              <w:bottom w:val="single" w:sz="4" w:space="0" w:color="17365D"/>
            </w:tcBorders>
            <w:shd w:val="clear" w:color="auto" w:fill="B9CDE5"/>
            <w:vAlign w:val="center"/>
            <w:hideMark/>
          </w:tcPr>
          <w:p w14:paraId="5FCC8F59" w14:textId="77777777" w:rsidR="00970551" w:rsidRPr="00A27896" w:rsidRDefault="00970551" w:rsidP="00970551">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795" w:type="pct"/>
            <w:gridSpan w:val="2"/>
            <w:tcBorders>
              <w:bottom w:val="single" w:sz="4" w:space="0" w:color="17365D"/>
            </w:tcBorders>
            <w:shd w:val="clear" w:color="auto" w:fill="B9CDE5"/>
            <w:vAlign w:val="center"/>
            <w:hideMark/>
          </w:tcPr>
          <w:p w14:paraId="45A42711" w14:textId="77777777" w:rsidR="00970551" w:rsidRPr="00A27896" w:rsidRDefault="00970551" w:rsidP="00970551">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758" w:type="pct"/>
            <w:gridSpan w:val="2"/>
            <w:tcBorders>
              <w:bottom w:val="single" w:sz="4" w:space="0" w:color="17365D"/>
            </w:tcBorders>
            <w:shd w:val="clear" w:color="auto" w:fill="B9CDE5"/>
            <w:vAlign w:val="center"/>
            <w:hideMark/>
          </w:tcPr>
          <w:p w14:paraId="457B99EE" w14:textId="0CCDC1BF" w:rsidR="00970551" w:rsidRPr="00A27896" w:rsidRDefault="00970551" w:rsidP="00970551">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t>(+,</w:t>
            </w:r>
            <w:r w:rsidR="002B1B27" w:rsidRPr="00A27896">
              <w:rPr>
                <w:rFonts w:eastAsia="Times New Roman" w:cs="Times New Roman"/>
                <w:b/>
                <w:color w:val="17365D"/>
                <w:sz w:val="18"/>
                <w:szCs w:val="18"/>
                <w:lang w:eastAsia="lv-LV"/>
              </w:rPr>
              <w:t xml:space="preserve"> – </w:t>
            </w:r>
            <w:r w:rsidRPr="00A27896">
              <w:rPr>
                <w:rFonts w:eastAsia="Times New Roman" w:cs="Times New Roman"/>
                <w:b/>
                <w:color w:val="17365D"/>
                <w:sz w:val="18"/>
                <w:szCs w:val="18"/>
                <w:lang w:eastAsia="lv-LV"/>
              </w:rPr>
              <w:t>)</w:t>
            </w:r>
          </w:p>
        </w:tc>
        <w:tc>
          <w:tcPr>
            <w:tcW w:w="683" w:type="pct"/>
            <w:tcBorders>
              <w:bottom w:val="single" w:sz="4" w:space="0" w:color="17365D"/>
            </w:tcBorders>
            <w:shd w:val="clear" w:color="auto" w:fill="B9CDE5"/>
            <w:vAlign w:val="center"/>
            <w:hideMark/>
          </w:tcPr>
          <w:p w14:paraId="31CD28BD" w14:textId="77777777" w:rsidR="00970551" w:rsidRPr="00A27896" w:rsidRDefault="00970551" w:rsidP="00970551">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14283EF2" w14:textId="77777777" w:rsidTr="00821FBA">
        <w:trPr>
          <w:trHeight w:val="56"/>
        </w:trPr>
        <w:tc>
          <w:tcPr>
            <w:tcW w:w="1455" w:type="pct"/>
            <w:tcBorders>
              <w:top w:val="single" w:sz="4" w:space="0" w:color="17365D"/>
              <w:bottom w:val="single" w:sz="4" w:space="0" w:color="17365D"/>
            </w:tcBorders>
            <w:shd w:val="clear" w:color="auto" w:fill="auto"/>
            <w:vAlign w:val="center"/>
            <w:hideMark/>
          </w:tcPr>
          <w:p w14:paraId="79A778CE" w14:textId="77777777" w:rsidR="00970551" w:rsidRPr="00A27896" w:rsidRDefault="00970551" w:rsidP="00970551">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515" w:type="pct"/>
            <w:tcBorders>
              <w:top w:val="single" w:sz="4" w:space="0" w:color="17365D"/>
              <w:bottom w:val="single" w:sz="4" w:space="0" w:color="17365D"/>
            </w:tcBorders>
            <w:shd w:val="clear" w:color="auto" w:fill="auto"/>
            <w:vAlign w:val="center"/>
            <w:hideMark/>
          </w:tcPr>
          <w:p w14:paraId="28D26BE0" w14:textId="77777777" w:rsidR="00970551" w:rsidRPr="00A27896" w:rsidRDefault="00970551" w:rsidP="00970551">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93" w:type="pct"/>
            <w:tcBorders>
              <w:top w:val="single" w:sz="4" w:space="0" w:color="17365D"/>
              <w:bottom w:val="single" w:sz="4" w:space="0" w:color="17365D"/>
            </w:tcBorders>
            <w:shd w:val="clear" w:color="auto" w:fill="auto"/>
            <w:vAlign w:val="center"/>
            <w:hideMark/>
          </w:tcPr>
          <w:p w14:paraId="2B813FBA" w14:textId="77777777" w:rsidR="00970551" w:rsidRPr="00A27896" w:rsidRDefault="00970551" w:rsidP="00970551">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795" w:type="pct"/>
            <w:gridSpan w:val="2"/>
            <w:tcBorders>
              <w:top w:val="single" w:sz="4" w:space="0" w:color="17365D"/>
              <w:bottom w:val="single" w:sz="4" w:space="0" w:color="17365D"/>
            </w:tcBorders>
            <w:shd w:val="clear" w:color="auto" w:fill="auto"/>
            <w:vAlign w:val="center"/>
            <w:hideMark/>
          </w:tcPr>
          <w:p w14:paraId="187683C3" w14:textId="77777777" w:rsidR="00970551" w:rsidRPr="00A27896" w:rsidRDefault="00970551" w:rsidP="00970551">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758" w:type="pct"/>
            <w:gridSpan w:val="2"/>
            <w:tcBorders>
              <w:top w:val="single" w:sz="4" w:space="0" w:color="17365D"/>
              <w:bottom w:val="single" w:sz="4" w:space="0" w:color="17365D"/>
            </w:tcBorders>
            <w:shd w:val="clear" w:color="auto" w:fill="auto"/>
            <w:vAlign w:val="center"/>
            <w:hideMark/>
          </w:tcPr>
          <w:p w14:paraId="15A9845E" w14:textId="77777777" w:rsidR="00970551" w:rsidRPr="00A27896" w:rsidRDefault="00970551" w:rsidP="00970551">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83" w:type="pct"/>
            <w:tcBorders>
              <w:top w:val="single" w:sz="4" w:space="0" w:color="17365D"/>
              <w:bottom w:val="single" w:sz="4" w:space="0" w:color="17365D"/>
            </w:tcBorders>
            <w:shd w:val="clear" w:color="auto" w:fill="auto"/>
            <w:vAlign w:val="center"/>
            <w:hideMark/>
          </w:tcPr>
          <w:p w14:paraId="2347CA4A" w14:textId="77777777" w:rsidR="00970551" w:rsidRPr="00A27896" w:rsidRDefault="00970551" w:rsidP="00970551">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241FC4" w:rsidRPr="00A27896" w14:paraId="081BB9E3" w14:textId="77777777" w:rsidTr="00241FC4">
        <w:trPr>
          <w:trHeight w:val="56"/>
        </w:trPr>
        <w:tc>
          <w:tcPr>
            <w:tcW w:w="1455" w:type="pct"/>
            <w:tcBorders>
              <w:top w:val="single" w:sz="4" w:space="0" w:color="17365D"/>
              <w:bottom w:val="single" w:sz="4" w:space="0" w:color="17365D"/>
            </w:tcBorders>
            <w:shd w:val="clear" w:color="auto" w:fill="auto"/>
            <w:vAlign w:val="center"/>
            <w:hideMark/>
          </w:tcPr>
          <w:p w14:paraId="67037705" w14:textId="2A315D46" w:rsidR="00241FC4" w:rsidRPr="00A27896" w:rsidRDefault="00241FC4" w:rsidP="00241FC4">
            <w:pPr>
              <w:spacing w:after="0" w:line="240" w:lineRule="auto"/>
              <w:rPr>
                <w:rFonts w:cs="Times New Roman"/>
                <w:b/>
                <w:color w:val="17365D"/>
                <w:sz w:val="18"/>
                <w:szCs w:val="18"/>
              </w:rPr>
            </w:pPr>
            <w:r w:rsidRPr="00A27896">
              <w:rPr>
                <w:rFonts w:cs="Times New Roman"/>
                <w:b/>
                <w:color w:val="17365D"/>
                <w:sz w:val="18"/>
                <w:szCs w:val="18"/>
              </w:rPr>
              <w:t>Nemateriālie ieguldījumi</w:t>
            </w:r>
          </w:p>
        </w:tc>
        <w:tc>
          <w:tcPr>
            <w:tcW w:w="515" w:type="pct"/>
            <w:tcBorders>
              <w:top w:val="single" w:sz="4" w:space="0" w:color="17365D"/>
              <w:bottom w:val="single" w:sz="4" w:space="0" w:color="17365D"/>
            </w:tcBorders>
            <w:shd w:val="clear" w:color="auto" w:fill="auto"/>
            <w:vAlign w:val="center"/>
            <w:hideMark/>
          </w:tcPr>
          <w:p w14:paraId="0AF9E1FF" w14:textId="166DB093" w:rsidR="00241FC4" w:rsidRPr="00A27896" w:rsidRDefault="00CA3AF0" w:rsidP="00100EA1">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KB.1.1.</w:t>
            </w:r>
          </w:p>
        </w:tc>
        <w:tc>
          <w:tcPr>
            <w:tcW w:w="793" w:type="pct"/>
            <w:tcBorders>
              <w:top w:val="single" w:sz="4" w:space="0" w:color="17365D"/>
              <w:bottom w:val="single" w:sz="4" w:space="0" w:color="17365D"/>
            </w:tcBorders>
            <w:shd w:val="clear" w:color="auto" w:fill="auto"/>
            <w:vAlign w:val="center"/>
            <w:hideMark/>
          </w:tcPr>
          <w:p w14:paraId="2F5FABAF" w14:textId="0FCC7E94" w:rsidR="00241FC4" w:rsidRPr="00A27896" w:rsidRDefault="00241FC4" w:rsidP="00241FC4">
            <w:pPr>
              <w:spacing w:after="0" w:line="240" w:lineRule="auto"/>
              <w:jc w:val="right"/>
              <w:rPr>
                <w:rFonts w:cs="Times New Roman"/>
                <w:b/>
                <w:color w:val="17365D"/>
                <w:sz w:val="18"/>
                <w:szCs w:val="18"/>
              </w:rPr>
            </w:pPr>
            <w:r w:rsidRPr="00A27896">
              <w:rPr>
                <w:rFonts w:cs="Times New Roman"/>
                <w:b/>
                <w:color w:val="17365D"/>
                <w:sz w:val="18"/>
                <w:szCs w:val="18"/>
              </w:rPr>
              <w:t>214 434 198</w:t>
            </w:r>
          </w:p>
        </w:tc>
        <w:tc>
          <w:tcPr>
            <w:tcW w:w="795" w:type="pct"/>
            <w:gridSpan w:val="2"/>
            <w:tcBorders>
              <w:top w:val="single" w:sz="4" w:space="0" w:color="17365D"/>
              <w:bottom w:val="single" w:sz="4" w:space="0" w:color="17365D"/>
            </w:tcBorders>
            <w:shd w:val="clear" w:color="auto" w:fill="auto"/>
            <w:vAlign w:val="center"/>
            <w:hideMark/>
          </w:tcPr>
          <w:p w14:paraId="044A2D52" w14:textId="0A79FC22" w:rsidR="00241FC4" w:rsidRPr="00A27896" w:rsidRDefault="00241FC4" w:rsidP="00241FC4">
            <w:pPr>
              <w:spacing w:after="0" w:line="240" w:lineRule="auto"/>
              <w:jc w:val="right"/>
              <w:rPr>
                <w:rFonts w:cs="Times New Roman"/>
                <w:b/>
                <w:color w:val="17365D"/>
                <w:sz w:val="18"/>
                <w:szCs w:val="18"/>
              </w:rPr>
            </w:pPr>
            <w:r w:rsidRPr="00A27896">
              <w:rPr>
                <w:rFonts w:cs="Times New Roman"/>
                <w:b/>
                <w:color w:val="17365D"/>
                <w:sz w:val="18"/>
                <w:szCs w:val="18"/>
              </w:rPr>
              <w:t>189 143 862</w:t>
            </w:r>
          </w:p>
        </w:tc>
        <w:tc>
          <w:tcPr>
            <w:tcW w:w="758" w:type="pct"/>
            <w:gridSpan w:val="2"/>
            <w:tcBorders>
              <w:top w:val="single" w:sz="4" w:space="0" w:color="17365D"/>
              <w:bottom w:val="single" w:sz="4" w:space="0" w:color="17365D"/>
            </w:tcBorders>
            <w:shd w:val="clear" w:color="auto" w:fill="auto"/>
            <w:noWrap/>
            <w:vAlign w:val="center"/>
            <w:hideMark/>
          </w:tcPr>
          <w:p w14:paraId="2CB966FA" w14:textId="62D74355" w:rsidR="00241FC4" w:rsidRPr="00A27896" w:rsidRDefault="00241FC4" w:rsidP="00241FC4">
            <w:pPr>
              <w:spacing w:after="0" w:line="240" w:lineRule="auto"/>
              <w:jc w:val="right"/>
              <w:rPr>
                <w:rFonts w:cs="Times New Roman"/>
                <w:b/>
                <w:color w:val="17365D"/>
                <w:sz w:val="18"/>
                <w:szCs w:val="18"/>
              </w:rPr>
            </w:pPr>
            <w:r w:rsidRPr="00A27896">
              <w:rPr>
                <w:rFonts w:cs="Times New Roman"/>
                <w:b/>
                <w:color w:val="17365D"/>
                <w:sz w:val="18"/>
                <w:szCs w:val="18"/>
              </w:rPr>
              <w:t>25 290 336</w:t>
            </w:r>
          </w:p>
        </w:tc>
        <w:tc>
          <w:tcPr>
            <w:tcW w:w="683" w:type="pct"/>
            <w:tcBorders>
              <w:top w:val="single" w:sz="4" w:space="0" w:color="17365D"/>
              <w:bottom w:val="single" w:sz="4" w:space="0" w:color="17365D"/>
            </w:tcBorders>
            <w:shd w:val="clear" w:color="auto" w:fill="auto"/>
            <w:noWrap/>
            <w:vAlign w:val="center"/>
            <w:hideMark/>
          </w:tcPr>
          <w:p w14:paraId="5FB04389" w14:textId="4491593F" w:rsidR="00241FC4" w:rsidRPr="00A27896" w:rsidRDefault="00241FC4" w:rsidP="00241FC4">
            <w:pPr>
              <w:spacing w:after="0" w:line="240" w:lineRule="auto"/>
              <w:jc w:val="right"/>
              <w:rPr>
                <w:rFonts w:cs="Times New Roman"/>
                <w:b/>
                <w:color w:val="17365D"/>
                <w:sz w:val="18"/>
                <w:szCs w:val="18"/>
              </w:rPr>
            </w:pPr>
            <w:r w:rsidRPr="00A27896">
              <w:rPr>
                <w:rFonts w:cs="Times New Roman"/>
                <w:b/>
                <w:color w:val="17365D"/>
                <w:sz w:val="18"/>
                <w:szCs w:val="18"/>
              </w:rPr>
              <w:t>13.37</w:t>
            </w:r>
          </w:p>
        </w:tc>
      </w:tr>
      <w:tr w:rsidR="00241FC4" w:rsidRPr="00A27896" w14:paraId="5838F1E5" w14:textId="77777777" w:rsidTr="00241FC4">
        <w:trPr>
          <w:trHeight w:val="264"/>
        </w:trPr>
        <w:tc>
          <w:tcPr>
            <w:tcW w:w="1455" w:type="pct"/>
            <w:tcBorders>
              <w:top w:val="single" w:sz="4" w:space="0" w:color="17365D"/>
              <w:bottom w:val="single" w:sz="4" w:space="0" w:color="17365D"/>
            </w:tcBorders>
            <w:shd w:val="clear" w:color="auto" w:fill="auto"/>
            <w:vAlign w:val="center"/>
            <w:hideMark/>
          </w:tcPr>
          <w:p w14:paraId="2AB6E826" w14:textId="7836F5CF" w:rsidR="00241FC4" w:rsidRPr="00A27896" w:rsidRDefault="00241FC4" w:rsidP="00241FC4">
            <w:pPr>
              <w:spacing w:after="0" w:line="240" w:lineRule="auto"/>
              <w:rPr>
                <w:rFonts w:cs="Times New Roman"/>
                <w:color w:val="17365D"/>
                <w:sz w:val="18"/>
                <w:szCs w:val="18"/>
              </w:rPr>
            </w:pPr>
            <w:r w:rsidRPr="00A27896">
              <w:rPr>
                <w:rFonts w:cs="Times New Roman"/>
                <w:color w:val="17365D"/>
                <w:sz w:val="18"/>
                <w:szCs w:val="18"/>
              </w:rPr>
              <w:t>Attīstības pasākumi un programmas</w:t>
            </w:r>
          </w:p>
        </w:tc>
        <w:tc>
          <w:tcPr>
            <w:tcW w:w="515" w:type="pct"/>
            <w:tcBorders>
              <w:top w:val="single" w:sz="4" w:space="0" w:color="17365D"/>
              <w:bottom w:val="single" w:sz="4" w:space="0" w:color="17365D"/>
            </w:tcBorders>
            <w:shd w:val="clear" w:color="auto" w:fill="auto"/>
            <w:noWrap/>
            <w:vAlign w:val="center"/>
            <w:hideMark/>
          </w:tcPr>
          <w:p w14:paraId="45F4B380" w14:textId="5E53E1EC" w:rsidR="00241FC4" w:rsidRPr="00A27896" w:rsidRDefault="00241FC4" w:rsidP="00241FC4">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 </w:t>
            </w:r>
          </w:p>
        </w:tc>
        <w:tc>
          <w:tcPr>
            <w:tcW w:w="793" w:type="pct"/>
            <w:tcBorders>
              <w:top w:val="single" w:sz="4" w:space="0" w:color="17365D"/>
              <w:bottom w:val="single" w:sz="4" w:space="0" w:color="17365D"/>
            </w:tcBorders>
            <w:shd w:val="clear" w:color="auto" w:fill="auto"/>
            <w:vAlign w:val="center"/>
            <w:hideMark/>
          </w:tcPr>
          <w:p w14:paraId="57970A18" w14:textId="03D08361"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4 622 217</w:t>
            </w:r>
          </w:p>
        </w:tc>
        <w:tc>
          <w:tcPr>
            <w:tcW w:w="795" w:type="pct"/>
            <w:gridSpan w:val="2"/>
            <w:tcBorders>
              <w:top w:val="single" w:sz="4" w:space="0" w:color="17365D"/>
              <w:bottom w:val="single" w:sz="4" w:space="0" w:color="17365D"/>
            </w:tcBorders>
            <w:shd w:val="clear" w:color="auto" w:fill="auto"/>
            <w:vAlign w:val="center"/>
            <w:hideMark/>
          </w:tcPr>
          <w:p w14:paraId="586B1754" w14:textId="714CC241"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5 247 466</w:t>
            </w:r>
          </w:p>
        </w:tc>
        <w:tc>
          <w:tcPr>
            <w:tcW w:w="758" w:type="pct"/>
            <w:gridSpan w:val="2"/>
            <w:tcBorders>
              <w:top w:val="single" w:sz="4" w:space="0" w:color="17365D"/>
              <w:bottom w:val="single" w:sz="4" w:space="0" w:color="17365D"/>
            </w:tcBorders>
            <w:shd w:val="clear" w:color="auto" w:fill="auto"/>
            <w:noWrap/>
            <w:vAlign w:val="center"/>
            <w:hideMark/>
          </w:tcPr>
          <w:p w14:paraId="1F6ADED7" w14:textId="28C52349"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-625 249</w:t>
            </w:r>
          </w:p>
        </w:tc>
        <w:tc>
          <w:tcPr>
            <w:tcW w:w="683" w:type="pct"/>
            <w:tcBorders>
              <w:top w:val="single" w:sz="4" w:space="0" w:color="17365D"/>
              <w:bottom w:val="single" w:sz="4" w:space="0" w:color="17365D"/>
            </w:tcBorders>
            <w:shd w:val="clear" w:color="auto" w:fill="auto"/>
            <w:noWrap/>
            <w:vAlign w:val="center"/>
            <w:hideMark/>
          </w:tcPr>
          <w:p w14:paraId="61F3921B" w14:textId="2DE7821C"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-11.92</w:t>
            </w:r>
          </w:p>
        </w:tc>
      </w:tr>
      <w:tr w:rsidR="00241FC4" w:rsidRPr="00A27896" w14:paraId="5D6653B7" w14:textId="77777777" w:rsidTr="00241FC4">
        <w:trPr>
          <w:trHeight w:val="408"/>
        </w:trPr>
        <w:tc>
          <w:tcPr>
            <w:tcW w:w="1455" w:type="pct"/>
            <w:tcBorders>
              <w:top w:val="single" w:sz="4" w:space="0" w:color="17365D"/>
              <w:bottom w:val="single" w:sz="4" w:space="0" w:color="17365D"/>
            </w:tcBorders>
            <w:shd w:val="clear" w:color="auto" w:fill="auto"/>
            <w:vAlign w:val="center"/>
            <w:hideMark/>
          </w:tcPr>
          <w:p w14:paraId="1BA4C119" w14:textId="73DB9D54" w:rsidR="00241FC4" w:rsidRPr="00A27896" w:rsidRDefault="00241FC4" w:rsidP="00241FC4">
            <w:pPr>
              <w:spacing w:after="0" w:line="240" w:lineRule="auto"/>
              <w:rPr>
                <w:rFonts w:cs="Times New Roman"/>
                <w:color w:val="17365D"/>
                <w:sz w:val="18"/>
                <w:szCs w:val="18"/>
              </w:rPr>
            </w:pPr>
            <w:r w:rsidRPr="00A27896">
              <w:rPr>
                <w:rFonts w:cs="Times New Roman"/>
                <w:color w:val="17365D"/>
                <w:sz w:val="18"/>
                <w:szCs w:val="18"/>
              </w:rPr>
              <w:t>Licences, koncesijas un patenti, preču zīmes un tamlīdzīgas tiesības</w:t>
            </w:r>
          </w:p>
        </w:tc>
        <w:tc>
          <w:tcPr>
            <w:tcW w:w="515" w:type="pct"/>
            <w:tcBorders>
              <w:top w:val="single" w:sz="4" w:space="0" w:color="17365D"/>
              <w:bottom w:val="single" w:sz="4" w:space="0" w:color="17365D"/>
            </w:tcBorders>
            <w:shd w:val="clear" w:color="auto" w:fill="auto"/>
            <w:noWrap/>
            <w:vAlign w:val="center"/>
          </w:tcPr>
          <w:p w14:paraId="1A90ACEF" w14:textId="44E5F185" w:rsidR="00241FC4" w:rsidRPr="00A27896" w:rsidRDefault="00241FC4" w:rsidP="00241FC4">
            <w:pPr>
              <w:spacing w:after="0" w:line="240" w:lineRule="auto"/>
              <w:ind w:right="-101"/>
              <w:jc w:val="right"/>
              <w:rPr>
                <w:rFonts w:eastAsia="Times New Roman" w:cs="Times New Roman"/>
                <w:color w:val="17365D"/>
                <w:sz w:val="18"/>
                <w:szCs w:val="18"/>
                <w:lang w:eastAsia="lv-LV"/>
              </w:rPr>
            </w:pPr>
          </w:p>
        </w:tc>
        <w:tc>
          <w:tcPr>
            <w:tcW w:w="793" w:type="pct"/>
            <w:tcBorders>
              <w:top w:val="single" w:sz="4" w:space="0" w:color="17365D"/>
              <w:bottom w:val="single" w:sz="4" w:space="0" w:color="17365D"/>
            </w:tcBorders>
            <w:shd w:val="clear" w:color="auto" w:fill="auto"/>
            <w:vAlign w:val="center"/>
            <w:hideMark/>
          </w:tcPr>
          <w:p w14:paraId="3B46FFED" w14:textId="15F1E718"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156 395 952</w:t>
            </w:r>
          </w:p>
        </w:tc>
        <w:tc>
          <w:tcPr>
            <w:tcW w:w="795" w:type="pct"/>
            <w:gridSpan w:val="2"/>
            <w:tcBorders>
              <w:top w:val="single" w:sz="4" w:space="0" w:color="17365D"/>
              <w:bottom w:val="single" w:sz="4" w:space="0" w:color="17365D"/>
            </w:tcBorders>
            <w:shd w:val="clear" w:color="auto" w:fill="auto"/>
            <w:vAlign w:val="center"/>
            <w:hideMark/>
          </w:tcPr>
          <w:p w14:paraId="2DD4FC4B" w14:textId="0A33C323"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146 559 945</w:t>
            </w:r>
          </w:p>
        </w:tc>
        <w:tc>
          <w:tcPr>
            <w:tcW w:w="758" w:type="pct"/>
            <w:gridSpan w:val="2"/>
            <w:tcBorders>
              <w:top w:val="single" w:sz="4" w:space="0" w:color="17365D"/>
              <w:bottom w:val="single" w:sz="4" w:space="0" w:color="17365D"/>
            </w:tcBorders>
            <w:shd w:val="clear" w:color="auto" w:fill="auto"/>
            <w:noWrap/>
            <w:vAlign w:val="center"/>
            <w:hideMark/>
          </w:tcPr>
          <w:p w14:paraId="5EDF90E0" w14:textId="51316DB2"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9 836 007</w:t>
            </w:r>
          </w:p>
        </w:tc>
        <w:tc>
          <w:tcPr>
            <w:tcW w:w="683" w:type="pct"/>
            <w:tcBorders>
              <w:top w:val="single" w:sz="4" w:space="0" w:color="17365D"/>
              <w:bottom w:val="single" w:sz="4" w:space="0" w:color="17365D"/>
            </w:tcBorders>
            <w:shd w:val="clear" w:color="auto" w:fill="auto"/>
            <w:noWrap/>
            <w:vAlign w:val="center"/>
            <w:hideMark/>
          </w:tcPr>
          <w:p w14:paraId="41C5D417" w14:textId="1A40DF57"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6.71</w:t>
            </w:r>
          </w:p>
        </w:tc>
      </w:tr>
      <w:tr w:rsidR="00241FC4" w:rsidRPr="00A27896" w14:paraId="78F4EEE4" w14:textId="77777777" w:rsidTr="00241FC4">
        <w:trPr>
          <w:trHeight w:val="56"/>
        </w:trPr>
        <w:tc>
          <w:tcPr>
            <w:tcW w:w="1455" w:type="pct"/>
            <w:tcBorders>
              <w:top w:val="single" w:sz="4" w:space="0" w:color="17365D"/>
              <w:bottom w:val="single" w:sz="4" w:space="0" w:color="17365D"/>
            </w:tcBorders>
            <w:shd w:val="clear" w:color="auto" w:fill="auto"/>
            <w:vAlign w:val="center"/>
            <w:hideMark/>
          </w:tcPr>
          <w:p w14:paraId="39A679C2" w14:textId="605C8773" w:rsidR="00241FC4" w:rsidRPr="00A27896" w:rsidRDefault="00241FC4" w:rsidP="00241FC4">
            <w:pPr>
              <w:spacing w:after="0" w:line="240" w:lineRule="auto"/>
              <w:rPr>
                <w:rFonts w:cs="Times New Roman"/>
                <w:color w:val="17365D"/>
                <w:sz w:val="18"/>
                <w:szCs w:val="18"/>
              </w:rPr>
            </w:pPr>
            <w:r w:rsidRPr="00A27896">
              <w:rPr>
                <w:rFonts w:cs="Times New Roman"/>
                <w:color w:val="17365D"/>
                <w:sz w:val="18"/>
                <w:szCs w:val="18"/>
              </w:rPr>
              <w:t>Pārējie nemateriālie ieguldījumi</w:t>
            </w:r>
          </w:p>
        </w:tc>
        <w:tc>
          <w:tcPr>
            <w:tcW w:w="515" w:type="pct"/>
            <w:tcBorders>
              <w:top w:val="single" w:sz="4" w:space="0" w:color="17365D"/>
              <w:bottom w:val="single" w:sz="4" w:space="0" w:color="17365D"/>
            </w:tcBorders>
            <w:shd w:val="clear" w:color="auto" w:fill="auto"/>
            <w:noWrap/>
            <w:vAlign w:val="center"/>
          </w:tcPr>
          <w:p w14:paraId="4299DEFE" w14:textId="7CD7D119" w:rsidR="00241FC4" w:rsidRPr="00A27896" w:rsidRDefault="00241FC4" w:rsidP="00241FC4">
            <w:pPr>
              <w:spacing w:after="0" w:line="240" w:lineRule="auto"/>
              <w:jc w:val="right"/>
              <w:rPr>
                <w:rFonts w:eastAsia="Times New Roman" w:cs="Times New Roman"/>
                <w:color w:val="17365D"/>
                <w:sz w:val="18"/>
                <w:szCs w:val="18"/>
                <w:lang w:eastAsia="lv-LV"/>
              </w:rPr>
            </w:pPr>
          </w:p>
        </w:tc>
        <w:tc>
          <w:tcPr>
            <w:tcW w:w="793" w:type="pct"/>
            <w:tcBorders>
              <w:top w:val="single" w:sz="4" w:space="0" w:color="17365D"/>
              <w:bottom w:val="single" w:sz="4" w:space="0" w:color="17365D"/>
            </w:tcBorders>
            <w:shd w:val="clear" w:color="auto" w:fill="auto"/>
            <w:vAlign w:val="center"/>
          </w:tcPr>
          <w:p w14:paraId="240C961C" w14:textId="5C512390"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12 033 110</w:t>
            </w:r>
          </w:p>
        </w:tc>
        <w:tc>
          <w:tcPr>
            <w:tcW w:w="795" w:type="pct"/>
            <w:gridSpan w:val="2"/>
            <w:tcBorders>
              <w:top w:val="single" w:sz="4" w:space="0" w:color="17365D"/>
              <w:bottom w:val="single" w:sz="4" w:space="0" w:color="17365D"/>
            </w:tcBorders>
            <w:shd w:val="clear" w:color="auto" w:fill="auto"/>
            <w:vAlign w:val="center"/>
          </w:tcPr>
          <w:p w14:paraId="11E76FDD" w14:textId="153CFAC5"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10 003 916</w:t>
            </w:r>
          </w:p>
        </w:tc>
        <w:tc>
          <w:tcPr>
            <w:tcW w:w="758" w:type="pct"/>
            <w:gridSpan w:val="2"/>
            <w:tcBorders>
              <w:top w:val="single" w:sz="4" w:space="0" w:color="17365D"/>
              <w:bottom w:val="single" w:sz="4" w:space="0" w:color="17365D"/>
            </w:tcBorders>
            <w:shd w:val="clear" w:color="auto" w:fill="auto"/>
            <w:noWrap/>
            <w:vAlign w:val="center"/>
          </w:tcPr>
          <w:p w14:paraId="76BB33E5" w14:textId="774D1FA5"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2 029 194</w:t>
            </w:r>
          </w:p>
        </w:tc>
        <w:tc>
          <w:tcPr>
            <w:tcW w:w="683" w:type="pct"/>
            <w:tcBorders>
              <w:top w:val="single" w:sz="4" w:space="0" w:color="17365D"/>
              <w:bottom w:val="single" w:sz="4" w:space="0" w:color="17365D"/>
            </w:tcBorders>
            <w:shd w:val="clear" w:color="auto" w:fill="auto"/>
            <w:noWrap/>
            <w:vAlign w:val="center"/>
          </w:tcPr>
          <w:p w14:paraId="06C2C464" w14:textId="4D0FCEFB"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20.28</w:t>
            </w:r>
          </w:p>
        </w:tc>
      </w:tr>
      <w:tr w:rsidR="00241FC4" w:rsidRPr="00A27896" w14:paraId="332FEDBD" w14:textId="77777777" w:rsidTr="00241FC4">
        <w:trPr>
          <w:trHeight w:val="264"/>
        </w:trPr>
        <w:tc>
          <w:tcPr>
            <w:tcW w:w="1455" w:type="pct"/>
            <w:tcBorders>
              <w:top w:val="single" w:sz="4" w:space="0" w:color="17365D"/>
              <w:bottom w:val="single" w:sz="4" w:space="0" w:color="17365D"/>
            </w:tcBorders>
            <w:shd w:val="clear" w:color="auto" w:fill="auto"/>
            <w:vAlign w:val="center"/>
            <w:hideMark/>
          </w:tcPr>
          <w:p w14:paraId="677D945E" w14:textId="4CA12E23" w:rsidR="00241FC4" w:rsidRPr="00A27896" w:rsidRDefault="00241FC4" w:rsidP="00241FC4">
            <w:pPr>
              <w:spacing w:after="0" w:line="240" w:lineRule="auto"/>
              <w:rPr>
                <w:rFonts w:cs="Times New Roman"/>
                <w:color w:val="17365D"/>
                <w:sz w:val="18"/>
                <w:szCs w:val="18"/>
              </w:rPr>
            </w:pPr>
            <w:r w:rsidRPr="00A27896">
              <w:rPr>
                <w:rFonts w:cs="Times New Roman"/>
                <w:color w:val="17365D"/>
                <w:sz w:val="18"/>
                <w:szCs w:val="18"/>
              </w:rPr>
              <w:t>Nemateriālo ieguldījumu izveidošana</w:t>
            </w:r>
          </w:p>
        </w:tc>
        <w:tc>
          <w:tcPr>
            <w:tcW w:w="515" w:type="pct"/>
            <w:tcBorders>
              <w:top w:val="single" w:sz="4" w:space="0" w:color="17365D"/>
              <w:bottom w:val="single" w:sz="4" w:space="0" w:color="17365D"/>
            </w:tcBorders>
            <w:shd w:val="clear" w:color="auto" w:fill="auto"/>
            <w:noWrap/>
            <w:vAlign w:val="center"/>
          </w:tcPr>
          <w:p w14:paraId="57B1B795" w14:textId="2D229D54" w:rsidR="00241FC4" w:rsidRPr="00A27896" w:rsidRDefault="00241FC4" w:rsidP="00241FC4">
            <w:pPr>
              <w:spacing w:after="0" w:line="240" w:lineRule="auto"/>
              <w:ind w:right="-101"/>
              <w:jc w:val="right"/>
              <w:rPr>
                <w:rFonts w:cs="Times New Roman"/>
                <w:color w:val="17365D"/>
                <w:sz w:val="18"/>
                <w:szCs w:val="18"/>
              </w:rPr>
            </w:pPr>
          </w:p>
        </w:tc>
        <w:tc>
          <w:tcPr>
            <w:tcW w:w="793" w:type="pct"/>
            <w:tcBorders>
              <w:top w:val="single" w:sz="4" w:space="0" w:color="17365D"/>
              <w:bottom w:val="single" w:sz="4" w:space="0" w:color="17365D"/>
            </w:tcBorders>
            <w:shd w:val="clear" w:color="auto" w:fill="auto"/>
            <w:vAlign w:val="center"/>
          </w:tcPr>
          <w:p w14:paraId="57DCBC60" w14:textId="681B9B1A"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40 573 234</w:t>
            </w:r>
          </w:p>
        </w:tc>
        <w:tc>
          <w:tcPr>
            <w:tcW w:w="795" w:type="pct"/>
            <w:gridSpan w:val="2"/>
            <w:tcBorders>
              <w:top w:val="single" w:sz="4" w:space="0" w:color="17365D"/>
              <w:bottom w:val="single" w:sz="4" w:space="0" w:color="17365D"/>
            </w:tcBorders>
            <w:shd w:val="clear" w:color="auto" w:fill="auto"/>
            <w:vAlign w:val="center"/>
          </w:tcPr>
          <w:p w14:paraId="4A338245" w14:textId="354322E9"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26 713 384</w:t>
            </w:r>
          </w:p>
        </w:tc>
        <w:tc>
          <w:tcPr>
            <w:tcW w:w="758" w:type="pct"/>
            <w:gridSpan w:val="2"/>
            <w:tcBorders>
              <w:top w:val="single" w:sz="4" w:space="0" w:color="17365D"/>
              <w:bottom w:val="single" w:sz="4" w:space="0" w:color="17365D"/>
            </w:tcBorders>
            <w:shd w:val="clear" w:color="auto" w:fill="auto"/>
            <w:noWrap/>
            <w:vAlign w:val="center"/>
          </w:tcPr>
          <w:p w14:paraId="35197146" w14:textId="50D49E91"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13 859 850</w:t>
            </w:r>
          </w:p>
        </w:tc>
        <w:tc>
          <w:tcPr>
            <w:tcW w:w="683" w:type="pct"/>
            <w:tcBorders>
              <w:top w:val="single" w:sz="4" w:space="0" w:color="17365D"/>
              <w:bottom w:val="single" w:sz="4" w:space="0" w:color="17365D"/>
            </w:tcBorders>
            <w:shd w:val="clear" w:color="auto" w:fill="auto"/>
            <w:noWrap/>
            <w:vAlign w:val="center"/>
          </w:tcPr>
          <w:p w14:paraId="2C1B6CF6" w14:textId="692A780A"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51.88</w:t>
            </w:r>
          </w:p>
        </w:tc>
      </w:tr>
      <w:tr w:rsidR="00241FC4" w:rsidRPr="00A27896" w14:paraId="2D3BB1AB" w14:textId="77777777" w:rsidTr="00241FC4">
        <w:trPr>
          <w:trHeight w:val="408"/>
        </w:trPr>
        <w:tc>
          <w:tcPr>
            <w:tcW w:w="1455" w:type="pct"/>
            <w:tcBorders>
              <w:top w:val="single" w:sz="4" w:space="0" w:color="17365D"/>
              <w:bottom w:val="single" w:sz="4" w:space="0" w:color="17365D"/>
            </w:tcBorders>
            <w:shd w:val="clear" w:color="auto" w:fill="auto"/>
            <w:vAlign w:val="center"/>
          </w:tcPr>
          <w:p w14:paraId="1E597AC2" w14:textId="5CCC22F4" w:rsidR="00241FC4" w:rsidRPr="00A27896" w:rsidRDefault="00241FC4" w:rsidP="00241FC4">
            <w:pPr>
              <w:spacing w:after="0" w:line="240" w:lineRule="auto"/>
              <w:rPr>
                <w:rFonts w:cs="Times New Roman"/>
                <w:color w:val="17365D"/>
                <w:sz w:val="18"/>
                <w:szCs w:val="18"/>
              </w:rPr>
            </w:pPr>
            <w:r w:rsidRPr="00A27896">
              <w:rPr>
                <w:rFonts w:cs="Times New Roman"/>
                <w:color w:val="17365D"/>
                <w:sz w:val="18"/>
                <w:szCs w:val="18"/>
              </w:rPr>
              <w:t>Avansa maksājumi par nemateriālajiem ieguldījumiem</w:t>
            </w:r>
          </w:p>
        </w:tc>
        <w:tc>
          <w:tcPr>
            <w:tcW w:w="515" w:type="pct"/>
            <w:tcBorders>
              <w:top w:val="single" w:sz="4" w:space="0" w:color="17365D"/>
              <w:bottom w:val="single" w:sz="4" w:space="0" w:color="17365D"/>
            </w:tcBorders>
            <w:shd w:val="clear" w:color="auto" w:fill="auto"/>
            <w:noWrap/>
            <w:vAlign w:val="center"/>
          </w:tcPr>
          <w:p w14:paraId="69C722AA" w14:textId="77777777" w:rsidR="00241FC4" w:rsidRPr="00A27896" w:rsidRDefault="00241FC4" w:rsidP="00241FC4">
            <w:pPr>
              <w:spacing w:after="0" w:line="240" w:lineRule="auto"/>
              <w:jc w:val="right"/>
              <w:rPr>
                <w:rFonts w:eastAsia="Times New Roman" w:cs="Times New Roman"/>
                <w:color w:val="17365D"/>
                <w:sz w:val="18"/>
                <w:szCs w:val="18"/>
                <w:highlight w:val="yellow"/>
                <w:lang w:eastAsia="lv-LV"/>
              </w:rPr>
            </w:pPr>
          </w:p>
        </w:tc>
        <w:tc>
          <w:tcPr>
            <w:tcW w:w="793" w:type="pct"/>
            <w:tcBorders>
              <w:top w:val="single" w:sz="4" w:space="0" w:color="17365D"/>
              <w:bottom w:val="single" w:sz="4" w:space="0" w:color="17365D"/>
            </w:tcBorders>
            <w:shd w:val="clear" w:color="auto" w:fill="auto"/>
            <w:vAlign w:val="center"/>
          </w:tcPr>
          <w:p w14:paraId="1789CAD2" w14:textId="5C32D214"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809 685</w:t>
            </w:r>
          </w:p>
        </w:tc>
        <w:tc>
          <w:tcPr>
            <w:tcW w:w="795" w:type="pct"/>
            <w:gridSpan w:val="2"/>
            <w:tcBorders>
              <w:top w:val="single" w:sz="4" w:space="0" w:color="17365D"/>
              <w:bottom w:val="single" w:sz="4" w:space="0" w:color="17365D"/>
            </w:tcBorders>
            <w:shd w:val="clear" w:color="auto" w:fill="auto"/>
            <w:vAlign w:val="center"/>
          </w:tcPr>
          <w:p w14:paraId="1C36A5D2" w14:textId="64CDC861"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619 151</w:t>
            </w:r>
          </w:p>
        </w:tc>
        <w:tc>
          <w:tcPr>
            <w:tcW w:w="758" w:type="pct"/>
            <w:gridSpan w:val="2"/>
            <w:tcBorders>
              <w:top w:val="single" w:sz="4" w:space="0" w:color="17365D"/>
              <w:bottom w:val="single" w:sz="4" w:space="0" w:color="17365D"/>
            </w:tcBorders>
            <w:shd w:val="clear" w:color="auto" w:fill="auto"/>
            <w:noWrap/>
            <w:vAlign w:val="center"/>
          </w:tcPr>
          <w:p w14:paraId="7784205C" w14:textId="50FCD845"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190 534</w:t>
            </w:r>
          </w:p>
        </w:tc>
        <w:tc>
          <w:tcPr>
            <w:tcW w:w="683" w:type="pct"/>
            <w:tcBorders>
              <w:top w:val="single" w:sz="4" w:space="0" w:color="17365D"/>
              <w:bottom w:val="single" w:sz="4" w:space="0" w:color="17365D"/>
            </w:tcBorders>
            <w:shd w:val="clear" w:color="auto" w:fill="auto"/>
            <w:noWrap/>
            <w:vAlign w:val="center"/>
          </w:tcPr>
          <w:p w14:paraId="22DA56AB" w14:textId="4F9F6819" w:rsidR="00241FC4" w:rsidRPr="00A27896" w:rsidRDefault="00241FC4" w:rsidP="00241FC4">
            <w:pPr>
              <w:spacing w:after="0" w:line="240" w:lineRule="auto"/>
              <w:jc w:val="right"/>
              <w:rPr>
                <w:rFonts w:cs="Times New Roman"/>
                <w:color w:val="17365D"/>
                <w:sz w:val="18"/>
                <w:szCs w:val="18"/>
              </w:rPr>
            </w:pPr>
            <w:r w:rsidRPr="00A27896">
              <w:rPr>
                <w:rFonts w:cs="Times New Roman"/>
                <w:color w:val="17365D"/>
                <w:sz w:val="18"/>
                <w:szCs w:val="18"/>
              </w:rPr>
              <w:t>30.77</w:t>
            </w:r>
          </w:p>
        </w:tc>
      </w:tr>
      <w:tr w:rsidR="000C1009" w:rsidRPr="00A27896" w14:paraId="7A43BA05" w14:textId="77777777" w:rsidTr="00821FBA">
        <w:trPr>
          <w:trHeight w:val="202"/>
        </w:trPr>
        <w:tc>
          <w:tcPr>
            <w:tcW w:w="1455" w:type="pct"/>
            <w:tcBorders>
              <w:top w:val="single" w:sz="4" w:space="0" w:color="17365D"/>
            </w:tcBorders>
            <w:shd w:val="clear" w:color="auto" w:fill="B9CDE5"/>
            <w:vAlign w:val="center"/>
          </w:tcPr>
          <w:p w14:paraId="5D06287D" w14:textId="77777777" w:rsidR="00881F63" w:rsidRPr="00A27896" w:rsidRDefault="00881F63" w:rsidP="00B52074">
            <w:pPr>
              <w:spacing w:after="0"/>
              <w:rPr>
                <w:rFonts w:eastAsia="Times New Roman" w:cs="Times New Roman"/>
                <w:color w:val="17365D"/>
                <w:sz w:val="18"/>
                <w:szCs w:val="18"/>
                <w:highlight w:val="yellow"/>
                <w:lang w:eastAsia="lv-LV"/>
              </w:rPr>
            </w:pPr>
          </w:p>
        </w:tc>
        <w:tc>
          <w:tcPr>
            <w:tcW w:w="515" w:type="pct"/>
            <w:tcBorders>
              <w:top w:val="single" w:sz="4" w:space="0" w:color="17365D"/>
            </w:tcBorders>
            <w:shd w:val="clear" w:color="auto" w:fill="B9CDE5"/>
            <w:noWrap/>
            <w:vAlign w:val="center"/>
          </w:tcPr>
          <w:p w14:paraId="504C30A8" w14:textId="77777777" w:rsidR="00881F63" w:rsidRPr="00A27896" w:rsidRDefault="00881F63" w:rsidP="00B52074">
            <w:pPr>
              <w:spacing w:after="0"/>
              <w:jc w:val="center"/>
              <w:rPr>
                <w:rFonts w:eastAsia="Times New Roman" w:cs="Times New Roman"/>
                <w:color w:val="17365D"/>
                <w:sz w:val="18"/>
                <w:szCs w:val="18"/>
                <w:highlight w:val="yellow"/>
                <w:lang w:eastAsia="lv-LV"/>
              </w:rPr>
            </w:pPr>
          </w:p>
        </w:tc>
        <w:tc>
          <w:tcPr>
            <w:tcW w:w="793" w:type="pct"/>
            <w:tcBorders>
              <w:top w:val="single" w:sz="4" w:space="0" w:color="17365D"/>
            </w:tcBorders>
            <w:shd w:val="clear" w:color="auto" w:fill="B9CDE5"/>
            <w:noWrap/>
            <w:vAlign w:val="center"/>
          </w:tcPr>
          <w:p w14:paraId="15F3706E" w14:textId="77777777" w:rsidR="00881F63" w:rsidRPr="00A27896" w:rsidRDefault="00881F63" w:rsidP="00B52074">
            <w:pPr>
              <w:spacing w:after="0"/>
              <w:jc w:val="right"/>
              <w:rPr>
                <w:rFonts w:eastAsia="Times New Roman" w:cs="Times New Roman"/>
                <w:color w:val="17365D"/>
                <w:sz w:val="18"/>
                <w:szCs w:val="18"/>
                <w:highlight w:val="yellow"/>
                <w:lang w:eastAsia="lv-LV"/>
              </w:rPr>
            </w:pPr>
          </w:p>
        </w:tc>
        <w:tc>
          <w:tcPr>
            <w:tcW w:w="783" w:type="pct"/>
            <w:tcBorders>
              <w:top w:val="single" w:sz="4" w:space="0" w:color="17365D"/>
            </w:tcBorders>
            <w:shd w:val="clear" w:color="auto" w:fill="B9CDE5"/>
            <w:noWrap/>
            <w:vAlign w:val="center"/>
          </w:tcPr>
          <w:p w14:paraId="372CE5CE" w14:textId="77777777" w:rsidR="00881F63" w:rsidRPr="00A27896" w:rsidRDefault="00881F63" w:rsidP="00B52074">
            <w:pPr>
              <w:spacing w:after="0"/>
              <w:jc w:val="right"/>
              <w:rPr>
                <w:rFonts w:eastAsia="Times New Roman" w:cs="Times New Roman"/>
                <w:color w:val="17365D"/>
                <w:sz w:val="18"/>
                <w:szCs w:val="18"/>
                <w:highlight w:val="yellow"/>
                <w:lang w:eastAsia="lv-LV"/>
              </w:rPr>
            </w:pPr>
          </w:p>
        </w:tc>
        <w:tc>
          <w:tcPr>
            <w:tcW w:w="693" w:type="pct"/>
            <w:gridSpan w:val="2"/>
            <w:tcBorders>
              <w:top w:val="single" w:sz="4" w:space="0" w:color="17365D"/>
            </w:tcBorders>
            <w:shd w:val="clear" w:color="auto" w:fill="B9CDE5"/>
            <w:noWrap/>
            <w:vAlign w:val="center"/>
          </w:tcPr>
          <w:p w14:paraId="5078F25E" w14:textId="77777777" w:rsidR="00881F63" w:rsidRPr="00A27896" w:rsidRDefault="00881F63" w:rsidP="00B52074">
            <w:pPr>
              <w:spacing w:after="0"/>
              <w:jc w:val="right"/>
              <w:rPr>
                <w:rFonts w:eastAsia="Times New Roman" w:cs="Times New Roman"/>
                <w:color w:val="17365D"/>
                <w:sz w:val="18"/>
                <w:szCs w:val="18"/>
                <w:highlight w:val="yellow"/>
                <w:lang w:eastAsia="lv-LV"/>
              </w:rPr>
            </w:pPr>
          </w:p>
        </w:tc>
        <w:tc>
          <w:tcPr>
            <w:tcW w:w="760" w:type="pct"/>
            <w:gridSpan w:val="2"/>
            <w:tcBorders>
              <w:top w:val="single" w:sz="4" w:space="0" w:color="17365D"/>
            </w:tcBorders>
            <w:shd w:val="clear" w:color="auto" w:fill="B9CDE5"/>
            <w:noWrap/>
            <w:vAlign w:val="center"/>
          </w:tcPr>
          <w:p w14:paraId="4AF6D484" w14:textId="77777777" w:rsidR="00881F63" w:rsidRPr="00A27896" w:rsidRDefault="00881F63" w:rsidP="00B52074">
            <w:pPr>
              <w:spacing w:after="0"/>
              <w:jc w:val="right"/>
              <w:rPr>
                <w:rFonts w:eastAsia="Times New Roman" w:cs="Times New Roman"/>
                <w:color w:val="17365D"/>
                <w:sz w:val="18"/>
                <w:szCs w:val="18"/>
                <w:highlight w:val="yellow"/>
                <w:lang w:eastAsia="lv-LV"/>
              </w:rPr>
            </w:pPr>
          </w:p>
        </w:tc>
      </w:tr>
    </w:tbl>
    <w:p w14:paraId="10978A72" w14:textId="766150F8" w:rsidR="00256B28" w:rsidRPr="00A27896" w:rsidRDefault="00256B28" w:rsidP="00CC6E09">
      <w:pPr>
        <w:spacing w:after="120" w:line="240" w:lineRule="auto"/>
        <w:ind w:firstLine="284"/>
        <w:jc w:val="both"/>
        <w:rPr>
          <w:rFonts w:eastAsia="Times New Roman" w:cs="Times New Roman"/>
          <w:color w:val="17365D"/>
          <w:highlight w:val="yellow"/>
          <w:lang w:eastAsia="lv-LV"/>
        </w:rPr>
      </w:pPr>
    </w:p>
    <w:p w14:paraId="0E6C2685" w14:textId="1526B03B" w:rsidR="004C704C" w:rsidRPr="00A27896" w:rsidRDefault="004C704C" w:rsidP="00CC6E09">
      <w:pPr>
        <w:spacing w:after="120" w:line="240" w:lineRule="auto"/>
        <w:ind w:firstLine="284"/>
        <w:jc w:val="both"/>
        <w:rPr>
          <w:rFonts w:eastAsia="Times New Roman" w:cs="Times New Roman"/>
          <w:color w:val="17365D"/>
          <w:lang w:eastAsia="lv-LV"/>
        </w:rPr>
      </w:pPr>
      <w:r w:rsidRPr="00A27896">
        <w:rPr>
          <w:rFonts w:eastAsia="Times New Roman" w:cs="Times New Roman"/>
          <w:color w:val="17365D"/>
          <w:lang w:eastAsia="lv-LV"/>
        </w:rPr>
        <w:t>Nemateriālo ieguldījumu postenī būtiskas izmaiņas pārskata gadā nav bijušas.</w:t>
      </w:r>
    </w:p>
    <w:p w14:paraId="288ED3E1" w14:textId="769BC7BD" w:rsidR="00EE7A9E" w:rsidRPr="00A27896" w:rsidRDefault="00EE7A9E" w:rsidP="00EE7A9E">
      <w:pPr>
        <w:spacing w:after="120" w:line="240" w:lineRule="auto"/>
        <w:ind w:firstLine="284"/>
        <w:jc w:val="both"/>
        <w:rPr>
          <w:rFonts w:eastAsia="Times New Roman" w:cs="Times New Roman"/>
          <w:color w:val="17365D"/>
          <w:lang w:eastAsia="lv-LV"/>
        </w:rPr>
      </w:pPr>
      <w:r w:rsidRPr="00A27896">
        <w:rPr>
          <w:rFonts w:eastAsia="Times New Roman" w:cs="Times New Roman"/>
          <w:color w:val="17365D"/>
          <w:lang w:eastAsia="lv-LV"/>
        </w:rPr>
        <w:t>Ministrijām pašu izveidotu nemateriālo ieguldījumu atlikusī v</w:t>
      </w:r>
      <w:r w:rsidR="00827CF2" w:rsidRPr="00A27896">
        <w:rPr>
          <w:rFonts w:eastAsia="Times New Roman" w:cs="Times New Roman"/>
          <w:color w:val="17365D"/>
          <w:lang w:eastAsia="lv-LV"/>
        </w:rPr>
        <w:t xml:space="preserve">ērtība pārskata gadā ir </w:t>
      </w:r>
      <w:r w:rsidR="004C704C" w:rsidRPr="00A27896">
        <w:rPr>
          <w:rFonts w:eastAsia="Times New Roman" w:cs="Times New Roman"/>
          <w:color w:val="17365D"/>
          <w:lang w:eastAsia="lv-LV"/>
        </w:rPr>
        <w:t>3</w:t>
      </w:r>
      <w:r w:rsidR="00760019" w:rsidRPr="00A27896">
        <w:rPr>
          <w:rFonts w:eastAsia="Times New Roman" w:cs="Times New Roman"/>
          <w:color w:val="17365D"/>
          <w:lang w:eastAsia="lv-LV"/>
        </w:rPr>
        <w:t> </w:t>
      </w:r>
      <w:r w:rsidR="004C704C" w:rsidRPr="00A27896">
        <w:rPr>
          <w:rFonts w:eastAsia="Times New Roman" w:cs="Times New Roman"/>
          <w:color w:val="17365D"/>
          <w:lang w:eastAsia="lv-LV"/>
        </w:rPr>
        <w:t>388</w:t>
      </w:r>
      <w:r w:rsidR="00760019" w:rsidRPr="00A27896">
        <w:rPr>
          <w:rFonts w:eastAsia="Times New Roman" w:cs="Times New Roman"/>
          <w:color w:val="17365D"/>
          <w:lang w:eastAsia="lv-LV"/>
        </w:rPr>
        <w:t> 8</w:t>
      </w:r>
      <w:r w:rsidR="004C704C" w:rsidRPr="00A27896">
        <w:rPr>
          <w:rFonts w:eastAsia="Times New Roman" w:cs="Times New Roman"/>
          <w:color w:val="17365D"/>
          <w:lang w:eastAsia="lv-LV"/>
        </w:rPr>
        <w:t>77</w:t>
      </w:r>
      <w:r w:rsidR="00C01FF5" w:rsidRPr="00A27896">
        <w:rPr>
          <w:rFonts w:eastAsia="Times New Roman" w:cs="Times New Roman"/>
          <w:color w:val="17365D"/>
          <w:lang w:eastAsia="lv-LV"/>
        </w:rPr>
        <w:t> </w:t>
      </w:r>
      <w:proofErr w:type="spellStart"/>
      <w:r w:rsidRPr="00A27896">
        <w:rPr>
          <w:rFonts w:eastAsia="Times New Roman" w:cs="Times New Roman"/>
          <w:i/>
          <w:color w:val="17365D"/>
          <w:lang w:eastAsia="lv-LV"/>
        </w:rPr>
        <w:t>euro</w:t>
      </w:r>
      <w:proofErr w:type="spellEnd"/>
      <w:r w:rsidRPr="00A27896">
        <w:rPr>
          <w:rFonts w:eastAsia="Times New Roman" w:cs="Times New Roman"/>
          <w:color w:val="17365D"/>
          <w:lang w:eastAsia="lv-LV"/>
        </w:rPr>
        <w:t>, pašvaldībām –</w:t>
      </w:r>
      <w:r w:rsidR="00F3483F" w:rsidRPr="00A27896">
        <w:rPr>
          <w:rFonts w:eastAsia="Times New Roman" w:cs="Times New Roman"/>
          <w:color w:val="17365D"/>
          <w:lang w:eastAsia="lv-LV"/>
        </w:rPr>
        <w:t xml:space="preserve"> </w:t>
      </w:r>
      <w:r w:rsidR="004C704C" w:rsidRPr="00A27896">
        <w:rPr>
          <w:rFonts w:eastAsia="Times New Roman" w:cs="Times New Roman"/>
          <w:color w:val="17365D"/>
          <w:lang w:eastAsia="lv-LV"/>
        </w:rPr>
        <w:t>9</w:t>
      </w:r>
      <w:r w:rsidR="00760019" w:rsidRPr="00A27896">
        <w:rPr>
          <w:rFonts w:eastAsia="Times New Roman" w:cs="Times New Roman"/>
          <w:color w:val="17365D"/>
          <w:lang w:eastAsia="lv-LV"/>
        </w:rPr>
        <w:t>8 </w:t>
      </w:r>
      <w:r w:rsidR="004C704C" w:rsidRPr="00A27896">
        <w:rPr>
          <w:rFonts w:eastAsia="Times New Roman" w:cs="Times New Roman"/>
          <w:color w:val="17365D"/>
          <w:lang w:eastAsia="lv-LV"/>
        </w:rPr>
        <w:t>6</w:t>
      </w:r>
      <w:r w:rsidR="00760019" w:rsidRPr="00A27896">
        <w:rPr>
          <w:rFonts w:eastAsia="Times New Roman" w:cs="Times New Roman"/>
          <w:color w:val="17365D"/>
          <w:lang w:eastAsia="lv-LV"/>
        </w:rPr>
        <w:t>9</w:t>
      </w:r>
      <w:r w:rsidR="004C704C" w:rsidRPr="00A27896">
        <w:rPr>
          <w:rFonts w:eastAsia="Times New Roman" w:cs="Times New Roman"/>
          <w:color w:val="17365D"/>
          <w:lang w:eastAsia="lv-LV"/>
        </w:rPr>
        <w:t>4</w:t>
      </w:r>
      <w:r w:rsidR="00C01FF5" w:rsidRPr="00A27896">
        <w:rPr>
          <w:rFonts w:eastAsia="Times New Roman" w:cs="Times New Roman"/>
          <w:color w:val="17365D"/>
          <w:lang w:eastAsia="lv-LV"/>
        </w:rPr>
        <w:t> </w:t>
      </w:r>
      <w:proofErr w:type="spellStart"/>
      <w:r w:rsidRPr="00A27896">
        <w:rPr>
          <w:rFonts w:eastAsia="Times New Roman" w:cs="Times New Roman"/>
          <w:i/>
          <w:color w:val="17365D"/>
          <w:lang w:eastAsia="lv-LV"/>
        </w:rPr>
        <w:t>euro</w:t>
      </w:r>
      <w:proofErr w:type="spellEnd"/>
      <w:r w:rsidRPr="00A27896">
        <w:rPr>
          <w:rFonts w:eastAsia="Times New Roman" w:cs="Times New Roman"/>
          <w:i/>
          <w:color w:val="17365D"/>
          <w:lang w:eastAsia="lv-LV"/>
        </w:rPr>
        <w:t xml:space="preserve">, </w:t>
      </w:r>
      <w:r w:rsidRPr="00A27896">
        <w:rPr>
          <w:rFonts w:eastAsia="Times New Roman" w:cs="Times New Roman"/>
          <w:color w:val="17365D"/>
          <w:lang w:eastAsia="lv-LV"/>
        </w:rPr>
        <w:t>kas neveido būtisku īpatsvaru no nemateriālo ieguldījumu atlikušās vērtības.</w:t>
      </w:r>
    </w:p>
    <w:p w14:paraId="0A63367C" w14:textId="4CBED6BC" w:rsidR="00EE7A9E" w:rsidRPr="00A27896" w:rsidRDefault="00F3483F" w:rsidP="00EE7A9E">
      <w:pPr>
        <w:spacing w:after="120" w:line="240" w:lineRule="auto"/>
        <w:ind w:firstLine="284"/>
        <w:jc w:val="both"/>
        <w:rPr>
          <w:rFonts w:eastAsia="Times New Roman" w:cs="Times New Roman"/>
          <w:color w:val="17365D"/>
          <w:lang w:eastAsia="lv-LV"/>
        </w:rPr>
      </w:pPr>
      <w:r w:rsidRPr="00A27896">
        <w:rPr>
          <w:rFonts w:eastAsia="Times New Roman" w:cs="Times New Roman"/>
          <w:color w:val="17365D"/>
          <w:lang w:eastAsia="lv-LV"/>
        </w:rPr>
        <w:t xml:space="preserve">Nemateriāliem ieguldījumiem </w:t>
      </w:r>
      <w:r w:rsidR="00760019" w:rsidRPr="00A27896">
        <w:rPr>
          <w:rFonts w:eastAsia="Times New Roman" w:cs="Times New Roman"/>
          <w:color w:val="17365D"/>
          <w:lang w:eastAsia="lv-LV"/>
        </w:rPr>
        <w:t xml:space="preserve">un avansa maksājumiem izveidotais </w:t>
      </w:r>
      <w:r w:rsidRPr="00A27896">
        <w:rPr>
          <w:rFonts w:eastAsia="Times New Roman" w:cs="Times New Roman"/>
          <w:color w:val="17365D"/>
          <w:lang w:eastAsia="lv-LV"/>
        </w:rPr>
        <w:t xml:space="preserve">vērtības samazinājums pārskata gadā </w:t>
      </w:r>
      <w:r w:rsidR="00F73CE6" w:rsidRPr="00A27896">
        <w:rPr>
          <w:rFonts w:eastAsia="Times New Roman" w:cs="Times New Roman"/>
          <w:color w:val="17365D"/>
          <w:lang w:eastAsia="lv-LV"/>
        </w:rPr>
        <w:t>nav</w:t>
      </w:r>
      <w:r w:rsidRPr="00A27896">
        <w:rPr>
          <w:rFonts w:eastAsia="Times New Roman" w:cs="Times New Roman"/>
          <w:color w:val="17365D"/>
          <w:lang w:eastAsia="lv-LV"/>
        </w:rPr>
        <w:t xml:space="preserve"> būtisks</w:t>
      </w:r>
      <w:r w:rsidR="00EE7A9E" w:rsidRPr="00A27896">
        <w:rPr>
          <w:rFonts w:eastAsia="Times New Roman" w:cs="Times New Roman"/>
          <w:color w:val="17365D"/>
          <w:lang w:eastAsia="lv-LV"/>
        </w:rPr>
        <w:t>.</w:t>
      </w:r>
      <w:r w:rsidR="00F73CE6" w:rsidRPr="00A27896">
        <w:rPr>
          <w:rFonts w:cs="Times New Roman"/>
          <w:color w:val="17365D"/>
        </w:rPr>
        <w:t xml:space="preserve"> </w:t>
      </w:r>
      <w:r w:rsidR="00F73CE6" w:rsidRPr="00A27896">
        <w:rPr>
          <w:rFonts w:eastAsia="Times New Roman" w:cs="Times New Roman"/>
          <w:color w:val="17365D"/>
          <w:lang w:eastAsia="lv-LV"/>
        </w:rPr>
        <w:t xml:space="preserve">Vērtības samazinājums avansa maksājumiem par nemateriāliem ieguldījumiem galvenokārt aprēķināts </w:t>
      </w:r>
      <w:r w:rsidR="00760019" w:rsidRPr="00A27896">
        <w:rPr>
          <w:rFonts w:eastAsia="Times New Roman" w:cs="Times New Roman"/>
          <w:color w:val="17365D"/>
          <w:lang w:eastAsia="lv-LV"/>
        </w:rPr>
        <w:t>atbil</w:t>
      </w:r>
      <w:r w:rsidR="00C64049" w:rsidRPr="00A27896">
        <w:rPr>
          <w:rFonts w:eastAsia="Times New Roman" w:cs="Times New Roman"/>
          <w:color w:val="17365D"/>
          <w:lang w:eastAsia="lv-LV"/>
        </w:rPr>
        <w:t>s</w:t>
      </w:r>
      <w:r w:rsidR="00760019" w:rsidRPr="00A27896">
        <w:rPr>
          <w:rFonts w:eastAsia="Times New Roman" w:cs="Times New Roman"/>
          <w:color w:val="17365D"/>
          <w:lang w:eastAsia="lv-LV"/>
        </w:rPr>
        <w:t>toši izpildes termiņa kavējuma dienām</w:t>
      </w:r>
      <w:r w:rsidR="00F73CE6" w:rsidRPr="00A27896">
        <w:rPr>
          <w:rFonts w:eastAsia="Times New Roman" w:cs="Times New Roman"/>
          <w:color w:val="17365D"/>
          <w:lang w:eastAsia="lv-LV"/>
        </w:rPr>
        <w:t>.</w:t>
      </w:r>
    </w:p>
    <w:p w14:paraId="11BAF048" w14:textId="19DA8190" w:rsidR="002A1642" w:rsidRPr="00A27896" w:rsidRDefault="00F63B31" w:rsidP="005A3758">
      <w:pPr>
        <w:pStyle w:val="Heading4"/>
        <w:rPr>
          <w:rFonts w:cs="Times New Roman"/>
          <w:lang w:eastAsia="lv-LV"/>
        </w:rPr>
      </w:pPr>
      <w:r w:rsidRPr="00A27896">
        <w:rPr>
          <w:rFonts w:cs="Times New Roman"/>
          <w:lang w:eastAsia="lv-LV"/>
        </w:rPr>
        <w:t xml:space="preserve">Piezīme Nr. </w:t>
      </w:r>
      <w:r w:rsidR="003E4135" w:rsidRPr="00A27896">
        <w:rPr>
          <w:rFonts w:cs="Times New Roman"/>
          <w:lang w:eastAsia="lv-LV"/>
        </w:rPr>
        <w:t>KB.</w:t>
      </w:r>
      <w:r w:rsidR="00EE7A9E" w:rsidRPr="00A27896">
        <w:rPr>
          <w:rFonts w:cs="Times New Roman"/>
          <w:lang w:eastAsia="lv-LV"/>
        </w:rPr>
        <w:t>1.</w:t>
      </w:r>
      <w:r w:rsidR="003E4135" w:rsidRPr="00A27896">
        <w:rPr>
          <w:rFonts w:cs="Times New Roman"/>
          <w:lang w:eastAsia="lv-LV"/>
        </w:rPr>
        <w:t xml:space="preserve">2. </w:t>
      </w:r>
      <w:r w:rsidR="002A1642" w:rsidRPr="00A27896">
        <w:rPr>
          <w:rFonts w:cs="Times New Roman"/>
          <w:lang w:eastAsia="lv-LV"/>
        </w:rPr>
        <w:t>Pamatlīdzekļi</w:t>
      </w:r>
    </w:p>
    <w:p w14:paraId="0CFEA7BF" w14:textId="188476FE" w:rsidR="00ED1453" w:rsidRPr="00A27896" w:rsidRDefault="00031CD6" w:rsidP="006F02B7">
      <w:pPr>
        <w:pStyle w:val="Tabulasnosaukums1"/>
        <w:spacing w:before="120"/>
        <w:rPr>
          <w:rFonts w:cs="Times New Roman"/>
          <w:color w:val="17365D"/>
        </w:rPr>
      </w:pPr>
      <w:r w:rsidRPr="00A27896">
        <w:rPr>
          <w:rFonts w:cs="Times New Roman"/>
          <w:i/>
          <w:color w:val="17365D"/>
        </w:rPr>
        <w:t>3</w:t>
      </w:r>
      <w:r w:rsidR="002A1642" w:rsidRPr="00A27896">
        <w:rPr>
          <w:rFonts w:cs="Times New Roman"/>
          <w:i/>
          <w:color w:val="17365D"/>
        </w:rPr>
        <w:t>. tabula</w:t>
      </w:r>
      <w:r w:rsidR="006C5598" w:rsidRPr="00A27896">
        <w:rPr>
          <w:rFonts w:cs="Times New Roman"/>
          <w:i/>
          <w:color w:val="17365D"/>
        </w:rPr>
        <w:t>.</w:t>
      </w:r>
      <w:r w:rsidR="006C5598" w:rsidRPr="00A27896">
        <w:rPr>
          <w:rFonts w:cs="Times New Roman"/>
          <w:i/>
          <w:color w:val="17365D"/>
          <w:lang w:eastAsia="lv-LV"/>
        </w:rPr>
        <w:t xml:space="preserve"> Pamatlīdzekļi </w:t>
      </w:r>
      <w:r w:rsidR="006C5598" w:rsidRPr="00A27896">
        <w:rPr>
          <w:rFonts w:eastAsia="Times New Roman" w:cs="Times New Roman"/>
          <w:i/>
          <w:color w:val="17365D"/>
          <w:szCs w:val="20"/>
          <w:lang w:eastAsia="lv-LV"/>
        </w:rPr>
        <w:t>(</w:t>
      </w:r>
      <w:proofErr w:type="spellStart"/>
      <w:r w:rsidR="000B4141" w:rsidRPr="00A27896">
        <w:rPr>
          <w:rFonts w:eastAsia="Times New Roman" w:cs="Times New Roman"/>
          <w:i/>
          <w:color w:val="17365D"/>
          <w:szCs w:val="20"/>
          <w:lang w:eastAsia="lv-LV"/>
        </w:rPr>
        <w:t>euro</w:t>
      </w:r>
      <w:proofErr w:type="spellEnd"/>
      <w:r w:rsidR="006C5598" w:rsidRPr="00A27896">
        <w:rPr>
          <w:rFonts w:eastAsia="Times New Roman" w:cs="Times New Roman"/>
          <w:i/>
          <w:color w:val="17365D"/>
          <w:szCs w:val="20"/>
          <w:lang w:eastAsia="lv-LV"/>
        </w:rPr>
        <w:t>)</w:t>
      </w:r>
    </w:p>
    <w:tbl>
      <w:tblPr>
        <w:tblW w:w="5000" w:type="pct"/>
        <w:tblBorders>
          <w:insideH w:val="single" w:sz="4" w:space="0" w:color="012169"/>
        </w:tblBorders>
        <w:tblLayout w:type="fixed"/>
        <w:tblLook w:val="04A0" w:firstRow="1" w:lastRow="0" w:firstColumn="1" w:lastColumn="0" w:noHBand="0" w:noVBand="1"/>
      </w:tblPr>
      <w:tblGrid>
        <w:gridCol w:w="2718"/>
        <w:gridCol w:w="973"/>
        <w:gridCol w:w="1487"/>
        <w:gridCol w:w="1467"/>
        <w:gridCol w:w="21"/>
        <w:gridCol w:w="1414"/>
        <w:gridCol w:w="1274"/>
      </w:tblGrid>
      <w:tr w:rsidR="000C1009" w:rsidRPr="00A27896" w14:paraId="418A7F72" w14:textId="77777777" w:rsidTr="009E3F87">
        <w:trPr>
          <w:trHeight w:val="684"/>
          <w:tblHeader/>
        </w:trPr>
        <w:tc>
          <w:tcPr>
            <w:tcW w:w="1453" w:type="pct"/>
            <w:tcBorders>
              <w:top w:val="nil"/>
              <w:bottom w:val="single" w:sz="4" w:space="0" w:color="17365D"/>
            </w:tcBorders>
            <w:shd w:val="clear" w:color="auto" w:fill="B9CDE5"/>
            <w:vAlign w:val="center"/>
            <w:hideMark/>
          </w:tcPr>
          <w:p w14:paraId="5B3108F2" w14:textId="65A3A7F2" w:rsidR="00A867A9" w:rsidRPr="00A27896" w:rsidRDefault="00A867A9" w:rsidP="002F5AFE">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520" w:type="pct"/>
            <w:tcBorders>
              <w:top w:val="nil"/>
              <w:bottom w:val="single" w:sz="4" w:space="0" w:color="17365D"/>
            </w:tcBorders>
            <w:shd w:val="clear" w:color="auto" w:fill="B9CDE5"/>
            <w:vAlign w:val="center"/>
            <w:hideMark/>
          </w:tcPr>
          <w:p w14:paraId="03310FA6" w14:textId="77777777" w:rsidR="00A867A9" w:rsidRPr="00A27896" w:rsidRDefault="00A867A9" w:rsidP="002F5AFE">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795" w:type="pct"/>
            <w:tcBorders>
              <w:top w:val="nil"/>
              <w:bottom w:val="single" w:sz="4" w:space="0" w:color="17365D"/>
            </w:tcBorders>
            <w:shd w:val="clear" w:color="auto" w:fill="B9CDE5"/>
            <w:vAlign w:val="center"/>
            <w:hideMark/>
          </w:tcPr>
          <w:p w14:paraId="0C31FDB8" w14:textId="77777777" w:rsidR="00A867A9" w:rsidRPr="00A27896" w:rsidRDefault="00A867A9" w:rsidP="002F5AFE">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795" w:type="pct"/>
            <w:gridSpan w:val="2"/>
            <w:tcBorders>
              <w:top w:val="nil"/>
              <w:bottom w:val="single" w:sz="4" w:space="0" w:color="17365D"/>
            </w:tcBorders>
            <w:shd w:val="clear" w:color="auto" w:fill="B9CDE5"/>
            <w:vAlign w:val="center"/>
            <w:hideMark/>
          </w:tcPr>
          <w:p w14:paraId="74DF27FA" w14:textId="77777777" w:rsidR="00A867A9" w:rsidRPr="00A27896" w:rsidRDefault="00A867A9" w:rsidP="002F5AFE">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756" w:type="pct"/>
            <w:tcBorders>
              <w:top w:val="nil"/>
              <w:bottom w:val="single" w:sz="4" w:space="0" w:color="17365D"/>
            </w:tcBorders>
            <w:shd w:val="clear" w:color="auto" w:fill="B9CDE5"/>
            <w:vAlign w:val="center"/>
            <w:hideMark/>
          </w:tcPr>
          <w:p w14:paraId="300D9221" w14:textId="2EEDA29D" w:rsidR="00A867A9" w:rsidRPr="00A27896" w:rsidRDefault="00A867A9" w:rsidP="002F5AFE">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t>(+,</w:t>
            </w:r>
            <w:r w:rsidR="002B1B27" w:rsidRPr="00A27896">
              <w:rPr>
                <w:rFonts w:eastAsia="Times New Roman" w:cs="Times New Roman"/>
                <w:b/>
                <w:color w:val="17365D"/>
                <w:sz w:val="18"/>
                <w:szCs w:val="18"/>
                <w:lang w:eastAsia="lv-LV"/>
              </w:rPr>
              <w:t xml:space="preserve"> – </w:t>
            </w:r>
            <w:r w:rsidRPr="00A27896">
              <w:rPr>
                <w:rFonts w:eastAsia="Times New Roman" w:cs="Times New Roman"/>
                <w:b/>
                <w:color w:val="17365D"/>
                <w:sz w:val="18"/>
                <w:szCs w:val="18"/>
                <w:lang w:eastAsia="lv-LV"/>
              </w:rPr>
              <w:t>)</w:t>
            </w:r>
          </w:p>
        </w:tc>
        <w:tc>
          <w:tcPr>
            <w:tcW w:w="681" w:type="pct"/>
            <w:tcBorders>
              <w:top w:val="nil"/>
              <w:bottom w:val="single" w:sz="4" w:space="0" w:color="17365D"/>
            </w:tcBorders>
            <w:shd w:val="clear" w:color="auto" w:fill="B9CDE5"/>
            <w:vAlign w:val="center"/>
            <w:hideMark/>
          </w:tcPr>
          <w:p w14:paraId="13ABD156" w14:textId="77777777" w:rsidR="00A867A9" w:rsidRPr="00A27896" w:rsidRDefault="00A867A9" w:rsidP="002F5AFE">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167822C2" w14:textId="77777777" w:rsidTr="009E3F87">
        <w:trPr>
          <w:trHeight w:val="264"/>
          <w:tblHeader/>
        </w:trPr>
        <w:tc>
          <w:tcPr>
            <w:tcW w:w="1453" w:type="pct"/>
            <w:tcBorders>
              <w:top w:val="single" w:sz="4" w:space="0" w:color="17365D"/>
              <w:bottom w:val="single" w:sz="4" w:space="0" w:color="17365D"/>
            </w:tcBorders>
            <w:shd w:val="clear" w:color="auto" w:fill="auto"/>
            <w:vAlign w:val="center"/>
            <w:hideMark/>
          </w:tcPr>
          <w:p w14:paraId="794822E2" w14:textId="77777777" w:rsidR="00A867A9" w:rsidRPr="00A27896" w:rsidRDefault="00A867A9" w:rsidP="002F5AFE">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520" w:type="pct"/>
            <w:tcBorders>
              <w:top w:val="single" w:sz="4" w:space="0" w:color="17365D"/>
              <w:bottom w:val="single" w:sz="4" w:space="0" w:color="17365D"/>
            </w:tcBorders>
            <w:shd w:val="clear" w:color="auto" w:fill="auto"/>
            <w:vAlign w:val="center"/>
            <w:hideMark/>
          </w:tcPr>
          <w:p w14:paraId="5F6F3C93" w14:textId="77777777" w:rsidR="00A867A9" w:rsidRPr="00A27896" w:rsidRDefault="00A867A9" w:rsidP="002F5AFE">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95" w:type="pct"/>
            <w:tcBorders>
              <w:top w:val="single" w:sz="4" w:space="0" w:color="17365D"/>
              <w:bottom w:val="single" w:sz="4" w:space="0" w:color="17365D"/>
            </w:tcBorders>
            <w:shd w:val="clear" w:color="auto" w:fill="auto"/>
            <w:vAlign w:val="center"/>
            <w:hideMark/>
          </w:tcPr>
          <w:p w14:paraId="4973B2A3" w14:textId="77777777" w:rsidR="00A867A9" w:rsidRPr="00A27896" w:rsidRDefault="00A867A9" w:rsidP="002354F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795" w:type="pct"/>
            <w:gridSpan w:val="2"/>
            <w:tcBorders>
              <w:top w:val="single" w:sz="4" w:space="0" w:color="17365D"/>
              <w:bottom w:val="single" w:sz="4" w:space="0" w:color="17365D"/>
            </w:tcBorders>
            <w:shd w:val="clear" w:color="auto" w:fill="auto"/>
            <w:vAlign w:val="center"/>
            <w:hideMark/>
          </w:tcPr>
          <w:p w14:paraId="7698EBE1" w14:textId="77777777" w:rsidR="00A867A9" w:rsidRPr="00A27896" w:rsidRDefault="00A867A9" w:rsidP="002354F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756" w:type="pct"/>
            <w:tcBorders>
              <w:top w:val="single" w:sz="4" w:space="0" w:color="17365D"/>
              <w:bottom w:val="single" w:sz="4" w:space="0" w:color="17365D"/>
            </w:tcBorders>
            <w:shd w:val="clear" w:color="auto" w:fill="auto"/>
            <w:vAlign w:val="center"/>
            <w:hideMark/>
          </w:tcPr>
          <w:p w14:paraId="639E20AE" w14:textId="77777777" w:rsidR="00A867A9" w:rsidRPr="00A27896" w:rsidRDefault="00A867A9" w:rsidP="002354F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81" w:type="pct"/>
            <w:tcBorders>
              <w:top w:val="single" w:sz="4" w:space="0" w:color="17365D"/>
              <w:bottom w:val="single" w:sz="4" w:space="0" w:color="17365D"/>
            </w:tcBorders>
            <w:shd w:val="clear" w:color="auto" w:fill="auto"/>
            <w:vAlign w:val="center"/>
            <w:hideMark/>
          </w:tcPr>
          <w:p w14:paraId="44589C7C" w14:textId="77777777" w:rsidR="00A867A9" w:rsidRPr="00A27896" w:rsidRDefault="00A867A9" w:rsidP="002354F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CA3AF0" w:rsidRPr="00A27896" w14:paraId="58045C1A" w14:textId="77777777" w:rsidTr="00CA3AF0">
        <w:trPr>
          <w:trHeight w:val="264"/>
        </w:trPr>
        <w:tc>
          <w:tcPr>
            <w:tcW w:w="1453" w:type="pct"/>
            <w:tcBorders>
              <w:top w:val="single" w:sz="4" w:space="0" w:color="17365D"/>
              <w:bottom w:val="single" w:sz="4" w:space="0" w:color="17365D"/>
            </w:tcBorders>
            <w:shd w:val="clear" w:color="auto" w:fill="auto"/>
            <w:vAlign w:val="center"/>
            <w:hideMark/>
          </w:tcPr>
          <w:p w14:paraId="19DA1A8F" w14:textId="35D3036D" w:rsidR="00CA3AF0" w:rsidRPr="00A27896" w:rsidRDefault="00CA3AF0" w:rsidP="00CA3AF0">
            <w:pPr>
              <w:spacing w:after="0" w:line="240" w:lineRule="auto"/>
              <w:rPr>
                <w:rFonts w:cs="Times New Roman"/>
                <w:b/>
                <w:color w:val="17365D"/>
                <w:sz w:val="18"/>
                <w:szCs w:val="18"/>
              </w:rPr>
            </w:pPr>
            <w:r w:rsidRPr="00A27896">
              <w:rPr>
                <w:rFonts w:cs="Times New Roman"/>
                <w:b/>
                <w:color w:val="17365D"/>
                <w:sz w:val="18"/>
                <w:szCs w:val="18"/>
              </w:rPr>
              <w:t>Pamatlīdzekļi</w:t>
            </w:r>
          </w:p>
        </w:tc>
        <w:tc>
          <w:tcPr>
            <w:tcW w:w="520" w:type="pct"/>
            <w:tcBorders>
              <w:top w:val="single" w:sz="4" w:space="0" w:color="17365D"/>
              <w:bottom w:val="single" w:sz="4" w:space="0" w:color="17365D"/>
            </w:tcBorders>
            <w:shd w:val="clear" w:color="auto" w:fill="auto"/>
            <w:vAlign w:val="center"/>
            <w:hideMark/>
          </w:tcPr>
          <w:p w14:paraId="5F39AE9F" w14:textId="55138D8D" w:rsidR="00CA3AF0" w:rsidRPr="00A27896" w:rsidRDefault="00CA3AF0" w:rsidP="00100EA1">
            <w:pPr>
              <w:spacing w:after="0" w:line="240" w:lineRule="auto"/>
              <w:jc w:val="center"/>
              <w:rPr>
                <w:rFonts w:eastAsia="Times New Roman" w:cs="Times New Roman"/>
                <w:b/>
                <w:color w:val="17365D"/>
                <w:sz w:val="18"/>
                <w:szCs w:val="18"/>
                <w:lang w:eastAsia="lv-LV"/>
              </w:rPr>
            </w:pPr>
            <w:r w:rsidRPr="00A27896">
              <w:rPr>
                <w:rFonts w:cs="Times New Roman"/>
                <w:b/>
                <w:color w:val="17365D"/>
                <w:sz w:val="18"/>
                <w:szCs w:val="18"/>
              </w:rPr>
              <w:t>KB.1.2.</w:t>
            </w:r>
          </w:p>
        </w:tc>
        <w:tc>
          <w:tcPr>
            <w:tcW w:w="795" w:type="pct"/>
            <w:tcBorders>
              <w:top w:val="single" w:sz="4" w:space="0" w:color="17365D"/>
              <w:bottom w:val="single" w:sz="4" w:space="0" w:color="17365D"/>
            </w:tcBorders>
            <w:shd w:val="clear" w:color="auto" w:fill="auto"/>
            <w:vAlign w:val="center"/>
            <w:hideMark/>
          </w:tcPr>
          <w:p w14:paraId="42ECFF53" w14:textId="0D2B6809" w:rsidR="00CA3AF0" w:rsidRPr="00A27896" w:rsidRDefault="00CA3AF0" w:rsidP="00CA3AF0">
            <w:pPr>
              <w:spacing w:after="0" w:line="240" w:lineRule="auto"/>
              <w:jc w:val="right"/>
              <w:rPr>
                <w:rFonts w:cs="Times New Roman"/>
                <w:b/>
                <w:color w:val="17365D"/>
                <w:sz w:val="18"/>
                <w:szCs w:val="18"/>
              </w:rPr>
            </w:pPr>
            <w:r w:rsidRPr="00A27896">
              <w:rPr>
                <w:rFonts w:cs="Times New Roman"/>
                <w:b/>
                <w:color w:val="17365D"/>
                <w:sz w:val="18"/>
                <w:szCs w:val="18"/>
              </w:rPr>
              <w:t>14 401 457 787</w:t>
            </w:r>
          </w:p>
        </w:tc>
        <w:tc>
          <w:tcPr>
            <w:tcW w:w="795" w:type="pct"/>
            <w:gridSpan w:val="2"/>
            <w:tcBorders>
              <w:top w:val="single" w:sz="4" w:space="0" w:color="17365D"/>
              <w:bottom w:val="single" w:sz="4" w:space="0" w:color="17365D"/>
            </w:tcBorders>
            <w:shd w:val="clear" w:color="auto" w:fill="auto"/>
            <w:vAlign w:val="center"/>
            <w:hideMark/>
          </w:tcPr>
          <w:p w14:paraId="190BECC5" w14:textId="7EF1402D" w:rsidR="00CA3AF0" w:rsidRPr="00A27896" w:rsidRDefault="00CA3AF0" w:rsidP="00CA3AF0">
            <w:pPr>
              <w:spacing w:after="0" w:line="240" w:lineRule="auto"/>
              <w:jc w:val="right"/>
              <w:rPr>
                <w:rFonts w:cs="Times New Roman"/>
                <w:b/>
                <w:color w:val="17365D"/>
                <w:sz w:val="18"/>
                <w:szCs w:val="18"/>
              </w:rPr>
            </w:pPr>
            <w:r w:rsidRPr="00A27896">
              <w:rPr>
                <w:rFonts w:cs="Times New Roman"/>
                <w:b/>
                <w:color w:val="17365D"/>
                <w:sz w:val="18"/>
                <w:szCs w:val="18"/>
              </w:rPr>
              <w:t>13 814 562 845</w:t>
            </w:r>
          </w:p>
        </w:tc>
        <w:tc>
          <w:tcPr>
            <w:tcW w:w="756" w:type="pct"/>
            <w:tcBorders>
              <w:top w:val="single" w:sz="4" w:space="0" w:color="17365D"/>
              <w:bottom w:val="single" w:sz="4" w:space="0" w:color="17365D"/>
            </w:tcBorders>
            <w:shd w:val="clear" w:color="auto" w:fill="auto"/>
            <w:noWrap/>
            <w:vAlign w:val="center"/>
            <w:hideMark/>
          </w:tcPr>
          <w:p w14:paraId="7986FE54" w14:textId="687AA9F7" w:rsidR="00CA3AF0" w:rsidRPr="00A27896" w:rsidRDefault="00CA3AF0" w:rsidP="00CA3AF0">
            <w:pPr>
              <w:spacing w:after="0" w:line="240" w:lineRule="auto"/>
              <w:jc w:val="right"/>
              <w:rPr>
                <w:rFonts w:cs="Times New Roman"/>
                <w:b/>
                <w:color w:val="17365D"/>
                <w:sz w:val="18"/>
                <w:szCs w:val="18"/>
              </w:rPr>
            </w:pPr>
            <w:r w:rsidRPr="00A27896">
              <w:rPr>
                <w:rFonts w:cs="Times New Roman"/>
                <w:b/>
                <w:color w:val="17365D"/>
                <w:sz w:val="18"/>
                <w:szCs w:val="18"/>
              </w:rPr>
              <w:t>586 894 942</w:t>
            </w:r>
          </w:p>
        </w:tc>
        <w:tc>
          <w:tcPr>
            <w:tcW w:w="681" w:type="pct"/>
            <w:tcBorders>
              <w:top w:val="single" w:sz="4" w:space="0" w:color="17365D"/>
              <w:bottom w:val="single" w:sz="4" w:space="0" w:color="17365D"/>
            </w:tcBorders>
            <w:shd w:val="clear" w:color="auto" w:fill="auto"/>
            <w:noWrap/>
            <w:vAlign w:val="center"/>
            <w:hideMark/>
          </w:tcPr>
          <w:p w14:paraId="4AD7E8A2" w14:textId="15351DC5" w:rsidR="00CA3AF0" w:rsidRPr="00A27896" w:rsidRDefault="00CA3AF0" w:rsidP="00CA3AF0">
            <w:pPr>
              <w:spacing w:after="0" w:line="240" w:lineRule="auto"/>
              <w:jc w:val="right"/>
              <w:rPr>
                <w:rFonts w:cs="Times New Roman"/>
                <w:b/>
                <w:color w:val="17365D"/>
                <w:sz w:val="18"/>
                <w:szCs w:val="18"/>
              </w:rPr>
            </w:pPr>
            <w:r w:rsidRPr="00A27896">
              <w:rPr>
                <w:rFonts w:cs="Times New Roman"/>
                <w:b/>
                <w:color w:val="17365D"/>
                <w:sz w:val="18"/>
                <w:szCs w:val="18"/>
              </w:rPr>
              <w:t>4.25</w:t>
            </w:r>
          </w:p>
        </w:tc>
      </w:tr>
      <w:tr w:rsidR="00CA3AF0" w:rsidRPr="00A27896" w14:paraId="4C1B319B" w14:textId="77777777" w:rsidTr="00CA3AF0">
        <w:trPr>
          <w:trHeight w:val="54"/>
        </w:trPr>
        <w:tc>
          <w:tcPr>
            <w:tcW w:w="1453" w:type="pct"/>
            <w:tcBorders>
              <w:top w:val="single" w:sz="4" w:space="0" w:color="17365D"/>
              <w:bottom w:val="single" w:sz="4" w:space="0" w:color="17365D"/>
            </w:tcBorders>
            <w:shd w:val="clear" w:color="auto" w:fill="auto"/>
            <w:vAlign w:val="center"/>
            <w:hideMark/>
          </w:tcPr>
          <w:p w14:paraId="3A4E35B3" w14:textId="04C43867" w:rsidR="00CA3AF0" w:rsidRPr="00A27896" w:rsidRDefault="00CA3AF0" w:rsidP="00CA3AF0">
            <w:pPr>
              <w:spacing w:after="0" w:line="240" w:lineRule="auto"/>
              <w:rPr>
                <w:rFonts w:cs="Times New Roman"/>
                <w:color w:val="17365D"/>
                <w:sz w:val="18"/>
                <w:szCs w:val="18"/>
              </w:rPr>
            </w:pPr>
            <w:r w:rsidRPr="00A27896">
              <w:rPr>
                <w:rFonts w:cs="Times New Roman"/>
                <w:color w:val="17365D"/>
                <w:sz w:val="18"/>
                <w:szCs w:val="18"/>
              </w:rPr>
              <w:t>Zeme un būves</w:t>
            </w:r>
          </w:p>
        </w:tc>
        <w:tc>
          <w:tcPr>
            <w:tcW w:w="520" w:type="pct"/>
            <w:tcBorders>
              <w:top w:val="single" w:sz="4" w:space="0" w:color="17365D"/>
              <w:bottom w:val="single" w:sz="4" w:space="0" w:color="17365D"/>
            </w:tcBorders>
            <w:shd w:val="clear" w:color="auto" w:fill="auto"/>
            <w:noWrap/>
            <w:vAlign w:val="center"/>
            <w:hideMark/>
          </w:tcPr>
          <w:p w14:paraId="656EEF37" w14:textId="0E56E5FB" w:rsidR="00CA3AF0" w:rsidRPr="00A27896" w:rsidRDefault="00CA3AF0" w:rsidP="00CA3AF0">
            <w:pPr>
              <w:spacing w:after="0" w:line="240" w:lineRule="auto"/>
              <w:jc w:val="right"/>
              <w:rPr>
                <w:rFonts w:eastAsia="Times New Roman" w:cs="Times New Roman"/>
                <w:color w:val="17365D"/>
                <w:sz w:val="18"/>
                <w:szCs w:val="18"/>
                <w:lang w:eastAsia="lv-LV"/>
              </w:rPr>
            </w:pPr>
          </w:p>
        </w:tc>
        <w:tc>
          <w:tcPr>
            <w:tcW w:w="795" w:type="pct"/>
            <w:tcBorders>
              <w:top w:val="single" w:sz="4" w:space="0" w:color="17365D"/>
              <w:bottom w:val="single" w:sz="4" w:space="0" w:color="17365D"/>
            </w:tcBorders>
            <w:shd w:val="clear" w:color="auto" w:fill="auto"/>
            <w:vAlign w:val="center"/>
            <w:hideMark/>
          </w:tcPr>
          <w:p w14:paraId="6BDBECFD" w14:textId="3C0A21E9"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9 499 050 422</w:t>
            </w:r>
          </w:p>
        </w:tc>
        <w:tc>
          <w:tcPr>
            <w:tcW w:w="795" w:type="pct"/>
            <w:gridSpan w:val="2"/>
            <w:tcBorders>
              <w:top w:val="single" w:sz="4" w:space="0" w:color="17365D"/>
              <w:bottom w:val="single" w:sz="4" w:space="0" w:color="17365D"/>
            </w:tcBorders>
            <w:shd w:val="clear" w:color="auto" w:fill="auto"/>
            <w:vAlign w:val="center"/>
            <w:hideMark/>
          </w:tcPr>
          <w:p w14:paraId="6F1FA835" w14:textId="4D953E3B"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9 306 587 098</w:t>
            </w:r>
          </w:p>
        </w:tc>
        <w:tc>
          <w:tcPr>
            <w:tcW w:w="756" w:type="pct"/>
            <w:tcBorders>
              <w:top w:val="single" w:sz="4" w:space="0" w:color="17365D"/>
              <w:bottom w:val="single" w:sz="4" w:space="0" w:color="17365D"/>
            </w:tcBorders>
            <w:shd w:val="clear" w:color="auto" w:fill="auto"/>
            <w:noWrap/>
            <w:vAlign w:val="center"/>
            <w:hideMark/>
          </w:tcPr>
          <w:p w14:paraId="2C84F4AA" w14:textId="05438954"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192 463 324</w:t>
            </w:r>
          </w:p>
        </w:tc>
        <w:tc>
          <w:tcPr>
            <w:tcW w:w="681" w:type="pct"/>
            <w:tcBorders>
              <w:top w:val="single" w:sz="4" w:space="0" w:color="17365D"/>
              <w:bottom w:val="single" w:sz="4" w:space="0" w:color="17365D"/>
            </w:tcBorders>
            <w:shd w:val="clear" w:color="auto" w:fill="auto"/>
            <w:noWrap/>
            <w:vAlign w:val="center"/>
            <w:hideMark/>
          </w:tcPr>
          <w:p w14:paraId="03AAD788" w14:textId="6B5DE12E"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2.07</w:t>
            </w:r>
          </w:p>
        </w:tc>
      </w:tr>
      <w:tr w:rsidR="00CA3AF0" w:rsidRPr="00A27896" w14:paraId="39E735F5" w14:textId="77777777" w:rsidTr="00CA3AF0">
        <w:trPr>
          <w:trHeight w:val="408"/>
        </w:trPr>
        <w:tc>
          <w:tcPr>
            <w:tcW w:w="1453" w:type="pct"/>
            <w:tcBorders>
              <w:top w:val="single" w:sz="4" w:space="0" w:color="17365D"/>
              <w:bottom w:val="single" w:sz="4" w:space="0" w:color="17365D"/>
            </w:tcBorders>
            <w:shd w:val="clear" w:color="auto" w:fill="auto"/>
            <w:vAlign w:val="center"/>
            <w:hideMark/>
          </w:tcPr>
          <w:p w14:paraId="4A4ADFCC" w14:textId="01EB3A8B" w:rsidR="00CA3AF0" w:rsidRPr="00A27896" w:rsidRDefault="00CA3AF0" w:rsidP="00CA3AF0">
            <w:pPr>
              <w:spacing w:after="0" w:line="240" w:lineRule="auto"/>
              <w:rPr>
                <w:rFonts w:cs="Times New Roman"/>
                <w:color w:val="17365D"/>
                <w:sz w:val="18"/>
                <w:szCs w:val="18"/>
              </w:rPr>
            </w:pPr>
            <w:r w:rsidRPr="00A27896">
              <w:rPr>
                <w:rFonts w:cs="Times New Roman"/>
                <w:color w:val="17365D"/>
                <w:sz w:val="18"/>
                <w:szCs w:val="18"/>
              </w:rPr>
              <w:t>Tehnoloģiskās iekārtas un mašīnas</w:t>
            </w:r>
          </w:p>
        </w:tc>
        <w:tc>
          <w:tcPr>
            <w:tcW w:w="520" w:type="pct"/>
            <w:tcBorders>
              <w:top w:val="single" w:sz="4" w:space="0" w:color="17365D"/>
              <w:bottom w:val="single" w:sz="4" w:space="0" w:color="17365D"/>
            </w:tcBorders>
            <w:shd w:val="clear" w:color="auto" w:fill="auto"/>
            <w:noWrap/>
            <w:vAlign w:val="center"/>
          </w:tcPr>
          <w:p w14:paraId="357882CE" w14:textId="19F35C2C" w:rsidR="00CA3AF0" w:rsidRPr="00A27896" w:rsidRDefault="00CA3AF0" w:rsidP="00CA3AF0">
            <w:pPr>
              <w:spacing w:after="0" w:line="240" w:lineRule="auto"/>
              <w:jc w:val="right"/>
              <w:rPr>
                <w:rFonts w:eastAsia="Times New Roman" w:cs="Times New Roman"/>
                <w:color w:val="17365D"/>
                <w:sz w:val="18"/>
                <w:szCs w:val="18"/>
                <w:lang w:eastAsia="lv-LV"/>
              </w:rPr>
            </w:pPr>
          </w:p>
        </w:tc>
        <w:tc>
          <w:tcPr>
            <w:tcW w:w="795" w:type="pct"/>
            <w:tcBorders>
              <w:top w:val="single" w:sz="4" w:space="0" w:color="17365D"/>
              <w:bottom w:val="single" w:sz="4" w:space="0" w:color="17365D"/>
            </w:tcBorders>
            <w:shd w:val="clear" w:color="auto" w:fill="auto"/>
            <w:vAlign w:val="center"/>
            <w:hideMark/>
          </w:tcPr>
          <w:p w14:paraId="6B3EEFAD" w14:textId="6D952BA9"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174 054 723</w:t>
            </w:r>
          </w:p>
        </w:tc>
        <w:tc>
          <w:tcPr>
            <w:tcW w:w="795" w:type="pct"/>
            <w:gridSpan w:val="2"/>
            <w:tcBorders>
              <w:top w:val="single" w:sz="4" w:space="0" w:color="17365D"/>
              <w:bottom w:val="single" w:sz="4" w:space="0" w:color="17365D"/>
            </w:tcBorders>
            <w:shd w:val="clear" w:color="auto" w:fill="auto"/>
            <w:vAlign w:val="center"/>
            <w:hideMark/>
          </w:tcPr>
          <w:p w14:paraId="687DADB1" w14:textId="66963C78"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171 545 080</w:t>
            </w:r>
          </w:p>
        </w:tc>
        <w:tc>
          <w:tcPr>
            <w:tcW w:w="756" w:type="pct"/>
            <w:tcBorders>
              <w:top w:val="single" w:sz="4" w:space="0" w:color="17365D"/>
              <w:bottom w:val="single" w:sz="4" w:space="0" w:color="17365D"/>
            </w:tcBorders>
            <w:shd w:val="clear" w:color="auto" w:fill="auto"/>
            <w:noWrap/>
            <w:vAlign w:val="center"/>
            <w:hideMark/>
          </w:tcPr>
          <w:p w14:paraId="387D443B" w14:textId="43948C78"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2 509 643</w:t>
            </w:r>
          </w:p>
        </w:tc>
        <w:tc>
          <w:tcPr>
            <w:tcW w:w="681" w:type="pct"/>
            <w:tcBorders>
              <w:top w:val="single" w:sz="4" w:space="0" w:color="17365D"/>
              <w:bottom w:val="single" w:sz="4" w:space="0" w:color="17365D"/>
            </w:tcBorders>
            <w:shd w:val="clear" w:color="auto" w:fill="auto"/>
            <w:noWrap/>
            <w:vAlign w:val="center"/>
            <w:hideMark/>
          </w:tcPr>
          <w:p w14:paraId="38AF589C" w14:textId="393D11DE"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1.46</w:t>
            </w:r>
          </w:p>
        </w:tc>
      </w:tr>
      <w:tr w:rsidR="00CA3AF0" w:rsidRPr="00A27896" w14:paraId="0EFF5CA4" w14:textId="77777777" w:rsidTr="00CA3AF0">
        <w:trPr>
          <w:trHeight w:val="264"/>
        </w:trPr>
        <w:tc>
          <w:tcPr>
            <w:tcW w:w="1453" w:type="pct"/>
            <w:tcBorders>
              <w:top w:val="single" w:sz="4" w:space="0" w:color="17365D"/>
              <w:bottom w:val="single" w:sz="4" w:space="0" w:color="17365D"/>
            </w:tcBorders>
            <w:shd w:val="clear" w:color="auto" w:fill="auto"/>
            <w:vAlign w:val="center"/>
            <w:hideMark/>
          </w:tcPr>
          <w:p w14:paraId="760DD74F" w14:textId="3B064B28" w:rsidR="00CA3AF0" w:rsidRPr="00A27896" w:rsidRDefault="00CA3AF0" w:rsidP="00CA3AF0">
            <w:pPr>
              <w:spacing w:after="0" w:line="240" w:lineRule="auto"/>
              <w:rPr>
                <w:rFonts w:cs="Times New Roman"/>
                <w:color w:val="17365D"/>
                <w:sz w:val="18"/>
                <w:szCs w:val="18"/>
              </w:rPr>
            </w:pPr>
            <w:r w:rsidRPr="00A27896">
              <w:rPr>
                <w:rFonts w:cs="Times New Roman"/>
                <w:color w:val="17365D"/>
                <w:sz w:val="18"/>
                <w:szCs w:val="18"/>
              </w:rPr>
              <w:t>Pārējie pamatlīdzekļi</w:t>
            </w:r>
          </w:p>
        </w:tc>
        <w:tc>
          <w:tcPr>
            <w:tcW w:w="520" w:type="pct"/>
            <w:tcBorders>
              <w:top w:val="single" w:sz="4" w:space="0" w:color="17365D"/>
              <w:bottom w:val="single" w:sz="4" w:space="0" w:color="17365D"/>
            </w:tcBorders>
            <w:shd w:val="clear" w:color="auto" w:fill="auto"/>
            <w:noWrap/>
            <w:vAlign w:val="center"/>
          </w:tcPr>
          <w:p w14:paraId="0C09F3B4" w14:textId="1748BD9F" w:rsidR="00CA3AF0" w:rsidRPr="00A27896" w:rsidRDefault="00CA3AF0" w:rsidP="00CA3AF0">
            <w:pPr>
              <w:spacing w:after="0" w:line="240" w:lineRule="auto"/>
              <w:jc w:val="right"/>
              <w:rPr>
                <w:rFonts w:eastAsia="Times New Roman" w:cs="Times New Roman"/>
                <w:color w:val="17365D"/>
                <w:sz w:val="18"/>
                <w:szCs w:val="18"/>
                <w:lang w:eastAsia="lv-LV"/>
              </w:rPr>
            </w:pPr>
          </w:p>
        </w:tc>
        <w:tc>
          <w:tcPr>
            <w:tcW w:w="795" w:type="pct"/>
            <w:tcBorders>
              <w:top w:val="single" w:sz="4" w:space="0" w:color="17365D"/>
              <w:bottom w:val="single" w:sz="4" w:space="0" w:color="17365D"/>
            </w:tcBorders>
            <w:shd w:val="clear" w:color="auto" w:fill="auto"/>
            <w:vAlign w:val="center"/>
          </w:tcPr>
          <w:p w14:paraId="74D6F98F" w14:textId="67A750E5"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1 643 020 704</w:t>
            </w:r>
          </w:p>
        </w:tc>
        <w:tc>
          <w:tcPr>
            <w:tcW w:w="795" w:type="pct"/>
            <w:gridSpan w:val="2"/>
            <w:tcBorders>
              <w:top w:val="single" w:sz="4" w:space="0" w:color="17365D"/>
              <w:bottom w:val="single" w:sz="4" w:space="0" w:color="17365D"/>
              <w:right w:val="nil"/>
            </w:tcBorders>
            <w:shd w:val="clear" w:color="auto" w:fill="auto"/>
            <w:vAlign w:val="center"/>
          </w:tcPr>
          <w:p w14:paraId="7630D37D" w14:textId="157342E6"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1 513 439 945</w:t>
            </w:r>
          </w:p>
        </w:tc>
        <w:tc>
          <w:tcPr>
            <w:tcW w:w="756" w:type="pct"/>
            <w:tcBorders>
              <w:top w:val="single" w:sz="4" w:space="0" w:color="17365D"/>
              <w:left w:val="nil"/>
              <w:bottom w:val="single" w:sz="4" w:space="0" w:color="17365D"/>
              <w:right w:val="nil"/>
            </w:tcBorders>
            <w:shd w:val="clear" w:color="FFFFCC" w:fill="FFFFFF"/>
            <w:noWrap/>
            <w:vAlign w:val="center"/>
          </w:tcPr>
          <w:p w14:paraId="4A2E5C05" w14:textId="298C0CEA"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129 580 759</w:t>
            </w:r>
          </w:p>
        </w:tc>
        <w:tc>
          <w:tcPr>
            <w:tcW w:w="681" w:type="pct"/>
            <w:tcBorders>
              <w:top w:val="single" w:sz="4" w:space="0" w:color="17365D"/>
              <w:left w:val="nil"/>
              <w:bottom w:val="single" w:sz="4" w:space="0" w:color="17365D"/>
              <w:right w:val="nil"/>
            </w:tcBorders>
            <w:shd w:val="clear" w:color="FFFFCC" w:fill="FFFFFF"/>
            <w:noWrap/>
            <w:vAlign w:val="center"/>
          </w:tcPr>
          <w:p w14:paraId="6F8CFE29" w14:textId="0EEF4959"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8.56</w:t>
            </w:r>
          </w:p>
        </w:tc>
      </w:tr>
      <w:tr w:rsidR="00CA3AF0" w:rsidRPr="00A27896" w14:paraId="52A0184F" w14:textId="77777777" w:rsidTr="00CA3AF0">
        <w:trPr>
          <w:trHeight w:val="264"/>
        </w:trPr>
        <w:tc>
          <w:tcPr>
            <w:tcW w:w="1453" w:type="pct"/>
            <w:tcBorders>
              <w:top w:val="single" w:sz="4" w:space="0" w:color="17365D"/>
              <w:bottom w:val="single" w:sz="4" w:space="0" w:color="17365D"/>
            </w:tcBorders>
            <w:shd w:val="clear" w:color="auto" w:fill="auto"/>
            <w:vAlign w:val="center"/>
            <w:hideMark/>
          </w:tcPr>
          <w:p w14:paraId="7591A8DC" w14:textId="22AA6355" w:rsidR="00CA3AF0" w:rsidRPr="00A27896" w:rsidRDefault="00CA3AF0" w:rsidP="00CA3AF0">
            <w:pPr>
              <w:spacing w:after="0" w:line="240" w:lineRule="auto"/>
              <w:rPr>
                <w:rFonts w:cs="Times New Roman"/>
                <w:color w:val="17365D"/>
                <w:sz w:val="18"/>
                <w:szCs w:val="18"/>
              </w:rPr>
            </w:pPr>
            <w:r w:rsidRPr="00A27896">
              <w:rPr>
                <w:rFonts w:cs="Times New Roman"/>
                <w:color w:val="17365D"/>
                <w:sz w:val="18"/>
                <w:szCs w:val="18"/>
              </w:rPr>
              <w:lastRenderedPageBreak/>
              <w:t>Pamatlīdzekļu izveidošana un nepabeigtā būvniecība</w:t>
            </w:r>
          </w:p>
        </w:tc>
        <w:tc>
          <w:tcPr>
            <w:tcW w:w="520" w:type="pct"/>
            <w:tcBorders>
              <w:top w:val="single" w:sz="4" w:space="0" w:color="17365D"/>
              <w:bottom w:val="single" w:sz="4" w:space="0" w:color="17365D"/>
            </w:tcBorders>
            <w:shd w:val="clear" w:color="auto" w:fill="auto"/>
            <w:noWrap/>
            <w:vAlign w:val="center"/>
          </w:tcPr>
          <w:p w14:paraId="70080358" w14:textId="17509784" w:rsidR="00CA3AF0" w:rsidRPr="00A27896" w:rsidRDefault="00CA3AF0" w:rsidP="00CA3AF0">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KB.1.2.1.</w:t>
            </w:r>
          </w:p>
        </w:tc>
        <w:tc>
          <w:tcPr>
            <w:tcW w:w="795" w:type="pct"/>
            <w:tcBorders>
              <w:top w:val="single" w:sz="4" w:space="0" w:color="17365D"/>
              <w:bottom w:val="single" w:sz="4" w:space="0" w:color="17365D"/>
            </w:tcBorders>
            <w:shd w:val="clear" w:color="auto" w:fill="auto"/>
            <w:vAlign w:val="center"/>
          </w:tcPr>
          <w:p w14:paraId="7E7537E2" w14:textId="73341CAF"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1 018 202 977</w:t>
            </w:r>
          </w:p>
        </w:tc>
        <w:tc>
          <w:tcPr>
            <w:tcW w:w="795" w:type="pct"/>
            <w:gridSpan w:val="2"/>
            <w:tcBorders>
              <w:top w:val="single" w:sz="4" w:space="0" w:color="17365D"/>
              <w:bottom w:val="single" w:sz="4" w:space="0" w:color="17365D"/>
            </w:tcBorders>
            <w:shd w:val="clear" w:color="auto" w:fill="auto"/>
            <w:vAlign w:val="center"/>
          </w:tcPr>
          <w:p w14:paraId="71EDCF1C" w14:textId="17E15E39"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774 028 966</w:t>
            </w:r>
          </w:p>
        </w:tc>
        <w:tc>
          <w:tcPr>
            <w:tcW w:w="756" w:type="pct"/>
            <w:tcBorders>
              <w:top w:val="single" w:sz="4" w:space="0" w:color="17365D"/>
              <w:bottom w:val="single" w:sz="4" w:space="0" w:color="17365D"/>
            </w:tcBorders>
            <w:shd w:val="clear" w:color="auto" w:fill="auto"/>
            <w:noWrap/>
            <w:vAlign w:val="center"/>
          </w:tcPr>
          <w:p w14:paraId="4B2F68AC" w14:textId="5ED0BFCE"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244 174 011</w:t>
            </w:r>
          </w:p>
        </w:tc>
        <w:tc>
          <w:tcPr>
            <w:tcW w:w="681" w:type="pct"/>
            <w:tcBorders>
              <w:top w:val="single" w:sz="4" w:space="0" w:color="17365D"/>
              <w:bottom w:val="single" w:sz="4" w:space="0" w:color="17365D"/>
            </w:tcBorders>
            <w:shd w:val="clear" w:color="auto" w:fill="auto"/>
            <w:noWrap/>
            <w:vAlign w:val="center"/>
          </w:tcPr>
          <w:p w14:paraId="74CF5FEE" w14:textId="06C5F316"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31.55</w:t>
            </w:r>
          </w:p>
        </w:tc>
      </w:tr>
      <w:tr w:rsidR="00CA3AF0" w:rsidRPr="00A27896" w14:paraId="03E15F94" w14:textId="77777777" w:rsidTr="00CA3AF0">
        <w:trPr>
          <w:trHeight w:val="408"/>
        </w:trPr>
        <w:tc>
          <w:tcPr>
            <w:tcW w:w="1453" w:type="pct"/>
            <w:tcBorders>
              <w:top w:val="single" w:sz="4" w:space="0" w:color="17365D"/>
              <w:bottom w:val="single" w:sz="4" w:space="0" w:color="17365D"/>
            </w:tcBorders>
            <w:shd w:val="clear" w:color="auto" w:fill="auto"/>
            <w:vAlign w:val="center"/>
            <w:hideMark/>
          </w:tcPr>
          <w:p w14:paraId="62D16970" w14:textId="035C820A" w:rsidR="00CA3AF0" w:rsidRPr="00A27896" w:rsidRDefault="00CA3AF0" w:rsidP="00CA3AF0">
            <w:pPr>
              <w:spacing w:after="0" w:line="240" w:lineRule="auto"/>
              <w:rPr>
                <w:rFonts w:cs="Times New Roman"/>
                <w:color w:val="17365D"/>
                <w:sz w:val="18"/>
                <w:szCs w:val="18"/>
              </w:rPr>
            </w:pPr>
            <w:r w:rsidRPr="00A27896">
              <w:rPr>
                <w:rFonts w:cs="Times New Roman"/>
                <w:color w:val="17365D"/>
                <w:sz w:val="18"/>
                <w:szCs w:val="18"/>
              </w:rPr>
              <w:t>Turējumā nodotie valsts un pašvaldību īpašumi</w:t>
            </w:r>
          </w:p>
        </w:tc>
        <w:tc>
          <w:tcPr>
            <w:tcW w:w="520" w:type="pct"/>
            <w:tcBorders>
              <w:top w:val="single" w:sz="4" w:space="0" w:color="17365D"/>
              <w:bottom w:val="single" w:sz="4" w:space="0" w:color="17365D"/>
            </w:tcBorders>
            <w:shd w:val="clear" w:color="auto" w:fill="auto"/>
            <w:noWrap/>
            <w:vAlign w:val="center"/>
          </w:tcPr>
          <w:p w14:paraId="16C6C641" w14:textId="1A72BC30" w:rsidR="00CA3AF0" w:rsidRPr="00A27896" w:rsidRDefault="00CA3AF0" w:rsidP="00CA3AF0">
            <w:pPr>
              <w:spacing w:after="0" w:line="240" w:lineRule="auto"/>
              <w:jc w:val="right"/>
              <w:rPr>
                <w:rFonts w:eastAsia="Times New Roman" w:cs="Times New Roman"/>
                <w:color w:val="17365D"/>
                <w:sz w:val="18"/>
                <w:szCs w:val="18"/>
                <w:lang w:eastAsia="lv-LV"/>
              </w:rPr>
            </w:pPr>
          </w:p>
        </w:tc>
        <w:tc>
          <w:tcPr>
            <w:tcW w:w="795" w:type="pct"/>
            <w:tcBorders>
              <w:top w:val="single" w:sz="4" w:space="0" w:color="17365D"/>
              <w:bottom w:val="single" w:sz="4" w:space="0" w:color="17365D"/>
            </w:tcBorders>
            <w:shd w:val="clear" w:color="auto" w:fill="auto"/>
            <w:vAlign w:val="center"/>
          </w:tcPr>
          <w:p w14:paraId="62B079E9" w14:textId="2267A395"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1 502 245 138</w:t>
            </w:r>
          </w:p>
        </w:tc>
        <w:tc>
          <w:tcPr>
            <w:tcW w:w="795" w:type="pct"/>
            <w:gridSpan w:val="2"/>
            <w:tcBorders>
              <w:top w:val="single" w:sz="4" w:space="0" w:color="17365D"/>
              <w:bottom w:val="single" w:sz="4" w:space="0" w:color="17365D"/>
              <w:right w:val="nil"/>
            </w:tcBorders>
            <w:shd w:val="clear" w:color="auto" w:fill="auto"/>
            <w:vAlign w:val="center"/>
          </w:tcPr>
          <w:p w14:paraId="2741D8BB" w14:textId="51C52221"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1 551 358 537</w:t>
            </w:r>
          </w:p>
        </w:tc>
        <w:tc>
          <w:tcPr>
            <w:tcW w:w="756" w:type="pct"/>
            <w:tcBorders>
              <w:top w:val="single" w:sz="4" w:space="0" w:color="17365D"/>
              <w:left w:val="nil"/>
              <w:bottom w:val="single" w:sz="4" w:space="0" w:color="17365D"/>
              <w:right w:val="nil"/>
            </w:tcBorders>
            <w:shd w:val="clear" w:color="FFFFCC" w:fill="FFFFFF"/>
            <w:noWrap/>
            <w:vAlign w:val="center"/>
          </w:tcPr>
          <w:p w14:paraId="242445CB" w14:textId="320B77A7"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-49 113 399</w:t>
            </w:r>
          </w:p>
        </w:tc>
        <w:tc>
          <w:tcPr>
            <w:tcW w:w="681" w:type="pct"/>
            <w:tcBorders>
              <w:top w:val="single" w:sz="4" w:space="0" w:color="17365D"/>
              <w:left w:val="nil"/>
              <w:bottom w:val="single" w:sz="4" w:space="0" w:color="17365D"/>
              <w:right w:val="nil"/>
            </w:tcBorders>
            <w:shd w:val="clear" w:color="FFFFCC" w:fill="FFFFFF"/>
            <w:noWrap/>
            <w:vAlign w:val="center"/>
          </w:tcPr>
          <w:p w14:paraId="1E9637A4" w14:textId="201571E3"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-3.17</w:t>
            </w:r>
          </w:p>
        </w:tc>
      </w:tr>
      <w:tr w:rsidR="00CA3AF0" w:rsidRPr="00A27896" w14:paraId="387C8092" w14:textId="77777777" w:rsidTr="00CA3AF0">
        <w:trPr>
          <w:trHeight w:val="54"/>
        </w:trPr>
        <w:tc>
          <w:tcPr>
            <w:tcW w:w="1453" w:type="pct"/>
            <w:tcBorders>
              <w:top w:val="single" w:sz="4" w:space="0" w:color="17365D"/>
              <w:bottom w:val="single" w:sz="4" w:space="0" w:color="17365D"/>
            </w:tcBorders>
            <w:shd w:val="clear" w:color="auto" w:fill="auto"/>
            <w:vAlign w:val="center"/>
          </w:tcPr>
          <w:p w14:paraId="64335699" w14:textId="37F80110" w:rsidR="00CA3AF0" w:rsidRPr="00A27896" w:rsidRDefault="00CA3AF0" w:rsidP="00CA3AF0">
            <w:pPr>
              <w:spacing w:after="0" w:line="240" w:lineRule="auto"/>
              <w:rPr>
                <w:rFonts w:cs="Times New Roman"/>
                <w:color w:val="17365D"/>
                <w:sz w:val="18"/>
                <w:szCs w:val="18"/>
              </w:rPr>
            </w:pPr>
            <w:r w:rsidRPr="00A27896">
              <w:rPr>
                <w:rFonts w:cs="Times New Roman"/>
                <w:color w:val="17365D"/>
                <w:sz w:val="18"/>
                <w:szCs w:val="18"/>
              </w:rPr>
              <w:t>Bioloģiskie un pazemes aktīvi</w:t>
            </w:r>
          </w:p>
        </w:tc>
        <w:tc>
          <w:tcPr>
            <w:tcW w:w="520" w:type="pct"/>
            <w:tcBorders>
              <w:top w:val="single" w:sz="4" w:space="0" w:color="17365D"/>
              <w:bottom w:val="single" w:sz="4" w:space="0" w:color="17365D"/>
            </w:tcBorders>
            <w:shd w:val="clear" w:color="auto" w:fill="auto"/>
            <w:noWrap/>
            <w:vAlign w:val="center"/>
          </w:tcPr>
          <w:p w14:paraId="208E18FB" w14:textId="00AFF986" w:rsidR="00CA3AF0" w:rsidRPr="00A27896" w:rsidRDefault="00CA3AF0" w:rsidP="00CA3AF0">
            <w:pPr>
              <w:spacing w:after="0" w:line="240" w:lineRule="auto"/>
              <w:jc w:val="right"/>
              <w:rPr>
                <w:rFonts w:cs="Times New Roman"/>
                <w:color w:val="17365D"/>
                <w:sz w:val="18"/>
                <w:szCs w:val="18"/>
              </w:rPr>
            </w:pPr>
          </w:p>
        </w:tc>
        <w:tc>
          <w:tcPr>
            <w:tcW w:w="795" w:type="pct"/>
            <w:tcBorders>
              <w:top w:val="single" w:sz="4" w:space="0" w:color="17365D"/>
              <w:bottom w:val="single" w:sz="4" w:space="0" w:color="17365D"/>
            </w:tcBorders>
            <w:shd w:val="clear" w:color="auto" w:fill="auto"/>
            <w:vAlign w:val="center"/>
          </w:tcPr>
          <w:p w14:paraId="06611028" w14:textId="780D0DA2"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258 842 574</w:t>
            </w:r>
          </w:p>
        </w:tc>
        <w:tc>
          <w:tcPr>
            <w:tcW w:w="795" w:type="pct"/>
            <w:gridSpan w:val="2"/>
            <w:tcBorders>
              <w:top w:val="single" w:sz="4" w:space="0" w:color="17365D"/>
              <w:bottom w:val="single" w:sz="4" w:space="0" w:color="17365D"/>
            </w:tcBorders>
            <w:shd w:val="clear" w:color="auto" w:fill="auto"/>
            <w:vAlign w:val="center"/>
          </w:tcPr>
          <w:p w14:paraId="54B58022" w14:textId="14C2EFE1"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253 468 511</w:t>
            </w:r>
          </w:p>
        </w:tc>
        <w:tc>
          <w:tcPr>
            <w:tcW w:w="756" w:type="pct"/>
            <w:tcBorders>
              <w:top w:val="single" w:sz="4" w:space="0" w:color="17365D"/>
              <w:bottom w:val="single" w:sz="4" w:space="0" w:color="17365D"/>
            </w:tcBorders>
            <w:shd w:val="clear" w:color="auto" w:fill="auto"/>
            <w:noWrap/>
            <w:vAlign w:val="center"/>
          </w:tcPr>
          <w:p w14:paraId="52017BA1" w14:textId="664941AD"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5 374 063</w:t>
            </w:r>
          </w:p>
        </w:tc>
        <w:tc>
          <w:tcPr>
            <w:tcW w:w="681" w:type="pct"/>
            <w:tcBorders>
              <w:top w:val="single" w:sz="4" w:space="0" w:color="17365D"/>
              <w:bottom w:val="single" w:sz="4" w:space="0" w:color="17365D"/>
            </w:tcBorders>
            <w:shd w:val="clear" w:color="auto" w:fill="auto"/>
            <w:noWrap/>
            <w:vAlign w:val="center"/>
          </w:tcPr>
          <w:p w14:paraId="1DF0C32E" w14:textId="22C247D2"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2.12</w:t>
            </w:r>
          </w:p>
        </w:tc>
      </w:tr>
      <w:tr w:rsidR="00CA3AF0" w:rsidRPr="00A27896" w14:paraId="30A9D281" w14:textId="77777777" w:rsidTr="00CA3AF0">
        <w:trPr>
          <w:trHeight w:val="408"/>
        </w:trPr>
        <w:tc>
          <w:tcPr>
            <w:tcW w:w="1453" w:type="pct"/>
            <w:tcBorders>
              <w:top w:val="single" w:sz="4" w:space="0" w:color="17365D"/>
              <w:bottom w:val="single" w:sz="4" w:space="0" w:color="17365D"/>
            </w:tcBorders>
            <w:shd w:val="clear" w:color="auto" w:fill="auto"/>
            <w:vAlign w:val="center"/>
          </w:tcPr>
          <w:p w14:paraId="1B5D381C" w14:textId="734279FE" w:rsidR="00CA3AF0" w:rsidRPr="00A27896" w:rsidRDefault="00CA3AF0" w:rsidP="00CA3AF0">
            <w:pPr>
              <w:spacing w:after="0" w:line="240" w:lineRule="auto"/>
              <w:rPr>
                <w:rFonts w:cs="Times New Roman"/>
                <w:color w:val="17365D"/>
                <w:sz w:val="18"/>
                <w:szCs w:val="18"/>
              </w:rPr>
            </w:pPr>
            <w:r w:rsidRPr="00A27896">
              <w:rPr>
                <w:rFonts w:cs="Times New Roman"/>
                <w:color w:val="17365D"/>
                <w:sz w:val="18"/>
                <w:szCs w:val="18"/>
              </w:rPr>
              <w:t>Ilgtermiņa ieguldījumi nomātajos pamatlīdzekļos</w:t>
            </w:r>
          </w:p>
        </w:tc>
        <w:tc>
          <w:tcPr>
            <w:tcW w:w="520" w:type="pct"/>
            <w:tcBorders>
              <w:top w:val="single" w:sz="4" w:space="0" w:color="17365D"/>
              <w:bottom w:val="single" w:sz="4" w:space="0" w:color="17365D"/>
            </w:tcBorders>
            <w:shd w:val="clear" w:color="auto" w:fill="auto"/>
            <w:noWrap/>
            <w:vAlign w:val="center"/>
          </w:tcPr>
          <w:p w14:paraId="623E4032" w14:textId="7F78C7DC" w:rsidR="00CA3AF0" w:rsidRPr="00A27896" w:rsidRDefault="00CA3AF0" w:rsidP="00CA3AF0">
            <w:pPr>
              <w:spacing w:after="0" w:line="240" w:lineRule="auto"/>
              <w:jc w:val="right"/>
              <w:rPr>
                <w:rFonts w:cs="Times New Roman"/>
                <w:color w:val="17365D"/>
                <w:sz w:val="18"/>
                <w:szCs w:val="18"/>
              </w:rPr>
            </w:pPr>
          </w:p>
        </w:tc>
        <w:tc>
          <w:tcPr>
            <w:tcW w:w="795" w:type="pct"/>
            <w:tcBorders>
              <w:top w:val="single" w:sz="4" w:space="0" w:color="17365D"/>
              <w:bottom w:val="single" w:sz="4" w:space="0" w:color="17365D"/>
            </w:tcBorders>
            <w:shd w:val="clear" w:color="auto" w:fill="auto"/>
            <w:vAlign w:val="center"/>
          </w:tcPr>
          <w:p w14:paraId="09319695" w14:textId="054C7FBC"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8 013 872</w:t>
            </w:r>
          </w:p>
        </w:tc>
        <w:tc>
          <w:tcPr>
            <w:tcW w:w="795" w:type="pct"/>
            <w:gridSpan w:val="2"/>
            <w:tcBorders>
              <w:top w:val="single" w:sz="4" w:space="0" w:color="17365D"/>
              <w:bottom w:val="single" w:sz="4" w:space="0" w:color="17365D"/>
            </w:tcBorders>
            <w:shd w:val="clear" w:color="auto" w:fill="auto"/>
            <w:vAlign w:val="center"/>
          </w:tcPr>
          <w:p w14:paraId="4E6A927E" w14:textId="70B357C9"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8 668 105</w:t>
            </w:r>
          </w:p>
        </w:tc>
        <w:tc>
          <w:tcPr>
            <w:tcW w:w="756" w:type="pct"/>
            <w:tcBorders>
              <w:top w:val="single" w:sz="4" w:space="0" w:color="17365D"/>
              <w:bottom w:val="single" w:sz="4" w:space="0" w:color="17365D"/>
            </w:tcBorders>
            <w:shd w:val="clear" w:color="auto" w:fill="auto"/>
            <w:noWrap/>
            <w:vAlign w:val="center"/>
          </w:tcPr>
          <w:p w14:paraId="6982C6BC" w14:textId="2AE00B6D"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-654 233</w:t>
            </w:r>
          </w:p>
        </w:tc>
        <w:tc>
          <w:tcPr>
            <w:tcW w:w="681" w:type="pct"/>
            <w:tcBorders>
              <w:top w:val="single" w:sz="4" w:space="0" w:color="17365D"/>
              <w:bottom w:val="single" w:sz="4" w:space="0" w:color="17365D"/>
            </w:tcBorders>
            <w:shd w:val="clear" w:color="auto" w:fill="auto"/>
            <w:noWrap/>
            <w:vAlign w:val="center"/>
          </w:tcPr>
          <w:p w14:paraId="590F07C4" w14:textId="0C4FA330"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-7.55</w:t>
            </w:r>
          </w:p>
        </w:tc>
      </w:tr>
      <w:tr w:rsidR="00CA3AF0" w:rsidRPr="00A27896" w14:paraId="2D63EB94" w14:textId="77777777" w:rsidTr="00CA3AF0">
        <w:trPr>
          <w:trHeight w:val="408"/>
        </w:trPr>
        <w:tc>
          <w:tcPr>
            <w:tcW w:w="1453" w:type="pct"/>
            <w:tcBorders>
              <w:top w:val="single" w:sz="4" w:space="0" w:color="17365D"/>
              <w:bottom w:val="single" w:sz="4" w:space="0" w:color="17365D"/>
            </w:tcBorders>
            <w:shd w:val="clear" w:color="auto" w:fill="auto"/>
            <w:vAlign w:val="center"/>
          </w:tcPr>
          <w:p w14:paraId="7DFD72B4" w14:textId="7336B69C" w:rsidR="00CA3AF0" w:rsidRPr="00A27896" w:rsidRDefault="00CA3AF0" w:rsidP="00CA3AF0">
            <w:pPr>
              <w:spacing w:after="0" w:line="240" w:lineRule="auto"/>
              <w:rPr>
                <w:rFonts w:cs="Times New Roman"/>
                <w:color w:val="17365D"/>
                <w:sz w:val="18"/>
                <w:szCs w:val="18"/>
              </w:rPr>
            </w:pPr>
            <w:r w:rsidRPr="00A27896">
              <w:rPr>
                <w:rFonts w:cs="Times New Roman"/>
                <w:color w:val="17365D"/>
                <w:sz w:val="18"/>
                <w:szCs w:val="18"/>
              </w:rPr>
              <w:t>Avansa maksājumi par pamatlīdzekļiem</w:t>
            </w:r>
          </w:p>
        </w:tc>
        <w:tc>
          <w:tcPr>
            <w:tcW w:w="520" w:type="pct"/>
            <w:tcBorders>
              <w:top w:val="single" w:sz="4" w:space="0" w:color="17365D"/>
              <w:bottom w:val="single" w:sz="4" w:space="0" w:color="17365D"/>
            </w:tcBorders>
            <w:shd w:val="clear" w:color="auto" w:fill="auto"/>
            <w:noWrap/>
            <w:vAlign w:val="center"/>
          </w:tcPr>
          <w:p w14:paraId="7F266D68" w14:textId="28997B79" w:rsidR="00CA3AF0" w:rsidRPr="00A27896" w:rsidRDefault="00CA3AF0" w:rsidP="00CA3AF0">
            <w:pPr>
              <w:spacing w:after="0" w:line="240" w:lineRule="auto"/>
              <w:jc w:val="right"/>
              <w:rPr>
                <w:rFonts w:cs="Times New Roman"/>
                <w:color w:val="17365D"/>
                <w:sz w:val="18"/>
                <w:szCs w:val="18"/>
              </w:rPr>
            </w:pPr>
          </w:p>
        </w:tc>
        <w:tc>
          <w:tcPr>
            <w:tcW w:w="795" w:type="pct"/>
            <w:tcBorders>
              <w:top w:val="single" w:sz="4" w:space="0" w:color="17365D"/>
              <w:bottom w:val="single" w:sz="4" w:space="0" w:color="17365D"/>
            </w:tcBorders>
            <w:shd w:val="clear" w:color="auto" w:fill="auto"/>
            <w:vAlign w:val="center"/>
          </w:tcPr>
          <w:p w14:paraId="00401F1A" w14:textId="0448984B"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298 027 377</w:t>
            </w:r>
          </w:p>
        </w:tc>
        <w:tc>
          <w:tcPr>
            <w:tcW w:w="795" w:type="pct"/>
            <w:gridSpan w:val="2"/>
            <w:tcBorders>
              <w:top w:val="single" w:sz="4" w:space="0" w:color="17365D"/>
              <w:bottom w:val="single" w:sz="4" w:space="0" w:color="17365D"/>
            </w:tcBorders>
            <w:shd w:val="clear" w:color="auto" w:fill="auto"/>
            <w:vAlign w:val="center"/>
          </w:tcPr>
          <w:p w14:paraId="36F5E6B6" w14:textId="5F80DE0E"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235 466 603</w:t>
            </w:r>
          </w:p>
        </w:tc>
        <w:tc>
          <w:tcPr>
            <w:tcW w:w="756" w:type="pct"/>
            <w:tcBorders>
              <w:top w:val="single" w:sz="4" w:space="0" w:color="17365D"/>
              <w:bottom w:val="single" w:sz="4" w:space="0" w:color="17365D"/>
            </w:tcBorders>
            <w:shd w:val="clear" w:color="auto" w:fill="auto"/>
            <w:noWrap/>
            <w:vAlign w:val="center"/>
          </w:tcPr>
          <w:p w14:paraId="12A0ABCA" w14:textId="6D9DDFBA"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62 560 774</w:t>
            </w:r>
          </w:p>
        </w:tc>
        <w:tc>
          <w:tcPr>
            <w:tcW w:w="681" w:type="pct"/>
            <w:tcBorders>
              <w:top w:val="single" w:sz="4" w:space="0" w:color="17365D"/>
              <w:bottom w:val="single" w:sz="4" w:space="0" w:color="17365D"/>
            </w:tcBorders>
            <w:shd w:val="clear" w:color="auto" w:fill="auto"/>
            <w:noWrap/>
            <w:vAlign w:val="center"/>
          </w:tcPr>
          <w:p w14:paraId="38EB13D0" w14:textId="0844A83C" w:rsidR="00CA3AF0" w:rsidRPr="00A27896" w:rsidRDefault="00CA3AF0" w:rsidP="00CA3AF0">
            <w:pPr>
              <w:spacing w:after="0" w:line="240" w:lineRule="auto"/>
              <w:jc w:val="right"/>
              <w:rPr>
                <w:rFonts w:cs="Times New Roman"/>
                <w:color w:val="17365D"/>
                <w:sz w:val="18"/>
                <w:szCs w:val="18"/>
              </w:rPr>
            </w:pPr>
            <w:r w:rsidRPr="00A27896">
              <w:rPr>
                <w:rFonts w:cs="Times New Roman"/>
                <w:color w:val="17365D"/>
                <w:sz w:val="18"/>
                <w:szCs w:val="18"/>
              </w:rPr>
              <w:t>26.57</w:t>
            </w:r>
          </w:p>
        </w:tc>
      </w:tr>
      <w:tr w:rsidR="000C1009" w:rsidRPr="00A27896" w14:paraId="27816B8D" w14:textId="77777777" w:rsidTr="009E3F87">
        <w:trPr>
          <w:trHeight w:val="202"/>
        </w:trPr>
        <w:tc>
          <w:tcPr>
            <w:tcW w:w="1453" w:type="pct"/>
            <w:tcBorders>
              <w:top w:val="single" w:sz="4" w:space="0" w:color="17365D"/>
            </w:tcBorders>
            <w:shd w:val="clear" w:color="auto" w:fill="B9CDE5"/>
            <w:vAlign w:val="center"/>
          </w:tcPr>
          <w:p w14:paraId="751E093E" w14:textId="77777777" w:rsidR="00A3314A" w:rsidRPr="00A27896" w:rsidRDefault="00A3314A" w:rsidP="00A3314A">
            <w:pPr>
              <w:spacing w:after="0"/>
              <w:rPr>
                <w:rFonts w:eastAsia="Times New Roman" w:cs="Times New Roman"/>
                <w:color w:val="17365D"/>
                <w:sz w:val="18"/>
                <w:szCs w:val="18"/>
                <w:lang w:eastAsia="lv-LV"/>
              </w:rPr>
            </w:pPr>
          </w:p>
        </w:tc>
        <w:tc>
          <w:tcPr>
            <w:tcW w:w="520" w:type="pct"/>
            <w:tcBorders>
              <w:top w:val="single" w:sz="4" w:space="0" w:color="17365D"/>
            </w:tcBorders>
            <w:shd w:val="clear" w:color="auto" w:fill="B9CDE5"/>
            <w:noWrap/>
            <w:vAlign w:val="center"/>
          </w:tcPr>
          <w:p w14:paraId="1C557906" w14:textId="77777777" w:rsidR="00A3314A" w:rsidRPr="00A27896" w:rsidRDefault="00A3314A" w:rsidP="00A3314A">
            <w:pPr>
              <w:spacing w:after="0"/>
              <w:jc w:val="center"/>
              <w:rPr>
                <w:rFonts w:eastAsia="Times New Roman" w:cs="Times New Roman"/>
                <w:color w:val="17365D"/>
                <w:sz w:val="18"/>
                <w:szCs w:val="18"/>
                <w:lang w:eastAsia="lv-LV"/>
              </w:rPr>
            </w:pPr>
          </w:p>
        </w:tc>
        <w:tc>
          <w:tcPr>
            <w:tcW w:w="795" w:type="pct"/>
            <w:tcBorders>
              <w:top w:val="single" w:sz="4" w:space="0" w:color="17365D"/>
            </w:tcBorders>
            <w:shd w:val="clear" w:color="auto" w:fill="B9CDE5"/>
            <w:noWrap/>
            <w:vAlign w:val="center"/>
          </w:tcPr>
          <w:p w14:paraId="1610AB6E" w14:textId="77777777" w:rsidR="00A3314A" w:rsidRPr="00A27896" w:rsidRDefault="00A3314A" w:rsidP="00A3314A">
            <w:pPr>
              <w:spacing w:after="0"/>
              <w:jc w:val="right"/>
              <w:rPr>
                <w:rFonts w:eastAsia="Times New Roman" w:cs="Times New Roman"/>
                <w:color w:val="17365D"/>
                <w:sz w:val="18"/>
                <w:szCs w:val="18"/>
                <w:lang w:eastAsia="lv-LV"/>
              </w:rPr>
            </w:pPr>
          </w:p>
        </w:tc>
        <w:tc>
          <w:tcPr>
            <w:tcW w:w="784" w:type="pct"/>
            <w:tcBorders>
              <w:top w:val="single" w:sz="4" w:space="0" w:color="17365D"/>
            </w:tcBorders>
            <w:shd w:val="clear" w:color="auto" w:fill="B9CDE5"/>
            <w:noWrap/>
            <w:vAlign w:val="center"/>
          </w:tcPr>
          <w:p w14:paraId="188D630B" w14:textId="77777777" w:rsidR="00A3314A" w:rsidRPr="00A27896" w:rsidRDefault="00A3314A" w:rsidP="00A3314A">
            <w:pPr>
              <w:spacing w:after="0"/>
              <w:jc w:val="right"/>
              <w:rPr>
                <w:rFonts w:eastAsia="Times New Roman" w:cs="Times New Roman"/>
                <w:color w:val="17365D"/>
                <w:sz w:val="18"/>
                <w:szCs w:val="18"/>
                <w:lang w:eastAsia="lv-LV"/>
              </w:rPr>
            </w:pPr>
          </w:p>
        </w:tc>
        <w:tc>
          <w:tcPr>
            <w:tcW w:w="767" w:type="pct"/>
            <w:gridSpan w:val="2"/>
            <w:tcBorders>
              <w:top w:val="single" w:sz="4" w:space="0" w:color="17365D"/>
            </w:tcBorders>
            <w:shd w:val="clear" w:color="auto" w:fill="B9CDE5"/>
            <w:noWrap/>
            <w:vAlign w:val="center"/>
          </w:tcPr>
          <w:p w14:paraId="031D6CCC" w14:textId="77777777" w:rsidR="00A3314A" w:rsidRPr="00A27896" w:rsidRDefault="00A3314A" w:rsidP="00A3314A">
            <w:pPr>
              <w:spacing w:after="0"/>
              <w:jc w:val="right"/>
              <w:rPr>
                <w:rFonts w:eastAsia="Times New Roman" w:cs="Times New Roman"/>
                <w:color w:val="17365D"/>
                <w:sz w:val="18"/>
                <w:szCs w:val="18"/>
                <w:lang w:eastAsia="lv-LV"/>
              </w:rPr>
            </w:pPr>
          </w:p>
        </w:tc>
        <w:tc>
          <w:tcPr>
            <w:tcW w:w="681" w:type="pct"/>
            <w:tcBorders>
              <w:top w:val="single" w:sz="4" w:space="0" w:color="17365D"/>
            </w:tcBorders>
            <w:shd w:val="clear" w:color="auto" w:fill="B9CDE5"/>
            <w:noWrap/>
            <w:vAlign w:val="center"/>
          </w:tcPr>
          <w:p w14:paraId="1AE392BF" w14:textId="77777777" w:rsidR="00A3314A" w:rsidRPr="00A27896" w:rsidRDefault="00A3314A" w:rsidP="00A3314A">
            <w:pPr>
              <w:spacing w:after="0"/>
              <w:jc w:val="right"/>
              <w:rPr>
                <w:rFonts w:eastAsia="Times New Roman" w:cs="Times New Roman"/>
                <w:color w:val="17365D"/>
                <w:sz w:val="18"/>
                <w:szCs w:val="18"/>
                <w:lang w:eastAsia="lv-LV"/>
              </w:rPr>
            </w:pPr>
          </w:p>
        </w:tc>
      </w:tr>
    </w:tbl>
    <w:p w14:paraId="04185719" w14:textId="69248949" w:rsidR="004E3537" w:rsidRPr="00A27896" w:rsidRDefault="00A07F6B" w:rsidP="00514C3E">
      <w:pPr>
        <w:pStyle w:val="Heading5"/>
        <w:rPr>
          <w:rFonts w:cs="Times New Roman"/>
        </w:rPr>
      </w:pPr>
      <w:r w:rsidRPr="00A27896">
        <w:rPr>
          <w:rFonts w:cs="Times New Roman"/>
        </w:rPr>
        <w:t>Piezīme Nr. KB.</w:t>
      </w:r>
      <w:r w:rsidR="00EE7A9E" w:rsidRPr="00A27896">
        <w:rPr>
          <w:rFonts w:cs="Times New Roman"/>
        </w:rPr>
        <w:t>1.</w:t>
      </w:r>
      <w:r w:rsidRPr="00A27896">
        <w:rPr>
          <w:rFonts w:cs="Times New Roman"/>
        </w:rPr>
        <w:t>2.</w:t>
      </w:r>
      <w:r w:rsidR="00F60FD9" w:rsidRPr="00A27896" w:rsidDel="007D63EC">
        <w:rPr>
          <w:rFonts w:cs="Times New Roman"/>
        </w:rPr>
        <w:t>1</w:t>
      </w:r>
      <w:r w:rsidRPr="00A27896">
        <w:rPr>
          <w:rFonts w:cs="Times New Roman"/>
        </w:rPr>
        <w:t xml:space="preserve">. </w:t>
      </w:r>
      <w:r w:rsidR="004E3537" w:rsidRPr="00A27896">
        <w:rPr>
          <w:rFonts w:cs="Times New Roman"/>
        </w:rPr>
        <w:t>Pamatlīdzekļu izveidošana un nepabeigtā būvniecība</w:t>
      </w:r>
      <w:r w:rsidR="007D63EC" w:rsidRPr="00A27896" w:rsidDel="007D63EC">
        <w:rPr>
          <w:rFonts w:cs="Times New Roman"/>
        </w:rPr>
        <w:t xml:space="preserve"> </w:t>
      </w:r>
    </w:p>
    <w:p w14:paraId="5A59DD45" w14:textId="43BA3D87" w:rsidR="00BE653B" w:rsidRPr="00A27896" w:rsidRDefault="00090D7E" w:rsidP="00BE653B">
      <w:pPr>
        <w:spacing w:after="120" w:line="240" w:lineRule="auto"/>
        <w:ind w:firstLine="284"/>
        <w:jc w:val="both"/>
        <w:rPr>
          <w:rFonts w:cs="Times New Roman"/>
          <w:color w:val="17365D"/>
        </w:rPr>
      </w:pPr>
      <w:r w:rsidRPr="00A27896">
        <w:rPr>
          <w:rFonts w:cs="Times New Roman"/>
          <w:color w:val="17365D"/>
        </w:rPr>
        <w:t xml:space="preserve">Lielākās izmaiņas </w:t>
      </w:r>
      <w:r w:rsidR="00B7000B" w:rsidRPr="00A27896">
        <w:rPr>
          <w:rFonts w:cs="Times New Roman"/>
          <w:color w:val="17365D"/>
        </w:rPr>
        <w:t xml:space="preserve">posteņa vērtībā </w:t>
      </w:r>
      <w:r w:rsidRPr="00A27896">
        <w:rPr>
          <w:rFonts w:cs="Times New Roman"/>
          <w:color w:val="17365D"/>
        </w:rPr>
        <w:t xml:space="preserve">bijušas </w:t>
      </w:r>
      <w:r w:rsidR="00172E90" w:rsidRPr="00A27896">
        <w:rPr>
          <w:rFonts w:cs="Times New Roman"/>
          <w:color w:val="17365D"/>
        </w:rPr>
        <w:t>Satiksmes ministrijai</w:t>
      </w:r>
      <w:r w:rsidR="00A435B3" w:rsidRPr="00A27896">
        <w:rPr>
          <w:rFonts w:cs="Times New Roman"/>
          <w:color w:val="17365D"/>
        </w:rPr>
        <w:t xml:space="preserve"> </w:t>
      </w:r>
      <w:r w:rsidR="009B2FBA" w:rsidRPr="00A27896">
        <w:rPr>
          <w:rFonts w:cs="Times New Roman"/>
          <w:color w:val="17365D"/>
        </w:rPr>
        <w:t xml:space="preserve">par </w:t>
      </w:r>
      <w:r w:rsidR="00611BFB" w:rsidRPr="00A27896">
        <w:rPr>
          <w:rFonts w:cs="Times New Roman"/>
          <w:color w:val="17365D"/>
        </w:rPr>
        <w:t xml:space="preserve">Rail </w:t>
      </w:r>
      <w:proofErr w:type="spellStart"/>
      <w:r w:rsidR="00611BFB" w:rsidRPr="00A27896">
        <w:rPr>
          <w:rFonts w:cs="Times New Roman"/>
          <w:color w:val="17365D"/>
        </w:rPr>
        <w:t>Baltica</w:t>
      </w:r>
      <w:proofErr w:type="spellEnd"/>
      <w:r w:rsidR="00611BFB" w:rsidRPr="00A27896">
        <w:rPr>
          <w:rFonts w:cs="Times New Roman"/>
          <w:color w:val="17365D"/>
        </w:rPr>
        <w:t xml:space="preserve"> projekta īstenošanas būvdarbiem</w:t>
      </w:r>
      <w:r w:rsidR="00611BFB" w:rsidRPr="00A27896" w:rsidDel="00611BFB">
        <w:rPr>
          <w:rFonts w:cs="Times New Roman"/>
          <w:color w:val="17365D"/>
        </w:rPr>
        <w:t xml:space="preserve"> </w:t>
      </w:r>
      <w:r w:rsidR="00C7439D" w:rsidRPr="00A27896">
        <w:rPr>
          <w:rFonts w:cs="Times New Roman"/>
          <w:color w:val="17365D"/>
        </w:rPr>
        <w:t xml:space="preserve">un Ķekavas apvedceļa būvniecību 92 951 489 </w:t>
      </w:r>
      <w:proofErr w:type="spellStart"/>
      <w:r w:rsidR="00A435B3" w:rsidRPr="00A27896">
        <w:rPr>
          <w:rFonts w:cs="Times New Roman"/>
          <w:i/>
          <w:color w:val="17365D"/>
        </w:rPr>
        <w:t>euro</w:t>
      </w:r>
      <w:proofErr w:type="spellEnd"/>
      <w:r w:rsidR="00A435B3" w:rsidRPr="00A27896">
        <w:rPr>
          <w:rFonts w:cs="Times New Roman"/>
          <w:color w:val="17365D"/>
        </w:rPr>
        <w:t xml:space="preserve"> vērtībā</w:t>
      </w:r>
      <w:r w:rsidR="00DC3871" w:rsidRPr="00A27896">
        <w:rPr>
          <w:rFonts w:cs="Times New Roman"/>
          <w:color w:val="17365D"/>
        </w:rPr>
        <w:t xml:space="preserve">. </w:t>
      </w:r>
      <w:r w:rsidR="00C7439D" w:rsidRPr="00A27896">
        <w:rPr>
          <w:rFonts w:cs="Times New Roman"/>
          <w:color w:val="17365D"/>
        </w:rPr>
        <w:t>Aizsardzības ministrijai palielinājums saistīts ar veikto samaksu par pamatlīdzekļu izveidošanu un nepabeigtās būvniecības pakalpojumiem</w:t>
      </w:r>
      <w:r w:rsidR="00C7439D" w:rsidRPr="00A27896" w:rsidDel="00C7439D">
        <w:rPr>
          <w:rFonts w:cs="Times New Roman"/>
          <w:color w:val="17365D"/>
        </w:rPr>
        <w:t xml:space="preserve"> </w:t>
      </w:r>
      <w:r w:rsidR="00C7439D" w:rsidRPr="00A27896">
        <w:rPr>
          <w:rFonts w:cs="Times New Roman"/>
          <w:color w:val="17365D"/>
        </w:rPr>
        <w:t>30 378 500</w:t>
      </w:r>
      <w:r w:rsidR="00C7439D" w:rsidRPr="00A27896" w:rsidDel="00C7439D">
        <w:rPr>
          <w:rFonts w:cs="Times New Roman"/>
          <w:color w:val="17365D"/>
        </w:rPr>
        <w:t xml:space="preserve"> </w:t>
      </w:r>
      <w:proofErr w:type="spellStart"/>
      <w:r w:rsidR="00DC3871" w:rsidRPr="00A27896">
        <w:rPr>
          <w:rFonts w:cs="Times New Roman"/>
          <w:i/>
          <w:color w:val="17365D"/>
        </w:rPr>
        <w:t>euro</w:t>
      </w:r>
      <w:proofErr w:type="spellEnd"/>
      <w:r w:rsidR="00DC3871" w:rsidRPr="00A27896">
        <w:rPr>
          <w:rFonts w:cs="Times New Roman"/>
          <w:i/>
          <w:color w:val="17365D"/>
        </w:rPr>
        <w:t xml:space="preserve"> </w:t>
      </w:r>
      <w:r w:rsidR="00DC3871" w:rsidRPr="00A27896">
        <w:rPr>
          <w:rFonts w:cs="Times New Roman"/>
          <w:color w:val="17365D"/>
        </w:rPr>
        <w:t>vērtībā</w:t>
      </w:r>
      <w:r w:rsidR="00A435B3" w:rsidRPr="00A27896">
        <w:rPr>
          <w:rFonts w:cs="Times New Roman"/>
          <w:color w:val="17365D"/>
        </w:rPr>
        <w:t>.</w:t>
      </w:r>
      <w:r w:rsidR="00621710" w:rsidRPr="00A27896">
        <w:rPr>
          <w:rFonts w:cs="Times New Roman"/>
          <w:color w:val="17365D"/>
        </w:rPr>
        <w:t xml:space="preserve"> </w:t>
      </w:r>
    </w:p>
    <w:p w14:paraId="7685440B" w14:textId="3A009AFB" w:rsidR="000027A4" w:rsidRPr="00A27896" w:rsidRDefault="000027A4" w:rsidP="00BE653B">
      <w:pPr>
        <w:spacing w:after="120" w:line="240" w:lineRule="auto"/>
        <w:ind w:firstLine="284"/>
        <w:jc w:val="both"/>
        <w:rPr>
          <w:rFonts w:cs="Times New Roman"/>
          <w:color w:val="17365D"/>
        </w:rPr>
      </w:pPr>
      <w:r w:rsidRPr="00A27896">
        <w:rPr>
          <w:rFonts w:cs="Times New Roman"/>
          <w:color w:val="17365D"/>
        </w:rPr>
        <w:t xml:space="preserve">No pašvaldībām lielākais palielinājums </w:t>
      </w:r>
      <w:r w:rsidR="00B7000B" w:rsidRPr="00A27896">
        <w:rPr>
          <w:rFonts w:cs="Times New Roman"/>
          <w:color w:val="17365D"/>
        </w:rPr>
        <w:t xml:space="preserve">postenī </w:t>
      </w:r>
      <w:r w:rsidRPr="00A27896">
        <w:rPr>
          <w:rFonts w:cs="Times New Roman"/>
          <w:color w:val="17365D"/>
        </w:rPr>
        <w:t xml:space="preserve">veidojies </w:t>
      </w:r>
      <w:r w:rsidR="00C7439D" w:rsidRPr="00A27896">
        <w:rPr>
          <w:rFonts w:cs="Times New Roman"/>
          <w:color w:val="17365D"/>
        </w:rPr>
        <w:t xml:space="preserve">Rīgas </w:t>
      </w:r>
      <w:proofErr w:type="spellStart"/>
      <w:r w:rsidR="00C7439D" w:rsidRPr="00A27896">
        <w:rPr>
          <w:rFonts w:cs="Times New Roman"/>
          <w:color w:val="17365D"/>
        </w:rPr>
        <w:t>valstspilsētai</w:t>
      </w:r>
      <w:proofErr w:type="spellEnd"/>
      <w:r w:rsidR="00C7439D" w:rsidRPr="00A27896">
        <w:rPr>
          <w:rFonts w:cs="Times New Roman"/>
          <w:color w:val="17365D"/>
        </w:rPr>
        <w:t xml:space="preserve"> par Austrumu maģistrāles posma izbūvi no Ieriķu ielas līdz Vietalvas ielai 38 531 532</w:t>
      </w:r>
      <w:r w:rsidR="00C7439D" w:rsidRPr="00A27896">
        <w:rPr>
          <w:rFonts w:cs="Times New Roman"/>
          <w:i/>
          <w:color w:val="17365D"/>
        </w:rPr>
        <w:t xml:space="preserve"> </w:t>
      </w:r>
      <w:proofErr w:type="spellStart"/>
      <w:r w:rsidR="00C7439D" w:rsidRPr="00A27896">
        <w:rPr>
          <w:rFonts w:cs="Times New Roman"/>
          <w:i/>
          <w:color w:val="17365D"/>
        </w:rPr>
        <w:t>euro</w:t>
      </w:r>
      <w:proofErr w:type="spellEnd"/>
      <w:r w:rsidR="00C7439D" w:rsidRPr="00A27896">
        <w:rPr>
          <w:rFonts w:cs="Times New Roman"/>
          <w:i/>
          <w:color w:val="17365D"/>
        </w:rPr>
        <w:t xml:space="preserve"> </w:t>
      </w:r>
      <w:r w:rsidR="00C7439D" w:rsidRPr="00A27896">
        <w:rPr>
          <w:rFonts w:cs="Times New Roman"/>
          <w:color w:val="17365D"/>
        </w:rPr>
        <w:t>vērtībā un Ogres novadam saistībā ar skolas ēkas būvniecību ES projekta “Uzlabot vispārējās izglītības iestāžu mācību vidi Ogres novadā” ietvaros 20</w:t>
      </w:r>
      <w:r w:rsidR="00EC4A68">
        <w:rPr>
          <w:rFonts w:cs="Times New Roman"/>
          <w:color w:val="17365D"/>
        </w:rPr>
        <w:t> </w:t>
      </w:r>
      <w:r w:rsidR="00C7439D" w:rsidRPr="00A27896">
        <w:rPr>
          <w:rFonts w:cs="Times New Roman"/>
          <w:color w:val="17365D"/>
        </w:rPr>
        <w:t>673</w:t>
      </w:r>
      <w:r w:rsidR="00EC4A68">
        <w:rPr>
          <w:rFonts w:cs="Times New Roman"/>
          <w:color w:val="17365D"/>
        </w:rPr>
        <w:t> </w:t>
      </w:r>
      <w:r w:rsidR="00C7439D" w:rsidRPr="00A27896">
        <w:rPr>
          <w:rFonts w:cs="Times New Roman"/>
          <w:color w:val="17365D"/>
        </w:rPr>
        <w:t>326</w:t>
      </w:r>
      <w:r w:rsidR="00C7439D" w:rsidRPr="00A27896">
        <w:rPr>
          <w:rFonts w:cs="Times New Roman"/>
          <w:i/>
          <w:color w:val="17365D"/>
        </w:rPr>
        <w:t xml:space="preserve"> </w:t>
      </w:r>
      <w:proofErr w:type="spellStart"/>
      <w:r w:rsidR="00C7439D" w:rsidRPr="00A27896">
        <w:rPr>
          <w:rFonts w:cs="Times New Roman"/>
          <w:i/>
          <w:color w:val="17365D"/>
        </w:rPr>
        <w:t>euro</w:t>
      </w:r>
      <w:proofErr w:type="spellEnd"/>
      <w:r w:rsidR="00C7439D" w:rsidRPr="00A27896">
        <w:rPr>
          <w:rFonts w:cs="Times New Roman"/>
          <w:i/>
          <w:color w:val="17365D"/>
        </w:rPr>
        <w:t xml:space="preserve"> </w:t>
      </w:r>
      <w:r w:rsidR="00C7439D" w:rsidRPr="00A27896">
        <w:rPr>
          <w:rFonts w:cs="Times New Roman"/>
          <w:color w:val="17365D"/>
        </w:rPr>
        <w:t>vērtībā</w:t>
      </w:r>
      <w:r w:rsidR="005E177D" w:rsidRPr="00A27896">
        <w:rPr>
          <w:rFonts w:cs="Times New Roman"/>
          <w:color w:val="17365D"/>
        </w:rPr>
        <w:t xml:space="preserve">. Lielākais samazinājums veidojies </w:t>
      </w:r>
      <w:r w:rsidR="00C7439D" w:rsidRPr="00A27896">
        <w:rPr>
          <w:rFonts w:cs="Times New Roman"/>
          <w:color w:val="17365D"/>
        </w:rPr>
        <w:t xml:space="preserve">Valmieras novadam par ekspluatācijā nodotu stadiona izbūvi </w:t>
      </w:r>
      <w:r w:rsidR="005E177D" w:rsidRPr="00A27896">
        <w:rPr>
          <w:rFonts w:cs="Times New Roman"/>
          <w:color w:val="17365D"/>
        </w:rPr>
        <w:t>(</w:t>
      </w:r>
      <w:r w:rsidR="00C7439D" w:rsidRPr="00A27896">
        <w:rPr>
          <w:rFonts w:cs="Times New Roman"/>
          <w:color w:val="17365D"/>
        </w:rPr>
        <w:t>20 336 915</w:t>
      </w:r>
      <w:r w:rsidR="005E177D" w:rsidRPr="00A27896">
        <w:rPr>
          <w:rFonts w:cs="Times New Roman"/>
          <w:color w:val="17365D"/>
        </w:rPr>
        <w:t xml:space="preserve">) </w:t>
      </w:r>
      <w:proofErr w:type="spellStart"/>
      <w:r w:rsidR="005E177D" w:rsidRPr="00A27896">
        <w:rPr>
          <w:rFonts w:cs="Times New Roman"/>
          <w:i/>
          <w:color w:val="17365D"/>
        </w:rPr>
        <w:t>euro</w:t>
      </w:r>
      <w:proofErr w:type="spellEnd"/>
      <w:r w:rsidR="005E177D" w:rsidRPr="00A27896">
        <w:rPr>
          <w:rFonts w:cs="Times New Roman"/>
          <w:i/>
          <w:color w:val="17365D"/>
        </w:rPr>
        <w:t xml:space="preserve"> </w:t>
      </w:r>
      <w:r w:rsidR="005E177D" w:rsidRPr="00A27896">
        <w:rPr>
          <w:rFonts w:cs="Times New Roman"/>
          <w:color w:val="17365D"/>
        </w:rPr>
        <w:t>vērtībā.</w:t>
      </w:r>
    </w:p>
    <w:p w14:paraId="34D5FAC9" w14:textId="3012BE26" w:rsidR="00F804EB" w:rsidRPr="00A27896" w:rsidRDefault="00EB6D0B" w:rsidP="00F804EB">
      <w:pPr>
        <w:spacing w:line="240" w:lineRule="auto"/>
        <w:ind w:firstLine="284"/>
        <w:jc w:val="both"/>
        <w:rPr>
          <w:rFonts w:cs="Times New Roman"/>
          <w:color w:val="17365D"/>
        </w:rPr>
      </w:pPr>
      <w:r w:rsidRPr="00A27896">
        <w:rPr>
          <w:rFonts w:cs="Times New Roman"/>
          <w:color w:val="17365D"/>
        </w:rPr>
        <w:t>Pārskata gadā valsts un pašvaldību īpašum</w:t>
      </w:r>
      <w:r w:rsidR="00D83F1B" w:rsidRPr="00A27896">
        <w:rPr>
          <w:rFonts w:cs="Times New Roman"/>
          <w:color w:val="17365D"/>
        </w:rPr>
        <w:t>os</w:t>
      </w:r>
      <w:r w:rsidRPr="00A27896">
        <w:rPr>
          <w:rFonts w:cs="Times New Roman"/>
          <w:color w:val="17365D"/>
        </w:rPr>
        <w:t xml:space="preserve"> veikti kapitālsabiedrību ieguldījumi, kas nav iekļauti pamatlīdzekļu uzskaites vērtībā:</w:t>
      </w:r>
    </w:p>
    <w:p w14:paraId="4DA1D356" w14:textId="2D69130F" w:rsidR="00F804EB" w:rsidRPr="00A27896" w:rsidRDefault="00031CD6" w:rsidP="00CF79A6">
      <w:pPr>
        <w:pStyle w:val="Tabulasnosaukums1"/>
        <w:spacing w:before="120"/>
        <w:rPr>
          <w:rFonts w:cs="Times New Roman"/>
          <w:i/>
          <w:color w:val="17365D"/>
        </w:rPr>
      </w:pPr>
      <w:r w:rsidRPr="00A27896">
        <w:rPr>
          <w:rFonts w:cs="Times New Roman"/>
          <w:i/>
          <w:color w:val="17365D"/>
        </w:rPr>
        <w:t>4</w:t>
      </w:r>
      <w:r w:rsidR="00CF79A6" w:rsidRPr="00A27896">
        <w:rPr>
          <w:rFonts w:cs="Times New Roman"/>
          <w:i/>
          <w:color w:val="17365D"/>
        </w:rPr>
        <w:t>. tabula.</w:t>
      </w:r>
      <w:r w:rsidR="00CF79A6" w:rsidRPr="00A27896">
        <w:rPr>
          <w:rFonts w:cs="Times New Roman"/>
          <w:i/>
          <w:color w:val="17365D"/>
          <w:lang w:eastAsia="lv-LV"/>
        </w:rPr>
        <w:t xml:space="preserve"> Informācija par kapitālsabiedrību ieguldījumu valsts vai pašvaldības īpašumā </w:t>
      </w:r>
      <w:r w:rsidR="00CF79A6" w:rsidRPr="00A27896">
        <w:rPr>
          <w:rFonts w:eastAsia="Times New Roman" w:cs="Times New Roman"/>
          <w:i/>
          <w:color w:val="17365D"/>
          <w:szCs w:val="20"/>
          <w:lang w:eastAsia="lv-LV"/>
        </w:rPr>
        <w:t>(</w:t>
      </w:r>
      <w:proofErr w:type="spellStart"/>
      <w:r w:rsidR="00CF79A6" w:rsidRPr="00A27896">
        <w:rPr>
          <w:rFonts w:eastAsia="Times New Roman" w:cs="Times New Roman"/>
          <w:i/>
          <w:color w:val="17365D"/>
          <w:szCs w:val="20"/>
          <w:lang w:eastAsia="lv-LV"/>
        </w:rPr>
        <w:t>euro</w:t>
      </w:r>
      <w:proofErr w:type="spellEnd"/>
      <w:r w:rsidR="00CF79A6" w:rsidRPr="00A27896">
        <w:rPr>
          <w:rFonts w:eastAsia="Times New Roman" w:cs="Times New Roman"/>
          <w:i/>
          <w:color w:val="17365D"/>
          <w:szCs w:val="20"/>
          <w:lang w:eastAsia="lv-LV"/>
        </w:rPr>
        <w:t>)</w:t>
      </w:r>
    </w:p>
    <w:tbl>
      <w:tblPr>
        <w:tblW w:w="5000" w:type="pct"/>
        <w:tblBorders>
          <w:insideH w:val="single" w:sz="4" w:space="0" w:color="012169"/>
        </w:tblBorders>
        <w:tblLayout w:type="fixed"/>
        <w:tblLook w:val="04A0" w:firstRow="1" w:lastRow="0" w:firstColumn="1" w:lastColumn="0" w:noHBand="0" w:noVBand="1"/>
      </w:tblPr>
      <w:tblGrid>
        <w:gridCol w:w="2551"/>
        <w:gridCol w:w="1843"/>
        <w:gridCol w:w="1701"/>
        <w:gridCol w:w="1558"/>
        <w:gridCol w:w="1701"/>
      </w:tblGrid>
      <w:tr w:rsidR="003F0D49" w:rsidRPr="00A27896" w14:paraId="1D31E7BF" w14:textId="6FB69681" w:rsidTr="00BC5CE3">
        <w:trPr>
          <w:trHeight w:val="283"/>
          <w:tblHeader/>
        </w:trPr>
        <w:tc>
          <w:tcPr>
            <w:tcW w:w="1364" w:type="pct"/>
            <w:vMerge w:val="restart"/>
            <w:tcBorders>
              <w:top w:val="nil"/>
            </w:tcBorders>
            <w:shd w:val="clear" w:color="auto" w:fill="B9CDE5"/>
            <w:vAlign w:val="center"/>
            <w:hideMark/>
          </w:tcPr>
          <w:p w14:paraId="6E14D756" w14:textId="314B895A" w:rsidR="003F0D49" w:rsidRPr="00A27896" w:rsidRDefault="003F0D49" w:rsidP="006010C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Kontu grupas nosaukums</w:t>
            </w:r>
          </w:p>
        </w:tc>
        <w:tc>
          <w:tcPr>
            <w:tcW w:w="1894" w:type="pct"/>
            <w:gridSpan w:val="2"/>
            <w:tcBorders>
              <w:bottom w:val="single" w:sz="4" w:space="0" w:color="17365D"/>
            </w:tcBorders>
            <w:shd w:val="clear" w:color="auto" w:fill="B9CDE5"/>
            <w:vAlign w:val="center"/>
            <w:hideMark/>
          </w:tcPr>
          <w:p w14:paraId="39369F84" w14:textId="1D04FC1B" w:rsidR="003F0D49" w:rsidRPr="00A27896" w:rsidRDefault="003F0D49" w:rsidP="0039076C">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Kapitālsabiedrības ieguldījums</w:t>
            </w:r>
          </w:p>
        </w:tc>
        <w:tc>
          <w:tcPr>
            <w:tcW w:w="1742" w:type="pct"/>
            <w:gridSpan w:val="2"/>
            <w:tcBorders>
              <w:bottom w:val="single" w:sz="4" w:space="0" w:color="17365D"/>
            </w:tcBorders>
            <w:shd w:val="clear" w:color="auto" w:fill="B9CDE5"/>
            <w:vAlign w:val="center"/>
            <w:hideMark/>
          </w:tcPr>
          <w:p w14:paraId="4AB8D6F6" w14:textId="780748C1" w:rsidR="003F0D49" w:rsidRPr="00A27896" w:rsidRDefault="003F0D49" w:rsidP="0039076C">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Uzskaites vērtība</w:t>
            </w:r>
            <w:r w:rsidRPr="00A27896">
              <w:rPr>
                <w:rFonts w:eastAsia="Times New Roman" w:cs="Times New Roman"/>
                <w:color w:val="17365D"/>
                <w:sz w:val="20"/>
                <w:szCs w:val="20"/>
                <w:lang w:eastAsia="lv-LV"/>
              </w:rPr>
              <w:t xml:space="preserve"> </w:t>
            </w:r>
          </w:p>
        </w:tc>
      </w:tr>
      <w:tr w:rsidR="003F0D49" w:rsidRPr="00A27896" w14:paraId="720C83FE" w14:textId="77777777" w:rsidTr="00BC5CE3">
        <w:trPr>
          <w:trHeight w:val="439"/>
          <w:tblHeader/>
        </w:trPr>
        <w:tc>
          <w:tcPr>
            <w:tcW w:w="1364" w:type="pct"/>
            <w:vMerge/>
            <w:tcBorders>
              <w:bottom w:val="single" w:sz="4" w:space="0" w:color="17365D"/>
            </w:tcBorders>
            <w:shd w:val="clear" w:color="auto" w:fill="B9CDE5"/>
            <w:vAlign w:val="center"/>
          </w:tcPr>
          <w:p w14:paraId="51FA2495" w14:textId="77777777" w:rsidR="003F0D49" w:rsidRPr="00A27896" w:rsidRDefault="003F0D49" w:rsidP="006010C8">
            <w:pPr>
              <w:spacing w:after="0"/>
              <w:jc w:val="center"/>
              <w:rPr>
                <w:rFonts w:eastAsia="Times New Roman" w:cs="Times New Roman"/>
                <w:b/>
                <w:color w:val="17365D"/>
                <w:sz w:val="18"/>
                <w:szCs w:val="18"/>
                <w:lang w:eastAsia="lv-LV"/>
              </w:rPr>
            </w:pPr>
          </w:p>
        </w:tc>
        <w:tc>
          <w:tcPr>
            <w:tcW w:w="985" w:type="pct"/>
            <w:tcBorders>
              <w:top w:val="single" w:sz="4" w:space="0" w:color="17365D"/>
              <w:bottom w:val="single" w:sz="4" w:space="0" w:color="17365D"/>
            </w:tcBorders>
            <w:shd w:val="clear" w:color="auto" w:fill="B9CDE5"/>
            <w:vAlign w:val="center"/>
          </w:tcPr>
          <w:p w14:paraId="045A3935" w14:textId="4CA052A4" w:rsidR="003F0D49" w:rsidRPr="00A27896" w:rsidRDefault="003F0D49">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909" w:type="pct"/>
            <w:tcBorders>
              <w:top w:val="single" w:sz="4" w:space="0" w:color="17365D"/>
              <w:bottom w:val="single" w:sz="4" w:space="0" w:color="17365D"/>
            </w:tcBorders>
            <w:shd w:val="clear" w:color="auto" w:fill="B9CDE5"/>
          </w:tcPr>
          <w:p w14:paraId="2ECCCA70" w14:textId="736AD1F6" w:rsidR="003F0D49" w:rsidRPr="00A27896" w:rsidRDefault="003F0D49" w:rsidP="00B9337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833" w:type="pct"/>
            <w:tcBorders>
              <w:top w:val="single" w:sz="4" w:space="0" w:color="17365D"/>
              <w:bottom w:val="single" w:sz="4" w:space="0" w:color="17365D"/>
            </w:tcBorders>
            <w:shd w:val="clear" w:color="auto" w:fill="B9CDE5"/>
            <w:vAlign w:val="center"/>
          </w:tcPr>
          <w:p w14:paraId="0D400B63" w14:textId="7B824E62" w:rsidR="003F0D49" w:rsidRPr="00A27896" w:rsidRDefault="003F0D49">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909" w:type="pct"/>
            <w:tcBorders>
              <w:top w:val="single" w:sz="4" w:space="0" w:color="17365D"/>
              <w:bottom w:val="single" w:sz="4" w:space="0" w:color="17365D"/>
            </w:tcBorders>
            <w:shd w:val="clear" w:color="auto" w:fill="B9CDE5"/>
            <w:vAlign w:val="center"/>
          </w:tcPr>
          <w:p w14:paraId="6D019DB8" w14:textId="37E088B6" w:rsidR="003F0D49" w:rsidRPr="00A27896" w:rsidRDefault="003F0D49">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r>
      <w:tr w:rsidR="000C1009" w:rsidRPr="00A27896" w14:paraId="3451D441" w14:textId="301B7E33" w:rsidTr="00432761">
        <w:trPr>
          <w:trHeight w:val="223"/>
        </w:trPr>
        <w:tc>
          <w:tcPr>
            <w:tcW w:w="1364" w:type="pct"/>
            <w:tcBorders>
              <w:top w:val="single" w:sz="4" w:space="0" w:color="17365D"/>
              <w:bottom w:val="single" w:sz="4" w:space="0" w:color="17365D"/>
            </w:tcBorders>
            <w:shd w:val="clear" w:color="auto" w:fill="auto"/>
            <w:vAlign w:val="center"/>
            <w:hideMark/>
          </w:tcPr>
          <w:p w14:paraId="1E9455D8" w14:textId="77777777" w:rsidR="00C74879" w:rsidRPr="00A27896" w:rsidRDefault="00C74879" w:rsidP="006010C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985" w:type="pct"/>
            <w:tcBorders>
              <w:top w:val="single" w:sz="4" w:space="0" w:color="17365D"/>
              <w:bottom w:val="single" w:sz="4" w:space="0" w:color="17365D"/>
            </w:tcBorders>
            <w:shd w:val="clear" w:color="auto" w:fill="auto"/>
            <w:vAlign w:val="center"/>
            <w:hideMark/>
          </w:tcPr>
          <w:p w14:paraId="3BADEF93" w14:textId="53492A71" w:rsidR="00C74879" w:rsidRPr="00A27896" w:rsidRDefault="00C74879" w:rsidP="00B9337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909" w:type="pct"/>
            <w:tcBorders>
              <w:top w:val="single" w:sz="4" w:space="0" w:color="17365D"/>
              <w:bottom w:val="single" w:sz="4" w:space="0" w:color="17365D"/>
            </w:tcBorders>
          </w:tcPr>
          <w:p w14:paraId="7C31B683" w14:textId="19414FC6" w:rsidR="00C74879" w:rsidRPr="00A27896" w:rsidRDefault="00C74879" w:rsidP="00B9337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833" w:type="pct"/>
            <w:tcBorders>
              <w:top w:val="single" w:sz="4" w:space="0" w:color="17365D"/>
              <w:bottom w:val="single" w:sz="4" w:space="0" w:color="17365D"/>
            </w:tcBorders>
            <w:shd w:val="clear" w:color="auto" w:fill="auto"/>
            <w:vAlign w:val="center"/>
            <w:hideMark/>
          </w:tcPr>
          <w:p w14:paraId="1ACCA568" w14:textId="1AAC3CFD" w:rsidR="00C74879" w:rsidRPr="00A27896" w:rsidRDefault="00C74879" w:rsidP="00B9337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909" w:type="pct"/>
            <w:tcBorders>
              <w:top w:val="single" w:sz="4" w:space="0" w:color="17365D"/>
              <w:bottom w:val="single" w:sz="4" w:space="0" w:color="17365D"/>
            </w:tcBorders>
            <w:vAlign w:val="center"/>
          </w:tcPr>
          <w:p w14:paraId="29C53469" w14:textId="15D328F8" w:rsidR="00C74879" w:rsidRPr="00A27896" w:rsidRDefault="00C74879" w:rsidP="00B9337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C7439D" w:rsidRPr="00A27896" w14:paraId="7F83D5E5" w14:textId="0D78575F" w:rsidTr="00C7439D">
        <w:trPr>
          <w:trHeight w:val="264"/>
        </w:trPr>
        <w:tc>
          <w:tcPr>
            <w:tcW w:w="1364" w:type="pct"/>
            <w:tcBorders>
              <w:top w:val="single" w:sz="4" w:space="0" w:color="17365D"/>
              <w:bottom w:val="single" w:sz="4" w:space="0" w:color="17365D"/>
            </w:tcBorders>
            <w:shd w:val="clear" w:color="auto" w:fill="auto"/>
            <w:vAlign w:val="center"/>
            <w:hideMark/>
          </w:tcPr>
          <w:p w14:paraId="42489AEE" w14:textId="76A32CF5" w:rsidR="00C7439D" w:rsidRPr="00A27896" w:rsidRDefault="00C7439D" w:rsidP="00C7439D">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Pamatlīdzekļi</w:t>
            </w:r>
          </w:p>
        </w:tc>
        <w:tc>
          <w:tcPr>
            <w:tcW w:w="985" w:type="pct"/>
            <w:tcBorders>
              <w:top w:val="single" w:sz="4" w:space="0" w:color="17365D"/>
              <w:bottom w:val="single" w:sz="4" w:space="0" w:color="17365D"/>
            </w:tcBorders>
            <w:shd w:val="clear" w:color="auto" w:fill="auto"/>
            <w:vAlign w:val="center"/>
            <w:hideMark/>
          </w:tcPr>
          <w:p w14:paraId="766C63B7" w14:textId="550AE783" w:rsidR="00C7439D" w:rsidRPr="00A27896" w:rsidRDefault="00C7439D" w:rsidP="00C7439D">
            <w:pPr>
              <w:spacing w:after="0" w:line="240" w:lineRule="auto"/>
              <w:jc w:val="right"/>
              <w:rPr>
                <w:rFonts w:cs="Times New Roman"/>
                <w:b/>
                <w:color w:val="17365D"/>
                <w:sz w:val="18"/>
                <w:szCs w:val="18"/>
              </w:rPr>
            </w:pPr>
            <w:r w:rsidRPr="00A27896">
              <w:rPr>
                <w:rFonts w:cs="Times New Roman"/>
                <w:b/>
                <w:color w:val="17365D"/>
                <w:sz w:val="18"/>
                <w:szCs w:val="18"/>
              </w:rPr>
              <w:t>7 503 703</w:t>
            </w:r>
          </w:p>
        </w:tc>
        <w:tc>
          <w:tcPr>
            <w:tcW w:w="909" w:type="pct"/>
            <w:tcBorders>
              <w:top w:val="single" w:sz="4" w:space="0" w:color="17365D"/>
              <w:bottom w:val="single" w:sz="4" w:space="0" w:color="17365D"/>
            </w:tcBorders>
            <w:vAlign w:val="center"/>
          </w:tcPr>
          <w:p w14:paraId="4C748180" w14:textId="1E606F6C" w:rsidR="00C7439D" w:rsidRPr="00A27896" w:rsidRDefault="00C7439D" w:rsidP="00C7439D">
            <w:pPr>
              <w:spacing w:after="0"/>
              <w:jc w:val="right"/>
              <w:rPr>
                <w:rFonts w:cs="Times New Roman"/>
                <w:b/>
                <w:color w:val="17365D"/>
                <w:sz w:val="18"/>
                <w:szCs w:val="18"/>
              </w:rPr>
            </w:pPr>
            <w:r w:rsidRPr="00A27896">
              <w:rPr>
                <w:rFonts w:cs="Times New Roman"/>
                <w:b/>
                <w:color w:val="17365D"/>
                <w:sz w:val="18"/>
                <w:szCs w:val="18"/>
              </w:rPr>
              <w:t>22 201 370</w:t>
            </w:r>
          </w:p>
        </w:tc>
        <w:tc>
          <w:tcPr>
            <w:tcW w:w="833" w:type="pct"/>
            <w:tcBorders>
              <w:top w:val="single" w:sz="4" w:space="0" w:color="17365D"/>
              <w:bottom w:val="single" w:sz="4" w:space="0" w:color="17365D"/>
            </w:tcBorders>
            <w:shd w:val="clear" w:color="auto" w:fill="auto"/>
            <w:vAlign w:val="center"/>
            <w:hideMark/>
          </w:tcPr>
          <w:p w14:paraId="373A59B8" w14:textId="749F4C1C" w:rsidR="00C7439D" w:rsidRPr="00A27896" w:rsidRDefault="00C7439D" w:rsidP="00C7439D">
            <w:pPr>
              <w:spacing w:after="0" w:line="240" w:lineRule="auto"/>
              <w:jc w:val="right"/>
              <w:rPr>
                <w:rFonts w:cs="Times New Roman"/>
                <w:b/>
                <w:color w:val="17365D"/>
                <w:sz w:val="18"/>
                <w:szCs w:val="18"/>
              </w:rPr>
            </w:pPr>
            <w:r w:rsidRPr="00A27896">
              <w:rPr>
                <w:rFonts w:cs="Times New Roman"/>
                <w:b/>
                <w:color w:val="17365D"/>
                <w:sz w:val="18"/>
                <w:szCs w:val="18"/>
              </w:rPr>
              <w:t>645 532 812</w:t>
            </w:r>
          </w:p>
        </w:tc>
        <w:tc>
          <w:tcPr>
            <w:tcW w:w="909" w:type="pct"/>
            <w:tcBorders>
              <w:top w:val="single" w:sz="4" w:space="0" w:color="17365D"/>
              <w:bottom w:val="single" w:sz="4" w:space="0" w:color="17365D"/>
            </w:tcBorders>
            <w:vAlign w:val="center"/>
          </w:tcPr>
          <w:p w14:paraId="5CBC85F7" w14:textId="1E37D21F" w:rsidR="00C7439D" w:rsidRPr="00A27896" w:rsidRDefault="00C7439D" w:rsidP="00C7439D">
            <w:pPr>
              <w:spacing w:after="0" w:line="240" w:lineRule="auto"/>
              <w:jc w:val="right"/>
              <w:rPr>
                <w:rFonts w:cs="Times New Roman"/>
                <w:b/>
                <w:color w:val="17365D"/>
                <w:sz w:val="18"/>
                <w:szCs w:val="18"/>
              </w:rPr>
            </w:pPr>
            <w:r w:rsidRPr="00A27896">
              <w:rPr>
                <w:rFonts w:cs="Times New Roman"/>
                <w:b/>
                <w:color w:val="17365D"/>
                <w:sz w:val="18"/>
                <w:szCs w:val="18"/>
              </w:rPr>
              <w:t>652 363 244</w:t>
            </w:r>
          </w:p>
        </w:tc>
      </w:tr>
      <w:tr w:rsidR="00C7439D" w:rsidRPr="00A27896" w14:paraId="121595BD" w14:textId="476C463F" w:rsidTr="00C7439D">
        <w:trPr>
          <w:trHeight w:val="54"/>
        </w:trPr>
        <w:tc>
          <w:tcPr>
            <w:tcW w:w="1364" w:type="pct"/>
            <w:tcBorders>
              <w:top w:val="single" w:sz="4" w:space="0" w:color="17365D"/>
              <w:bottom w:val="single" w:sz="4" w:space="0" w:color="17365D"/>
            </w:tcBorders>
            <w:shd w:val="clear" w:color="auto" w:fill="auto"/>
            <w:vAlign w:val="center"/>
            <w:hideMark/>
          </w:tcPr>
          <w:p w14:paraId="7FB1AE32" w14:textId="4DE7F596" w:rsidR="00C7439D" w:rsidRPr="00A27896" w:rsidRDefault="00C7439D" w:rsidP="00C7439D">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Turējumā nodotie valsts un pašvaldību īpašumi</w:t>
            </w:r>
          </w:p>
        </w:tc>
        <w:tc>
          <w:tcPr>
            <w:tcW w:w="985" w:type="pct"/>
            <w:tcBorders>
              <w:top w:val="single" w:sz="4" w:space="0" w:color="17365D"/>
              <w:bottom w:val="single" w:sz="4" w:space="0" w:color="17365D"/>
            </w:tcBorders>
            <w:shd w:val="clear" w:color="auto" w:fill="auto"/>
            <w:noWrap/>
            <w:vAlign w:val="center"/>
            <w:hideMark/>
          </w:tcPr>
          <w:p w14:paraId="5E74A5AE" w14:textId="5E84C427" w:rsidR="00C7439D" w:rsidRPr="00A27896" w:rsidRDefault="00C7439D" w:rsidP="00C7439D">
            <w:pPr>
              <w:spacing w:after="0" w:line="240" w:lineRule="auto"/>
              <w:jc w:val="right"/>
              <w:rPr>
                <w:rFonts w:cs="Times New Roman"/>
                <w:color w:val="17365D"/>
                <w:sz w:val="18"/>
                <w:szCs w:val="18"/>
              </w:rPr>
            </w:pPr>
            <w:r w:rsidRPr="00A27896">
              <w:rPr>
                <w:rFonts w:cs="Times New Roman"/>
                <w:color w:val="17365D"/>
                <w:sz w:val="18"/>
                <w:szCs w:val="18"/>
              </w:rPr>
              <w:t>7 503 703</w:t>
            </w:r>
          </w:p>
        </w:tc>
        <w:tc>
          <w:tcPr>
            <w:tcW w:w="909" w:type="pct"/>
            <w:tcBorders>
              <w:top w:val="single" w:sz="4" w:space="0" w:color="17365D"/>
              <w:bottom w:val="single" w:sz="4" w:space="0" w:color="17365D"/>
            </w:tcBorders>
            <w:vAlign w:val="center"/>
          </w:tcPr>
          <w:p w14:paraId="007DADF6" w14:textId="266604A8" w:rsidR="00C7439D" w:rsidRPr="00A27896" w:rsidRDefault="00C7439D" w:rsidP="00C7439D">
            <w:pPr>
              <w:spacing w:after="0"/>
              <w:jc w:val="right"/>
              <w:rPr>
                <w:rFonts w:cs="Times New Roman"/>
                <w:color w:val="17365D"/>
                <w:sz w:val="18"/>
                <w:szCs w:val="18"/>
              </w:rPr>
            </w:pPr>
            <w:r w:rsidRPr="00A27896">
              <w:rPr>
                <w:rFonts w:cs="Times New Roman"/>
                <w:color w:val="17365D"/>
                <w:sz w:val="18"/>
                <w:szCs w:val="18"/>
              </w:rPr>
              <w:t>22 201 370</w:t>
            </w:r>
          </w:p>
        </w:tc>
        <w:tc>
          <w:tcPr>
            <w:tcW w:w="833" w:type="pct"/>
            <w:tcBorders>
              <w:top w:val="single" w:sz="4" w:space="0" w:color="17365D"/>
              <w:bottom w:val="single" w:sz="4" w:space="0" w:color="17365D"/>
            </w:tcBorders>
            <w:shd w:val="clear" w:color="auto" w:fill="auto"/>
            <w:vAlign w:val="center"/>
            <w:hideMark/>
          </w:tcPr>
          <w:p w14:paraId="3C04E53E" w14:textId="32CD5781" w:rsidR="00C7439D" w:rsidRPr="00A27896" w:rsidRDefault="00C7439D" w:rsidP="00C7439D">
            <w:pPr>
              <w:spacing w:after="0" w:line="240" w:lineRule="auto"/>
              <w:jc w:val="right"/>
              <w:rPr>
                <w:rFonts w:cs="Times New Roman"/>
                <w:color w:val="17365D"/>
                <w:sz w:val="18"/>
                <w:szCs w:val="18"/>
              </w:rPr>
            </w:pPr>
            <w:r w:rsidRPr="00A27896">
              <w:rPr>
                <w:rFonts w:cs="Times New Roman"/>
                <w:color w:val="17365D"/>
                <w:sz w:val="18"/>
                <w:szCs w:val="18"/>
              </w:rPr>
              <w:t>645 532 812</w:t>
            </w:r>
          </w:p>
        </w:tc>
        <w:tc>
          <w:tcPr>
            <w:tcW w:w="909" w:type="pct"/>
            <w:tcBorders>
              <w:top w:val="single" w:sz="4" w:space="0" w:color="17365D"/>
              <w:bottom w:val="single" w:sz="4" w:space="0" w:color="17365D"/>
            </w:tcBorders>
            <w:vAlign w:val="center"/>
          </w:tcPr>
          <w:p w14:paraId="1FCFBFD9" w14:textId="0AA2CBBB" w:rsidR="00C7439D" w:rsidRPr="00A27896" w:rsidRDefault="00C7439D" w:rsidP="00C7439D">
            <w:pPr>
              <w:spacing w:after="0" w:line="240" w:lineRule="auto"/>
              <w:jc w:val="right"/>
              <w:rPr>
                <w:rFonts w:cs="Times New Roman"/>
                <w:color w:val="17365D"/>
                <w:sz w:val="18"/>
                <w:szCs w:val="18"/>
              </w:rPr>
            </w:pPr>
            <w:r w:rsidRPr="00A27896">
              <w:rPr>
                <w:rFonts w:cs="Times New Roman"/>
                <w:color w:val="17365D"/>
                <w:sz w:val="18"/>
                <w:szCs w:val="18"/>
              </w:rPr>
              <w:t>652 363 244</w:t>
            </w:r>
          </w:p>
        </w:tc>
      </w:tr>
      <w:tr w:rsidR="000C1009" w:rsidRPr="00A27896" w14:paraId="308C18A7" w14:textId="7FFF9CF4" w:rsidTr="00432761">
        <w:trPr>
          <w:trHeight w:val="202"/>
        </w:trPr>
        <w:tc>
          <w:tcPr>
            <w:tcW w:w="1364" w:type="pct"/>
            <w:tcBorders>
              <w:top w:val="single" w:sz="4" w:space="0" w:color="17365D"/>
            </w:tcBorders>
            <w:shd w:val="clear" w:color="auto" w:fill="B9CDE5"/>
            <w:vAlign w:val="center"/>
          </w:tcPr>
          <w:p w14:paraId="497B1832" w14:textId="77777777" w:rsidR="00C74879" w:rsidRPr="00A27896" w:rsidRDefault="00C74879" w:rsidP="00CF79A6">
            <w:pPr>
              <w:spacing w:after="0"/>
              <w:rPr>
                <w:rFonts w:eastAsia="Times New Roman" w:cs="Times New Roman"/>
                <w:color w:val="17365D"/>
                <w:sz w:val="18"/>
                <w:szCs w:val="18"/>
                <w:lang w:eastAsia="lv-LV"/>
              </w:rPr>
            </w:pPr>
          </w:p>
        </w:tc>
        <w:tc>
          <w:tcPr>
            <w:tcW w:w="985" w:type="pct"/>
            <w:tcBorders>
              <w:top w:val="single" w:sz="4" w:space="0" w:color="17365D"/>
            </w:tcBorders>
            <w:shd w:val="clear" w:color="auto" w:fill="B9CDE5"/>
            <w:noWrap/>
            <w:vAlign w:val="center"/>
          </w:tcPr>
          <w:p w14:paraId="125C1361" w14:textId="77777777" w:rsidR="00C74879" w:rsidRPr="00A27896" w:rsidRDefault="00C74879" w:rsidP="00CF79A6">
            <w:pPr>
              <w:spacing w:after="0"/>
              <w:jc w:val="center"/>
              <w:rPr>
                <w:rFonts w:eastAsia="Times New Roman" w:cs="Times New Roman"/>
                <w:color w:val="17365D"/>
                <w:sz w:val="18"/>
                <w:szCs w:val="18"/>
                <w:lang w:eastAsia="lv-LV"/>
              </w:rPr>
            </w:pPr>
          </w:p>
        </w:tc>
        <w:tc>
          <w:tcPr>
            <w:tcW w:w="909" w:type="pct"/>
            <w:tcBorders>
              <w:top w:val="single" w:sz="4" w:space="0" w:color="17365D"/>
            </w:tcBorders>
            <w:shd w:val="clear" w:color="auto" w:fill="B9CDE5"/>
          </w:tcPr>
          <w:p w14:paraId="182A9BAB" w14:textId="77777777" w:rsidR="00C74879" w:rsidRPr="00A27896" w:rsidRDefault="00C74879" w:rsidP="0039076C">
            <w:pPr>
              <w:spacing w:after="0"/>
              <w:jc w:val="center"/>
              <w:rPr>
                <w:rFonts w:eastAsia="Times New Roman" w:cs="Times New Roman"/>
                <w:b/>
                <w:color w:val="17365D"/>
                <w:sz w:val="18"/>
                <w:szCs w:val="18"/>
                <w:lang w:eastAsia="lv-LV"/>
              </w:rPr>
            </w:pPr>
          </w:p>
        </w:tc>
        <w:tc>
          <w:tcPr>
            <w:tcW w:w="833" w:type="pct"/>
            <w:tcBorders>
              <w:top w:val="single" w:sz="4" w:space="0" w:color="17365D"/>
            </w:tcBorders>
            <w:shd w:val="clear" w:color="auto" w:fill="B9CDE5"/>
            <w:noWrap/>
            <w:vAlign w:val="center"/>
          </w:tcPr>
          <w:p w14:paraId="71602236" w14:textId="50AC01A0" w:rsidR="00C74879" w:rsidRPr="00A27896" w:rsidRDefault="00C74879" w:rsidP="00CF79A6">
            <w:pPr>
              <w:spacing w:after="0"/>
              <w:jc w:val="right"/>
              <w:rPr>
                <w:rFonts w:eastAsia="Times New Roman" w:cs="Times New Roman"/>
                <w:color w:val="17365D"/>
                <w:sz w:val="18"/>
                <w:szCs w:val="18"/>
                <w:lang w:eastAsia="lv-LV"/>
              </w:rPr>
            </w:pPr>
          </w:p>
        </w:tc>
        <w:tc>
          <w:tcPr>
            <w:tcW w:w="909" w:type="pct"/>
            <w:tcBorders>
              <w:top w:val="single" w:sz="4" w:space="0" w:color="17365D"/>
            </w:tcBorders>
            <w:shd w:val="clear" w:color="auto" w:fill="B9CDE5"/>
          </w:tcPr>
          <w:p w14:paraId="0C353488" w14:textId="77777777" w:rsidR="00C74879" w:rsidRPr="00A27896" w:rsidRDefault="00C74879" w:rsidP="00CF79A6">
            <w:pPr>
              <w:spacing w:after="0"/>
              <w:jc w:val="right"/>
              <w:rPr>
                <w:rFonts w:eastAsia="Times New Roman" w:cs="Times New Roman"/>
                <w:color w:val="17365D"/>
                <w:sz w:val="18"/>
                <w:szCs w:val="18"/>
                <w:lang w:eastAsia="lv-LV"/>
              </w:rPr>
            </w:pPr>
          </w:p>
        </w:tc>
      </w:tr>
    </w:tbl>
    <w:p w14:paraId="6E22E7D6" w14:textId="590B2C17" w:rsidR="002D515E" w:rsidRPr="00A27896" w:rsidRDefault="001C52C0" w:rsidP="00C93A9C">
      <w:pPr>
        <w:spacing w:before="240" w:after="120" w:line="240" w:lineRule="auto"/>
        <w:ind w:firstLine="284"/>
        <w:jc w:val="both"/>
        <w:rPr>
          <w:rFonts w:cs="Times New Roman"/>
          <w:color w:val="17365D"/>
        </w:rPr>
      </w:pPr>
      <w:r w:rsidRPr="00A27896">
        <w:rPr>
          <w:rFonts w:cs="Times New Roman"/>
          <w:color w:val="17365D"/>
        </w:rPr>
        <w:t>Būtisks vērtības samazinājums pamatlīdzekļiem un avansa maksājumiem par pamatlīdzekļiem pārskata gadā nav veidots. Pamatlīdzekļu vērtības samazinājuma noteikšanai galvenokārt lietota amortizēto aizstāšanas izmaksu metode. Vērtības samazin</w:t>
      </w:r>
      <w:r w:rsidR="00D8568F" w:rsidRPr="00A27896">
        <w:rPr>
          <w:rFonts w:cs="Times New Roman"/>
          <w:color w:val="17365D"/>
        </w:rPr>
        <w:t>ājums</w:t>
      </w:r>
      <w:r w:rsidRPr="00A27896">
        <w:rPr>
          <w:rFonts w:cs="Times New Roman"/>
          <w:color w:val="17365D"/>
        </w:rPr>
        <w:t xml:space="preserve"> avansa maksājumiem par pamatlīdzekļiem</w:t>
      </w:r>
      <w:r w:rsidR="00D8568F" w:rsidRPr="00A27896">
        <w:rPr>
          <w:rFonts w:cs="Times New Roman"/>
          <w:color w:val="17365D"/>
        </w:rPr>
        <w:t xml:space="preserve"> aprēķināts atbilstoši izpildes termiņa kavēto </w:t>
      </w:r>
      <w:r w:rsidR="00590AF1" w:rsidRPr="00A27896">
        <w:rPr>
          <w:rFonts w:cs="Times New Roman"/>
          <w:color w:val="17365D"/>
        </w:rPr>
        <w:t>dienu skaitam vai pilnā apmērā</w:t>
      </w:r>
      <w:r w:rsidR="00D8568F" w:rsidRPr="00A27896">
        <w:rPr>
          <w:rFonts w:cs="Times New Roman"/>
          <w:color w:val="17365D"/>
        </w:rPr>
        <w:t xml:space="preserve"> </w:t>
      </w:r>
      <w:r w:rsidR="00590AF1" w:rsidRPr="00A27896">
        <w:rPr>
          <w:rFonts w:cs="Times New Roman"/>
          <w:color w:val="17365D"/>
        </w:rPr>
        <w:t>atbilstoši budžeta iestāžu grāmatvedības uzskaites kārtībā noteiktajam.</w:t>
      </w:r>
    </w:p>
    <w:p w14:paraId="41D09838" w14:textId="7A63512D" w:rsidR="005C3DE8" w:rsidRPr="00A27896" w:rsidRDefault="006F3DC9" w:rsidP="00414252">
      <w:pPr>
        <w:pStyle w:val="Heading4"/>
        <w:spacing w:before="200" w:after="160"/>
        <w:rPr>
          <w:rFonts w:cs="Times New Roman"/>
        </w:rPr>
      </w:pPr>
      <w:r w:rsidRPr="00A27896">
        <w:rPr>
          <w:rFonts w:cs="Times New Roman"/>
        </w:rPr>
        <w:t xml:space="preserve">Piezīme Nr. </w:t>
      </w:r>
      <w:r w:rsidR="003E4135" w:rsidRPr="00A27896">
        <w:rPr>
          <w:rFonts w:cs="Times New Roman"/>
        </w:rPr>
        <w:t>KB.</w:t>
      </w:r>
      <w:r w:rsidR="00F35EDE" w:rsidRPr="00A27896">
        <w:rPr>
          <w:rFonts w:cs="Times New Roman"/>
        </w:rPr>
        <w:t>1.</w:t>
      </w:r>
      <w:r w:rsidR="003E4135" w:rsidRPr="00A27896">
        <w:rPr>
          <w:rFonts w:cs="Times New Roman"/>
        </w:rPr>
        <w:t xml:space="preserve">3. </w:t>
      </w:r>
      <w:r w:rsidR="00414B4E" w:rsidRPr="00A27896">
        <w:rPr>
          <w:rFonts w:cs="Times New Roman"/>
        </w:rPr>
        <w:t>Ilgtermiņa finanšu ieguldījumi</w:t>
      </w:r>
    </w:p>
    <w:p w14:paraId="7A6C7A73" w14:textId="15A07B52" w:rsidR="00414B4E" w:rsidRPr="00A27896" w:rsidRDefault="00212DF3" w:rsidP="00A75AB2">
      <w:pPr>
        <w:pStyle w:val="Tabulasnosaukums1"/>
        <w:spacing w:before="120"/>
        <w:rPr>
          <w:rFonts w:cs="Times New Roman"/>
          <w:i/>
          <w:color w:val="17365D"/>
        </w:rPr>
      </w:pPr>
      <w:r w:rsidRPr="00A27896">
        <w:rPr>
          <w:rFonts w:cs="Times New Roman"/>
          <w:i/>
          <w:color w:val="17365D"/>
        </w:rPr>
        <w:t>5</w:t>
      </w:r>
      <w:r w:rsidR="00414B4E" w:rsidRPr="00A27896">
        <w:rPr>
          <w:rFonts w:cs="Times New Roman"/>
          <w:i/>
          <w:color w:val="17365D"/>
        </w:rPr>
        <w:t>. tabula</w:t>
      </w:r>
      <w:r w:rsidR="003D15F9" w:rsidRPr="00A27896">
        <w:rPr>
          <w:rFonts w:cs="Times New Roman"/>
          <w:i/>
          <w:color w:val="17365D"/>
        </w:rPr>
        <w:t>.</w:t>
      </w:r>
      <w:r w:rsidR="003D15F9" w:rsidRPr="00A27896">
        <w:rPr>
          <w:rFonts w:cs="Times New Roman"/>
          <w:i/>
          <w:color w:val="17365D"/>
          <w:lang w:eastAsia="lv-LV"/>
        </w:rPr>
        <w:t xml:space="preserve"> Ilgtermiņa finanšu ieguldījumi </w:t>
      </w:r>
      <w:r w:rsidR="003D15F9" w:rsidRPr="00A27896">
        <w:rPr>
          <w:rFonts w:eastAsia="Times New Roman" w:cs="Times New Roman"/>
          <w:i/>
          <w:color w:val="17365D"/>
          <w:szCs w:val="20"/>
          <w:lang w:eastAsia="lv-LV"/>
        </w:rPr>
        <w:t>(</w:t>
      </w:r>
      <w:proofErr w:type="spellStart"/>
      <w:r w:rsidR="00D02702" w:rsidRPr="00A27896">
        <w:rPr>
          <w:rFonts w:eastAsia="Times New Roman" w:cs="Times New Roman"/>
          <w:i/>
          <w:color w:val="17365D"/>
          <w:szCs w:val="20"/>
          <w:lang w:eastAsia="lv-LV"/>
        </w:rPr>
        <w:t>euro</w:t>
      </w:r>
      <w:proofErr w:type="spellEnd"/>
      <w:r w:rsidR="003D15F9" w:rsidRPr="00A27896">
        <w:rPr>
          <w:rFonts w:eastAsia="Times New Roman" w:cs="Times New Roman"/>
          <w:i/>
          <w:color w:val="17365D"/>
          <w:szCs w:val="20"/>
          <w:lang w:eastAsia="lv-LV"/>
        </w:rPr>
        <w:t>)</w:t>
      </w:r>
    </w:p>
    <w:tbl>
      <w:tblPr>
        <w:tblW w:w="4999" w:type="pct"/>
        <w:tblBorders>
          <w:insideH w:val="single" w:sz="4" w:space="0" w:color="012169"/>
        </w:tblBorders>
        <w:tblLayout w:type="fixed"/>
        <w:tblLook w:val="04A0" w:firstRow="1" w:lastRow="0" w:firstColumn="1" w:lastColumn="0" w:noHBand="0" w:noVBand="1"/>
      </w:tblPr>
      <w:tblGrid>
        <w:gridCol w:w="2670"/>
        <w:gridCol w:w="238"/>
        <w:gridCol w:w="679"/>
        <w:gridCol w:w="286"/>
        <w:gridCol w:w="1190"/>
        <w:gridCol w:w="282"/>
        <w:gridCol w:w="1193"/>
        <w:gridCol w:w="262"/>
        <w:gridCol w:w="1214"/>
        <w:gridCol w:w="75"/>
        <w:gridCol w:w="1263"/>
      </w:tblGrid>
      <w:tr w:rsidR="000C1009" w:rsidRPr="00A27896" w14:paraId="089D335D" w14:textId="77777777" w:rsidTr="003F0D49">
        <w:trPr>
          <w:trHeight w:val="601"/>
          <w:tblHeader/>
        </w:trPr>
        <w:tc>
          <w:tcPr>
            <w:tcW w:w="1428" w:type="pct"/>
            <w:tcBorders>
              <w:bottom w:val="single" w:sz="4" w:space="0" w:color="17365D"/>
            </w:tcBorders>
            <w:shd w:val="clear" w:color="auto" w:fill="B9CDE5"/>
            <w:vAlign w:val="center"/>
            <w:hideMark/>
          </w:tcPr>
          <w:p w14:paraId="0F2C3296" w14:textId="1018FCD8" w:rsidR="00B131AA" w:rsidRPr="00A27896" w:rsidRDefault="00B131AA"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490" w:type="pct"/>
            <w:gridSpan w:val="2"/>
            <w:tcBorders>
              <w:bottom w:val="single" w:sz="4" w:space="0" w:color="17365D"/>
            </w:tcBorders>
            <w:shd w:val="clear" w:color="auto" w:fill="B9CDE5"/>
            <w:vAlign w:val="center"/>
            <w:hideMark/>
          </w:tcPr>
          <w:p w14:paraId="2D9D703F" w14:textId="77777777" w:rsidR="00B131AA" w:rsidRPr="00A27896" w:rsidRDefault="00B131AA"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789" w:type="pct"/>
            <w:gridSpan w:val="2"/>
            <w:tcBorders>
              <w:bottom w:val="single" w:sz="4" w:space="0" w:color="17365D"/>
            </w:tcBorders>
            <w:shd w:val="clear" w:color="auto" w:fill="B9CDE5"/>
            <w:vAlign w:val="center"/>
            <w:hideMark/>
          </w:tcPr>
          <w:p w14:paraId="0BE7ECDE" w14:textId="77777777" w:rsidR="00B131AA" w:rsidRPr="00A27896" w:rsidRDefault="00B131AA"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789" w:type="pct"/>
            <w:gridSpan w:val="2"/>
            <w:tcBorders>
              <w:bottom w:val="single" w:sz="4" w:space="0" w:color="17365D"/>
            </w:tcBorders>
            <w:shd w:val="clear" w:color="auto" w:fill="B9CDE5"/>
            <w:vAlign w:val="center"/>
            <w:hideMark/>
          </w:tcPr>
          <w:p w14:paraId="5B76BB2B" w14:textId="77777777" w:rsidR="00B131AA" w:rsidRPr="00A27896" w:rsidRDefault="00B131AA"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789" w:type="pct"/>
            <w:gridSpan w:val="2"/>
            <w:tcBorders>
              <w:bottom w:val="single" w:sz="4" w:space="0" w:color="17365D"/>
            </w:tcBorders>
            <w:shd w:val="clear" w:color="auto" w:fill="B9CDE5"/>
            <w:vAlign w:val="center"/>
            <w:hideMark/>
          </w:tcPr>
          <w:p w14:paraId="74F73523" w14:textId="3C55A59A" w:rsidR="00B131AA" w:rsidRPr="00A27896" w:rsidRDefault="00B131AA"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t>(+,</w:t>
            </w:r>
            <w:r w:rsidR="002B1B27" w:rsidRPr="00A27896">
              <w:rPr>
                <w:rFonts w:eastAsia="Times New Roman" w:cs="Times New Roman"/>
                <w:b/>
                <w:color w:val="17365D"/>
                <w:sz w:val="18"/>
                <w:szCs w:val="18"/>
                <w:lang w:eastAsia="lv-LV"/>
              </w:rPr>
              <w:t xml:space="preserve"> – </w:t>
            </w:r>
            <w:r w:rsidRPr="00A27896">
              <w:rPr>
                <w:rFonts w:eastAsia="Times New Roman" w:cs="Times New Roman"/>
                <w:b/>
                <w:color w:val="17365D"/>
                <w:sz w:val="18"/>
                <w:szCs w:val="18"/>
                <w:lang w:eastAsia="lv-LV"/>
              </w:rPr>
              <w:t>)</w:t>
            </w:r>
          </w:p>
        </w:tc>
        <w:tc>
          <w:tcPr>
            <w:tcW w:w="715" w:type="pct"/>
            <w:gridSpan w:val="2"/>
            <w:tcBorders>
              <w:bottom w:val="single" w:sz="4" w:space="0" w:color="17365D"/>
            </w:tcBorders>
            <w:shd w:val="clear" w:color="auto" w:fill="B9CDE5"/>
            <w:vAlign w:val="center"/>
            <w:hideMark/>
          </w:tcPr>
          <w:p w14:paraId="4ABE7BB9" w14:textId="77777777" w:rsidR="00B131AA" w:rsidRPr="00A27896" w:rsidRDefault="00B131AA"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A27896" w:rsidRPr="00A27896" w14:paraId="1037E777" w14:textId="77777777" w:rsidTr="00D55032">
        <w:trPr>
          <w:trHeight w:val="190"/>
        </w:trPr>
        <w:tc>
          <w:tcPr>
            <w:tcW w:w="1428" w:type="pct"/>
            <w:tcBorders>
              <w:top w:val="single" w:sz="4" w:space="0" w:color="17365D"/>
              <w:bottom w:val="single" w:sz="4" w:space="0" w:color="auto"/>
            </w:tcBorders>
            <w:shd w:val="clear" w:color="auto" w:fill="auto"/>
            <w:vAlign w:val="center"/>
            <w:hideMark/>
          </w:tcPr>
          <w:p w14:paraId="11C83162" w14:textId="77777777" w:rsidR="00B131AA" w:rsidRPr="00A27896" w:rsidRDefault="00B131AA"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490" w:type="pct"/>
            <w:gridSpan w:val="2"/>
            <w:tcBorders>
              <w:top w:val="single" w:sz="4" w:space="0" w:color="17365D"/>
              <w:bottom w:val="single" w:sz="4" w:space="0" w:color="auto"/>
            </w:tcBorders>
            <w:shd w:val="clear" w:color="auto" w:fill="auto"/>
            <w:vAlign w:val="center"/>
            <w:hideMark/>
          </w:tcPr>
          <w:p w14:paraId="481B31BA" w14:textId="77777777" w:rsidR="00B131AA" w:rsidRPr="00A27896" w:rsidRDefault="00B131AA"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89" w:type="pct"/>
            <w:gridSpan w:val="2"/>
            <w:tcBorders>
              <w:top w:val="single" w:sz="4" w:space="0" w:color="17365D"/>
              <w:bottom w:val="single" w:sz="4" w:space="0" w:color="auto"/>
            </w:tcBorders>
            <w:shd w:val="clear" w:color="auto" w:fill="auto"/>
            <w:vAlign w:val="center"/>
            <w:hideMark/>
          </w:tcPr>
          <w:p w14:paraId="564F7E17" w14:textId="77777777" w:rsidR="00B131AA" w:rsidRPr="00A27896" w:rsidRDefault="00B131AA"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789" w:type="pct"/>
            <w:gridSpan w:val="2"/>
            <w:tcBorders>
              <w:top w:val="single" w:sz="4" w:space="0" w:color="17365D"/>
              <w:bottom w:val="single" w:sz="4" w:space="0" w:color="auto"/>
            </w:tcBorders>
            <w:shd w:val="clear" w:color="auto" w:fill="auto"/>
            <w:vAlign w:val="center"/>
            <w:hideMark/>
          </w:tcPr>
          <w:p w14:paraId="42A52A2C" w14:textId="77777777" w:rsidR="00B131AA" w:rsidRPr="00A27896" w:rsidRDefault="00B131AA"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789" w:type="pct"/>
            <w:gridSpan w:val="2"/>
            <w:tcBorders>
              <w:top w:val="single" w:sz="4" w:space="0" w:color="17365D"/>
              <w:bottom w:val="single" w:sz="4" w:space="0" w:color="auto"/>
            </w:tcBorders>
            <w:shd w:val="clear" w:color="auto" w:fill="auto"/>
            <w:vAlign w:val="center"/>
            <w:hideMark/>
          </w:tcPr>
          <w:p w14:paraId="554FB073" w14:textId="77777777" w:rsidR="00B131AA" w:rsidRPr="00A27896" w:rsidRDefault="00B131AA"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715" w:type="pct"/>
            <w:gridSpan w:val="2"/>
            <w:tcBorders>
              <w:top w:val="single" w:sz="4" w:space="0" w:color="17365D"/>
              <w:bottom w:val="single" w:sz="4" w:space="0" w:color="auto"/>
            </w:tcBorders>
            <w:shd w:val="clear" w:color="auto" w:fill="auto"/>
            <w:vAlign w:val="center"/>
            <w:hideMark/>
          </w:tcPr>
          <w:p w14:paraId="6D311D24" w14:textId="77777777" w:rsidR="00B131AA" w:rsidRPr="00A27896" w:rsidRDefault="00B131AA"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D12490" w:rsidRPr="00A27896" w14:paraId="6E7C7975" w14:textId="77777777" w:rsidTr="006A00CA">
        <w:trPr>
          <w:trHeight w:val="264"/>
        </w:trPr>
        <w:tc>
          <w:tcPr>
            <w:tcW w:w="1428" w:type="pct"/>
            <w:tcBorders>
              <w:top w:val="single" w:sz="4" w:space="0" w:color="auto"/>
              <w:bottom w:val="single" w:sz="4" w:space="0" w:color="auto"/>
              <w:right w:val="nil"/>
            </w:tcBorders>
            <w:shd w:val="clear" w:color="auto" w:fill="auto"/>
            <w:vAlign w:val="center"/>
            <w:hideMark/>
          </w:tcPr>
          <w:p w14:paraId="4BB77D99" w14:textId="4C7DF01F" w:rsidR="00D12490" w:rsidRPr="00A27896" w:rsidRDefault="00D12490" w:rsidP="00D12490">
            <w:pPr>
              <w:spacing w:after="0" w:line="240" w:lineRule="auto"/>
              <w:rPr>
                <w:rFonts w:cs="Times New Roman"/>
                <w:b/>
                <w:color w:val="17365D"/>
                <w:sz w:val="18"/>
                <w:szCs w:val="18"/>
              </w:rPr>
            </w:pPr>
            <w:r w:rsidRPr="00A27896">
              <w:rPr>
                <w:rFonts w:cs="Times New Roman"/>
                <w:b/>
                <w:color w:val="17365D"/>
                <w:sz w:val="18"/>
                <w:szCs w:val="18"/>
              </w:rPr>
              <w:t>Ilgtermiņa finanšu ieguldījumi</w:t>
            </w:r>
          </w:p>
        </w:tc>
        <w:tc>
          <w:tcPr>
            <w:tcW w:w="490" w:type="pct"/>
            <w:gridSpan w:val="2"/>
            <w:tcBorders>
              <w:top w:val="single" w:sz="4" w:space="0" w:color="auto"/>
              <w:left w:val="nil"/>
              <w:bottom w:val="single" w:sz="4" w:space="0" w:color="auto"/>
              <w:right w:val="nil"/>
            </w:tcBorders>
            <w:shd w:val="clear" w:color="auto" w:fill="auto"/>
            <w:vAlign w:val="center"/>
            <w:hideMark/>
          </w:tcPr>
          <w:p w14:paraId="595A275A" w14:textId="3BD208EA" w:rsidR="00D12490" w:rsidRPr="00A27896" w:rsidRDefault="00D12490" w:rsidP="00D12490">
            <w:pPr>
              <w:spacing w:after="0" w:line="240" w:lineRule="auto"/>
              <w:jc w:val="right"/>
              <w:rPr>
                <w:rFonts w:eastAsia="Times New Roman" w:cs="Times New Roman"/>
                <w:b/>
                <w:color w:val="17365D"/>
                <w:sz w:val="18"/>
                <w:szCs w:val="18"/>
                <w:lang w:eastAsia="lv-LV"/>
              </w:rPr>
            </w:pPr>
            <w:r w:rsidRPr="00A27896">
              <w:rPr>
                <w:rFonts w:cs="Times New Roman"/>
                <w:b/>
                <w:color w:val="17365D"/>
                <w:sz w:val="18"/>
                <w:szCs w:val="18"/>
              </w:rPr>
              <w:t>KB.1.3.</w:t>
            </w:r>
          </w:p>
        </w:tc>
        <w:tc>
          <w:tcPr>
            <w:tcW w:w="789" w:type="pct"/>
            <w:gridSpan w:val="2"/>
            <w:tcBorders>
              <w:top w:val="single" w:sz="4" w:space="0" w:color="auto"/>
              <w:left w:val="nil"/>
              <w:bottom w:val="single" w:sz="4" w:space="0" w:color="auto"/>
              <w:right w:val="nil"/>
            </w:tcBorders>
            <w:shd w:val="clear" w:color="auto" w:fill="auto"/>
            <w:vAlign w:val="center"/>
            <w:hideMark/>
          </w:tcPr>
          <w:p w14:paraId="72A4A08D" w14:textId="5B4FBFA1" w:rsidR="00D12490" w:rsidRPr="00D12490" w:rsidRDefault="00D12490" w:rsidP="00D12490">
            <w:pPr>
              <w:spacing w:after="0" w:line="240" w:lineRule="auto"/>
              <w:jc w:val="right"/>
              <w:rPr>
                <w:rFonts w:cs="Times New Roman"/>
                <w:b/>
                <w:color w:val="17365D"/>
                <w:sz w:val="18"/>
                <w:szCs w:val="18"/>
              </w:rPr>
            </w:pPr>
            <w:r w:rsidRPr="006A00CA">
              <w:rPr>
                <w:rFonts w:cs="Times New Roman"/>
                <w:b/>
                <w:color w:val="17365D"/>
                <w:sz w:val="18"/>
                <w:szCs w:val="18"/>
              </w:rPr>
              <w:t>13 949 700 739</w:t>
            </w:r>
          </w:p>
        </w:tc>
        <w:tc>
          <w:tcPr>
            <w:tcW w:w="789" w:type="pct"/>
            <w:gridSpan w:val="2"/>
            <w:tcBorders>
              <w:top w:val="single" w:sz="4" w:space="0" w:color="auto"/>
              <w:left w:val="nil"/>
              <w:bottom w:val="single" w:sz="4" w:space="0" w:color="auto"/>
              <w:right w:val="nil"/>
            </w:tcBorders>
            <w:shd w:val="clear" w:color="auto" w:fill="auto"/>
            <w:vAlign w:val="center"/>
            <w:hideMark/>
          </w:tcPr>
          <w:p w14:paraId="30B040E7" w14:textId="1D77578F" w:rsidR="00D12490" w:rsidRPr="00D12490" w:rsidRDefault="00D12490" w:rsidP="00D12490">
            <w:pPr>
              <w:spacing w:after="0" w:line="240" w:lineRule="auto"/>
              <w:jc w:val="right"/>
              <w:rPr>
                <w:rFonts w:cs="Times New Roman"/>
                <w:b/>
                <w:color w:val="17365D"/>
                <w:sz w:val="18"/>
                <w:szCs w:val="18"/>
              </w:rPr>
            </w:pPr>
            <w:r w:rsidRPr="006A00CA">
              <w:rPr>
                <w:rFonts w:cs="Times New Roman"/>
                <w:b/>
                <w:color w:val="17365D"/>
                <w:sz w:val="18"/>
                <w:szCs w:val="18"/>
              </w:rPr>
              <w:t>14 161 506 952</w:t>
            </w:r>
          </w:p>
        </w:tc>
        <w:tc>
          <w:tcPr>
            <w:tcW w:w="789" w:type="pct"/>
            <w:gridSpan w:val="2"/>
            <w:tcBorders>
              <w:top w:val="single" w:sz="4" w:space="0" w:color="auto"/>
              <w:left w:val="nil"/>
              <w:bottom w:val="single" w:sz="4" w:space="0" w:color="auto"/>
              <w:right w:val="nil"/>
            </w:tcBorders>
            <w:shd w:val="clear" w:color="auto" w:fill="auto"/>
            <w:noWrap/>
            <w:vAlign w:val="center"/>
            <w:hideMark/>
          </w:tcPr>
          <w:p w14:paraId="74B6A52C" w14:textId="0666DB26" w:rsidR="00D12490" w:rsidRPr="00D12490" w:rsidRDefault="00D12490" w:rsidP="00D12490">
            <w:pPr>
              <w:spacing w:after="0" w:line="240" w:lineRule="auto"/>
              <w:jc w:val="right"/>
              <w:rPr>
                <w:rFonts w:cs="Times New Roman"/>
                <w:b/>
                <w:color w:val="17365D"/>
                <w:sz w:val="18"/>
                <w:szCs w:val="18"/>
              </w:rPr>
            </w:pPr>
            <w:r w:rsidRPr="006A00CA">
              <w:rPr>
                <w:rFonts w:cs="Times New Roman"/>
                <w:b/>
                <w:color w:val="17365D"/>
                <w:sz w:val="18"/>
                <w:szCs w:val="18"/>
              </w:rPr>
              <w:t>-211 806 213</w:t>
            </w:r>
          </w:p>
        </w:tc>
        <w:tc>
          <w:tcPr>
            <w:tcW w:w="715" w:type="pct"/>
            <w:gridSpan w:val="2"/>
            <w:tcBorders>
              <w:top w:val="single" w:sz="4" w:space="0" w:color="auto"/>
              <w:left w:val="nil"/>
              <w:bottom w:val="single" w:sz="4" w:space="0" w:color="auto"/>
              <w:right w:val="nil"/>
            </w:tcBorders>
            <w:shd w:val="clear" w:color="auto" w:fill="auto"/>
            <w:noWrap/>
            <w:vAlign w:val="center"/>
            <w:hideMark/>
          </w:tcPr>
          <w:p w14:paraId="1DEB7F39" w14:textId="32F1FE3F" w:rsidR="00D12490" w:rsidRPr="00D12490" w:rsidRDefault="00D12490" w:rsidP="00945479">
            <w:pPr>
              <w:spacing w:after="0" w:line="240" w:lineRule="auto"/>
              <w:jc w:val="right"/>
              <w:rPr>
                <w:rFonts w:cs="Times New Roman"/>
                <w:b/>
                <w:color w:val="17365D"/>
                <w:sz w:val="18"/>
                <w:szCs w:val="18"/>
              </w:rPr>
            </w:pPr>
            <w:r w:rsidRPr="006A00CA">
              <w:rPr>
                <w:rFonts w:cs="Times New Roman"/>
                <w:b/>
                <w:color w:val="17365D"/>
                <w:sz w:val="18"/>
                <w:szCs w:val="18"/>
              </w:rPr>
              <w:t>-1.50</w:t>
            </w:r>
          </w:p>
        </w:tc>
      </w:tr>
      <w:tr w:rsidR="00D12490" w:rsidRPr="00A27896" w14:paraId="7B450828" w14:textId="77777777" w:rsidTr="006A00CA">
        <w:trPr>
          <w:trHeight w:val="264"/>
        </w:trPr>
        <w:tc>
          <w:tcPr>
            <w:tcW w:w="1428" w:type="pct"/>
            <w:tcBorders>
              <w:top w:val="single" w:sz="4" w:space="0" w:color="auto"/>
              <w:bottom w:val="single" w:sz="4" w:space="0" w:color="auto"/>
              <w:right w:val="nil"/>
            </w:tcBorders>
            <w:shd w:val="clear" w:color="auto" w:fill="auto"/>
            <w:vAlign w:val="center"/>
            <w:hideMark/>
          </w:tcPr>
          <w:p w14:paraId="384C6FD8" w14:textId="13588851" w:rsidR="00D12490" w:rsidRPr="00A27896" w:rsidRDefault="00D12490" w:rsidP="00D12490">
            <w:pPr>
              <w:spacing w:after="0" w:line="240" w:lineRule="auto"/>
              <w:rPr>
                <w:rFonts w:cs="Times New Roman"/>
                <w:color w:val="17365D"/>
                <w:sz w:val="18"/>
                <w:szCs w:val="18"/>
              </w:rPr>
            </w:pPr>
            <w:r w:rsidRPr="00A27896">
              <w:rPr>
                <w:rFonts w:cs="Times New Roman"/>
                <w:color w:val="17365D"/>
                <w:sz w:val="18"/>
                <w:szCs w:val="18"/>
              </w:rPr>
              <w:t>Līdzdalība radniecīgo kapitālsabiedrību kapitālā</w:t>
            </w:r>
          </w:p>
        </w:tc>
        <w:tc>
          <w:tcPr>
            <w:tcW w:w="490" w:type="pct"/>
            <w:gridSpan w:val="2"/>
            <w:tcBorders>
              <w:top w:val="single" w:sz="4" w:space="0" w:color="auto"/>
              <w:left w:val="nil"/>
              <w:bottom w:val="single" w:sz="4" w:space="0" w:color="auto"/>
              <w:right w:val="nil"/>
            </w:tcBorders>
            <w:shd w:val="clear" w:color="auto" w:fill="auto"/>
            <w:noWrap/>
            <w:vAlign w:val="center"/>
            <w:hideMark/>
          </w:tcPr>
          <w:p w14:paraId="676B9280" w14:textId="2CA79EBD" w:rsidR="00D12490" w:rsidRPr="00A27896" w:rsidRDefault="00D12490" w:rsidP="00D12490">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 xml:space="preserve"> </w:t>
            </w:r>
          </w:p>
        </w:tc>
        <w:tc>
          <w:tcPr>
            <w:tcW w:w="789" w:type="pct"/>
            <w:gridSpan w:val="2"/>
            <w:tcBorders>
              <w:top w:val="single" w:sz="4" w:space="0" w:color="auto"/>
              <w:left w:val="nil"/>
              <w:bottom w:val="single" w:sz="4" w:space="0" w:color="auto"/>
              <w:right w:val="nil"/>
            </w:tcBorders>
            <w:shd w:val="clear" w:color="auto" w:fill="auto"/>
            <w:vAlign w:val="center"/>
            <w:hideMark/>
          </w:tcPr>
          <w:p w14:paraId="24E01AF5" w14:textId="08B38EA2"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6 987 602 028</w:t>
            </w:r>
          </w:p>
        </w:tc>
        <w:tc>
          <w:tcPr>
            <w:tcW w:w="789" w:type="pct"/>
            <w:gridSpan w:val="2"/>
            <w:tcBorders>
              <w:top w:val="single" w:sz="4" w:space="0" w:color="auto"/>
              <w:left w:val="nil"/>
              <w:bottom w:val="single" w:sz="4" w:space="0" w:color="auto"/>
              <w:right w:val="nil"/>
            </w:tcBorders>
            <w:shd w:val="clear" w:color="auto" w:fill="auto"/>
            <w:vAlign w:val="center"/>
            <w:hideMark/>
          </w:tcPr>
          <w:p w14:paraId="4476F668" w14:textId="6B7384DC"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6 878 507 380</w:t>
            </w:r>
          </w:p>
        </w:tc>
        <w:tc>
          <w:tcPr>
            <w:tcW w:w="789" w:type="pct"/>
            <w:gridSpan w:val="2"/>
            <w:tcBorders>
              <w:top w:val="single" w:sz="4" w:space="0" w:color="auto"/>
              <w:left w:val="nil"/>
              <w:bottom w:val="single" w:sz="4" w:space="0" w:color="auto"/>
              <w:right w:val="nil"/>
            </w:tcBorders>
            <w:shd w:val="clear" w:color="auto" w:fill="auto"/>
            <w:noWrap/>
            <w:vAlign w:val="center"/>
            <w:hideMark/>
          </w:tcPr>
          <w:p w14:paraId="22D7BF9C" w14:textId="49BCEBF9"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109 094 648</w:t>
            </w:r>
          </w:p>
        </w:tc>
        <w:tc>
          <w:tcPr>
            <w:tcW w:w="715" w:type="pct"/>
            <w:gridSpan w:val="2"/>
            <w:tcBorders>
              <w:top w:val="single" w:sz="4" w:space="0" w:color="auto"/>
              <w:left w:val="nil"/>
              <w:bottom w:val="single" w:sz="4" w:space="0" w:color="auto"/>
              <w:right w:val="nil"/>
            </w:tcBorders>
            <w:shd w:val="clear" w:color="auto" w:fill="auto"/>
            <w:noWrap/>
            <w:vAlign w:val="center"/>
            <w:hideMark/>
          </w:tcPr>
          <w:p w14:paraId="49DE969E" w14:textId="6FB599A1" w:rsidR="00D12490" w:rsidRPr="00D12490" w:rsidRDefault="00D12490" w:rsidP="00945479">
            <w:pPr>
              <w:spacing w:after="0" w:line="240" w:lineRule="auto"/>
              <w:jc w:val="right"/>
              <w:rPr>
                <w:rFonts w:cs="Times New Roman"/>
                <w:color w:val="17365D"/>
                <w:sz w:val="18"/>
                <w:szCs w:val="18"/>
              </w:rPr>
            </w:pPr>
            <w:r w:rsidRPr="006A00CA">
              <w:rPr>
                <w:rFonts w:cs="Times New Roman"/>
                <w:color w:val="17365D"/>
                <w:sz w:val="18"/>
                <w:szCs w:val="18"/>
              </w:rPr>
              <w:t>1.59</w:t>
            </w:r>
          </w:p>
        </w:tc>
      </w:tr>
      <w:tr w:rsidR="00D12490" w:rsidRPr="00A27896" w14:paraId="5E86C90F" w14:textId="77777777" w:rsidTr="006A00CA">
        <w:trPr>
          <w:trHeight w:val="408"/>
        </w:trPr>
        <w:tc>
          <w:tcPr>
            <w:tcW w:w="1428" w:type="pct"/>
            <w:tcBorders>
              <w:top w:val="single" w:sz="4" w:space="0" w:color="auto"/>
              <w:bottom w:val="single" w:sz="4" w:space="0" w:color="auto"/>
              <w:right w:val="nil"/>
            </w:tcBorders>
            <w:shd w:val="clear" w:color="auto" w:fill="auto"/>
            <w:vAlign w:val="center"/>
            <w:hideMark/>
          </w:tcPr>
          <w:p w14:paraId="2256E1CA" w14:textId="00C2197C" w:rsidR="00D12490" w:rsidRPr="00A27896" w:rsidRDefault="00D12490" w:rsidP="00D12490">
            <w:pPr>
              <w:spacing w:after="0" w:line="240" w:lineRule="auto"/>
              <w:rPr>
                <w:rFonts w:cs="Times New Roman"/>
                <w:color w:val="17365D"/>
                <w:sz w:val="18"/>
                <w:szCs w:val="18"/>
              </w:rPr>
            </w:pPr>
            <w:r w:rsidRPr="00A27896">
              <w:rPr>
                <w:rFonts w:cs="Times New Roman"/>
                <w:color w:val="17365D"/>
                <w:sz w:val="18"/>
                <w:szCs w:val="18"/>
              </w:rPr>
              <w:t>Līdzdalība asociēto kapitālsabiedrību kapitālā</w:t>
            </w:r>
          </w:p>
        </w:tc>
        <w:tc>
          <w:tcPr>
            <w:tcW w:w="490" w:type="pct"/>
            <w:gridSpan w:val="2"/>
            <w:tcBorders>
              <w:top w:val="single" w:sz="4" w:space="0" w:color="auto"/>
              <w:left w:val="nil"/>
              <w:bottom w:val="single" w:sz="4" w:space="0" w:color="auto"/>
              <w:right w:val="nil"/>
            </w:tcBorders>
            <w:shd w:val="clear" w:color="auto" w:fill="auto"/>
            <w:noWrap/>
            <w:vAlign w:val="center"/>
          </w:tcPr>
          <w:p w14:paraId="7A20D493" w14:textId="3D8474B3" w:rsidR="00D12490" w:rsidRPr="00A27896" w:rsidRDefault="00D12490" w:rsidP="00D12490">
            <w:pPr>
              <w:spacing w:after="0" w:line="240" w:lineRule="auto"/>
              <w:jc w:val="right"/>
              <w:rPr>
                <w:rFonts w:eastAsia="Times New Roman" w:cs="Times New Roman"/>
                <w:color w:val="17365D"/>
                <w:sz w:val="18"/>
                <w:szCs w:val="18"/>
                <w:lang w:eastAsia="lv-LV"/>
              </w:rPr>
            </w:pPr>
          </w:p>
        </w:tc>
        <w:tc>
          <w:tcPr>
            <w:tcW w:w="789" w:type="pct"/>
            <w:gridSpan w:val="2"/>
            <w:tcBorders>
              <w:top w:val="single" w:sz="4" w:space="0" w:color="auto"/>
              <w:left w:val="nil"/>
              <w:bottom w:val="single" w:sz="4" w:space="0" w:color="auto"/>
              <w:right w:val="nil"/>
            </w:tcBorders>
            <w:shd w:val="clear" w:color="auto" w:fill="auto"/>
            <w:vAlign w:val="center"/>
            <w:hideMark/>
          </w:tcPr>
          <w:p w14:paraId="58881592" w14:textId="6564A1B5"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25 197 202</w:t>
            </w:r>
          </w:p>
        </w:tc>
        <w:tc>
          <w:tcPr>
            <w:tcW w:w="789" w:type="pct"/>
            <w:gridSpan w:val="2"/>
            <w:tcBorders>
              <w:top w:val="single" w:sz="4" w:space="0" w:color="auto"/>
              <w:left w:val="nil"/>
              <w:bottom w:val="single" w:sz="4" w:space="0" w:color="auto"/>
              <w:right w:val="nil"/>
            </w:tcBorders>
            <w:shd w:val="clear" w:color="auto" w:fill="auto"/>
            <w:vAlign w:val="center"/>
            <w:hideMark/>
          </w:tcPr>
          <w:p w14:paraId="77B059C7" w14:textId="609C9649"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25 435 022</w:t>
            </w:r>
          </w:p>
        </w:tc>
        <w:tc>
          <w:tcPr>
            <w:tcW w:w="789" w:type="pct"/>
            <w:gridSpan w:val="2"/>
            <w:tcBorders>
              <w:top w:val="single" w:sz="4" w:space="0" w:color="auto"/>
              <w:left w:val="nil"/>
              <w:bottom w:val="single" w:sz="4" w:space="0" w:color="auto"/>
              <w:right w:val="nil"/>
            </w:tcBorders>
            <w:shd w:val="clear" w:color="auto" w:fill="auto"/>
            <w:noWrap/>
            <w:vAlign w:val="center"/>
            <w:hideMark/>
          </w:tcPr>
          <w:p w14:paraId="43711C08" w14:textId="723E602F"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-237 820</w:t>
            </w:r>
          </w:p>
        </w:tc>
        <w:tc>
          <w:tcPr>
            <w:tcW w:w="715" w:type="pct"/>
            <w:gridSpan w:val="2"/>
            <w:tcBorders>
              <w:top w:val="single" w:sz="4" w:space="0" w:color="auto"/>
              <w:left w:val="nil"/>
              <w:bottom w:val="single" w:sz="4" w:space="0" w:color="auto"/>
              <w:right w:val="nil"/>
            </w:tcBorders>
            <w:shd w:val="clear" w:color="auto" w:fill="auto"/>
            <w:noWrap/>
            <w:vAlign w:val="center"/>
            <w:hideMark/>
          </w:tcPr>
          <w:p w14:paraId="654D38BE" w14:textId="5DFCD9F7" w:rsidR="00D12490" w:rsidRPr="00D12490" w:rsidRDefault="00D12490" w:rsidP="00945479">
            <w:pPr>
              <w:spacing w:after="0" w:line="240" w:lineRule="auto"/>
              <w:jc w:val="right"/>
              <w:rPr>
                <w:rFonts w:cs="Times New Roman"/>
                <w:color w:val="17365D"/>
                <w:sz w:val="18"/>
                <w:szCs w:val="18"/>
              </w:rPr>
            </w:pPr>
            <w:r w:rsidRPr="006A00CA">
              <w:rPr>
                <w:rFonts w:cs="Times New Roman"/>
                <w:color w:val="17365D"/>
                <w:sz w:val="18"/>
                <w:szCs w:val="18"/>
              </w:rPr>
              <w:t>-0.94</w:t>
            </w:r>
          </w:p>
        </w:tc>
      </w:tr>
      <w:tr w:rsidR="00D12490" w:rsidRPr="00A27896" w14:paraId="26E67C7E" w14:textId="77777777" w:rsidTr="006A00CA">
        <w:trPr>
          <w:trHeight w:val="264"/>
        </w:trPr>
        <w:tc>
          <w:tcPr>
            <w:tcW w:w="1428" w:type="pct"/>
            <w:tcBorders>
              <w:top w:val="single" w:sz="4" w:space="0" w:color="auto"/>
              <w:bottom w:val="single" w:sz="4" w:space="0" w:color="auto"/>
              <w:right w:val="nil"/>
            </w:tcBorders>
            <w:shd w:val="clear" w:color="auto" w:fill="auto"/>
            <w:vAlign w:val="center"/>
            <w:hideMark/>
          </w:tcPr>
          <w:p w14:paraId="73DC1DD6" w14:textId="77BF6F3E" w:rsidR="00D12490" w:rsidRPr="00A27896" w:rsidRDefault="00D12490" w:rsidP="00D12490">
            <w:pPr>
              <w:spacing w:after="0" w:line="240" w:lineRule="auto"/>
              <w:rPr>
                <w:rFonts w:cs="Times New Roman"/>
                <w:color w:val="17365D"/>
                <w:sz w:val="18"/>
                <w:szCs w:val="18"/>
              </w:rPr>
            </w:pPr>
            <w:r w:rsidRPr="00A27896">
              <w:rPr>
                <w:rFonts w:cs="Times New Roman"/>
                <w:color w:val="17365D"/>
                <w:sz w:val="18"/>
                <w:szCs w:val="18"/>
              </w:rPr>
              <w:t>Ilgtermiņa aizdevumi</w:t>
            </w:r>
          </w:p>
        </w:tc>
        <w:tc>
          <w:tcPr>
            <w:tcW w:w="490" w:type="pct"/>
            <w:gridSpan w:val="2"/>
            <w:tcBorders>
              <w:top w:val="single" w:sz="4" w:space="0" w:color="auto"/>
              <w:left w:val="nil"/>
              <w:bottom w:val="single" w:sz="4" w:space="0" w:color="auto"/>
              <w:right w:val="nil"/>
            </w:tcBorders>
            <w:shd w:val="clear" w:color="auto" w:fill="auto"/>
            <w:noWrap/>
            <w:vAlign w:val="center"/>
          </w:tcPr>
          <w:p w14:paraId="5E718F54" w14:textId="1D4110D6" w:rsidR="00D12490" w:rsidRPr="00A27896" w:rsidRDefault="00D12490" w:rsidP="00D12490">
            <w:pPr>
              <w:spacing w:after="0" w:line="240" w:lineRule="auto"/>
              <w:jc w:val="right"/>
              <w:rPr>
                <w:rFonts w:eastAsia="Times New Roman" w:cs="Times New Roman"/>
                <w:color w:val="17365D"/>
                <w:sz w:val="18"/>
                <w:szCs w:val="18"/>
                <w:lang w:eastAsia="lv-LV"/>
              </w:rPr>
            </w:pPr>
          </w:p>
        </w:tc>
        <w:tc>
          <w:tcPr>
            <w:tcW w:w="789" w:type="pct"/>
            <w:gridSpan w:val="2"/>
            <w:tcBorders>
              <w:top w:val="single" w:sz="4" w:space="0" w:color="auto"/>
              <w:left w:val="nil"/>
              <w:bottom w:val="single" w:sz="4" w:space="0" w:color="auto"/>
              <w:right w:val="nil"/>
            </w:tcBorders>
            <w:shd w:val="clear" w:color="auto" w:fill="auto"/>
            <w:vAlign w:val="center"/>
          </w:tcPr>
          <w:p w14:paraId="45947BA2" w14:textId="4842D257"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352 868 102</w:t>
            </w:r>
          </w:p>
        </w:tc>
        <w:tc>
          <w:tcPr>
            <w:tcW w:w="789" w:type="pct"/>
            <w:gridSpan w:val="2"/>
            <w:tcBorders>
              <w:top w:val="single" w:sz="4" w:space="0" w:color="auto"/>
              <w:left w:val="nil"/>
              <w:bottom w:val="single" w:sz="4" w:space="0" w:color="auto"/>
              <w:right w:val="nil"/>
            </w:tcBorders>
            <w:shd w:val="clear" w:color="auto" w:fill="auto"/>
            <w:vAlign w:val="center"/>
          </w:tcPr>
          <w:p w14:paraId="6C57C1D4" w14:textId="468C25E0"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311 985 516</w:t>
            </w:r>
          </w:p>
        </w:tc>
        <w:tc>
          <w:tcPr>
            <w:tcW w:w="789" w:type="pct"/>
            <w:gridSpan w:val="2"/>
            <w:tcBorders>
              <w:top w:val="single" w:sz="4" w:space="0" w:color="auto"/>
              <w:left w:val="nil"/>
              <w:bottom w:val="single" w:sz="4" w:space="0" w:color="auto"/>
              <w:right w:val="nil"/>
            </w:tcBorders>
            <w:shd w:val="clear" w:color="auto" w:fill="auto"/>
            <w:noWrap/>
            <w:vAlign w:val="center"/>
          </w:tcPr>
          <w:p w14:paraId="7DB3C2E5" w14:textId="0995ED27"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40 882 586</w:t>
            </w:r>
          </w:p>
        </w:tc>
        <w:tc>
          <w:tcPr>
            <w:tcW w:w="715" w:type="pct"/>
            <w:gridSpan w:val="2"/>
            <w:tcBorders>
              <w:top w:val="single" w:sz="4" w:space="0" w:color="auto"/>
              <w:left w:val="nil"/>
              <w:bottom w:val="single" w:sz="4" w:space="0" w:color="auto"/>
              <w:right w:val="nil"/>
            </w:tcBorders>
            <w:shd w:val="clear" w:color="auto" w:fill="auto"/>
            <w:noWrap/>
            <w:vAlign w:val="center"/>
          </w:tcPr>
          <w:p w14:paraId="7448C625" w14:textId="57B79E6C" w:rsidR="00D12490" w:rsidRPr="00D12490" w:rsidRDefault="00D12490" w:rsidP="00945479">
            <w:pPr>
              <w:spacing w:after="0" w:line="240" w:lineRule="auto"/>
              <w:jc w:val="right"/>
              <w:rPr>
                <w:rFonts w:cs="Times New Roman"/>
                <w:color w:val="17365D"/>
                <w:sz w:val="18"/>
                <w:szCs w:val="18"/>
              </w:rPr>
            </w:pPr>
            <w:r w:rsidRPr="006A00CA">
              <w:rPr>
                <w:rFonts w:cs="Times New Roman"/>
                <w:color w:val="17365D"/>
                <w:sz w:val="18"/>
                <w:szCs w:val="18"/>
              </w:rPr>
              <w:t>13.10</w:t>
            </w:r>
          </w:p>
        </w:tc>
      </w:tr>
      <w:tr w:rsidR="00D12490" w:rsidRPr="00A27896" w14:paraId="094A7E2D" w14:textId="77777777" w:rsidTr="006A00CA">
        <w:trPr>
          <w:trHeight w:val="396"/>
        </w:trPr>
        <w:tc>
          <w:tcPr>
            <w:tcW w:w="1428" w:type="pct"/>
            <w:tcBorders>
              <w:top w:val="single" w:sz="4" w:space="0" w:color="auto"/>
              <w:bottom w:val="single" w:sz="4" w:space="0" w:color="auto"/>
              <w:right w:val="nil"/>
            </w:tcBorders>
            <w:shd w:val="clear" w:color="auto" w:fill="auto"/>
            <w:vAlign w:val="center"/>
            <w:hideMark/>
          </w:tcPr>
          <w:p w14:paraId="7342BBC5" w14:textId="13AAC35C" w:rsidR="00D12490" w:rsidRPr="00A27896" w:rsidRDefault="00D12490" w:rsidP="00D12490">
            <w:pPr>
              <w:spacing w:after="0" w:line="240" w:lineRule="auto"/>
              <w:rPr>
                <w:rFonts w:cs="Times New Roman"/>
                <w:color w:val="17365D"/>
                <w:sz w:val="18"/>
                <w:szCs w:val="18"/>
              </w:rPr>
            </w:pPr>
            <w:r w:rsidRPr="00A27896">
              <w:rPr>
                <w:rFonts w:cs="Times New Roman"/>
                <w:color w:val="17365D"/>
                <w:sz w:val="18"/>
                <w:szCs w:val="18"/>
              </w:rPr>
              <w:lastRenderedPageBreak/>
              <w:t>Ilgtermiņa finanšu ieguldījumi vērtspapīros</w:t>
            </w:r>
          </w:p>
        </w:tc>
        <w:tc>
          <w:tcPr>
            <w:tcW w:w="490" w:type="pct"/>
            <w:gridSpan w:val="2"/>
            <w:tcBorders>
              <w:top w:val="single" w:sz="4" w:space="0" w:color="auto"/>
              <w:left w:val="nil"/>
              <w:bottom w:val="single" w:sz="4" w:space="0" w:color="auto"/>
              <w:right w:val="nil"/>
            </w:tcBorders>
            <w:shd w:val="clear" w:color="auto" w:fill="auto"/>
            <w:noWrap/>
            <w:vAlign w:val="center"/>
          </w:tcPr>
          <w:p w14:paraId="622A7824" w14:textId="2B54191B" w:rsidR="00D12490" w:rsidRPr="00A27896" w:rsidRDefault="00D12490" w:rsidP="00D12490">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 xml:space="preserve"> </w:t>
            </w:r>
          </w:p>
        </w:tc>
        <w:tc>
          <w:tcPr>
            <w:tcW w:w="789" w:type="pct"/>
            <w:gridSpan w:val="2"/>
            <w:tcBorders>
              <w:top w:val="single" w:sz="4" w:space="0" w:color="auto"/>
              <w:left w:val="nil"/>
              <w:bottom w:val="single" w:sz="4" w:space="0" w:color="auto"/>
              <w:right w:val="nil"/>
            </w:tcBorders>
            <w:shd w:val="clear" w:color="auto" w:fill="auto"/>
            <w:vAlign w:val="center"/>
          </w:tcPr>
          <w:p w14:paraId="124FD56C" w14:textId="3A458A59"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6 133</w:t>
            </w:r>
          </w:p>
        </w:tc>
        <w:tc>
          <w:tcPr>
            <w:tcW w:w="789" w:type="pct"/>
            <w:gridSpan w:val="2"/>
            <w:tcBorders>
              <w:top w:val="single" w:sz="4" w:space="0" w:color="auto"/>
              <w:left w:val="nil"/>
              <w:bottom w:val="single" w:sz="4" w:space="0" w:color="auto"/>
              <w:right w:val="nil"/>
            </w:tcBorders>
            <w:shd w:val="clear" w:color="auto" w:fill="auto"/>
            <w:vAlign w:val="center"/>
          </w:tcPr>
          <w:p w14:paraId="1BBB49A2" w14:textId="18D94E81"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6 811</w:t>
            </w:r>
          </w:p>
        </w:tc>
        <w:tc>
          <w:tcPr>
            <w:tcW w:w="789" w:type="pct"/>
            <w:gridSpan w:val="2"/>
            <w:tcBorders>
              <w:top w:val="single" w:sz="4" w:space="0" w:color="auto"/>
              <w:left w:val="nil"/>
              <w:bottom w:val="single" w:sz="4" w:space="0" w:color="auto"/>
              <w:right w:val="nil"/>
            </w:tcBorders>
            <w:shd w:val="clear" w:color="auto" w:fill="auto"/>
            <w:noWrap/>
            <w:vAlign w:val="center"/>
          </w:tcPr>
          <w:p w14:paraId="7B048492" w14:textId="63A559FE"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-678</w:t>
            </w:r>
          </w:p>
        </w:tc>
        <w:tc>
          <w:tcPr>
            <w:tcW w:w="715" w:type="pct"/>
            <w:gridSpan w:val="2"/>
            <w:tcBorders>
              <w:top w:val="single" w:sz="4" w:space="0" w:color="auto"/>
              <w:left w:val="nil"/>
              <w:bottom w:val="single" w:sz="4" w:space="0" w:color="auto"/>
              <w:right w:val="nil"/>
            </w:tcBorders>
            <w:shd w:val="clear" w:color="auto" w:fill="auto"/>
            <w:noWrap/>
            <w:vAlign w:val="center"/>
          </w:tcPr>
          <w:p w14:paraId="775EC222" w14:textId="597A48C7"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-9.95</w:t>
            </w:r>
          </w:p>
        </w:tc>
      </w:tr>
      <w:tr w:rsidR="00D12490" w:rsidRPr="00A27896" w14:paraId="5FB50A46" w14:textId="77777777" w:rsidTr="006A00CA">
        <w:trPr>
          <w:trHeight w:val="408"/>
        </w:trPr>
        <w:tc>
          <w:tcPr>
            <w:tcW w:w="1428" w:type="pct"/>
            <w:tcBorders>
              <w:top w:val="single" w:sz="4" w:space="0" w:color="auto"/>
              <w:bottom w:val="single" w:sz="4" w:space="0" w:color="auto"/>
              <w:right w:val="nil"/>
            </w:tcBorders>
            <w:shd w:val="clear" w:color="auto" w:fill="auto"/>
            <w:vAlign w:val="center"/>
            <w:hideMark/>
          </w:tcPr>
          <w:p w14:paraId="09D74683" w14:textId="403042C9" w:rsidR="00D12490" w:rsidRPr="00A27896" w:rsidRDefault="00D12490" w:rsidP="00D12490">
            <w:pPr>
              <w:spacing w:after="0" w:line="240" w:lineRule="auto"/>
              <w:rPr>
                <w:rFonts w:cs="Times New Roman"/>
                <w:color w:val="17365D"/>
                <w:sz w:val="18"/>
                <w:szCs w:val="18"/>
              </w:rPr>
            </w:pPr>
            <w:r w:rsidRPr="00A27896">
              <w:rPr>
                <w:rFonts w:cs="Times New Roman"/>
                <w:color w:val="17365D"/>
                <w:sz w:val="18"/>
                <w:szCs w:val="18"/>
              </w:rPr>
              <w:t>Pārējie ilgtermiņa finanšu ieguldījumi</w:t>
            </w:r>
          </w:p>
        </w:tc>
        <w:tc>
          <w:tcPr>
            <w:tcW w:w="490" w:type="pct"/>
            <w:gridSpan w:val="2"/>
            <w:tcBorders>
              <w:top w:val="single" w:sz="4" w:space="0" w:color="auto"/>
              <w:left w:val="nil"/>
              <w:bottom w:val="single" w:sz="4" w:space="0" w:color="auto"/>
              <w:right w:val="nil"/>
            </w:tcBorders>
            <w:shd w:val="clear" w:color="auto" w:fill="auto"/>
            <w:noWrap/>
            <w:vAlign w:val="center"/>
          </w:tcPr>
          <w:p w14:paraId="22B8D1FA" w14:textId="1A6765E0" w:rsidR="00D12490" w:rsidRPr="00A27896" w:rsidRDefault="00D12490" w:rsidP="00D12490">
            <w:pPr>
              <w:spacing w:after="0" w:line="240" w:lineRule="auto"/>
              <w:jc w:val="right"/>
              <w:rPr>
                <w:rFonts w:eastAsia="Times New Roman" w:cs="Times New Roman"/>
                <w:color w:val="17365D"/>
                <w:sz w:val="18"/>
                <w:szCs w:val="18"/>
                <w:lang w:eastAsia="lv-LV"/>
              </w:rPr>
            </w:pPr>
          </w:p>
        </w:tc>
        <w:tc>
          <w:tcPr>
            <w:tcW w:w="789" w:type="pct"/>
            <w:gridSpan w:val="2"/>
            <w:tcBorders>
              <w:top w:val="single" w:sz="4" w:space="0" w:color="auto"/>
              <w:left w:val="nil"/>
              <w:bottom w:val="single" w:sz="4" w:space="0" w:color="auto"/>
              <w:right w:val="nil"/>
            </w:tcBorders>
            <w:shd w:val="clear" w:color="auto" w:fill="auto"/>
            <w:vAlign w:val="center"/>
          </w:tcPr>
          <w:p w14:paraId="275C3B1D" w14:textId="4346DC86"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6 438 794 505</w:t>
            </w:r>
          </w:p>
        </w:tc>
        <w:tc>
          <w:tcPr>
            <w:tcW w:w="789" w:type="pct"/>
            <w:gridSpan w:val="2"/>
            <w:tcBorders>
              <w:top w:val="single" w:sz="4" w:space="0" w:color="auto"/>
              <w:left w:val="nil"/>
              <w:bottom w:val="single" w:sz="4" w:space="0" w:color="auto"/>
              <w:right w:val="nil"/>
            </w:tcBorders>
            <w:shd w:val="clear" w:color="auto" w:fill="auto"/>
            <w:vAlign w:val="center"/>
          </w:tcPr>
          <w:p w14:paraId="18549277" w14:textId="1086DF8B"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6 760 936 811</w:t>
            </w:r>
          </w:p>
        </w:tc>
        <w:tc>
          <w:tcPr>
            <w:tcW w:w="789" w:type="pct"/>
            <w:gridSpan w:val="2"/>
            <w:tcBorders>
              <w:top w:val="single" w:sz="4" w:space="0" w:color="auto"/>
              <w:left w:val="nil"/>
              <w:bottom w:val="single" w:sz="4" w:space="0" w:color="auto"/>
              <w:right w:val="nil"/>
            </w:tcBorders>
            <w:shd w:val="clear" w:color="auto" w:fill="auto"/>
            <w:noWrap/>
            <w:vAlign w:val="center"/>
          </w:tcPr>
          <w:p w14:paraId="7F83AB47" w14:textId="213A8953"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-322 142 306</w:t>
            </w:r>
          </w:p>
        </w:tc>
        <w:tc>
          <w:tcPr>
            <w:tcW w:w="715" w:type="pct"/>
            <w:gridSpan w:val="2"/>
            <w:tcBorders>
              <w:top w:val="single" w:sz="4" w:space="0" w:color="auto"/>
              <w:left w:val="nil"/>
              <w:bottom w:val="single" w:sz="4" w:space="0" w:color="auto"/>
              <w:right w:val="nil"/>
            </w:tcBorders>
            <w:shd w:val="clear" w:color="auto" w:fill="auto"/>
            <w:noWrap/>
            <w:vAlign w:val="center"/>
          </w:tcPr>
          <w:p w14:paraId="794ED101" w14:textId="5DB306F9"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-4.76</w:t>
            </w:r>
          </w:p>
        </w:tc>
      </w:tr>
      <w:tr w:rsidR="00D12490" w:rsidRPr="00A27896" w14:paraId="35D184FE" w14:textId="77777777" w:rsidTr="006A00CA">
        <w:trPr>
          <w:trHeight w:val="408"/>
        </w:trPr>
        <w:tc>
          <w:tcPr>
            <w:tcW w:w="1428" w:type="pct"/>
            <w:tcBorders>
              <w:top w:val="single" w:sz="4" w:space="0" w:color="auto"/>
              <w:bottom w:val="single" w:sz="4" w:space="0" w:color="auto"/>
              <w:right w:val="nil"/>
            </w:tcBorders>
            <w:shd w:val="clear" w:color="auto" w:fill="auto"/>
            <w:vAlign w:val="center"/>
          </w:tcPr>
          <w:p w14:paraId="3F580376" w14:textId="3ABB5799" w:rsidR="00D12490" w:rsidRPr="00A27896" w:rsidRDefault="00D12490" w:rsidP="00D12490">
            <w:pPr>
              <w:spacing w:after="0" w:line="240" w:lineRule="auto"/>
              <w:rPr>
                <w:rFonts w:cs="Times New Roman"/>
                <w:color w:val="17365D"/>
                <w:sz w:val="18"/>
                <w:szCs w:val="18"/>
              </w:rPr>
            </w:pPr>
            <w:r w:rsidRPr="00A27896">
              <w:rPr>
                <w:rFonts w:cs="Times New Roman"/>
                <w:color w:val="17365D"/>
                <w:sz w:val="18"/>
                <w:szCs w:val="18"/>
              </w:rPr>
              <w:t>Turējumā nodoti ilgtermiņa finanšu ieguldījumi</w:t>
            </w:r>
          </w:p>
        </w:tc>
        <w:tc>
          <w:tcPr>
            <w:tcW w:w="490" w:type="pct"/>
            <w:gridSpan w:val="2"/>
            <w:tcBorders>
              <w:top w:val="single" w:sz="4" w:space="0" w:color="auto"/>
              <w:left w:val="nil"/>
              <w:bottom w:val="single" w:sz="4" w:space="0" w:color="auto"/>
              <w:right w:val="nil"/>
            </w:tcBorders>
            <w:shd w:val="clear" w:color="auto" w:fill="auto"/>
            <w:noWrap/>
            <w:vAlign w:val="center"/>
          </w:tcPr>
          <w:p w14:paraId="2E898C27" w14:textId="125B7558" w:rsidR="00D12490" w:rsidRPr="00A27896" w:rsidRDefault="00D12490" w:rsidP="00D12490">
            <w:pPr>
              <w:spacing w:after="0" w:line="240" w:lineRule="auto"/>
              <w:jc w:val="right"/>
              <w:rPr>
                <w:rFonts w:cs="Times New Roman"/>
                <w:color w:val="17365D"/>
                <w:sz w:val="18"/>
                <w:szCs w:val="18"/>
              </w:rPr>
            </w:pPr>
          </w:p>
        </w:tc>
        <w:tc>
          <w:tcPr>
            <w:tcW w:w="789" w:type="pct"/>
            <w:gridSpan w:val="2"/>
            <w:tcBorders>
              <w:top w:val="single" w:sz="4" w:space="0" w:color="auto"/>
              <w:left w:val="nil"/>
              <w:bottom w:val="single" w:sz="4" w:space="0" w:color="auto"/>
              <w:right w:val="nil"/>
            </w:tcBorders>
            <w:shd w:val="clear" w:color="auto" w:fill="auto"/>
            <w:vAlign w:val="center"/>
          </w:tcPr>
          <w:p w14:paraId="6DD2762D" w14:textId="381F65C9"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135 806 368</w:t>
            </w:r>
          </w:p>
        </w:tc>
        <w:tc>
          <w:tcPr>
            <w:tcW w:w="789" w:type="pct"/>
            <w:gridSpan w:val="2"/>
            <w:tcBorders>
              <w:top w:val="single" w:sz="4" w:space="0" w:color="auto"/>
              <w:left w:val="nil"/>
              <w:bottom w:val="single" w:sz="4" w:space="0" w:color="auto"/>
              <w:right w:val="nil"/>
            </w:tcBorders>
            <w:shd w:val="clear" w:color="auto" w:fill="auto"/>
            <w:vAlign w:val="center"/>
          </w:tcPr>
          <w:p w14:paraId="3E0C9D86" w14:textId="27909601"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136 404 483</w:t>
            </w:r>
          </w:p>
        </w:tc>
        <w:tc>
          <w:tcPr>
            <w:tcW w:w="789" w:type="pct"/>
            <w:gridSpan w:val="2"/>
            <w:tcBorders>
              <w:top w:val="single" w:sz="4" w:space="0" w:color="auto"/>
              <w:left w:val="nil"/>
              <w:bottom w:val="single" w:sz="4" w:space="0" w:color="auto"/>
              <w:right w:val="nil"/>
            </w:tcBorders>
            <w:shd w:val="clear" w:color="auto" w:fill="auto"/>
            <w:noWrap/>
            <w:vAlign w:val="center"/>
          </w:tcPr>
          <w:p w14:paraId="0503FD38" w14:textId="70D770DD"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-598 115</w:t>
            </w:r>
          </w:p>
        </w:tc>
        <w:tc>
          <w:tcPr>
            <w:tcW w:w="715" w:type="pct"/>
            <w:gridSpan w:val="2"/>
            <w:tcBorders>
              <w:top w:val="single" w:sz="4" w:space="0" w:color="auto"/>
              <w:left w:val="nil"/>
              <w:bottom w:val="single" w:sz="4" w:space="0" w:color="auto"/>
              <w:right w:val="nil"/>
            </w:tcBorders>
            <w:shd w:val="clear" w:color="auto" w:fill="auto"/>
            <w:noWrap/>
            <w:vAlign w:val="center"/>
          </w:tcPr>
          <w:p w14:paraId="0515F12A" w14:textId="1411B996"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-0.44</w:t>
            </w:r>
          </w:p>
        </w:tc>
      </w:tr>
      <w:tr w:rsidR="00D12490" w:rsidRPr="00A27896" w14:paraId="799BF281" w14:textId="77777777" w:rsidTr="006A00CA">
        <w:trPr>
          <w:trHeight w:val="408"/>
        </w:trPr>
        <w:tc>
          <w:tcPr>
            <w:tcW w:w="1428" w:type="pct"/>
            <w:tcBorders>
              <w:top w:val="single" w:sz="4" w:space="0" w:color="auto"/>
              <w:bottom w:val="single" w:sz="4" w:space="0" w:color="auto"/>
              <w:right w:val="nil"/>
            </w:tcBorders>
            <w:shd w:val="clear" w:color="auto" w:fill="auto"/>
            <w:vAlign w:val="center"/>
          </w:tcPr>
          <w:p w14:paraId="41E7C89C" w14:textId="01E5548D" w:rsidR="00D12490" w:rsidRPr="00A27896" w:rsidRDefault="00D12490" w:rsidP="00D12490">
            <w:pPr>
              <w:spacing w:after="0" w:line="240" w:lineRule="auto"/>
              <w:rPr>
                <w:rFonts w:cs="Times New Roman"/>
                <w:color w:val="17365D"/>
                <w:sz w:val="18"/>
                <w:szCs w:val="18"/>
              </w:rPr>
            </w:pPr>
            <w:r w:rsidRPr="00A27896">
              <w:rPr>
                <w:rFonts w:cs="Times New Roman"/>
                <w:color w:val="17365D"/>
                <w:sz w:val="18"/>
                <w:szCs w:val="18"/>
              </w:rPr>
              <w:t>Avansa maksājumi par ilgtermiņa finanšu ieguldījumiem</w:t>
            </w:r>
          </w:p>
        </w:tc>
        <w:tc>
          <w:tcPr>
            <w:tcW w:w="490" w:type="pct"/>
            <w:gridSpan w:val="2"/>
            <w:tcBorders>
              <w:top w:val="single" w:sz="4" w:space="0" w:color="auto"/>
              <w:left w:val="nil"/>
              <w:bottom w:val="single" w:sz="4" w:space="0" w:color="auto"/>
              <w:right w:val="nil"/>
            </w:tcBorders>
            <w:shd w:val="clear" w:color="auto" w:fill="auto"/>
            <w:noWrap/>
            <w:vAlign w:val="center"/>
          </w:tcPr>
          <w:p w14:paraId="7407D552" w14:textId="39E178DD" w:rsidR="00D12490" w:rsidRPr="00A27896" w:rsidRDefault="00D12490" w:rsidP="00D12490">
            <w:pPr>
              <w:spacing w:after="0" w:line="240" w:lineRule="auto"/>
              <w:jc w:val="right"/>
              <w:rPr>
                <w:rFonts w:cs="Times New Roman"/>
                <w:color w:val="17365D"/>
                <w:sz w:val="18"/>
                <w:szCs w:val="18"/>
              </w:rPr>
            </w:pPr>
          </w:p>
        </w:tc>
        <w:tc>
          <w:tcPr>
            <w:tcW w:w="789" w:type="pct"/>
            <w:gridSpan w:val="2"/>
            <w:tcBorders>
              <w:top w:val="single" w:sz="4" w:space="0" w:color="auto"/>
              <w:left w:val="nil"/>
              <w:bottom w:val="single" w:sz="4" w:space="0" w:color="auto"/>
              <w:right w:val="nil"/>
            </w:tcBorders>
            <w:shd w:val="clear" w:color="auto" w:fill="auto"/>
            <w:vAlign w:val="center"/>
          </w:tcPr>
          <w:p w14:paraId="6B8FA405" w14:textId="0709672B"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9 426 401</w:t>
            </w:r>
          </w:p>
        </w:tc>
        <w:tc>
          <w:tcPr>
            <w:tcW w:w="789" w:type="pct"/>
            <w:gridSpan w:val="2"/>
            <w:tcBorders>
              <w:top w:val="single" w:sz="4" w:space="0" w:color="auto"/>
              <w:left w:val="nil"/>
              <w:bottom w:val="single" w:sz="4" w:space="0" w:color="auto"/>
              <w:right w:val="nil"/>
            </w:tcBorders>
            <w:shd w:val="clear" w:color="auto" w:fill="auto"/>
            <w:vAlign w:val="center"/>
          </w:tcPr>
          <w:p w14:paraId="00945020" w14:textId="0EC78E87"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48 230 929</w:t>
            </w:r>
          </w:p>
        </w:tc>
        <w:tc>
          <w:tcPr>
            <w:tcW w:w="789" w:type="pct"/>
            <w:gridSpan w:val="2"/>
            <w:tcBorders>
              <w:top w:val="single" w:sz="4" w:space="0" w:color="auto"/>
              <w:left w:val="nil"/>
              <w:bottom w:val="single" w:sz="4" w:space="0" w:color="auto"/>
              <w:right w:val="nil"/>
            </w:tcBorders>
            <w:shd w:val="clear" w:color="auto" w:fill="auto"/>
            <w:noWrap/>
            <w:vAlign w:val="center"/>
          </w:tcPr>
          <w:p w14:paraId="54D29C4A" w14:textId="18B38379"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-38 804 528</w:t>
            </w:r>
          </w:p>
        </w:tc>
        <w:tc>
          <w:tcPr>
            <w:tcW w:w="715" w:type="pct"/>
            <w:gridSpan w:val="2"/>
            <w:tcBorders>
              <w:top w:val="single" w:sz="4" w:space="0" w:color="auto"/>
              <w:left w:val="nil"/>
              <w:bottom w:val="single" w:sz="4" w:space="0" w:color="auto"/>
              <w:right w:val="nil"/>
            </w:tcBorders>
            <w:shd w:val="clear" w:color="auto" w:fill="auto"/>
            <w:noWrap/>
            <w:vAlign w:val="center"/>
          </w:tcPr>
          <w:p w14:paraId="2EC2935C" w14:textId="39C775CD" w:rsidR="00D12490" w:rsidRPr="00D12490" w:rsidRDefault="00D12490" w:rsidP="00D12490">
            <w:pPr>
              <w:spacing w:after="0" w:line="240" w:lineRule="auto"/>
              <w:jc w:val="right"/>
              <w:rPr>
                <w:rFonts w:cs="Times New Roman"/>
                <w:color w:val="17365D"/>
                <w:sz w:val="18"/>
                <w:szCs w:val="18"/>
              </w:rPr>
            </w:pPr>
            <w:r w:rsidRPr="006A00CA">
              <w:rPr>
                <w:rFonts w:cs="Times New Roman"/>
                <w:color w:val="17365D"/>
                <w:sz w:val="18"/>
                <w:szCs w:val="18"/>
              </w:rPr>
              <w:t>-80.46</w:t>
            </w:r>
          </w:p>
        </w:tc>
      </w:tr>
      <w:tr w:rsidR="000C1009" w:rsidRPr="00A27896" w14:paraId="651642F6" w14:textId="77777777" w:rsidTr="0085170B">
        <w:trPr>
          <w:trHeight w:val="202"/>
        </w:trPr>
        <w:tc>
          <w:tcPr>
            <w:tcW w:w="1555" w:type="pct"/>
            <w:gridSpan w:val="2"/>
            <w:tcBorders>
              <w:top w:val="single" w:sz="4" w:space="0" w:color="auto"/>
            </w:tcBorders>
            <w:shd w:val="clear" w:color="auto" w:fill="B9CDE5"/>
            <w:vAlign w:val="center"/>
          </w:tcPr>
          <w:p w14:paraId="72C26D5A" w14:textId="77777777" w:rsidR="00B131AA" w:rsidRPr="00A27896" w:rsidRDefault="00B131AA" w:rsidP="00B52074">
            <w:pPr>
              <w:spacing w:after="0"/>
              <w:rPr>
                <w:rFonts w:eastAsia="Times New Roman" w:cs="Times New Roman"/>
                <w:color w:val="17365D"/>
                <w:sz w:val="18"/>
                <w:szCs w:val="18"/>
                <w:lang w:eastAsia="lv-LV"/>
              </w:rPr>
            </w:pPr>
          </w:p>
        </w:tc>
        <w:tc>
          <w:tcPr>
            <w:tcW w:w="516" w:type="pct"/>
            <w:gridSpan w:val="2"/>
            <w:tcBorders>
              <w:top w:val="single" w:sz="4" w:space="0" w:color="auto"/>
            </w:tcBorders>
            <w:shd w:val="clear" w:color="auto" w:fill="B9CDE5"/>
            <w:noWrap/>
            <w:vAlign w:val="center"/>
          </w:tcPr>
          <w:p w14:paraId="27EA1513" w14:textId="77777777" w:rsidR="00B131AA" w:rsidRPr="00A27896" w:rsidRDefault="00B131AA" w:rsidP="00B52074">
            <w:pPr>
              <w:spacing w:after="0"/>
              <w:jc w:val="center"/>
              <w:rPr>
                <w:rFonts w:eastAsia="Times New Roman" w:cs="Times New Roman"/>
                <w:color w:val="17365D"/>
                <w:sz w:val="18"/>
                <w:szCs w:val="18"/>
                <w:lang w:eastAsia="lv-LV"/>
              </w:rPr>
            </w:pPr>
          </w:p>
        </w:tc>
        <w:tc>
          <w:tcPr>
            <w:tcW w:w="787" w:type="pct"/>
            <w:gridSpan w:val="2"/>
            <w:tcBorders>
              <w:top w:val="single" w:sz="4" w:space="0" w:color="auto"/>
            </w:tcBorders>
            <w:shd w:val="clear" w:color="auto" w:fill="B9CDE5"/>
            <w:noWrap/>
            <w:vAlign w:val="center"/>
          </w:tcPr>
          <w:p w14:paraId="5A374BA6" w14:textId="77777777" w:rsidR="00B131AA" w:rsidRPr="00A27896" w:rsidRDefault="00B131AA" w:rsidP="00B52074">
            <w:pPr>
              <w:spacing w:after="0"/>
              <w:jc w:val="right"/>
              <w:rPr>
                <w:rFonts w:eastAsia="Times New Roman" w:cs="Times New Roman"/>
                <w:color w:val="17365D"/>
                <w:sz w:val="18"/>
                <w:szCs w:val="18"/>
                <w:lang w:eastAsia="lv-LV"/>
              </w:rPr>
            </w:pPr>
          </w:p>
        </w:tc>
        <w:tc>
          <w:tcPr>
            <w:tcW w:w="778" w:type="pct"/>
            <w:gridSpan w:val="2"/>
            <w:tcBorders>
              <w:top w:val="single" w:sz="4" w:space="0" w:color="auto"/>
            </w:tcBorders>
            <w:shd w:val="clear" w:color="auto" w:fill="B9CDE5"/>
            <w:noWrap/>
            <w:vAlign w:val="center"/>
          </w:tcPr>
          <w:p w14:paraId="165DFFAA" w14:textId="77777777" w:rsidR="00B131AA" w:rsidRPr="00A27896" w:rsidRDefault="00B131AA" w:rsidP="00B52074">
            <w:pPr>
              <w:spacing w:after="0"/>
              <w:jc w:val="right"/>
              <w:rPr>
                <w:rFonts w:eastAsia="Times New Roman" w:cs="Times New Roman"/>
                <w:color w:val="17365D"/>
                <w:sz w:val="18"/>
                <w:szCs w:val="18"/>
                <w:lang w:eastAsia="lv-LV"/>
              </w:rPr>
            </w:pPr>
          </w:p>
        </w:tc>
        <w:tc>
          <w:tcPr>
            <w:tcW w:w="689" w:type="pct"/>
            <w:gridSpan w:val="2"/>
            <w:tcBorders>
              <w:top w:val="single" w:sz="4" w:space="0" w:color="auto"/>
            </w:tcBorders>
            <w:shd w:val="clear" w:color="auto" w:fill="B9CDE5"/>
            <w:noWrap/>
            <w:vAlign w:val="center"/>
          </w:tcPr>
          <w:p w14:paraId="2F25E6DD" w14:textId="77777777" w:rsidR="00B131AA" w:rsidRPr="00A27896" w:rsidRDefault="00B131AA" w:rsidP="00B52074">
            <w:pPr>
              <w:spacing w:after="0"/>
              <w:jc w:val="right"/>
              <w:rPr>
                <w:rFonts w:eastAsia="Times New Roman" w:cs="Times New Roman"/>
                <w:color w:val="17365D"/>
                <w:sz w:val="18"/>
                <w:szCs w:val="18"/>
                <w:lang w:eastAsia="lv-LV"/>
              </w:rPr>
            </w:pPr>
          </w:p>
        </w:tc>
        <w:tc>
          <w:tcPr>
            <w:tcW w:w="675" w:type="pct"/>
            <w:tcBorders>
              <w:top w:val="single" w:sz="4" w:space="0" w:color="auto"/>
            </w:tcBorders>
            <w:shd w:val="clear" w:color="auto" w:fill="B9CDE5"/>
            <w:noWrap/>
            <w:vAlign w:val="center"/>
          </w:tcPr>
          <w:p w14:paraId="5C167869" w14:textId="77777777" w:rsidR="00B131AA" w:rsidRPr="00A27896" w:rsidRDefault="00B131AA" w:rsidP="00B52074">
            <w:pPr>
              <w:spacing w:after="0"/>
              <w:jc w:val="right"/>
              <w:rPr>
                <w:rFonts w:eastAsia="Times New Roman" w:cs="Times New Roman"/>
                <w:color w:val="17365D"/>
                <w:sz w:val="18"/>
                <w:szCs w:val="18"/>
                <w:lang w:eastAsia="lv-LV"/>
              </w:rPr>
            </w:pPr>
          </w:p>
        </w:tc>
      </w:tr>
    </w:tbl>
    <w:p w14:paraId="3689585A" w14:textId="6B4E7026" w:rsidR="00707F5E" w:rsidRPr="00A27896" w:rsidRDefault="00707F5E" w:rsidP="003A693D">
      <w:pPr>
        <w:spacing w:before="240" w:after="120" w:line="240" w:lineRule="auto"/>
        <w:ind w:firstLine="284"/>
        <w:jc w:val="both"/>
        <w:rPr>
          <w:rFonts w:cs="Times New Roman"/>
          <w:bCs/>
          <w:color w:val="17365D"/>
        </w:rPr>
      </w:pPr>
      <w:r w:rsidRPr="00A27896">
        <w:rPr>
          <w:rFonts w:cs="Times New Roman"/>
          <w:bCs/>
          <w:color w:val="17365D"/>
        </w:rPr>
        <w:t>Ilgtermiņa finanšu ieguldījumu uzskaites vērtība pārskata gadā nav būtiski mainījusies.</w:t>
      </w:r>
    </w:p>
    <w:p w14:paraId="483B2ECF" w14:textId="413BB7AF" w:rsidR="00792D4C" w:rsidRPr="00A27896" w:rsidRDefault="00792D4C" w:rsidP="00031CD6">
      <w:pPr>
        <w:spacing w:after="120" w:line="240" w:lineRule="auto"/>
        <w:ind w:firstLine="284"/>
        <w:jc w:val="both"/>
        <w:rPr>
          <w:rFonts w:cs="Times New Roman"/>
          <w:bCs/>
          <w:color w:val="17365D"/>
        </w:rPr>
      </w:pPr>
      <w:r w:rsidRPr="00A27896">
        <w:rPr>
          <w:rFonts w:cs="Times New Roman"/>
          <w:bCs/>
          <w:color w:val="17365D"/>
        </w:rPr>
        <w:t>Bilances postenī “Ilgtermiņa aizdevumi” konsolidēti Valsts kases valsts budžeta finanšu uzskaites aizdevumi valsts un pašvaldību budžeta iestādēm.</w:t>
      </w:r>
    </w:p>
    <w:p w14:paraId="290F1F87" w14:textId="047EAE56" w:rsidR="009C482E" w:rsidRPr="00A27896" w:rsidRDefault="00987D7D" w:rsidP="005D25CC">
      <w:pPr>
        <w:spacing w:after="120" w:line="240" w:lineRule="auto"/>
        <w:ind w:firstLine="284"/>
        <w:jc w:val="both"/>
        <w:rPr>
          <w:rFonts w:cs="Times New Roman"/>
          <w:bCs/>
          <w:color w:val="17365D"/>
        </w:rPr>
      </w:pPr>
      <w:r w:rsidRPr="00A27896">
        <w:rPr>
          <w:rFonts w:cs="Times New Roman"/>
          <w:bCs/>
          <w:color w:val="17365D"/>
        </w:rPr>
        <w:t>L</w:t>
      </w:r>
      <w:r w:rsidR="002020FF" w:rsidRPr="00A27896">
        <w:rPr>
          <w:rFonts w:cs="Times New Roman"/>
          <w:bCs/>
          <w:color w:val="17365D"/>
        </w:rPr>
        <w:t>īdzdalības radniecīgās un asociētās kapitālsabiedrībās</w:t>
      </w:r>
      <w:r w:rsidRPr="00A27896">
        <w:rPr>
          <w:rFonts w:cs="Times New Roman"/>
          <w:bCs/>
          <w:color w:val="17365D"/>
        </w:rPr>
        <w:t>, tai skaitā turējumā nodotas līdzdalības,</w:t>
      </w:r>
      <w:r w:rsidR="002020FF" w:rsidRPr="00A27896">
        <w:rPr>
          <w:rFonts w:cs="Times New Roman"/>
          <w:bCs/>
          <w:color w:val="17365D"/>
        </w:rPr>
        <w:t xml:space="preserve"> vērtība pēc pašu kapitāla metodes </w:t>
      </w:r>
      <w:r w:rsidRPr="00A27896">
        <w:rPr>
          <w:rFonts w:cs="Times New Roman"/>
          <w:bCs/>
          <w:color w:val="17365D"/>
        </w:rPr>
        <w:t xml:space="preserve">atsevišķos gadījumos </w:t>
      </w:r>
      <w:r w:rsidR="002020FF" w:rsidRPr="00A27896">
        <w:rPr>
          <w:rFonts w:cs="Times New Roman"/>
          <w:bCs/>
          <w:color w:val="17365D"/>
        </w:rPr>
        <w:t>pārrēķināta, izmantojot kapitālsabiedrību pašu kapitāla datus par iepriekšējiem pārskata periodiem vai nepilnu pārskata periodu. Dati par pilnu pārskata periodu nav izmantoti, j</w:t>
      </w:r>
      <w:r w:rsidR="000313B4" w:rsidRPr="00A27896">
        <w:rPr>
          <w:rFonts w:cs="Times New Roman"/>
          <w:bCs/>
          <w:color w:val="17365D"/>
        </w:rPr>
        <w:t>a</w:t>
      </w:r>
      <w:r w:rsidR="002020FF" w:rsidRPr="00A27896">
        <w:rPr>
          <w:rFonts w:cs="Times New Roman"/>
          <w:bCs/>
          <w:color w:val="17365D"/>
        </w:rPr>
        <w:t xml:space="preserve"> attiecīgā kapitālsabiedrība tādus nav iesniegusi, uzsākts</w:t>
      </w:r>
      <w:r w:rsidR="00FE1DE2" w:rsidRPr="00A27896">
        <w:rPr>
          <w:rFonts w:cs="Times New Roman"/>
          <w:bCs/>
          <w:color w:val="17365D"/>
        </w:rPr>
        <w:t xml:space="preserve"> kapitālsabiedrības</w:t>
      </w:r>
      <w:r w:rsidR="002020FF" w:rsidRPr="00A27896">
        <w:rPr>
          <w:rFonts w:cs="Times New Roman"/>
          <w:bCs/>
          <w:color w:val="17365D"/>
        </w:rPr>
        <w:t xml:space="preserve"> likvidācijas process</w:t>
      </w:r>
      <w:r w:rsidR="00FE1DE2" w:rsidRPr="00A27896">
        <w:rPr>
          <w:rFonts w:cs="Times New Roman"/>
          <w:bCs/>
          <w:color w:val="17365D"/>
        </w:rPr>
        <w:t xml:space="preserve"> vai attiecīgā kapitālsabiedrība pārskata gadā reorganizēta</w:t>
      </w:r>
      <w:r w:rsidR="002020FF" w:rsidRPr="00A27896">
        <w:rPr>
          <w:rFonts w:cs="Times New Roman"/>
          <w:bCs/>
          <w:color w:val="17365D"/>
        </w:rPr>
        <w:t>.</w:t>
      </w:r>
    </w:p>
    <w:p w14:paraId="4D689E6D" w14:textId="51B5475D" w:rsidR="00FE1DE2" w:rsidRPr="00A27896" w:rsidRDefault="00FE1DE2" w:rsidP="00C265F1">
      <w:pPr>
        <w:spacing w:after="120" w:line="240" w:lineRule="auto"/>
        <w:ind w:firstLine="284"/>
        <w:jc w:val="both"/>
        <w:rPr>
          <w:rFonts w:cs="Times New Roman"/>
          <w:bCs/>
          <w:i/>
          <w:color w:val="17365D"/>
        </w:rPr>
      </w:pPr>
      <w:r w:rsidRPr="00A27896">
        <w:rPr>
          <w:rFonts w:cs="Times New Roman"/>
          <w:bCs/>
          <w:color w:val="17365D"/>
        </w:rPr>
        <w:t xml:space="preserve">Atbilstoši pašvaldību sniegtai informācijai </w:t>
      </w:r>
      <w:r w:rsidR="00870421" w:rsidRPr="00A27896">
        <w:rPr>
          <w:rFonts w:cs="Times New Roman"/>
          <w:bCs/>
          <w:color w:val="17365D"/>
        </w:rPr>
        <w:t xml:space="preserve">par darījumiem </w:t>
      </w:r>
      <w:r w:rsidRPr="00A27896">
        <w:rPr>
          <w:rFonts w:cs="Times New Roman"/>
          <w:bCs/>
          <w:color w:val="17365D"/>
        </w:rPr>
        <w:t>laika posmā starp izmantotā kapitālsabiedrības finanšu pārskata datumu un datumu, kad finanšu pārskatu sagatavo kapitāldaļu turētājs,</w:t>
      </w:r>
      <w:r w:rsidR="00870421" w:rsidRPr="00A27896">
        <w:rPr>
          <w:rFonts w:cs="Times New Roman"/>
          <w:bCs/>
          <w:i/>
          <w:color w:val="17365D"/>
        </w:rPr>
        <w:t xml:space="preserve"> </w:t>
      </w:r>
      <w:r w:rsidR="00F64620" w:rsidRPr="00A27896">
        <w:rPr>
          <w:rFonts w:cs="Times New Roman"/>
          <w:bCs/>
          <w:color w:val="17365D"/>
        </w:rPr>
        <w:t xml:space="preserve">paredzami zaudējumi </w:t>
      </w:r>
      <w:r w:rsidR="00050688" w:rsidRPr="00A27896">
        <w:rPr>
          <w:rFonts w:cs="Times New Roman"/>
          <w:bCs/>
          <w:color w:val="17365D"/>
        </w:rPr>
        <w:t>227 017</w:t>
      </w:r>
      <w:r w:rsidR="00F64620" w:rsidRPr="00A27896">
        <w:rPr>
          <w:rFonts w:cs="Times New Roman"/>
          <w:bCs/>
          <w:color w:val="17365D"/>
        </w:rPr>
        <w:t xml:space="preserve"> </w:t>
      </w:r>
      <w:proofErr w:type="spellStart"/>
      <w:r w:rsidR="00F64620" w:rsidRPr="00A27896">
        <w:rPr>
          <w:rFonts w:cs="Times New Roman"/>
          <w:bCs/>
          <w:i/>
          <w:color w:val="17365D"/>
        </w:rPr>
        <w:t>euro</w:t>
      </w:r>
      <w:proofErr w:type="spellEnd"/>
      <w:r w:rsidR="00F64620" w:rsidRPr="00A27896">
        <w:rPr>
          <w:rFonts w:cs="Times New Roman"/>
          <w:bCs/>
          <w:color w:val="17365D"/>
        </w:rPr>
        <w:t xml:space="preserve"> vērtībā</w:t>
      </w:r>
      <w:r w:rsidR="00050688" w:rsidRPr="00A27896">
        <w:rPr>
          <w:rFonts w:cs="Times New Roman"/>
          <w:bCs/>
          <w:color w:val="17365D"/>
        </w:rPr>
        <w:t xml:space="preserve">, kā arī izmaksātas dividendes 1 805 149 </w:t>
      </w:r>
      <w:proofErr w:type="spellStart"/>
      <w:r w:rsidR="00050688" w:rsidRPr="00A27896">
        <w:rPr>
          <w:rFonts w:cs="Times New Roman"/>
          <w:bCs/>
          <w:i/>
          <w:color w:val="17365D"/>
        </w:rPr>
        <w:t>euro</w:t>
      </w:r>
      <w:proofErr w:type="spellEnd"/>
      <w:r w:rsidR="00050688" w:rsidRPr="00A27896">
        <w:rPr>
          <w:rFonts w:cs="Times New Roman"/>
          <w:bCs/>
          <w:color w:val="17365D"/>
        </w:rPr>
        <w:t xml:space="preserve"> vērtībā</w:t>
      </w:r>
      <w:r w:rsidR="00F64620" w:rsidRPr="00A27896">
        <w:rPr>
          <w:rFonts w:cs="Times New Roman"/>
          <w:bCs/>
          <w:color w:val="17365D"/>
        </w:rPr>
        <w:t>.</w:t>
      </w:r>
    </w:p>
    <w:p w14:paraId="12C1E7E9" w14:textId="77777777" w:rsidR="00304751" w:rsidRPr="00A27896" w:rsidRDefault="00304751" w:rsidP="00304751">
      <w:pPr>
        <w:spacing w:after="120" w:line="240" w:lineRule="auto"/>
        <w:ind w:firstLine="284"/>
        <w:jc w:val="both"/>
        <w:rPr>
          <w:rFonts w:cs="Times New Roman"/>
          <w:bCs/>
          <w:color w:val="17365D"/>
        </w:rPr>
      </w:pPr>
      <w:r w:rsidRPr="00A27896">
        <w:rPr>
          <w:rFonts w:cs="Times New Roman"/>
          <w:bCs/>
          <w:color w:val="17365D"/>
        </w:rPr>
        <w:t>Pielietojot pašu kapitāla metodi līdzdalības radniecīgās un asociētās kapitālsabiedrībās novērtēšanai, ieguldījuma vērtību samazina līdz nullei, ja kapitālsabiedrības pašu kapitāla vērtība ir negatīva. Pārskata perioda beigās saskaņā ar ministriju, centrālo valsts iestāžu un pašvaldību sniegto informāciju:</w:t>
      </w:r>
    </w:p>
    <w:p w14:paraId="33EA842D" w14:textId="7456A508" w:rsidR="00304751" w:rsidRPr="00A27896" w:rsidRDefault="00304751" w:rsidP="0057470D">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kapitālsabiedrības neatzītā kopējā zaudējumu daļa, ja kapitāla daļu turētājs pārstājis atzīt savu daļu kapitālsabiedrības zaudējumos, ir </w:t>
      </w:r>
      <w:r w:rsidR="0014280E" w:rsidRPr="00A27896">
        <w:rPr>
          <w:color w:val="17365D"/>
          <w:sz w:val="24"/>
          <w:szCs w:val="24"/>
        </w:rPr>
        <w:t>1</w:t>
      </w:r>
      <w:r w:rsidR="00050688" w:rsidRPr="00A27896">
        <w:rPr>
          <w:color w:val="17365D"/>
          <w:sz w:val="24"/>
          <w:szCs w:val="24"/>
        </w:rPr>
        <w:t>70</w:t>
      </w:r>
      <w:r w:rsidR="0014280E" w:rsidRPr="00A27896">
        <w:rPr>
          <w:color w:val="17365D"/>
          <w:sz w:val="24"/>
          <w:szCs w:val="24"/>
        </w:rPr>
        <w:t xml:space="preserve"> </w:t>
      </w:r>
      <w:r w:rsidR="00050688" w:rsidRPr="00A27896">
        <w:rPr>
          <w:color w:val="17365D"/>
          <w:sz w:val="24"/>
          <w:szCs w:val="24"/>
        </w:rPr>
        <w:t xml:space="preserve">309 225 </w:t>
      </w:r>
      <w:proofErr w:type="spellStart"/>
      <w:r w:rsidRPr="00EC4A68">
        <w:rPr>
          <w:i/>
          <w:color w:val="17365D"/>
          <w:sz w:val="24"/>
          <w:szCs w:val="24"/>
        </w:rPr>
        <w:t>euro</w:t>
      </w:r>
      <w:proofErr w:type="spellEnd"/>
      <w:r w:rsidRPr="00A27896">
        <w:rPr>
          <w:color w:val="17365D"/>
          <w:sz w:val="24"/>
          <w:szCs w:val="24"/>
        </w:rPr>
        <w:t xml:space="preserve"> (lielākie </w:t>
      </w:r>
      <w:r w:rsidR="00C96482" w:rsidRPr="00A27896">
        <w:rPr>
          <w:color w:val="17365D"/>
          <w:sz w:val="24"/>
          <w:szCs w:val="24"/>
        </w:rPr>
        <w:t>AS “</w:t>
      </w:r>
      <w:proofErr w:type="spellStart"/>
      <w:r w:rsidR="00C96482" w:rsidRPr="00A27896">
        <w:rPr>
          <w:color w:val="17365D"/>
          <w:sz w:val="24"/>
          <w:szCs w:val="24"/>
        </w:rPr>
        <w:t>Air</w:t>
      </w:r>
      <w:proofErr w:type="spellEnd"/>
      <w:r w:rsidR="00C96482" w:rsidRPr="00A27896">
        <w:rPr>
          <w:color w:val="17365D"/>
          <w:sz w:val="24"/>
          <w:szCs w:val="24"/>
        </w:rPr>
        <w:t xml:space="preserve"> </w:t>
      </w:r>
      <w:proofErr w:type="spellStart"/>
      <w:r w:rsidR="00C96482" w:rsidRPr="00A27896">
        <w:rPr>
          <w:color w:val="17365D"/>
          <w:sz w:val="24"/>
          <w:szCs w:val="24"/>
        </w:rPr>
        <w:t>Baltic</w:t>
      </w:r>
      <w:proofErr w:type="spellEnd"/>
      <w:r w:rsidR="00C96482" w:rsidRPr="00A27896">
        <w:rPr>
          <w:color w:val="17365D"/>
          <w:sz w:val="24"/>
          <w:szCs w:val="24"/>
        </w:rPr>
        <w:t xml:space="preserve"> </w:t>
      </w:r>
      <w:proofErr w:type="spellStart"/>
      <w:r w:rsidR="00C96482" w:rsidRPr="00A27896">
        <w:rPr>
          <w:color w:val="17365D"/>
          <w:sz w:val="24"/>
          <w:szCs w:val="24"/>
        </w:rPr>
        <w:t>Corporation</w:t>
      </w:r>
      <w:proofErr w:type="spellEnd"/>
      <w:r w:rsidR="00C96482" w:rsidRPr="00A27896">
        <w:rPr>
          <w:color w:val="17365D"/>
          <w:sz w:val="24"/>
          <w:szCs w:val="24"/>
        </w:rPr>
        <w:t>”</w:t>
      </w:r>
      <w:r w:rsidRPr="00A27896">
        <w:rPr>
          <w:color w:val="17365D"/>
          <w:sz w:val="24"/>
          <w:szCs w:val="24"/>
        </w:rPr>
        <w:t xml:space="preserve"> </w:t>
      </w:r>
      <w:r w:rsidR="0014280E" w:rsidRPr="00A27896">
        <w:rPr>
          <w:color w:val="17365D"/>
          <w:sz w:val="24"/>
          <w:szCs w:val="24"/>
        </w:rPr>
        <w:t>1</w:t>
      </w:r>
      <w:r w:rsidR="00050688" w:rsidRPr="00A27896">
        <w:rPr>
          <w:color w:val="17365D"/>
          <w:sz w:val="24"/>
          <w:szCs w:val="24"/>
        </w:rPr>
        <w:t>68</w:t>
      </w:r>
      <w:r w:rsidR="0014280E" w:rsidRPr="00A27896">
        <w:rPr>
          <w:color w:val="17365D"/>
          <w:sz w:val="24"/>
          <w:szCs w:val="24"/>
        </w:rPr>
        <w:t> </w:t>
      </w:r>
      <w:r w:rsidR="00050688" w:rsidRPr="00A27896">
        <w:rPr>
          <w:color w:val="17365D"/>
          <w:sz w:val="24"/>
          <w:szCs w:val="24"/>
        </w:rPr>
        <w:t>330 128</w:t>
      </w:r>
      <w:r w:rsidR="00050688" w:rsidRPr="00A27896" w:rsidDel="0014280E">
        <w:rPr>
          <w:color w:val="17365D"/>
          <w:sz w:val="24"/>
          <w:szCs w:val="24"/>
        </w:rPr>
        <w:t xml:space="preserve"> </w:t>
      </w:r>
      <w:proofErr w:type="spellStart"/>
      <w:r w:rsidRPr="00EC4A68">
        <w:rPr>
          <w:i/>
          <w:color w:val="17365D"/>
          <w:sz w:val="24"/>
          <w:szCs w:val="24"/>
        </w:rPr>
        <w:t>euro</w:t>
      </w:r>
      <w:proofErr w:type="spellEnd"/>
      <w:r w:rsidRPr="00A27896">
        <w:rPr>
          <w:color w:val="17365D"/>
          <w:sz w:val="24"/>
          <w:szCs w:val="24"/>
        </w:rPr>
        <w:t xml:space="preserve">), t.sk. pārskata periodā </w:t>
      </w:r>
      <w:r w:rsidR="00050688" w:rsidRPr="00A27896">
        <w:rPr>
          <w:color w:val="17365D"/>
          <w:sz w:val="24"/>
          <w:szCs w:val="24"/>
        </w:rPr>
        <w:t>168 557 912</w:t>
      </w:r>
      <w:r w:rsidR="00050688" w:rsidRPr="00A27896" w:rsidDel="0014280E">
        <w:rPr>
          <w:color w:val="17365D"/>
          <w:sz w:val="24"/>
          <w:szCs w:val="24"/>
        </w:rPr>
        <w:t xml:space="preserve"> </w:t>
      </w:r>
      <w:proofErr w:type="spellStart"/>
      <w:r w:rsidRPr="00EC4A68">
        <w:rPr>
          <w:i/>
          <w:color w:val="17365D"/>
          <w:sz w:val="24"/>
          <w:szCs w:val="24"/>
        </w:rPr>
        <w:t>euro</w:t>
      </w:r>
      <w:proofErr w:type="spellEnd"/>
      <w:r w:rsidRPr="00A27896">
        <w:rPr>
          <w:color w:val="17365D"/>
          <w:sz w:val="24"/>
          <w:szCs w:val="24"/>
        </w:rPr>
        <w:t xml:space="preserve"> (lielākie </w:t>
      </w:r>
      <w:r w:rsidR="00C96482" w:rsidRPr="00A27896">
        <w:rPr>
          <w:color w:val="17365D"/>
          <w:sz w:val="24"/>
          <w:szCs w:val="24"/>
        </w:rPr>
        <w:t>AS “</w:t>
      </w:r>
      <w:proofErr w:type="spellStart"/>
      <w:r w:rsidR="00C96482" w:rsidRPr="00A27896">
        <w:rPr>
          <w:color w:val="17365D"/>
          <w:sz w:val="24"/>
          <w:szCs w:val="24"/>
        </w:rPr>
        <w:t>Air</w:t>
      </w:r>
      <w:proofErr w:type="spellEnd"/>
      <w:r w:rsidR="00C96482" w:rsidRPr="00A27896">
        <w:rPr>
          <w:color w:val="17365D"/>
          <w:sz w:val="24"/>
          <w:szCs w:val="24"/>
        </w:rPr>
        <w:t xml:space="preserve"> </w:t>
      </w:r>
      <w:proofErr w:type="spellStart"/>
      <w:r w:rsidR="00C96482" w:rsidRPr="00A27896">
        <w:rPr>
          <w:color w:val="17365D"/>
          <w:sz w:val="24"/>
          <w:szCs w:val="24"/>
        </w:rPr>
        <w:t>Baltic</w:t>
      </w:r>
      <w:proofErr w:type="spellEnd"/>
      <w:r w:rsidR="00C96482" w:rsidRPr="00A27896">
        <w:rPr>
          <w:color w:val="17365D"/>
          <w:sz w:val="24"/>
          <w:szCs w:val="24"/>
        </w:rPr>
        <w:t xml:space="preserve"> </w:t>
      </w:r>
      <w:proofErr w:type="spellStart"/>
      <w:r w:rsidR="00C96482" w:rsidRPr="00A27896">
        <w:rPr>
          <w:color w:val="17365D"/>
          <w:sz w:val="24"/>
          <w:szCs w:val="24"/>
        </w:rPr>
        <w:t>Corporation</w:t>
      </w:r>
      <w:proofErr w:type="spellEnd"/>
      <w:r w:rsidR="00C96482" w:rsidRPr="00A27896">
        <w:rPr>
          <w:color w:val="17365D"/>
          <w:sz w:val="24"/>
          <w:szCs w:val="24"/>
        </w:rPr>
        <w:t>”</w:t>
      </w:r>
      <w:r w:rsidR="0014280E" w:rsidRPr="00A27896">
        <w:rPr>
          <w:color w:val="17365D"/>
          <w:sz w:val="24"/>
          <w:szCs w:val="24"/>
        </w:rPr>
        <w:t xml:space="preserve"> </w:t>
      </w:r>
      <w:r w:rsidR="00050688" w:rsidRPr="00A27896">
        <w:rPr>
          <w:color w:val="17365D"/>
          <w:sz w:val="24"/>
          <w:szCs w:val="24"/>
        </w:rPr>
        <w:t>168 330 128</w:t>
      </w:r>
      <w:r w:rsidR="00050688" w:rsidRPr="00A27896" w:rsidDel="0014280E">
        <w:rPr>
          <w:color w:val="17365D"/>
          <w:sz w:val="24"/>
          <w:szCs w:val="24"/>
        </w:rPr>
        <w:t xml:space="preserve"> </w:t>
      </w:r>
      <w:proofErr w:type="spellStart"/>
      <w:r w:rsidRPr="00EC4A68">
        <w:rPr>
          <w:i/>
          <w:color w:val="17365D"/>
          <w:sz w:val="24"/>
          <w:szCs w:val="24"/>
        </w:rPr>
        <w:t>euro</w:t>
      </w:r>
      <w:proofErr w:type="spellEnd"/>
      <w:r w:rsidRPr="00A27896">
        <w:rPr>
          <w:color w:val="17365D"/>
          <w:sz w:val="24"/>
          <w:szCs w:val="24"/>
        </w:rPr>
        <w:t>);</w:t>
      </w:r>
    </w:p>
    <w:p w14:paraId="46DD8478" w14:textId="69DDF4B7" w:rsidR="00304751" w:rsidRPr="00A27896" w:rsidRDefault="00304751" w:rsidP="0057470D">
      <w:pPr>
        <w:pStyle w:val="tv2131"/>
        <w:numPr>
          <w:ilvl w:val="0"/>
          <w:numId w:val="18"/>
        </w:numPr>
        <w:spacing w:after="120" w:line="240" w:lineRule="auto"/>
        <w:ind w:left="851"/>
        <w:jc w:val="both"/>
        <w:rPr>
          <w:color w:val="17365D"/>
          <w:sz w:val="24"/>
          <w:szCs w:val="24"/>
        </w:rPr>
      </w:pPr>
      <w:r w:rsidRPr="00A27896">
        <w:rPr>
          <w:color w:val="17365D"/>
          <w:sz w:val="24"/>
          <w:szCs w:val="24"/>
        </w:rPr>
        <w:t xml:space="preserve">peļņas daļa, kas nepārsniedz zaudējumus, ir </w:t>
      </w:r>
      <w:r w:rsidR="00D95669" w:rsidRPr="00A27896">
        <w:rPr>
          <w:color w:val="17365D"/>
          <w:sz w:val="24"/>
          <w:szCs w:val="24"/>
        </w:rPr>
        <w:t xml:space="preserve">13 268 </w:t>
      </w:r>
      <w:proofErr w:type="spellStart"/>
      <w:r w:rsidRPr="00EC4A68">
        <w:rPr>
          <w:i/>
          <w:color w:val="17365D"/>
          <w:sz w:val="24"/>
          <w:szCs w:val="24"/>
        </w:rPr>
        <w:t>euro</w:t>
      </w:r>
      <w:proofErr w:type="spellEnd"/>
      <w:r w:rsidRPr="00A27896">
        <w:rPr>
          <w:color w:val="17365D"/>
          <w:sz w:val="24"/>
          <w:szCs w:val="24"/>
        </w:rPr>
        <w:t>;</w:t>
      </w:r>
    </w:p>
    <w:p w14:paraId="3B2FCC6E" w14:textId="6525B3D9" w:rsidR="00304751" w:rsidRPr="00A27896" w:rsidRDefault="00304751" w:rsidP="0057470D">
      <w:pPr>
        <w:pStyle w:val="tv2131"/>
        <w:numPr>
          <w:ilvl w:val="0"/>
          <w:numId w:val="18"/>
        </w:numPr>
        <w:spacing w:after="120" w:line="240" w:lineRule="auto"/>
        <w:ind w:left="851"/>
        <w:jc w:val="both"/>
        <w:rPr>
          <w:color w:val="17365D"/>
          <w:sz w:val="24"/>
          <w:szCs w:val="24"/>
        </w:rPr>
      </w:pPr>
      <w:r w:rsidRPr="00A27896">
        <w:rPr>
          <w:color w:val="17365D"/>
          <w:sz w:val="24"/>
          <w:szCs w:val="24"/>
        </w:rPr>
        <w:t>uz ieguldījumiem radniecīgās un asociētās kapitālsabiedrībās attiecinām</w:t>
      </w:r>
      <w:r w:rsidR="00D95669" w:rsidRPr="00A27896">
        <w:rPr>
          <w:color w:val="17365D"/>
          <w:sz w:val="24"/>
          <w:szCs w:val="24"/>
        </w:rPr>
        <w:t>as</w:t>
      </w:r>
      <w:r w:rsidRPr="00A27896">
        <w:rPr>
          <w:color w:val="17365D"/>
          <w:sz w:val="24"/>
          <w:szCs w:val="24"/>
        </w:rPr>
        <w:t xml:space="preserve"> iespējam</w:t>
      </w:r>
      <w:r w:rsidR="00D95669" w:rsidRPr="00A27896">
        <w:rPr>
          <w:color w:val="17365D"/>
          <w:sz w:val="24"/>
          <w:szCs w:val="24"/>
        </w:rPr>
        <w:t>ās</w:t>
      </w:r>
      <w:r w:rsidRPr="00A27896">
        <w:rPr>
          <w:color w:val="17365D"/>
          <w:sz w:val="24"/>
          <w:szCs w:val="24"/>
        </w:rPr>
        <w:t xml:space="preserve"> saistīb</w:t>
      </w:r>
      <w:r w:rsidR="00D95669" w:rsidRPr="00A27896">
        <w:rPr>
          <w:color w:val="17365D"/>
          <w:sz w:val="24"/>
          <w:szCs w:val="24"/>
        </w:rPr>
        <w:t xml:space="preserve">as ir 189 819 </w:t>
      </w:r>
      <w:proofErr w:type="spellStart"/>
      <w:r w:rsidR="00D95669" w:rsidRPr="00EC4A68">
        <w:rPr>
          <w:i/>
          <w:color w:val="17365D"/>
          <w:sz w:val="24"/>
          <w:szCs w:val="24"/>
        </w:rPr>
        <w:t>euro</w:t>
      </w:r>
      <w:proofErr w:type="spellEnd"/>
      <w:r w:rsidRPr="00A27896">
        <w:rPr>
          <w:color w:val="17365D"/>
          <w:sz w:val="24"/>
          <w:szCs w:val="24"/>
        </w:rPr>
        <w:t xml:space="preserve">, </w:t>
      </w:r>
    </w:p>
    <w:p w14:paraId="40A07FD3" w14:textId="3911E021" w:rsidR="003D1ECC" w:rsidRPr="00A27896" w:rsidRDefault="00D95669" w:rsidP="0057470D">
      <w:pPr>
        <w:pStyle w:val="tv2131"/>
        <w:numPr>
          <w:ilvl w:val="0"/>
          <w:numId w:val="18"/>
        </w:numPr>
        <w:spacing w:after="120" w:line="240" w:lineRule="auto"/>
        <w:ind w:left="851"/>
        <w:jc w:val="both"/>
        <w:rPr>
          <w:color w:val="17365D"/>
          <w:sz w:val="24"/>
          <w:szCs w:val="24"/>
        </w:rPr>
      </w:pPr>
      <w:r w:rsidRPr="00A27896">
        <w:rPr>
          <w:color w:val="17365D"/>
          <w:sz w:val="24"/>
          <w:szCs w:val="24"/>
        </w:rPr>
        <w:t>uzņēmumu zaudējumu un likvidācijas procesa rezultātā konstatēti</w:t>
      </w:r>
      <w:r w:rsidRPr="00A27896" w:rsidDel="00D95669">
        <w:rPr>
          <w:color w:val="17365D"/>
          <w:sz w:val="24"/>
          <w:szCs w:val="24"/>
        </w:rPr>
        <w:t xml:space="preserve"> </w:t>
      </w:r>
      <w:r w:rsidR="00304751" w:rsidRPr="00A27896">
        <w:rPr>
          <w:color w:val="17365D"/>
          <w:sz w:val="24"/>
          <w:szCs w:val="24"/>
        </w:rPr>
        <w:t>ierobežojumi, kas ietekmē kapitālsabiedrību spēju pārskaitīt naudas līdzekļus ieguldītājam dividenžu vai tamlīdzīgu maksājumu veidā</w:t>
      </w:r>
      <w:r w:rsidRPr="00A27896">
        <w:rPr>
          <w:color w:val="17365D"/>
          <w:sz w:val="24"/>
          <w:szCs w:val="24"/>
        </w:rPr>
        <w:t xml:space="preserve">, 176 966 </w:t>
      </w:r>
      <w:proofErr w:type="spellStart"/>
      <w:r w:rsidRPr="00EC4A68">
        <w:rPr>
          <w:i/>
          <w:color w:val="17365D"/>
          <w:sz w:val="24"/>
          <w:szCs w:val="24"/>
        </w:rPr>
        <w:t>euro</w:t>
      </w:r>
      <w:proofErr w:type="spellEnd"/>
      <w:r w:rsidR="00304751" w:rsidRPr="00A27896">
        <w:rPr>
          <w:color w:val="17365D"/>
          <w:sz w:val="24"/>
          <w:szCs w:val="24"/>
        </w:rPr>
        <w:t>.</w:t>
      </w:r>
    </w:p>
    <w:p w14:paraId="44A366D4" w14:textId="07227030" w:rsidR="00FE5358" w:rsidRPr="00A27896" w:rsidRDefault="00B539A5" w:rsidP="003A693D">
      <w:pPr>
        <w:pStyle w:val="Heading4"/>
        <w:spacing w:after="40"/>
        <w:rPr>
          <w:rFonts w:cs="Times New Roman"/>
        </w:rPr>
      </w:pPr>
      <w:r w:rsidRPr="00A27896">
        <w:rPr>
          <w:rFonts w:cs="Times New Roman"/>
        </w:rPr>
        <w:t xml:space="preserve">Piezīme Nr. </w:t>
      </w:r>
      <w:r w:rsidR="003E4135" w:rsidRPr="00A27896">
        <w:rPr>
          <w:rFonts w:cs="Times New Roman"/>
        </w:rPr>
        <w:t>KB.</w:t>
      </w:r>
      <w:r w:rsidR="00F73CE6" w:rsidRPr="00A27896">
        <w:rPr>
          <w:rFonts w:cs="Times New Roman"/>
        </w:rPr>
        <w:t>1.</w:t>
      </w:r>
      <w:r w:rsidR="003E4135" w:rsidRPr="00A27896">
        <w:rPr>
          <w:rFonts w:cs="Times New Roman"/>
        </w:rPr>
        <w:t xml:space="preserve">4. </w:t>
      </w:r>
      <w:r w:rsidR="007F3C4C" w:rsidRPr="00A27896">
        <w:rPr>
          <w:rFonts w:cs="Times New Roman"/>
        </w:rPr>
        <w:t>Ilgtermiņa prasības</w:t>
      </w:r>
    </w:p>
    <w:p w14:paraId="4BACA6D3" w14:textId="08C173D4" w:rsidR="00C71A07" w:rsidRPr="00A27896" w:rsidRDefault="00212DF3" w:rsidP="003A693D">
      <w:pPr>
        <w:pStyle w:val="Tabulasnosaukums1"/>
        <w:spacing w:before="0" w:line="240" w:lineRule="auto"/>
        <w:rPr>
          <w:rFonts w:cs="Times New Roman"/>
          <w:i/>
          <w:color w:val="17365D"/>
        </w:rPr>
      </w:pPr>
      <w:r w:rsidRPr="00A27896">
        <w:rPr>
          <w:rFonts w:cs="Times New Roman"/>
          <w:i/>
          <w:color w:val="17365D"/>
        </w:rPr>
        <w:t>6</w:t>
      </w:r>
      <w:r w:rsidR="00B533FD" w:rsidRPr="00A27896">
        <w:rPr>
          <w:rFonts w:cs="Times New Roman"/>
          <w:i/>
          <w:color w:val="17365D"/>
        </w:rPr>
        <w:t>. tabula</w:t>
      </w:r>
      <w:r w:rsidR="00C71A07" w:rsidRPr="00A27896">
        <w:rPr>
          <w:rFonts w:cs="Times New Roman"/>
          <w:i/>
          <w:color w:val="17365D"/>
        </w:rPr>
        <w:t>. Ilgtermiņa prasības (</w:t>
      </w:r>
      <w:proofErr w:type="spellStart"/>
      <w:r w:rsidR="0025409F" w:rsidRPr="00A27896">
        <w:rPr>
          <w:rFonts w:cs="Times New Roman"/>
          <w:i/>
          <w:color w:val="17365D"/>
        </w:rPr>
        <w:t>euro</w:t>
      </w:r>
      <w:proofErr w:type="spellEnd"/>
      <w:r w:rsidR="00C71A07" w:rsidRPr="00A27896">
        <w:rPr>
          <w:rFonts w:cs="Times New Roman"/>
          <w:i/>
          <w:color w:val="17365D"/>
        </w:rPr>
        <w:t>)</w:t>
      </w:r>
    </w:p>
    <w:tbl>
      <w:tblPr>
        <w:tblW w:w="4991" w:type="pct"/>
        <w:tblBorders>
          <w:insideH w:val="single" w:sz="4" w:space="0" w:color="012169"/>
        </w:tblBorders>
        <w:tblLayout w:type="fixed"/>
        <w:tblLook w:val="04A0" w:firstRow="1" w:lastRow="0" w:firstColumn="1" w:lastColumn="0" w:noHBand="0" w:noVBand="1"/>
      </w:tblPr>
      <w:tblGrid>
        <w:gridCol w:w="3402"/>
        <w:gridCol w:w="241"/>
        <w:gridCol w:w="753"/>
        <w:gridCol w:w="166"/>
        <w:gridCol w:w="1035"/>
        <w:gridCol w:w="293"/>
        <w:gridCol w:w="973"/>
        <w:gridCol w:w="269"/>
        <w:gridCol w:w="924"/>
        <w:gridCol w:w="82"/>
        <w:gridCol w:w="1199"/>
      </w:tblGrid>
      <w:tr w:rsidR="000C1009" w:rsidRPr="00A27896" w14:paraId="7FC44B16" w14:textId="77777777" w:rsidTr="00D12490">
        <w:trPr>
          <w:trHeight w:val="684"/>
        </w:trPr>
        <w:tc>
          <w:tcPr>
            <w:tcW w:w="1822" w:type="pct"/>
            <w:tcBorders>
              <w:bottom w:val="single" w:sz="4" w:space="0" w:color="17365D"/>
            </w:tcBorders>
            <w:shd w:val="clear" w:color="auto" w:fill="B9CDE5"/>
            <w:vAlign w:val="center"/>
            <w:hideMark/>
          </w:tcPr>
          <w:p w14:paraId="3506810E" w14:textId="77777777" w:rsidR="004B31D0" w:rsidRPr="00A27896" w:rsidRDefault="004B31D0"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532" w:type="pct"/>
            <w:gridSpan w:val="2"/>
            <w:tcBorders>
              <w:bottom w:val="single" w:sz="4" w:space="0" w:color="17365D"/>
            </w:tcBorders>
            <w:shd w:val="clear" w:color="auto" w:fill="B9CDE5"/>
            <w:vAlign w:val="center"/>
            <w:hideMark/>
          </w:tcPr>
          <w:p w14:paraId="5591CAFB" w14:textId="77777777" w:rsidR="004B31D0" w:rsidRPr="00A27896" w:rsidRDefault="004B31D0"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643" w:type="pct"/>
            <w:gridSpan w:val="2"/>
            <w:tcBorders>
              <w:bottom w:val="single" w:sz="4" w:space="0" w:color="17365D"/>
            </w:tcBorders>
            <w:shd w:val="clear" w:color="auto" w:fill="B9CDE5"/>
            <w:vAlign w:val="center"/>
            <w:hideMark/>
          </w:tcPr>
          <w:p w14:paraId="5524D14E" w14:textId="77777777" w:rsidR="004B31D0" w:rsidRPr="00A27896" w:rsidRDefault="004B31D0"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678" w:type="pct"/>
            <w:gridSpan w:val="2"/>
            <w:tcBorders>
              <w:bottom w:val="single" w:sz="4" w:space="0" w:color="17365D"/>
            </w:tcBorders>
            <w:shd w:val="clear" w:color="auto" w:fill="B9CDE5"/>
            <w:vAlign w:val="center"/>
            <w:hideMark/>
          </w:tcPr>
          <w:p w14:paraId="007E7A2D" w14:textId="77777777" w:rsidR="004B31D0" w:rsidRPr="00A27896" w:rsidRDefault="004B31D0"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639" w:type="pct"/>
            <w:gridSpan w:val="2"/>
            <w:tcBorders>
              <w:bottom w:val="single" w:sz="4" w:space="0" w:color="17365D"/>
            </w:tcBorders>
            <w:shd w:val="clear" w:color="auto" w:fill="B9CDE5"/>
            <w:vAlign w:val="center"/>
            <w:hideMark/>
          </w:tcPr>
          <w:p w14:paraId="0F21C5DA" w14:textId="216C218B" w:rsidR="004B31D0" w:rsidRPr="00A27896" w:rsidRDefault="004B31D0"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 </w:t>
            </w:r>
            <w:r w:rsidRPr="00A27896">
              <w:rPr>
                <w:rFonts w:eastAsia="Times New Roman" w:cs="Times New Roman"/>
                <w:b/>
                <w:color w:val="17365D"/>
                <w:sz w:val="18"/>
                <w:szCs w:val="18"/>
                <w:lang w:eastAsia="lv-LV"/>
              </w:rPr>
              <w:t>)</w:t>
            </w:r>
          </w:p>
        </w:tc>
        <w:tc>
          <w:tcPr>
            <w:tcW w:w="686" w:type="pct"/>
            <w:gridSpan w:val="2"/>
            <w:tcBorders>
              <w:bottom w:val="single" w:sz="4" w:space="0" w:color="17365D"/>
            </w:tcBorders>
            <w:shd w:val="clear" w:color="auto" w:fill="B9CDE5"/>
            <w:vAlign w:val="center"/>
            <w:hideMark/>
          </w:tcPr>
          <w:p w14:paraId="1DAFE3D6" w14:textId="77777777" w:rsidR="004B31D0" w:rsidRPr="00A27896" w:rsidRDefault="004B31D0"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57DF5F98" w14:textId="77777777" w:rsidTr="00D12490">
        <w:trPr>
          <w:trHeight w:val="98"/>
        </w:trPr>
        <w:tc>
          <w:tcPr>
            <w:tcW w:w="1822" w:type="pct"/>
            <w:tcBorders>
              <w:top w:val="single" w:sz="4" w:space="0" w:color="17365D"/>
              <w:bottom w:val="single" w:sz="4" w:space="0" w:color="17365D"/>
            </w:tcBorders>
            <w:shd w:val="clear" w:color="auto" w:fill="auto"/>
            <w:vAlign w:val="center"/>
            <w:hideMark/>
          </w:tcPr>
          <w:p w14:paraId="28819859" w14:textId="77777777" w:rsidR="004B31D0" w:rsidRPr="00A27896" w:rsidRDefault="004B31D0"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532" w:type="pct"/>
            <w:gridSpan w:val="2"/>
            <w:tcBorders>
              <w:top w:val="single" w:sz="4" w:space="0" w:color="17365D"/>
              <w:bottom w:val="single" w:sz="4" w:space="0" w:color="17365D"/>
            </w:tcBorders>
            <w:shd w:val="clear" w:color="auto" w:fill="auto"/>
            <w:vAlign w:val="center"/>
            <w:hideMark/>
          </w:tcPr>
          <w:p w14:paraId="0EBE4841" w14:textId="77777777" w:rsidR="004B31D0" w:rsidRPr="00A27896" w:rsidRDefault="004B31D0"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643" w:type="pct"/>
            <w:gridSpan w:val="2"/>
            <w:tcBorders>
              <w:top w:val="single" w:sz="4" w:space="0" w:color="17365D"/>
              <w:bottom w:val="single" w:sz="4" w:space="0" w:color="17365D"/>
            </w:tcBorders>
            <w:shd w:val="clear" w:color="auto" w:fill="auto"/>
            <w:vAlign w:val="center"/>
            <w:hideMark/>
          </w:tcPr>
          <w:p w14:paraId="34E6A8C0" w14:textId="77777777" w:rsidR="004B31D0" w:rsidRPr="00A27896" w:rsidRDefault="004B31D0"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678" w:type="pct"/>
            <w:gridSpan w:val="2"/>
            <w:tcBorders>
              <w:top w:val="single" w:sz="4" w:space="0" w:color="17365D"/>
              <w:bottom w:val="single" w:sz="4" w:space="0" w:color="17365D"/>
            </w:tcBorders>
            <w:shd w:val="clear" w:color="auto" w:fill="auto"/>
            <w:vAlign w:val="center"/>
            <w:hideMark/>
          </w:tcPr>
          <w:p w14:paraId="0FE49E00" w14:textId="77777777" w:rsidR="004B31D0" w:rsidRPr="00A27896" w:rsidRDefault="004B31D0"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639" w:type="pct"/>
            <w:gridSpan w:val="2"/>
            <w:tcBorders>
              <w:top w:val="single" w:sz="4" w:space="0" w:color="17365D"/>
              <w:bottom w:val="single" w:sz="4" w:space="0" w:color="17365D"/>
            </w:tcBorders>
            <w:shd w:val="clear" w:color="auto" w:fill="auto"/>
            <w:vAlign w:val="center"/>
            <w:hideMark/>
          </w:tcPr>
          <w:p w14:paraId="508E2E15" w14:textId="77777777" w:rsidR="004B31D0" w:rsidRPr="00A27896" w:rsidRDefault="004B31D0" w:rsidP="00B5207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86" w:type="pct"/>
            <w:gridSpan w:val="2"/>
            <w:tcBorders>
              <w:top w:val="single" w:sz="4" w:space="0" w:color="17365D"/>
              <w:bottom w:val="single" w:sz="4" w:space="0" w:color="17365D"/>
            </w:tcBorders>
            <w:shd w:val="clear" w:color="auto" w:fill="auto"/>
            <w:vAlign w:val="center"/>
            <w:hideMark/>
          </w:tcPr>
          <w:p w14:paraId="798AAB6D" w14:textId="77777777" w:rsidR="004B31D0" w:rsidRPr="00A27896" w:rsidRDefault="004B31D0" w:rsidP="00366C1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3E1F16" w:rsidRPr="00A27896" w14:paraId="457BDBFC" w14:textId="77777777" w:rsidTr="00000E17">
        <w:trPr>
          <w:trHeight w:val="264"/>
        </w:trPr>
        <w:tc>
          <w:tcPr>
            <w:tcW w:w="1822" w:type="pct"/>
            <w:tcBorders>
              <w:top w:val="single" w:sz="4" w:space="0" w:color="17365D"/>
              <w:bottom w:val="single" w:sz="4" w:space="0" w:color="17365D"/>
            </w:tcBorders>
            <w:shd w:val="clear" w:color="auto" w:fill="auto"/>
            <w:vAlign w:val="center"/>
            <w:hideMark/>
          </w:tcPr>
          <w:p w14:paraId="2F6332BF" w14:textId="5D17C750" w:rsidR="003E1F16" w:rsidRPr="00A27896" w:rsidRDefault="003E1F16" w:rsidP="003E1F16">
            <w:pPr>
              <w:spacing w:after="0" w:line="240" w:lineRule="auto"/>
              <w:rPr>
                <w:rFonts w:eastAsia="Times New Roman" w:cs="Times New Roman"/>
                <w:b/>
                <w:color w:val="17365D"/>
                <w:sz w:val="18"/>
                <w:szCs w:val="18"/>
                <w:lang w:eastAsia="lv-LV"/>
              </w:rPr>
            </w:pPr>
            <w:proofErr w:type="spellStart"/>
            <w:r w:rsidRPr="00A27896">
              <w:rPr>
                <w:rFonts w:cs="Times New Roman"/>
                <w:b/>
                <w:color w:val="17365D"/>
                <w:sz w:val="18"/>
                <w:szCs w:val="18"/>
              </w:rPr>
              <w:t>llgtermiņa</w:t>
            </w:r>
            <w:proofErr w:type="spellEnd"/>
            <w:r w:rsidRPr="00A27896">
              <w:rPr>
                <w:rFonts w:cs="Times New Roman"/>
                <w:b/>
                <w:color w:val="17365D"/>
                <w:sz w:val="18"/>
                <w:szCs w:val="18"/>
              </w:rPr>
              <w:t xml:space="preserve"> prasības</w:t>
            </w:r>
          </w:p>
        </w:tc>
        <w:tc>
          <w:tcPr>
            <w:tcW w:w="532" w:type="pct"/>
            <w:gridSpan w:val="2"/>
            <w:tcBorders>
              <w:top w:val="single" w:sz="4" w:space="0" w:color="17365D"/>
              <w:bottom w:val="single" w:sz="4" w:space="0" w:color="17365D"/>
              <w:right w:val="nil"/>
            </w:tcBorders>
            <w:shd w:val="clear" w:color="auto" w:fill="auto"/>
            <w:vAlign w:val="center"/>
            <w:hideMark/>
          </w:tcPr>
          <w:p w14:paraId="0B9E8BC7" w14:textId="7971D51E" w:rsidR="003E1F16" w:rsidRPr="00A27896" w:rsidRDefault="003E1F16" w:rsidP="003E1F16">
            <w:pPr>
              <w:spacing w:after="0" w:line="240" w:lineRule="auto"/>
              <w:jc w:val="center"/>
              <w:rPr>
                <w:rFonts w:eastAsia="Times New Roman" w:cs="Times New Roman"/>
                <w:b/>
                <w:color w:val="17365D"/>
                <w:sz w:val="18"/>
                <w:szCs w:val="18"/>
                <w:lang w:eastAsia="lv-LV"/>
              </w:rPr>
            </w:pPr>
            <w:r w:rsidRPr="00A27896">
              <w:rPr>
                <w:rFonts w:cs="Times New Roman"/>
                <w:b/>
                <w:color w:val="17365D"/>
                <w:sz w:val="18"/>
                <w:szCs w:val="18"/>
              </w:rPr>
              <w:t>KB.1.4.</w:t>
            </w:r>
          </w:p>
        </w:tc>
        <w:tc>
          <w:tcPr>
            <w:tcW w:w="643" w:type="pct"/>
            <w:gridSpan w:val="2"/>
            <w:tcBorders>
              <w:top w:val="single" w:sz="4" w:space="0" w:color="17365D"/>
              <w:left w:val="nil"/>
              <w:bottom w:val="single" w:sz="4" w:space="0" w:color="17365D"/>
              <w:right w:val="nil"/>
            </w:tcBorders>
            <w:shd w:val="clear" w:color="auto" w:fill="auto"/>
            <w:vAlign w:val="center"/>
            <w:hideMark/>
          </w:tcPr>
          <w:p w14:paraId="5C650238" w14:textId="4E2E5500" w:rsidR="003E1F16" w:rsidRPr="00D12490" w:rsidRDefault="003E1F16" w:rsidP="003E1F16">
            <w:pPr>
              <w:spacing w:after="0" w:line="240" w:lineRule="auto"/>
              <w:jc w:val="right"/>
              <w:rPr>
                <w:rFonts w:cs="Times New Roman"/>
                <w:b/>
                <w:color w:val="17365D"/>
                <w:sz w:val="18"/>
                <w:szCs w:val="18"/>
              </w:rPr>
            </w:pPr>
            <w:r w:rsidRPr="00000E17">
              <w:rPr>
                <w:rFonts w:cs="Times New Roman"/>
                <w:b/>
                <w:color w:val="17365D"/>
                <w:sz w:val="18"/>
                <w:szCs w:val="18"/>
              </w:rPr>
              <w:t>348 861 991</w:t>
            </w:r>
          </w:p>
        </w:tc>
        <w:tc>
          <w:tcPr>
            <w:tcW w:w="678" w:type="pct"/>
            <w:gridSpan w:val="2"/>
            <w:tcBorders>
              <w:top w:val="single" w:sz="4" w:space="0" w:color="17365D"/>
              <w:left w:val="nil"/>
              <w:bottom w:val="single" w:sz="4" w:space="0" w:color="17365D"/>
              <w:right w:val="nil"/>
            </w:tcBorders>
            <w:shd w:val="clear" w:color="auto" w:fill="auto"/>
            <w:vAlign w:val="center"/>
            <w:hideMark/>
          </w:tcPr>
          <w:p w14:paraId="2A130FA3" w14:textId="627FC900" w:rsidR="003E1F16" w:rsidRPr="00D12490" w:rsidRDefault="003E1F16" w:rsidP="003E1F16">
            <w:pPr>
              <w:spacing w:after="0" w:line="240" w:lineRule="auto"/>
              <w:jc w:val="right"/>
              <w:rPr>
                <w:rFonts w:cs="Times New Roman"/>
                <w:b/>
                <w:color w:val="17365D"/>
                <w:sz w:val="18"/>
                <w:szCs w:val="18"/>
              </w:rPr>
            </w:pPr>
            <w:r w:rsidRPr="00000E17">
              <w:rPr>
                <w:rFonts w:cs="Times New Roman"/>
                <w:b/>
                <w:color w:val="17365D"/>
                <w:sz w:val="18"/>
                <w:szCs w:val="18"/>
              </w:rPr>
              <w:t>703 686 141</w:t>
            </w:r>
          </w:p>
        </w:tc>
        <w:tc>
          <w:tcPr>
            <w:tcW w:w="639" w:type="pct"/>
            <w:gridSpan w:val="2"/>
            <w:tcBorders>
              <w:top w:val="single" w:sz="4" w:space="0" w:color="17365D"/>
              <w:left w:val="nil"/>
              <w:bottom w:val="single" w:sz="4" w:space="0" w:color="17365D"/>
              <w:right w:val="nil"/>
            </w:tcBorders>
            <w:shd w:val="clear" w:color="auto" w:fill="auto"/>
            <w:noWrap/>
            <w:vAlign w:val="center"/>
            <w:hideMark/>
          </w:tcPr>
          <w:p w14:paraId="384BAC45" w14:textId="7734738B" w:rsidR="003E1F16" w:rsidRPr="00D12490" w:rsidRDefault="003E1F16" w:rsidP="003E1F16">
            <w:pPr>
              <w:spacing w:after="0" w:line="240" w:lineRule="auto"/>
              <w:jc w:val="right"/>
              <w:rPr>
                <w:rFonts w:cs="Times New Roman"/>
                <w:b/>
                <w:color w:val="17365D"/>
                <w:sz w:val="18"/>
                <w:szCs w:val="18"/>
              </w:rPr>
            </w:pPr>
            <w:r w:rsidRPr="006A00CA">
              <w:rPr>
                <w:rFonts w:cs="Times New Roman"/>
                <w:b/>
                <w:color w:val="17365D"/>
                <w:sz w:val="18"/>
                <w:szCs w:val="18"/>
              </w:rPr>
              <w:t>-354 824 150</w:t>
            </w:r>
          </w:p>
        </w:tc>
        <w:tc>
          <w:tcPr>
            <w:tcW w:w="686" w:type="pct"/>
            <w:gridSpan w:val="2"/>
            <w:tcBorders>
              <w:top w:val="single" w:sz="4" w:space="0" w:color="17365D"/>
              <w:left w:val="nil"/>
              <w:bottom w:val="single" w:sz="4" w:space="0" w:color="17365D"/>
              <w:right w:val="nil"/>
            </w:tcBorders>
            <w:shd w:val="clear" w:color="auto" w:fill="auto"/>
            <w:noWrap/>
            <w:vAlign w:val="center"/>
            <w:hideMark/>
          </w:tcPr>
          <w:p w14:paraId="4A1C948E" w14:textId="32418B97" w:rsidR="003E1F16" w:rsidRPr="00D12490" w:rsidRDefault="003E1F16" w:rsidP="003E1F16">
            <w:pPr>
              <w:spacing w:after="0" w:line="240" w:lineRule="auto"/>
              <w:jc w:val="right"/>
              <w:rPr>
                <w:rFonts w:cs="Times New Roman"/>
                <w:b/>
                <w:color w:val="17365D"/>
                <w:sz w:val="18"/>
                <w:szCs w:val="18"/>
              </w:rPr>
            </w:pPr>
            <w:r w:rsidRPr="006A00CA">
              <w:rPr>
                <w:rFonts w:cs="Times New Roman"/>
                <w:b/>
                <w:color w:val="17365D"/>
                <w:sz w:val="18"/>
                <w:szCs w:val="18"/>
              </w:rPr>
              <w:t>-50.42</w:t>
            </w:r>
          </w:p>
        </w:tc>
      </w:tr>
      <w:tr w:rsidR="003E1F16" w:rsidRPr="00A27896" w14:paraId="02AF860A" w14:textId="77777777" w:rsidTr="00000E17">
        <w:trPr>
          <w:trHeight w:val="264"/>
        </w:trPr>
        <w:tc>
          <w:tcPr>
            <w:tcW w:w="1822" w:type="pct"/>
            <w:tcBorders>
              <w:top w:val="single" w:sz="4" w:space="0" w:color="17365D"/>
              <w:bottom w:val="single" w:sz="4" w:space="0" w:color="17365D"/>
            </w:tcBorders>
            <w:shd w:val="clear" w:color="auto" w:fill="auto"/>
            <w:vAlign w:val="center"/>
            <w:hideMark/>
          </w:tcPr>
          <w:p w14:paraId="3BB32891" w14:textId="393E0467" w:rsidR="003E1F16" w:rsidRPr="00A27896" w:rsidRDefault="003E1F16" w:rsidP="003E1F16">
            <w:pPr>
              <w:spacing w:after="0" w:line="240" w:lineRule="auto"/>
              <w:rPr>
                <w:rFonts w:eastAsia="Times New Roman" w:cs="Times New Roman"/>
                <w:color w:val="17365D"/>
                <w:sz w:val="18"/>
                <w:szCs w:val="18"/>
                <w:lang w:eastAsia="lv-LV"/>
              </w:rPr>
            </w:pPr>
            <w:r w:rsidRPr="00A27896">
              <w:rPr>
                <w:rFonts w:cs="Times New Roman"/>
                <w:color w:val="17365D"/>
                <w:sz w:val="18"/>
                <w:szCs w:val="18"/>
              </w:rPr>
              <w:t>Ilgtermiņa prasības par Eiropas Savienību politiku instrumentu un pārējās ārvalstu finanšu palīdzības finansētajiem projektiem (pasākumiem)</w:t>
            </w:r>
          </w:p>
        </w:tc>
        <w:tc>
          <w:tcPr>
            <w:tcW w:w="532" w:type="pct"/>
            <w:gridSpan w:val="2"/>
            <w:tcBorders>
              <w:top w:val="single" w:sz="4" w:space="0" w:color="17365D"/>
              <w:bottom w:val="single" w:sz="4" w:space="0" w:color="17365D"/>
              <w:right w:val="nil"/>
            </w:tcBorders>
            <w:shd w:val="clear" w:color="auto" w:fill="auto"/>
            <w:noWrap/>
            <w:vAlign w:val="center"/>
            <w:hideMark/>
          </w:tcPr>
          <w:p w14:paraId="63280A3B" w14:textId="16864914" w:rsidR="003E1F16" w:rsidRPr="00A27896" w:rsidRDefault="003E1F16" w:rsidP="003E1F16">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KB.1.4.1.</w:t>
            </w:r>
          </w:p>
        </w:tc>
        <w:tc>
          <w:tcPr>
            <w:tcW w:w="643" w:type="pct"/>
            <w:gridSpan w:val="2"/>
            <w:tcBorders>
              <w:top w:val="single" w:sz="4" w:space="0" w:color="17365D"/>
              <w:left w:val="nil"/>
              <w:bottom w:val="single" w:sz="4" w:space="0" w:color="17365D"/>
              <w:right w:val="nil"/>
            </w:tcBorders>
            <w:shd w:val="clear" w:color="auto" w:fill="auto"/>
            <w:vAlign w:val="center"/>
            <w:hideMark/>
          </w:tcPr>
          <w:p w14:paraId="121D652F" w14:textId="5B4EE355" w:rsidR="003E1F16" w:rsidRPr="003E1F16" w:rsidRDefault="003E1F16" w:rsidP="003E1F16">
            <w:pPr>
              <w:spacing w:after="0" w:line="240" w:lineRule="auto"/>
              <w:jc w:val="right"/>
              <w:rPr>
                <w:rFonts w:cs="Times New Roman"/>
                <w:color w:val="17365D"/>
                <w:sz w:val="18"/>
                <w:szCs w:val="18"/>
              </w:rPr>
            </w:pPr>
            <w:r w:rsidRPr="00000E17">
              <w:rPr>
                <w:rFonts w:cs="Times New Roman"/>
                <w:color w:val="17365D"/>
                <w:sz w:val="18"/>
                <w:szCs w:val="18"/>
              </w:rPr>
              <w:t>76 041 406</w:t>
            </w:r>
          </w:p>
        </w:tc>
        <w:tc>
          <w:tcPr>
            <w:tcW w:w="678" w:type="pct"/>
            <w:gridSpan w:val="2"/>
            <w:tcBorders>
              <w:top w:val="single" w:sz="4" w:space="0" w:color="17365D"/>
              <w:left w:val="nil"/>
              <w:bottom w:val="single" w:sz="4" w:space="0" w:color="17365D"/>
              <w:right w:val="nil"/>
            </w:tcBorders>
            <w:shd w:val="clear" w:color="auto" w:fill="auto"/>
            <w:vAlign w:val="center"/>
            <w:hideMark/>
          </w:tcPr>
          <w:p w14:paraId="0CBF7732" w14:textId="7C742804" w:rsidR="003E1F16" w:rsidRPr="003E1F16" w:rsidRDefault="003E1F16" w:rsidP="003E1F16">
            <w:pPr>
              <w:spacing w:after="0" w:line="240" w:lineRule="auto"/>
              <w:jc w:val="right"/>
              <w:rPr>
                <w:rFonts w:cs="Times New Roman"/>
                <w:color w:val="17365D"/>
                <w:sz w:val="18"/>
                <w:szCs w:val="18"/>
              </w:rPr>
            </w:pPr>
            <w:r w:rsidRPr="00000E17">
              <w:rPr>
                <w:rFonts w:cs="Times New Roman"/>
                <w:color w:val="17365D"/>
                <w:sz w:val="18"/>
                <w:szCs w:val="18"/>
              </w:rPr>
              <w:t>206 841 280</w:t>
            </w:r>
          </w:p>
        </w:tc>
        <w:tc>
          <w:tcPr>
            <w:tcW w:w="639" w:type="pct"/>
            <w:gridSpan w:val="2"/>
            <w:tcBorders>
              <w:top w:val="single" w:sz="4" w:space="0" w:color="17365D"/>
              <w:left w:val="nil"/>
              <w:bottom w:val="single" w:sz="4" w:space="0" w:color="17365D"/>
              <w:right w:val="nil"/>
            </w:tcBorders>
            <w:shd w:val="clear" w:color="auto" w:fill="auto"/>
            <w:noWrap/>
            <w:vAlign w:val="center"/>
            <w:hideMark/>
          </w:tcPr>
          <w:p w14:paraId="284C78B4" w14:textId="068AC281" w:rsidR="003E1F16" w:rsidRPr="00D12490" w:rsidRDefault="003E1F16" w:rsidP="003E1F16">
            <w:pPr>
              <w:spacing w:after="0" w:line="240" w:lineRule="auto"/>
              <w:jc w:val="right"/>
              <w:rPr>
                <w:rFonts w:cs="Times New Roman"/>
                <w:color w:val="17365D"/>
                <w:sz w:val="18"/>
                <w:szCs w:val="18"/>
              </w:rPr>
            </w:pPr>
            <w:r w:rsidRPr="006A00CA">
              <w:rPr>
                <w:rFonts w:cs="Times New Roman"/>
                <w:color w:val="17365D"/>
                <w:sz w:val="18"/>
                <w:szCs w:val="18"/>
              </w:rPr>
              <w:t>-130 799 874</w:t>
            </w:r>
          </w:p>
        </w:tc>
        <w:tc>
          <w:tcPr>
            <w:tcW w:w="686" w:type="pct"/>
            <w:gridSpan w:val="2"/>
            <w:tcBorders>
              <w:top w:val="single" w:sz="4" w:space="0" w:color="17365D"/>
              <w:left w:val="nil"/>
              <w:bottom w:val="single" w:sz="4" w:space="0" w:color="17365D"/>
              <w:right w:val="nil"/>
            </w:tcBorders>
            <w:shd w:val="clear" w:color="auto" w:fill="auto"/>
            <w:noWrap/>
            <w:vAlign w:val="center"/>
            <w:hideMark/>
          </w:tcPr>
          <w:p w14:paraId="18BF6C6E" w14:textId="14549081" w:rsidR="003E1F16" w:rsidRPr="00D12490" w:rsidRDefault="003E1F16" w:rsidP="003E1F16">
            <w:pPr>
              <w:spacing w:after="0" w:line="240" w:lineRule="auto"/>
              <w:jc w:val="right"/>
              <w:rPr>
                <w:rFonts w:cs="Times New Roman"/>
                <w:color w:val="17365D"/>
                <w:sz w:val="18"/>
                <w:szCs w:val="18"/>
              </w:rPr>
            </w:pPr>
            <w:r w:rsidRPr="006A00CA">
              <w:rPr>
                <w:rFonts w:cs="Times New Roman"/>
                <w:color w:val="17365D"/>
                <w:sz w:val="18"/>
                <w:szCs w:val="18"/>
              </w:rPr>
              <w:t>-63.24</w:t>
            </w:r>
          </w:p>
        </w:tc>
      </w:tr>
      <w:tr w:rsidR="003E1F16" w:rsidRPr="00A27896" w14:paraId="661A9F93" w14:textId="77777777" w:rsidTr="00000E17">
        <w:trPr>
          <w:trHeight w:val="266"/>
        </w:trPr>
        <w:tc>
          <w:tcPr>
            <w:tcW w:w="1822" w:type="pct"/>
            <w:tcBorders>
              <w:top w:val="single" w:sz="4" w:space="0" w:color="17365D"/>
              <w:bottom w:val="single" w:sz="4" w:space="0" w:color="17365D"/>
            </w:tcBorders>
            <w:shd w:val="clear" w:color="auto" w:fill="auto"/>
            <w:vAlign w:val="center"/>
            <w:hideMark/>
          </w:tcPr>
          <w:p w14:paraId="22B5EB73" w14:textId="2DF89374" w:rsidR="003E1F16" w:rsidRPr="00A27896" w:rsidRDefault="003E1F16" w:rsidP="003E1F16">
            <w:pPr>
              <w:spacing w:after="0" w:line="240" w:lineRule="auto"/>
              <w:rPr>
                <w:rFonts w:eastAsia="Times New Roman" w:cs="Times New Roman"/>
                <w:color w:val="17365D"/>
                <w:sz w:val="18"/>
                <w:szCs w:val="18"/>
                <w:lang w:eastAsia="lv-LV"/>
              </w:rPr>
            </w:pPr>
            <w:r w:rsidRPr="00A27896">
              <w:rPr>
                <w:rFonts w:cs="Times New Roman"/>
                <w:color w:val="17365D"/>
                <w:sz w:val="18"/>
                <w:szCs w:val="18"/>
              </w:rPr>
              <w:t>Citas ilgtermiņa prasības</w:t>
            </w:r>
          </w:p>
        </w:tc>
        <w:tc>
          <w:tcPr>
            <w:tcW w:w="532" w:type="pct"/>
            <w:gridSpan w:val="2"/>
            <w:tcBorders>
              <w:top w:val="single" w:sz="4" w:space="0" w:color="17365D"/>
              <w:bottom w:val="single" w:sz="4" w:space="0" w:color="17365D"/>
              <w:right w:val="nil"/>
            </w:tcBorders>
            <w:shd w:val="clear" w:color="auto" w:fill="auto"/>
            <w:noWrap/>
            <w:vAlign w:val="center"/>
          </w:tcPr>
          <w:p w14:paraId="38166F00" w14:textId="0A63F3E1" w:rsidR="003E1F16" w:rsidRPr="00A27896" w:rsidRDefault="003E1F16" w:rsidP="003E1F16">
            <w:pPr>
              <w:spacing w:after="0" w:line="240" w:lineRule="auto"/>
              <w:jc w:val="center"/>
              <w:rPr>
                <w:rFonts w:eastAsia="Times New Roman" w:cs="Times New Roman"/>
                <w:color w:val="17365D"/>
                <w:sz w:val="18"/>
                <w:szCs w:val="18"/>
                <w:lang w:eastAsia="lv-LV"/>
              </w:rPr>
            </w:pPr>
            <w:r w:rsidRPr="00A27896">
              <w:rPr>
                <w:rFonts w:cs="Times New Roman"/>
                <w:color w:val="17365D"/>
                <w:sz w:val="18"/>
                <w:szCs w:val="18"/>
              </w:rPr>
              <w:t>KB.1.4.2.</w:t>
            </w:r>
          </w:p>
        </w:tc>
        <w:tc>
          <w:tcPr>
            <w:tcW w:w="643" w:type="pct"/>
            <w:gridSpan w:val="2"/>
            <w:tcBorders>
              <w:top w:val="single" w:sz="4" w:space="0" w:color="17365D"/>
              <w:left w:val="nil"/>
              <w:bottom w:val="single" w:sz="4" w:space="0" w:color="17365D"/>
              <w:right w:val="nil"/>
            </w:tcBorders>
            <w:shd w:val="clear" w:color="auto" w:fill="auto"/>
            <w:vAlign w:val="center"/>
            <w:hideMark/>
          </w:tcPr>
          <w:p w14:paraId="4FAD23C6" w14:textId="0F301020" w:rsidR="003E1F16" w:rsidRPr="003E1F16" w:rsidRDefault="003E1F16" w:rsidP="003E1F16">
            <w:pPr>
              <w:spacing w:after="0" w:line="240" w:lineRule="auto"/>
              <w:jc w:val="right"/>
              <w:rPr>
                <w:rFonts w:cs="Times New Roman"/>
                <w:color w:val="17365D"/>
                <w:sz w:val="18"/>
                <w:szCs w:val="18"/>
              </w:rPr>
            </w:pPr>
            <w:r w:rsidRPr="00000E17">
              <w:rPr>
                <w:rFonts w:cs="Times New Roman"/>
                <w:color w:val="17365D"/>
                <w:sz w:val="18"/>
                <w:szCs w:val="18"/>
              </w:rPr>
              <w:t>272 820 585</w:t>
            </w:r>
          </w:p>
        </w:tc>
        <w:tc>
          <w:tcPr>
            <w:tcW w:w="678" w:type="pct"/>
            <w:gridSpan w:val="2"/>
            <w:tcBorders>
              <w:top w:val="single" w:sz="4" w:space="0" w:color="17365D"/>
              <w:left w:val="nil"/>
              <w:bottom w:val="single" w:sz="4" w:space="0" w:color="17365D"/>
              <w:right w:val="nil"/>
            </w:tcBorders>
            <w:shd w:val="clear" w:color="auto" w:fill="auto"/>
            <w:vAlign w:val="center"/>
            <w:hideMark/>
          </w:tcPr>
          <w:p w14:paraId="4042356D" w14:textId="41E75A0A" w:rsidR="003E1F16" w:rsidRPr="003E1F16" w:rsidRDefault="003E1F16" w:rsidP="003E1F16">
            <w:pPr>
              <w:spacing w:after="0" w:line="240" w:lineRule="auto"/>
              <w:jc w:val="right"/>
              <w:rPr>
                <w:rFonts w:cs="Times New Roman"/>
                <w:color w:val="17365D"/>
                <w:sz w:val="18"/>
                <w:szCs w:val="18"/>
              </w:rPr>
            </w:pPr>
            <w:r w:rsidRPr="00000E17">
              <w:rPr>
                <w:rFonts w:cs="Times New Roman"/>
                <w:color w:val="17365D"/>
                <w:sz w:val="18"/>
                <w:szCs w:val="18"/>
              </w:rPr>
              <w:t>496 844 861</w:t>
            </w:r>
          </w:p>
        </w:tc>
        <w:tc>
          <w:tcPr>
            <w:tcW w:w="639" w:type="pct"/>
            <w:gridSpan w:val="2"/>
            <w:tcBorders>
              <w:top w:val="single" w:sz="4" w:space="0" w:color="17365D"/>
              <w:left w:val="nil"/>
              <w:bottom w:val="single" w:sz="4" w:space="0" w:color="17365D"/>
              <w:right w:val="nil"/>
            </w:tcBorders>
            <w:shd w:val="clear" w:color="auto" w:fill="auto"/>
            <w:noWrap/>
            <w:vAlign w:val="center"/>
            <w:hideMark/>
          </w:tcPr>
          <w:p w14:paraId="47086FE9" w14:textId="32B3F5A0" w:rsidR="003E1F16" w:rsidRPr="00D12490" w:rsidRDefault="003E1F16" w:rsidP="003E1F16">
            <w:pPr>
              <w:spacing w:after="0" w:line="240" w:lineRule="auto"/>
              <w:jc w:val="right"/>
              <w:rPr>
                <w:rFonts w:cs="Times New Roman"/>
                <w:color w:val="17365D"/>
                <w:sz w:val="18"/>
                <w:szCs w:val="18"/>
              </w:rPr>
            </w:pPr>
            <w:r w:rsidRPr="006A00CA">
              <w:rPr>
                <w:rFonts w:cs="Times New Roman"/>
                <w:color w:val="17365D"/>
                <w:sz w:val="18"/>
                <w:szCs w:val="18"/>
              </w:rPr>
              <w:t>-224 024 276</w:t>
            </w:r>
          </w:p>
        </w:tc>
        <w:tc>
          <w:tcPr>
            <w:tcW w:w="686" w:type="pct"/>
            <w:gridSpan w:val="2"/>
            <w:tcBorders>
              <w:top w:val="single" w:sz="4" w:space="0" w:color="17365D"/>
              <w:left w:val="nil"/>
              <w:bottom w:val="single" w:sz="4" w:space="0" w:color="17365D"/>
              <w:right w:val="nil"/>
            </w:tcBorders>
            <w:shd w:val="clear" w:color="auto" w:fill="auto"/>
            <w:noWrap/>
            <w:vAlign w:val="center"/>
            <w:hideMark/>
          </w:tcPr>
          <w:p w14:paraId="29BA2B44" w14:textId="3CE2B977" w:rsidR="003E1F16" w:rsidRPr="00D12490" w:rsidRDefault="003E1F16" w:rsidP="003E1F16">
            <w:pPr>
              <w:spacing w:after="0" w:line="240" w:lineRule="auto"/>
              <w:jc w:val="right"/>
              <w:rPr>
                <w:rFonts w:cs="Times New Roman"/>
                <w:color w:val="17365D"/>
                <w:sz w:val="18"/>
                <w:szCs w:val="18"/>
              </w:rPr>
            </w:pPr>
            <w:r w:rsidRPr="006A00CA">
              <w:rPr>
                <w:rFonts w:cs="Times New Roman"/>
                <w:color w:val="17365D"/>
                <w:sz w:val="18"/>
                <w:szCs w:val="18"/>
              </w:rPr>
              <w:t>-45.09</w:t>
            </w:r>
          </w:p>
        </w:tc>
      </w:tr>
      <w:tr w:rsidR="000C1009" w:rsidRPr="00A27896" w14:paraId="6D8FD991" w14:textId="77777777" w:rsidTr="00D12490">
        <w:trPr>
          <w:trHeight w:val="202"/>
        </w:trPr>
        <w:tc>
          <w:tcPr>
            <w:tcW w:w="1951" w:type="pct"/>
            <w:gridSpan w:val="2"/>
            <w:tcBorders>
              <w:top w:val="single" w:sz="4" w:space="0" w:color="17365D"/>
            </w:tcBorders>
            <w:shd w:val="clear" w:color="auto" w:fill="B9CDE5"/>
            <w:vAlign w:val="center"/>
          </w:tcPr>
          <w:p w14:paraId="589B8B90" w14:textId="77777777" w:rsidR="004B31D0" w:rsidRPr="00A27896" w:rsidRDefault="004B31D0" w:rsidP="006138D3">
            <w:pPr>
              <w:spacing w:after="0" w:line="240" w:lineRule="auto"/>
              <w:rPr>
                <w:rFonts w:eastAsia="Times New Roman" w:cs="Times New Roman"/>
                <w:color w:val="17365D"/>
                <w:sz w:val="18"/>
                <w:szCs w:val="18"/>
                <w:lang w:eastAsia="lv-LV"/>
              </w:rPr>
            </w:pPr>
          </w:p>
        </w:tc>
        <w:tc>
          <w:tcPr>
            <w:tcW w:w="492" w:type="pct"/>
            <w:gridSpan w:val="2"/>
            <w:tcBorders>
              <w:top w:val="single" w:sz="4" w:space="0" w:color="17365D"/>
            </w:tcBorders>
            <w:shd w:val="clear" w:color="auto" w:fill="B9CDE5"/>
            <w:noWrap/>
            <w:vAlign w:val="center"/>
          </w:tcPr>
          <w:p w14:paraId="624608E0" w14:textId="77777777" w:rsidR="004B31D0" w:rsidRPr="00A27896" w:rsidRDefault="004B31D0" w:rsidP="00B917D1">
            <w:pPr>
              <w:spacing w:after="0" w:line="240" w:lineRule="auto"/>
              <w:jc w:val="right"/>
              <w:rPr>
                <w:rFonts w:eastAsia="Times New Roman" w:cs="Times New Roman"/>
                <w:color w:val="17365D"/>
                <w:sz w:val="18"/>
                <w:szCs w:val="18"/>
                <w:lang w:eastAsia="lv-LV"/>
              </w:rPr>
            </w:pPr>
          </w:p>
        </w:tc>
        <w:tc>
          <w:tcPr>
            <w:tcW w:w="711" w:type="pct"/>
            <w:gridSpan w:val="2"/>
            <w:tcBorders>
              <w:top w:val="single" w:sz="4" w:space="0" w:color="17365D"/>
            </w:tcBorders>
            <w:shd w:val="clear" w:color="auto" w:fill="B9CDE5"/>
            <w:noWrap/>
            <w:vAlign w:val="center"/>
          </w:tcPr>
          <w:p w14:paraId="33CF52FE" w14:textId="77777777" w:rsidR="004B31D0" w:rsidRPr="00A27896" w:rsidRDefault="004B31D0" w:rsidP="00B917D1">
            <w:pPr>
              <w:spacing w:after="0" w:line="240" w:lineRule="auto"/>
              <w:jc w:val="right"/>
              <w:rPr>
                <w:rFonts w:cs="Times New Roman"/>
                <w:color w:val="17365D"/>
                <w:sz w:val="18"/>
                <w:szCs w:val="18"/>
              </w:rPr>
            </w:pPr>
          </w:p>
        </w:tc>
        <w:tc>
          <w:tcPr>
            <w:tcW w:w="665" w:type="pct"/>
            <w:gridSpan w:val="2"/>
            <w:tcBorders>
              <w:top w:val="single" w:sz="4" w:space="0" w:color="17365D"/>
            </w:tcBorders>
            <w:shd w:val="clear" w:color="auto" w:fill="B9CDE5"/>
            <w:noWrap/>
            <w:vAlign w:val="center"/>
          </w:tcPr>
          <w:p w14:paraId="33AF970B" w14:textId="77777777" w:rsidR="004B31D0" w:rsidRPr="00A27896" w:rsidRDefault="004B31D0" w:rsidP="00B917D1">
            <w:pPr>
              <w:spacing w:after="0" w:line="240" w:lineRule="auto"/>
              <w:jc w:val="right"/>
              <w:rPr>
                <w:rFonts w:cs="Times New Roman"/>
                <w:color w:val="17365D"/>
                <w:sz w:val="18"/>
                <w:szCs w:val="18"/>
              </w:rPr>
            </w:pPr>
          </w:p>
        </w:tc>
        <w:tc>
          <w:tcPr>
            <w:tcW w:w="539" w:type="pct"/>
            <w:gridSpan w:val="2"/>
            <w:tcBorders>
              <w:top w:val="single" w:sz="4" w:space="0" w:color="17365D"/>
            </w:tcBorders>
            <w:shd w:val="clear" w:color="auto" w:fill="B9CDE5"/>
            <w:noWrap/>
            <w:vAlign w:val="center"/>
          </w:tcPr>
          <w:p w14:paraId="72424062" w14:textId="77777777" w:rsidR="004B31D0" w:rsidRPr="00A27896" w:rsidRDefault="004B31D0" w:rsidP="00B917D1">
            <w:pPr>
              <w:spacing w:after="0" w:line="240" w:lineRule="auto"/>
              <w:jc w:val="right"/>
              <w:rPr>
                <w:rFonts w:cs="Times New Roman"/>
                <w:color w:val="17365D"/>
                <w:sz w:val="18"/>
                <w:szCs w:val="18"/>
              </w:rPr>
            </w:pPr>
          </w:p>
        </w:tc>
        <w:tc>
          <w:tcPr>
            <w:tcW w:w="642" w:type="pct"/>
            <w:tcBorders>
              <w:top w:val="single" w:sz="4" w:space="0" w:color="17365D"/>
            </w:tcBorders>
            <w:shd w:val="clear" w:color="auto" w:fill="B9CDE5"/>
            <w:noWrap/>
            <w:vAlign w:val="center"/>
          </w:tcPr>
          <w:p w14:paraId="72ACE310" w14:textId="77777777" w:rsidR="004B31D0" w:rsidRPr="00A27896" w:rsidRDefault="004B31D0" w:rsidP="00B917D1">
            <w:pPr>
              <w:spacing w:after="0" w:line="240" w:lineRule="auto"/>
              <w:jc w:val="right"/>
              <w:rPr>
                <w:rFonts w:cs="Times New Roman"/>
                <w:color w:val="17365D"/>
                <w:sz w:val="18"/>
                <w:szCs w:val="18"/>
              </w:rPr>
            </w:pPr>
          </w:p>
        </w:tc>
      </w:tr>
    </w:tbl>
    <w:p w14:paraId="7ECD3E2B" w14:textId="2468EFCD" w:rsidR="00D73FC2" w:rsidRPr="00A27896" w:rsidRDefault="00D73FC2" w:rsidP="00C93A9C">
      <w:pPr>
        <w:spacing w:before="240" w:after="0" w:line="240" w:lineRule="auto"/>
        <w:ind w:firstLine="284"/>
        <w:jc w:val="both"/>
        <w:rPr>
          <w:rFonts w:cs="Times New Roman"/>
          <w:color w:val="17365D"/>
        </w:rPr>
      </w:pPr>
      <w:r w:rsidRPr="00A27896">
        <w:rPr>
          <w:rFonts w:cs="Times New Roman"/>
          <w:color w:val="17365D"/>
        </w:rPr>
        <w:lastRenderedPageBreak/>
        <w:t>Bilances postenī “Ilgtermiņa prasības” konsolidēti valsts un pašvaldību budžeta iestāžu savstarpējie avansa maksājumi un attiecīgās saistības.</w:t>
      </w:r>
    </w:p>
    <w:p w14:paraId="6840577D" w14:textId="133125BA" w:rsidR="00707F5E" w:rsidRPr="00A27896" w:rsidRDefault="00707F5E" w:rsidP="00707F5E">
      <w:pPr>
        <w:pStyle w:val="Heading5"/>
        <w:rPr>
          <w:rFonts w:cs="Times New Roman"/>
        </w:rPr>
      </w:pPr>
      <w:r w:rsidRPr="00A27896">
        <w:rPr>
          <w:rFonts w:cs="Times New Roman"/>
        </w:rPr>
        <w:t>Piezīme Nr. KB.1.4.1. Ilgtermiņa prasības par Eiropas Savienību politiku instrumentu un pārējās ārvalstu finanšu palīdzības finansētajiem projektiem (pasākumiem)</w:t>
      </w:r>
    </w:p>
    <w:p w14:paraId="59252A92" w14:textId="0C323DA6" w:rsidR="00707F5E" w:rsidRPr="00A27896" w:rsidRDefault="00707F5E" w:rsidP="00707F5E">
      <w:pPr>
        <w:pStyle w:val="Pamatteksts"/>
        <w:ind w:firstLine="284"/>
        <w:rPr>
          <w:rFonts w:eastAsiaTheme="minorHAnsi"/>
          <w:bCs/>
          <w:noProof w:val="0"/>
          <w:color w:val="17365D"/>
          <w:szCs w:val="22"/>
          <w:lang w:eastAsia="en-US"/>
        </w:rPr>
      </w:pPr>
      <w:r w:rsidRPr="00A27896">
        <w:rPr>
          <w:rFonts w:eastAsiaTheme="minorHAnsi"/>
          <w:bCs/>
          <w:noProof w:val="0"/>
          <w:color w:val="17365D"/>
          <w:szCs w:val="22"/>
          <w:lang w:eastAsia="en-US"/>
        </w:rPr>
        <w:t xml:space="preserve">Bilances posteņa lielākais samazinājums bijis Finanšu ministrijai saistībā ar ilgtermiņa prasību </w:t>
      </w:r>
      <w:proofErr w:type="spellStart"/>
      <w:r w:rsidRPr="00A27896">
        <w:rPr>
          <w:rFonts w:eastAsiaTheme="minorHAnsi"/>
          <w:bCs/>
          <w:noProof w:val="0"/>
          <w:color w:val="17365D"/>
          <w:szCs w:val="22"/>
          <w:lang w:eastAsia="en-US"/>
        </w:rPr>
        <w:t>pārklasifikāciju</w:t>
      </w:r>
      <w:proofErr w:type="spellEnd"/>
      <w:r w:rsidRPr="00A27896">
        <w:rPr>
          <w:rFonts w:eastAsiaTheme="minorHAnsi"/>
          <w:bCs/>
          <w:noProof w:val="0"/>
          <w:color w:val="17365D"/>
          <w:szCs w:val="22"/>
          <w:lang w:eastAsia="en-US"/>
        </w:rPr>
        <w:t xml:space="preserve"> (125 831 696) </w:t>
      </w:r>
      <w:proofErr w:type="spellStart"/>
      <w:r w:rsidRPr="00A27896">
        <w:rPr>
          <w:rFonts w:eastAsiaTheme="minorHAnsi"/>
          <w:bCs/>
          <w:i/>
          <w:noProof w:val="0"/>
          <w:color w:val="17365D"/>
          <w:szCs w:val="22"/>
          <w:lang w:eastAsia="en-US"/>
        </w:rPr>
        <w:t>euro</w:t>
      </w:r>
      <w:proofErr w:type="spellEnd"/>
      <w:r w:rsidRPr="00A27896">
        <w:rPr>
          <w:rFonts w:eastAsiaTheme="minorHAnsi"/>
          <w:bCs/>
          <w:noProof w:val="0"/>
          <w:color w:val="17365D"/>
          <w:szCs w:val="22"/>
          <w:lang w:eastAsia="en-US"/>
        </w:rPr>
        <w:t xml:space="preserve"> vērtībā uz nākamo periodu izdevumiem par veiktajiem avansa maksājumiem Kohēzijas fonda (turpmāk – KF) un Eiropas Reģionālās attīstības fonda (turpmāk – ERAF) 2014. - 2020.gada programmēšanas periodam, kā arī atzītiem izdevumiem atbilstoši izpildei ERAF 2014. - 2020.gada programmēšanas perioda projektos.</w:t>
      </w:r>
      <w:r w:rsidRPr="00A27896">
        <w:rPr>
          <w:color w:val="17365D"/>
        </w:rPr>
        <w:t xml:space="preserve"> </w:t>
      </w:r>
      <w:r w:rsidRPr="00A27896">
        <w:rPr>
          <w:rFonts w:eastAsiaTheme="minorHAnsi"/>
          <w:bCs/>
          <w:noProof w:val="0"/>
          <w:color w:val="17365D"/>
          <w:szCs w:val="22"/>
          <w:lang w:eastAsia="en-US"/>
        </w:rPr>
        <w:t xml:space="preserve">Ekonomikas ministrijai samazinājums (9 118 379) </w:t>
      </w:r>
      <w:proofErr w:type="spellStart"/>
      <w:r w:rsidRPr="00A27896">
        <w:rPr>
          <w:rFonts w:eastAsiaTheme="minorHAnsi"/>
          <w:bCs/>
          <w:i/>
          <w:noProof w:val="0"/>
          <w:color w:val="17365D"/>
          <w:szCs w:val="22"/>
          <w:lang w:eastAsia="en-US"/>
        </w:rPr>
        <w:t>euro</w:t>
      </w:r>
      <w:proofErr w:type="spellEnd"/>
      <w:r w:rsidRPr="00A27896">
        <w:rPr>
          <w:rFonts w:eastAsiaTheme="minorHAnsi"/>
          <w:bCs/>
          <w:noProof w:val="0"/>
          <w:color w:val="17365D"/>
          <w:szCs w:val="22"/>
          <w:lang w:eastAsia="en-US"/>
        </w:rPr>
        <w:t xml:space="preserve"> vērtībā saistīts ar AS “Attīstības finanšu institūcija </w:t>
      </w:r>
      <w:proofErr w:type="spellStart"/>
      <w:r w:rsidRPr="00A27896">
        <w:rPr>
          <w:rFonts w:eastAsiaTheme="minorHAnsi"/>
          <w:bCs/>
          <w:noProof w:val="0"/>
          <w:color w:val="17365D"/>
          <w:szCs w:val="22"/>
          <w:lang w:eastAsia="en-US"/>
        </w:rPr>
        <w:t>Altum</w:t>
      </w:r>
      <w:proofErr w:type="spellEnd"/>
      <w:r w:rsidRPr="00A27896">
        <w:rPr>
          <w:rFonts w:eastAsiaTheme="minorHAnsi"/>
          <w:bCs/>
          <w:noProof w:val="0"/>
          <w:color w:val="17365D"/>
          <w:szCs w:val="22"/>
          <w:lang w:eastAsia="en-US"/>
        </w:rPr>
        <w:t>” finansēto līgumu izpildi.</w:t>
      </w:r>
    </w:p>
    <w:p w14:paraId="3DD5406F" w14:textId="1A87938C" w:rsidR="00FE2946" w:rsidRPr="00A27896" w:rsidRDefault="00FE2946" w:rsidP="00514C3E">
      <w:pPr>
        <w:pStyle w:val="Heading5"/>
        <w:rPr>
          <w:rFonts w:cs="Times New Roman"/>
        </w:rPr>
      </w:pPr>
      <w:r w:rsidRPr="00A27896">
        <w:rPr>
          <w:rFonts w:cs="Times New Roman"/>
        </w:rPr>
        <w:t>Piezīme Nr. KB.</w:t>
      </w:r>
      <w:r w:rsidR="00F73CE6" w:rsidRPr="00A27896">
        <w:rPr>
          <w:rFonts w:cs="Times New Roman"/>
        </w:rPr>
        <w:t>1.</w:t>
      </w:r>
      <w:r w:rsidRPr="00A27896">
        <w:rPr>
          <w:rFonts w:cs="Times New Roman"/>
        </w:rPr>
        <w:t>4.</w:t>
      </w:r>
      <w:r w:rsidR="00707F5E" w:rsidRPr="00A27896">
        <w:rPr>
          <w:rFonts w:cs="Times New Roman"/>
        </w:rPr>
        <w:t>2</w:t>
      </w:r>
      <w:r w:rsidRPr="00A27896">
        <w:rPr>
          <w:rFonts w:cs="Times New Roman"/>
        </w:rPr>
        <w:t>. Citas ilgtermiņa prasības</w:t>
      </w:r>
    </w:p>
    <w:p w14:paraId="64A64DD7" w14:textId="286B1218" w:rsidR="008D3BCD" w:rsidRPr="00A27896" w:rsidRDefault="0033071A" w:rsidP="0054346C">
      <w:pPr>
        <w:spacing w:after="120" w:line="240" w:lineRule="auto"/>
        <w:ind w:firstLine="284"/>
        <w:jc w:val="both"/>
        <w:rPr>
          <w:rFonts w:cs="Times New Roman"/>
          <w:bCs/>
          <w:color w:val="17365D"/>
        </w:rPr>
      </w:pPr>
      <w:r w:rsidRPr="00A27896">
        <w:rPr>
          <w:rFonts w:cs="Times New Roman"/>
          <w:bCs/>
          <w:color w:val="17365D"/>
        </w:rPr>
        <w:t xml:space="preserve">Bilances posteņa vērtības </w:t>
      </w:r>
      <w:r w:rsidR="0006686D">
        <w:rPr>
          <w:rFonts w:cs="Times New Roman"/>
          <w:bCs/>
          <w:color w:val="17365D"/>
        </w:rPr>
        <w:t xml:space="preserve">samazinājumu </w:t>
      </w:r>
      <w:r w:rsidRPr="00A27896">
        <w:rPr>
          <w:rFonts w:cs="Times New Roman"/>
          <w:bCs/>
          <w:color w:val="17365D"/>
        </w:rPr>
        <w:t xml:space="preserve">pārskata gadā </w:t>
      </w:r>
      <w:r w:rsidR="008D3BCD" w:rsidRPr="00A27896">
        <w:rPr>
          <w:rFonts w:cs="Times New Roman"/>
          <w:bCs/>
          <w:color w:val="17365D"/>
        </w:rPr>
        <w:t>ietekmēja</w:t>
      </w:r>
      <w:r w:rsidRPr="00A27896">
        <w:rPr>
          <w:rFonts w:cs="Times New Roman"/>
          <w:bCs/>
          <w:color w:val="17365D"/>
        </w:rPr>
        <w:t xml:space="preserve"> </w:t>
      </w:r>
      <w:r w:rsidR="0006686D" w:rsidRPr="0006686D">
        <w:rPr>
          <w:rFonts w:cs="Times New Roman"/>
          <w:bCs/>
          <w:color w:val="17365D"/>
        </w:rPr>
        <w:t>ilgtermiņa prasību samazinājums par iedzīvotāju ienākumu nodokli</w:t>
      </w:r>
      <w:r w:rsidR="00945479">
        <w:rPr>
          <w:rFonts w:cs="Times New Roman"/>
          <w:bCs/>
          <w:color w:val="17365D"/>
        </w:rPr>
        <w:t xml:space="preserve"> (</w:t>
      </w:r>
      <w:r w:rsidR="00945479" w:rsidRPr="00945479">
        <w:rPr>
          <w:rFonts w:cs="Times New Roman"/>
          <w:bCs/>
          <w:color w:val="17365D"/>
        </w:rPr>
        <w:t>51</w:t>
      </w:r>
      <w:r w:rsidR="00945479">
        <w:rPr>
          <w:rFonts w:cs="Times New Roman"/>
          <w:bCs/>
          <w:color w:val="17365D"/>
        </w:rPr>
        <w:t> </w:t>
      </w:r>
      <w:r w:rsidR="00945479" w:rsidRPr="00945479">
        <w:rPr>
          <w:rFonts w:cs="Times New Roman"/>
          <w:bCs/>
          <w:color w:val="17365D"/>
        </w:rPr>
        <w:t>986</w:t>
      </w:r>
      <w:r w:rsidR="00945479">
        <w:rPr>
          <w:rFonts w:cs="Times New Roman"/>
          <w:bCs/>
          <w:color w:val="17365D"/>
        </w:rPr>
        <w:t> </w:t>
      </w:r>
      <w:r w:rsidR="00945479" w:rsidRPr="00945479">
        <w:rPr>
          <w:rFonts w:cs="Times New Roman"/>
          <w:bCs/>
          <w:color w:val="17365D"/>
        </w:rPr>
        <w:t>735</w:t>
      </w:r>
      <w:r w:rsidR="00945479">
        <w:rPr>
          <w:rFonts w:cs="Times New Roman"/>
          <w:bCs/>
          <w:color w:val="17365D"/>
        </w:rPr>
        <w:t>)</w:t>
      </w:r>
      <w:r w:rsidR="00945479" w:rsidRPr="00945479">
        <w:rPr>
          <w:bCs/>
          <w:i/>
          <w:color w:val="17365D"/>
        </w:rPr>
        <w:t xml:space="preserve"> </w:t>
      </w:r>
      <w:proofErr w:type="spellStart"/>
      <w:r w:rsidR="00945479" w:rsidRPr="00A27896">
        <w:rPr>
          <w:bCs/>
          <w:i/>
          <w:color w:val="17365D"/>
        </w:rPr>
        <w:t>euro</w:t>
      </w:r>
      <w:proofErr w:type="spellEnd"/>
      <w:r w:rsidR="0006686D" w:rsidRPr="0006686D">
        <w:rPr>
          <w:rFonts w:cs="Times New Roman"/>
          <w:bCs/>
          <w:color w:val="17365D"/>
        </w:rPr>
        <w:t>,</w:t>
      </w:r>
      <w:r w:rsidR="0006686D">
        <w:rPr>
          <w:rFonts w:cs="Times New Roman"/>
          <w:bCs/>
          <w:color w:val="17365D"/>
        </w:rPr>
        <w:t xml:space="preserve"> </w:t>
      </w:r>
      <w:r w:rsidR="0006686D" w:rsidRPr="0006686D">
        <w:rPr>
          <w:rFonts w:cs="Times New Roman"/>
          <w:bCs/>
          <w:color w:val="17365D"/>
        </w:rPr>
        <w:t>pievienotās vērtības nodokli</w:t>
      </w:r>
      <w:r w:rsidR="0006686D">
        <w:rPr>
          <w:rFonts w:cs="Times New Roman"/>
          <w:bCs/>
          <w:color w:val="17365D"/>
        </w:rPr>
        <w:t xml:space="preserve"> </w:t>
      </w:r>
      <w:r w:rsidR="00945479">
        <w:rPr>
          <w:rFonts w:cs="Times New Roman"/>
          <w:bCs/>
          <w:color w:val="17365D"/>
        </w:rPr>
        <w:t>(</w:t>
      </w:r>
      <w:r w:rsidR="00945479" w:rsidRPr="00945479">
        <w:rPr>
          <w:rFonts w:cs="Times New Roman"/>
          <w:bCs/>
          <w:color w:val="17365D"/>
        </w:rPr>
        <w:t>173</w:t>
      </w:r>
      <w:r w:rsidR="00945479">
        <w:rPr>
          <w:rFonts w:cs="Times New Roman"/>
          <w:bCs/>
          <w:color w:val="17365D"/>
        </w:rPr>
        <w:t> </w:t>
      </w:r>
      <w:r w:rsidR="00945479" w:rsidRPr="00945479">
        <w:rPr>
          <w:rFonts w:cs="Times New Roman"/>
          <w:bCs/>
          <w:color w:val="17365D"/>
        </w:rPr>
        <w:t>319</w:t>
      </w:r>
      <w:r w:rsidR="00945479">
        <w:rPr>
          <w:rFonts w:cs="Times New Roman"/>
          <w:bCs/>
          <w:color w:val="17365D"/>
        </w:rPr>
        <w:t> </w:t>
      </w:r>
      <w:r w:rsidR="00945479" w:rsidRPr="00945479">
        <w:rPr>
          <w:rFonts w:cs="Times New Roman"/>
          <w:bCs/>
          <w:color w:val="17365D"/>
        </w:rPr>
        <w:t>257</w:t>
      </w:r>
      <w:r w:rsidR="00945479">
        <w:rPr>
          <w:rFonts w:cs="Times New Roman"/>
          <w:bCs/>
          <w:color w:val="17365D"/>
        </w:rPr>
        <w:t xml:space="preserve">) </w:t>
      </w:r>
      <w:proofErr w:type="spellStart"/>
      <w:r w:rsidR="00945479" w:rsidRPr="00A27896">
        <w:rPr>
          <w:bCs/>
          <w:i/>
          <w:color w:val="17365D"/>
        </w:rPr>
        <w:t>euro</w:t>
      </w:r>
      <w:proofErr w:type="spellEnd"/>
      <w:r w:rsidR="00945479" w:rsidRPr="00A27896">
        <w:rPr>
          <w:bCs/>
          <w:color w:val="17365D"/>
        </w:rPr>
        <w:t xml:space="preserve"> </w:t>
      </w:r>
      <w:r w:rsidR="0006686D">
        <w:rPr>
          <w:rFonts w:cs="Times New Roman"/>
          <w:bCs/>
          <w:color w:val="17365D"/>
        </w:rPr>
        <w:t xml:space="preserve">un </w:t>
      </w:r>
      <w:r w:rsidR="0006686D" w:rsidRPr="0006686D">
        <w:rPr>
          <w:rFonts w:cs="Times New Roman"/>
          <w:bCs/>
          <w:color w:val="17365D"/>
        </w:rPr>
        <w:t>valsts sociālās apdrošināšanas iemaksām</w:t>
      </w:r>
      <w:r w:rsidR="0006686D">
        <w:rPr>
          <w:rFonts w:cs="Times New Roman"/>
          <w:bCs/>
          <w:color w:val="17365D"/>
        </w:rPr>
        <w:t xml:space="preserve"> </w:t>
      </w:r>
      <w:r w:rsidR="00945479">
        <w:rPr>
          <w:rFonts w:cs="Times New Roman"/>
          <w:bCs/>
          <w:color w:val="17365D"/>
        </w:rPr>
        <w:t>(</w:t>
      </w:r>
      <w:r w:rsidR="00945479" w:rsidRPr="00945479">
        <w:rPr>
          <w:rFonts w:cs="Times New Roman"/>
          <w:bCs/>
          <w:color w:val="17365D"/>
        </w:rPr>
        <w:t>78</w:t>
      </w:r>
      <w:r w:rsidR="00945479">
        <w:rPr>
          <w:rFonts w:cs="Times New Roman"/>
          <w:bCs/>
          <w:color w:val="17365D"/>
        </w:rPr>
        <w:t> </w:t>
      </w:r>
      <w:r w:rsidR="00945479" w:rsidRPr="00945479">
        <w:rPr>
          <w:rFonts w:cs="Times New Roman"/>
          <w:bCs/>
          <w:color w:val="17365D"/>
        </w:rPr>
        <w:t>463</w:t>
      </w:r>
      <w:r w:rsidR="00945479">
        <w:rPr>
          <w:rFonts w:cs="Times New Roman"/>
          <w:bCs/>
          <w:color w:val="17365D"/>
        </w:rPr>
        <w:t> </w:t>
      </w:r>
      <w:r w:rsidR="00945479" w:rsidRPr="00945479">
        <w:rPr>
          <w:rFonts w:cs="Times New Roman"/>
          <w:bCs/>
          <w:color w:val="17365D"/>
        </w:rPr>
        <w:t>418</w:t>
      </w:r>
      <w:r w:rsidR="00945479">
        <w:rPr>
          <w:rFonts w:cs="Times New Roman"/>
          <w:bCs/>
          <w:color w:val="17365D"/>
        </w:rPr>
        <w:t>)</w:t>
      </w:r>
      <w:r w:rsidR="00945479" w:rsidRPr="00945479">
        <w:rPr>
          <w:rFonts w:cs="Times New Roman"/>
          <w:bCs/>
          <w:color w:val="17365D"/>
        </w:rPr>
        <w:t xml:space="preserve"> </w:t>
      </w:r>
      <w:proofErr w:type="spellStart"/>
      <w:r w:rsidR="00945479" w:rsidRPr="00A27896">
        <w:rPr>
          <w:bCs/>
          <w:i/>
          <w:color w:val="17365D"/>
        </w:rPr>
        <w:t>euro</w:t>
      </w:r>
      <w:proofErr w:type="spellEnd"/>
      <w:r w:rsidR="00945479" w:rsidRPr="00A27896">
        <w:rPr>
          <w:bCs/>
          <w:color w:val="17365D"/>
        </w:rPr>
        <w:t xml:space="preserve"> </w:t>
      </w:r>
      <w:r w:rsidR="0006686D" w:rsidRPr="0006686D">
        <w:rPr>
          <w:rFonts w:cs="Times New Roman"/>
          <w:bCs/>
          <w:color w:val="17365D"/>
        </w:rPr>
        <w:t>VID administrēto v</w:t>
      </w:r>
      <w:r w:rsidR="0006686D">
        <w:rPr>
          <w:rFonts w:cs="Times New Roman"/>
          <w:bCs/>
          <w:color w:val="17365D"/>
        </w:rPr>
        <w:t xml:space="preserve">alsts budžeta ieņēmumu uzskaitē, bet </w:t>
      </w:r>
      <w:r w:rsidR="0006686D" w:rsidRPr="00A27896">
        <w:rPr>
          <w:rFonts w:cs="Times New Roman"/>
          <w:bCs/>
          <w:color w:val="17365D"/>
        </w:rPr>
        <w:t xml:space="preserve">palielinājumu </w:t>
      </w:r>
      <w:r w:rsidR="00945479">
        <w:rPr>
          <w:rFonts w:cs="Times New Roman"/>
          <w:bCs/>
          <w:color w:val="17365D"/>
        </w:rPr>
        <w:t xml:space="preserve">veido </w:t>
      </w:r>
      <w:r w:rsidR="00B44AC4" w:rsidRPr="00A27896">
        <w:rPr>
          <w:rFonts w:cs="Times New Roman"/>
          <w:bCs/>
          <w:color w:val="17365D"/>
        </w:rPr>
        <w:t>Ekonomikas ministrijas</w:t>
      </w:r>
      <w:r w:rsidR="00707F5E" w:rsidRPr="00A27896">
        <w:rPr>
          <w:rFonts w:cs="Times New Roman"/>
          <w:bCs/>
          <w:color w:val="17365D"/>
        </w:rPr>
        <w:t xml:space="preserve"> </w:t>
      </w:r>
      <w:r w:rsidR="00B44AC4" w:rsidRPr="00A27896">
        <w:rPr>
          <w:rFonts w:cs="Times New Roman"/>
          <w:bCs/>
          <w:color w:val="17365D"/>
        </w:rPr>
        <w:t>prasību pieaugums</w:t>
      </w:r>
      <w:r w:rsidR="00707F5E" w:rsidRPr="00A27896">
        <w:rPr>
          <w:rFonts w:cs="Times New Roman"/>
          <w:bCs/>
          <w:color w:val="17365D"/>
        </w:rPr>
        <w:t xml:space="preserve"> saistī</w:t>
      </w:r>
      <w:r w:rsidR="00B44AC4" w:rsidRPr="00A27896">
        <w:rPr>
          <w:rFonts w:cs="Times New Roman"/>
          <w:bCs/>
          <w:color w:val="17365D"/>
        </w:rPr>
        <w:t>bā</w:t>
      </w:r>
      <w:r w:rsidR="00707F5E" w:rsidRPr="00A27896">
        <w:rPr>
          <w:rFonts w:cs="Times New Roman"/>
          <w:bCs/>
          <w:color w:val="17365D"/>
        </w:rPr>
        <w:t xml:space="preserve"> ar AS </w:t>
      </w:r>
      <w:r w:rsidR="00B44AC4" w:rsidRPr="00A27896">
        <w:rPr>
          <w:rFonts w:cs="Times New Roman"/>
          <w:bCs/>
          <w:color w:val="17365D"/>
        </w:rPr>
        <w:t>“</w:t>
      </w:r>
      <w:r w:rsidR="00707F5E" w:rsidRPr="00A27896">
        <w:rPr>
          <w:rFonts w:cs="Times New Roman"/>
          <w:bCs/>
          <w:color w:val="17365D"/>
        </w:rPr>
        <w:t>Attīs</w:t>
      </w:r>
      <w:r w:rsidR="00B44AC4" w:rsidRPr="00A27896">
        <w:rPr>
          <w:rFonts w:cs="Times New Roman"/>
          <w:bCs/>
          <w:color w:val="17365D"/>
        </w:rPr>
        <w:t xml:space="preserve">tības finanšu institūcija </w:t>
      </w:r>
      <w:proofErr w:type="spellStart"/>
      <w:r w:rsidR="00B44AC4" w:rsidRPr="00A27896">
        <w:rPr>
          <w:rFonts w:cs="Times New Roman"/>
          <w:bCs/>
          <w:color w:val="17365D"/>
        </w:rPr>
        <w:t>Altum</w:t>
      </w:r>
      <w:proofErr w:type="spellEnd"/>
      <w:r w:rsidR="00B44AC4" w:rsidRPr="00A27896">
        <w:rPr>
          <w:rFonts w:cs="Times New Roman"/>
          <w:bCs/>
          <w:color w:val="17365D"/>
        </w:rPr>
        <w:t>”</w:t>
      </w:r>
      <w:r w:rsidR="00707F5E" w:rsidRPr="00A27896">
        <w:rPr>
          <w:rFonts w:cs="Times New Roman"/>
          <w:bCs/>
          <w:color w:val="17365D"/>
        </w:rPr>
        <w:t xml:space="preserve"> aizdevuma programmu komersantiem konkurētspējas veicināšanai</w:t>
      </w:r>
      <w:r w:rsidR="00B44AC4" w:rsidRPr="00A27896">
        <w:rPr>
          <w:rFonts w:cs="Times New Roman"/>
          <w:color w:val="17365D"/>
        </w:rPr>
        <w:t xml:space="preserve"> </w:t>
      </w:r>
      <w:r w:rsidR="00B44AC4" w:rsidRPr="00A27896">
        <w:rPr>
          <w:rFonts w:cs="Times New Roman"/>
          <w:bCs/>
          <w:color w:val="17365D"/>
        </w:rPr>
        <w:t>99 565 000</w:t>
      </w:r>
      <w:r w:rsidR="00B44AC4" w:rsidRPr="00A27896" w:rsidDel="00707F5E">
        <w:rPr>
          <w:rFonts w:cs="Times New Roman"/>
          <w:bCs/>
          <w:color w:val="17365D"/>
        </w:rPr>
        <w:t xml:space="preserve"> </w:t>
      </w:r>
      <w:proofErr w:type="spellStart"/>
      <w:r w:rsidR="008D3BCD" w:rsidRPr="00A27896">
        <w:rPr>
          <w:rFonts w:cs="Times New Roman"/>
          <w:bCs/>
          <w:i/>
          <w:color w:val="17365D"/>
        </w:rPr>
        <w:t>euro</w:t>
      </w:r>
      <w:proofErr w:type="spellEnd"/>
      <w:r w:rsidR="008D3BCD" w:rsidRPr="00A27896">
        <w:rPr>
          <w:rFonts w:cs="Times New Roman"/>
          <w:bCs/>
          <w:color w:val="17365D"/>
        </w:rPr>
        <w:t xml:space="preserve"> vērtībā</w:t>
      </w:r>
      <w:r w:rsidR="00B44AC4" w:rsidRPr="00A27896">
        <w:rPr>
          <w:rFonts w:cs="Times New Roman"/>
          <w:bCs/>
          <w:color w:val="17365D"/>
        </w:rPr>
        <w:t xml:space="preserve"> un</w:t>
      </w:r>
      <w:r w:rsidR="00B44AC4" w:rsidRPr="00A27896">
        <w:rPr>
          <w:rFonts w:cs="Times New Roman"/>
          <w:color w:val="17365D"/>
        </w:rPr>
        <w:t xml:space="preserve"> F</w:t>
      </w:r>
      <w:r w:rsidR="00B44AC4" w:rsidRPr="00A27896">
        <w:rPr>
          <w:rFonts w:cs="Times New Roman"/>
          <w:bCs/>
          <w:color w:val="17365D"/>
        </w:rPr>
        <w:t>inanšu ministrijas prasību pieaugums par VAS “Valsts nekustamie īpašumi” būvniecības darbiem 18 054 362</w:t>
      </w:r>
      <w:r w:rsidR="00B44AC4" w:rsidRPr="00A27896">
        <w:rPr>
          <w:rFonts w:cs="Times New Roman"/>
          <w:bCs/>
          <w:i/>
          <w:color w:val="17365D"/>
        </w:rPr>
        <w:t xml:space="preserve"> </w:t>
      </w:r>
      <w:proofErr w:type="spellStart"/>
      <w:r w:rsidR="00B44AC4" w:rsidRPr="00A27896">
        <w:rPr>
          <w:rFonts w:cs="Times New Roman"/>
          <w:bCs/>
          <w:i/>
          <w:color w:val="17365D"/>
        </w:rPr>
        <w:t>euro</w:t>
      </w:r>
      <w:proofErr w:type="spellEnd"/>
      <w:r w:rsidR="00B44AC4" w:rsidRPr="00A27896">
        <w:rPr>
          <w:rFonts w:cs="Times New Roman"/>
          <w:bCs/>
          <w:color w:val="17365D"/>
        </w:rPr>
        <w:t xml:space="preserve"> vērtībā</w:t>
      </w:r>
      <w:r w:rsidR="008D3BCD" w:rsidRPr="00A27896">
        <w:rPr>
          <w:rFonts w:cs="Times New Roman"/>
          <w:bCs/>
          <w:color w:val="17365D"/>
        </w:rPr>
        <w:t>.</w:t>
      </w:r>
    </w:p>
    <w:p w14:paraId="0A18FC71" w14:textId="26E48B37" w:rsidR="004548EE" w:rsidRPr="00A27896" w:rsidRDefault="00EB4440" w:rsidP="008D3BCD">
      <w:pPr>
        <w:spacing w:after="120" w:line="240" w:lineRule="auto"/>
        <w:ind w:firstLine="284"/>
        <w:jc w:val="both"/>
        <w:rPr>
          <w:rFonts w:cs="Times New Roman"/>
          <w:bCs/>
          <w:color w:val="17365D"/>
        </w:rPr>
      </w:pPr>
      <w:r w:rsidRPr="00A27896">
        <w:rPr>
          <w:rFonts w:cs="Times New Roman"/>
          <w:bCs/>
          <w:color w:val="17365D"/>
        </w:rPr>
        <w:t>Valsts budžeta finanšu uzskaitē ilgtermiņa prasībām, kas izriet no valsts galvojuma, pilnā apmērā izveidots vērtības samazinājums (40</w:t>
      </w:r>
      <w:r w:rsidR="00586A9E" w:rsidRPr="00A27896">
        <w:rPr>
          <w:rFonts w:cs="Times New Roman"/>
          <w:bCs/>
          <w:color w:val="17365D"/>
        </w:rPr>
        <w:t>6</w:t>
      </w:r>
      <w:r w:rsidRPr="00A27896">
        <w:rPr>
          <w:rFonts w:cs="Times New Roman"/>
          <w:bCs/>
          <w:color w:val="17365D"/>
        </w:rPr>
        <w:t> </w:t>
      </w:r>
      <w:r w:rsidR="00586A9E" w:rsidRPr="00A27896">
        <w:rPr>
          <w:rFonts w:cs="Times New Roman"/>
          <w:bCs/>
          <w:color w:val="17365D"/>
        </w:rPr>
        <w:t>733</w:t>
      </w:r>
      <w:r w:rsidRPr="00A27896">
        <w:rPr>
          <w:rFonts w:cs="Times New Roman"/>
          <w:bCs/>
          <w:color w:val="17365D"/>
        </w:rPr>
        <w:t> </w:t>
      </w:r>
      <w:r w:rsidR="00586A9E" w:rsidRPr="00A27896">
        <w:rPr>
          <w:rFonts w:cs="Times New Roman"/>
          <w:bCs/>
          <w:color w:val="17365D"/>
        </w:rPr>
        <w:t>364</w:t>
      </w:r>
      <w:r w:rsidRPr="00A27896">
        <w:rPr>
          <w:rFonts w:cs="Times New Roman"/>
          <w:bCs/>
          <w:i/>
          <w:color w:val="17365D"/>
        </w:rPr>
        <w:t xml:space="preserve">) </w:t>
      </w:r>
      <w:proofErr w:type="spellStart"/>
      <w:r w:rsidRPr="00A27896">
        <w:rPr>
          <w:rFonts w:cs="Times New Roman"/>
          <w:bCs/>
          <w:i/>
          <w:color w:val="17365D"/>
        </w:rPr>
        <w:t>euro</w:t>
      </w:r>
      <w:proofErr w:type="spellEnd"/>
      <w:r w:rsidRPr="00A27896">
        <w:rPr>
          <w:rFonts w:cs="Times New Roman"/>
          <w:bCs/>
          <w:color w:val="17365D"/>
        </w:rPr>
        <w:t xml:space="preserve"> vērtībā. </w:t>
      </w:r>
      <w:r w:rsidR="00852BE3" w:rsidRPr="00A27896">
        <w:rPr>
          <w:rFonts w:cs="Times New Roman"/>
          <w:bCs/>
          <w:color w:val="17365D"/>
        </w:rPr>
        <w:t xml:space="preserve">Saskaņā ar pašvaldību sniegto informāciju </w:t>
      </w:r>
      <w:r w:rsidR="005D25CC" w:rsidRPr="00A27896">
        <w:rPr>
          <w:rFonts w:cs="Times New Roman"/>
          <w:bCs/>
          <w:color w:val="17365D"/>
        </w:rPr>
        <w:t>ilgtermiņa prasību</w:t>
      </w:r>
      <w:r w:rsidR="00852BE3" w:rsidRPr="00A27896">
        <w:rPr>
          <w:rFonts w:cs="Times New Roman"/>
          <w:bCs/>
          <w:color w:val="17365D"/>
        </w:rPr>
        <w:t xml:space="preserve"> </w:t>
      </w:r>
      <w:r w:rsidR="005D25CC" w:rsidRPr="00A27896">
        <w:rPr>
          <w:rFonts w:cs="Times New Roman"/>
          <w:bCs/>
          <w:color w:val="17365D"/>
        </w:rPr>
        <w:t xml:space="preserve">vērtības samazinājums </w:t>
      </w:r>
      <w:r w:rsidR="00502A25" w:rsidRPr="00A27896">
        <w:rPr>
          <w:rFonts w:cs="Times New Roman"/>
          <w:bCs/>
          <w:color w:val="17365D"/>
        </w:rPr>
        <w:t>202</w:t>
      </w:r>
      <w:r w:rsidR="00586A9E" w:rsidRPr="00A27896">
        <w:rPr>
          <w:rFonts w:cs="Times New Roman"/>
          <w:bCs/>
          <w:color w:val="17365D"/>
        </w:rPr>
        <w:t>2</w:t>
      </w:r>
      <w:r w:rsidR="00852BE3" w:rsidRPr="00A27896">
        <w:rPr>
          <w:rFonts w:cs="Times New Roman"/>
          <w:bCs/>
          <w:color w:val="17365D"/>
        </w:rPr>
        <w:t>. gada beigās ir (</w:t>
      </w:r>
      <w:r w:rsidR="00586A9E" w:rsidRPr="00A27896">
        <w:rPr>
          <w:rFonts w:cs="Times New Roman"/>
          <w:bCs/>
          <w:color w:val="17365D"/>
        </w:rPr>
        <w:t>3</w:t>
      </w:r>
      <w:r w:rsidR="00502A25" w:rsidRPr="00A27896">
        <w:rPr>
          <w:rFonts w:cs="Times New Roman"/>
          <w:bCs/>
          <w:color w:val="17365D"/>
        </w:rPr>
        <w:t> </w:t>
      </w:r>
      <w:r w:rsidR="00586A9E" w:rsidRPr="00A27896">
        <w:rPr>
          <w:rFonts w:cs="Times New Roman"/>
          <w:bCs/>
          <w:color w:val="17365D"/>
        </w:rPr>
        <w:t>653</w:t>
      </w:r>
      <w:r w:rsidR="00852BE3" w:rsidRPr="00A27896">
        <w:rPr>
          <w:rFonts w:cs="Times New Roman"/>
          <w:bCs/>
          <w:color w:val="17365D"/>
        </w:rPr>
        <w:t>) </w:t>
      </w:r>
      <w:proofErr w:type="spellStart"/>
      <w:r w:rsidR="00852BE3" w:rsidRPr="00A27896">
        <w:rPr>
          <w:rFonts w:cs="Times New Roman"/>
          <w:bCs/>
          <w:i/>
          <w:color w:val="17365D"/>
        </w:rPr>
        <w:t>euro</w:t>
      </w:r>
      <w:proofErr w:type="spellEnd"/>
      <w:r w:rsidR="00852BE3" w:rsidRPr="00A27896">
        <w:rPr>
          <w:rFonts w:cs="Times New Roman"/>
          <w:bCs/>
          <w:i/>
          <w:color w:val="17365D"/>
        </w:rPr>
        <w:t>,</w:t>
      </w:r>
      <w:r w:rsidR="00852BE3" w:rsidRPr="00A27896">
        <w:rPr>
          <w:rFonts w:cs="Times New Roman"/>
          <w:bCs/>
          <w:color w:val="17365D"/>
        </w:rPr>
        <w:t xml:space="preserve"> </w:t>
      </w:r>
      <w:r w:rsidR="00EC5723" w:rsidRPr="00A27896">
        <w:rPr>
          <w:rFonts w:cs="Times New Roman"/>
          <w:bCs/>
          <w:color w:val="17365D"/>
        </w:rPr>
        <w:t xml:space="preserve">kas noteikts </w:t>
      </w:r>
      <w:r w:rsidR="00586A9E" w:rsidRPr="00A27896">
        <w:rPr>
          <w:rFonts w:cs="Times New Roman"/>
          <w:bCs/>
          <w:color w:val="17365D"/>
        </w:rPr>
        <w:t>prasību pilnā apmērā</w:t>
      </w:r>
      <w:r w:rsidR="00EC6774" w:rsidRPr="00A27896">
        <w:rPr>
          <w:rFonts w:cs="Times New Roman"/>
          <w:bCs/>
          <w:color w:val="17365D"/>
        </w:rPr>
        <w:t xml:space="preserve"> saskaņā ar budžeta iestāžu grāmatvedības uzskaites kārtībā noteikto</w:t>
      </w:r>
      <w:r w:rsidR="00852BE3" w:rsidRPr="00A27896">
        <w:rPr>
          <w:rFonts w:cs="Times New Roman"/>
          <w:bCs/>
          <w:color w:val="17365D"/>
        </w:rPr>
        <w:t>. Ministrijas un centrālās iestādes nav veidojušas ilgtermiņa prasīb</w:t>
      </w:r>
      <w:r w:rsidR="005D25CC" w:rsidRPr="00A27896">
        <w:rPr>
          <w:rFonts w:cs="Times New Roman"/>
          <w:bCs/>
          <w:color w:val="17365D"/>
        </w:rPr>
        <w:t>u vērtības samazinājumu</w:t>
      </w:r>
      <w:r w:rsidR="00852BE3" w:rsidRPr="00A27896">
        <w:rPr>
          <w:rFonts w:cs="Times New Roman"/>
          <w:bCs/>
          <w:color w:val="17365D"/>
        </w:rPr>
        <w:t>.</w:t>
      </w:r>
    </w:p>
    <w:p w14:paraId="6F42ED48" w14:textId="17A508BA" w:rsidR="00486B84" w:rsidRPr="00A27896" w:rsidRDefault="002B58FA" w:rsidP="005A3758">
      <w:pPr>
        <w:pStyle w:val="Heading4"/>
        <w:rPr>
          <w:rFonts w:cs="Times New Roman"/>
        </w:rPr>
      </w:pPr>
      <w:r w:rsidRPr="00A27896">
        <w:rPr>
          <w:rFonts w:cs="Times New Roman"/>
        </w:rPr>
        <w:t>Piezīme Nr. KB.</w:t>
      </w:r>
      <w:r w:rsidR="00F73CE6" w:rsidRPr="00A27896">
        <w:rPr>
          <w:rFonts w:cs="Times New Roman"/>
        </w:rPr>
        <w:t>1.</w:t>
      </w:r>
      <w:r w:rsidRPr="00A27896">
        <w:rPr>
          <w:rFonts w:cs="Times New Roman"/>
        </w:rPr>
        <w:t xml:space="preserve">5. </w:t>
      </w:r>
      <w:r w:rsidR="00486B84" w:rsidRPr="00A27896">
        <w:rPr>
          <w:rFonts w:cs="Times New Roman"/>
        </w:rPr>
        <w:t>Ieguldījuma īpašumi</w:t>
      </w:r>
    </w:p>
    <w:p w14:paraId="7F92B454" w14:textId="4A2F03D5" w:rsidR="00DB1118" w:rsidRPr="00A27896" w:rsidRDefault="00212DF3" w:rsidP="00DB1118">
      <w:pPr>
        <w:pStyle w:val="Tabulasnosaukums1"/>
        <w:rPr>
          <w:rFonts w:cs="Times New Roman"/>
          <w:i/>
          <w:color w:val="17365D"/>
        </w:rPr>
      </w:pPr>
      <w:r w:rsidRPr="00A27896">
        <w:rPr>
          <w:rFonts w:cs="Times New Roman"/>
          <w:i/>
          <w:color w:val="17365D"/>
        </w:rPr>
        <w:t>7</w:t>
      </w:r>
      <w:r w:rsidR="00DB1118" w:rsidRPr="00A27896">
        <w:rPr>
          <w:rFonts w:cs="Times New Roman"/>
          <w:i/>
          <w:color w:val="17365D"/>
        </w:rPr>
        <w:t xml:space="preserve">. tabula. </w:t>
      </w:r>
      <w:r w:rsidR="00486B84" w:rsidRPr="00A27896">
        <w:rPr>
          <w:rFonts w:cs="Times New Roman"/>
          <w:bCs/>
          <w:i/>
          <w:iCs/>
          <w:color w:val="17365D"/>
        </w:rPr>
        <w:t>Ieguldījuma īpašumi</w:t>
      </w:r>
      <w:r w:rsidR="00DB1118" w:rsidRPr="00A27896">
        <w:rPr>
          <w:rFonts w:cs="Times New Roman"/>
          <w:i/>
          <w:color w:val="17365D"/>
        </w:rPr>
        <w:t xml:space="preserve"> (</w:t>
      </w:r>
      <w:proofErr w:type="spellStart"/>
      <w:r w:rsidR="00DB1118" w:rsidRPr="00A27896">
        <w:rPr>
          <w:rFonts w:cs="Times New Roman"/>
          <w:i/>
          <w:color w:val="17365D"/>
        </w:rPr>
        <w:t>euro</w:t>
      </w:r>
      <w:proofErr w:type="spellEnd"/>
      <w:r w:rsidR="00DB1118" w:rsidRPr="00A27896">
        <w:rPr>
          <w:rFonts w:cs="Times New Roman"/>
          <w:i/>
          <w:color w:val="17365D"/>
        </w:rPr>
        <w:t>)</w:t>
      </w:r>
    </w:p>
    <w:tbl>
      <w:tblPr>
        <w:tblW w:w="5016" w:type="pct"/>
        <w:tblBorders>
          <w:insideH w:val="single" w:sz="4" w:space="0" w:color="012169"/>
        </w:tblBorders>
        <w:tblLayout w:type="fixed"/>
        <w:tblLook w:val="04A0" w:firstRow="1" w:lastRow="0" w:firstColumn="1" w:lastColumn="0" w:noHBand="0" w:noVBand="1"/>
      </w:tblPr>
      <w:tblGrid>
        <w:gridCol w:w="2815"/>
        <w:gridCol w:w="236"/>
        <w:gridCol w:w="796"/>
        <w:gridCol w:w="156"/>
        <w:gridCol w:w="1242"/>
        <w:gridCol w:w="205"/>
        <w:gridCol w:w="1355"/>
        <w:gridCol w:w="77"/>
        <w:gridCol w:w="1269"/>
        <w:gridCol w:w="73"/>
        <w:gridCol w:w="1160"/>
      </w:tblGrid>
      <w:tr w:rsidR="000C1009" w:rsidRPr="00A27896" w14:paraId="30729003" w14:textId="77777777" w:rsidTr="00674038">
        <w:trPr>
          <w:trHeight w:val="684"/>
          <w:tblHeader/>
        </w:trPr>
        <w:tc>
          <w:tcPr>
            <w:tcW w:w="1500" w:type="pct"/>
            <w:tcBorders>
              <w:bottom w:val="single" w:sz="4" w:space="0" w:color="17365D"/>
            </w:tcBorders>
            <w:shd w:val="clear" w:color="auto" w:fill="B9CDE5"/>
            <w:vAlign w:val="center"/>
            <w:hideMark/>
          </w:tcPr>
          <w:p w14:paraId="1E0C55EA" w14:textId="77777777" w:rsidR="00C2495B" w:rsidRPr="00A27896" w:rsidRDefault="00C2495B"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550" w:type="pct"/>
            <w:gridSpan w:val="2"/>
            <w:tcBorders>
              <w:bottom w:val="single" w:sz="4" w:space="0" w:color="17365D"/>
            </w:tcBorders>
            <w:shd w:val="clear" w:color="auto" w:fill="B9CDE5"/>
            <w:vAlign w:val="center"/>
            <w:hideMark/>
          </w:tcPr>
          <w:p w14:paraId="5A48A39C" w14:textId="77777777" w:rsidR="00C2495B" w:rsidRPr="00A27896" w:rsidRDefault="00C2495B"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745" w:type="pct"/>
            <w:gridSpan w:val="2"/>
            <w:tcBorders>
              <w:bottom w:val="single" w:sz="4" w:space="0" w:color="17365D"/>
            </w:tcBorders>
            <w:shd w:val="clear" w:color="auto" w:fill="B9CDE5"/>
            <w:vAlign w:val="center"/>
            <w:hideMark/>
          </w:tcPr>
          <w:p w14:paraId="2FB97AF4" w14:textId="77777777" w:rsidR="00C2495B" w:rsidRPr="00A27896" w:rsidRDefault="00C2495B"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831" w:type="pct"/>
            <w:gridSpan w:val="2"/>
            <w:tcBorders>
              <w:bottom w:val="single" w:sz="4" w:space="0" w:color="17365D"/>
            </w:tcBorders>
            <w:shd w:val="clear" w:color="auto" w:fill="B9CDE5"/>
            <w:vAlign w:val="center"/>
            <w:hideMark/>
          </w:tcPr>
          <w:p w14:paraId="79AEAFF7" w14:textId="77777777" w:rsidR="00C2495B" w:rsidRPr="00A27896" w:rsidRDefault="00C2495B"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756" w:type="pct"/>
            <w:gridSpan w:val="3"/>
            <w:tcBorders>
              <w:bottom w:val="single" w:sz="4" w:space="0" w:color="17365D"/>
            </w:tcBorders>
            <w:shd w:val="clear" w:color="auto" w:fill="B9CDE5"/>
            <w:vAlign w:val="center"/>
            <w:hideMark/>
          </w:tcPr>
          <w:p w14:paraId="3DA181F4" w14:textId="77777777" w:rsidR="00C2495B" w:rsidRPr="00A27896" w:rsidRDefault="00C2495B"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Pr="00A27896">
              <w:rPr>
                <w:rFonts w:eastAsia="Times New Roman" w:cs="Times New Roman"/>
                <w:b/>
                <w:color w:val="17365D"/>
                <w:sz w:val="18"/>
                <w:szCs w:val="18"/>
                <w:lang w:eastAsia="lv-LV"/>
              </w:rPr>
              <w:t xml:space="preserve"> – )</w:t>
            </w:r>
          </w:p>
        </w:tc>
        <w:tc>
          <w:tcPr>
            <w:tcW w:w="618" w:type="pct"/>
            <w:tcBorders>
              <w:bottom w:val="single" w:sz="4" w:space="0" w:color="17365D"/>
            </w:tcBorders>
            <w:shd w:val="clear" w:color="auto" w:fill="B9CDE5"/>
            <w:vAlign w:val="center"/>
            <w:hideMark/>
          </w:tcPr>
          <w:p w14:paraId="780344C7" w14:textId="77777777" w:rsidR="00C2495B" w:rsidRPr="00A27896" w:rsidRDefault="00C2495B"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779300A4" w14:textId="77777777" w:rsidTr="00674038">
        <w:trPr>
          <w:trHeight w:val="264"/>
          <w:tblHeader/>
        </w:trPr>
        <w:tc>
          <w:tcPr>
            <w:tcW w:w="1500" w:type="pct"/>
            <w:tcBorders>
              <w:top w:val="single" w:sz="4" w:space="0" w:color="17365D"/>
              <w:bottom w:val="single" w:sz="4" w:space="0" w:color="17365D"/>
            </w:tcBorders>
            <w:shd w:val="clear" w:color="auto" w:fill="auto"/>
            <w:vAlign w:val="center"/>
            <w:hideMark/>
          </w:tcPr>
          <w:p w14:paraId="360B9789" w14:textId="77777777" w:rsidR="00C2495B" w:rsidRPr="00A27896" w:rsidRDefault="00C2495B"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550" w:type="pct"/>
            <w:gridSpan w:val="2"/>
            <w:tcBorders>
              <w:top w:val="single" w:sz="4" w:space="0" w:color="17365D"/>
              <w:bottom w:val="single" w:sz="4" w:space="0" w:color="17365D"/>
            </w:tcBorders>
            <w:shd w:val="clear" w:color="auto" w:fill="auto"/>
            <w:vAlign w:val="center"/>
            <w:hideMark/>
          </w:tcPr>
          <w:p w14:paraId="75C13171" w14:textId="77777777" w:rsidR="00C2495B" w:rsidRPr="00A27896" w:rsidRDefault="00C2495B"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45" w:type="pct"/>
            <w:gridSpan w:val="2"/>
            <w:tcBorders>
              <w:top w:val="single" w:sz="4" w:space="0" w:color="17365D"/>
              <w:bottom w:val="single" w:sz="4" w:space="0" w:color="17365D"/>
            </w:tcBorders>
            <w:shd w:val="clear" w:color="auto" w:fill="auto"/>
            <w:vAlign w:val="center"/>
            <w:hideMark/>
          </w:tcPr>
          <w:p w14:paraId="0F92B19E" w14:textId="77777777" w:rsidR="00C2495B" w:rsidRPr="00A27896" w:rsidRDefault="00C2495B"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831" w:type="pct"/>
            <w:gridSpan w:val="2"/>
            <w:tcBorders>
              <w:top w:val="single" w:sz="4" w:space="0" w:color="17365D"/>
              <w:bottom w:val="single" w:sz="4" w:space="0" w:color="17365D"/>
            </w:tcBorders>
            <w:shd w:val="clear" w:color="auto" w:fill="auto"/>
            <w:vAlign w:val="center"/>
            <w:hideMark/>
          </w:tcPr>
          <w:p w14:paraId="09B4ADBA" w14:textId="77777777" w:rsidR="00C2495B" w:rsidRPr="00A27896" w:rsidRDefault="00C2495B"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756" w:type="pct"/>
            <w:gridSpan w:val="3"/>
            <w:tcBorders>
              <w:top w:val="single" w:sz="4" w:space="0" w:color="17365D"/>
              <w:bottom w:val="single" w:sz="4" w:space="0" w:color="17365D"/>
            </w:tcBorders>
            <w:shd w:val="clear" w:color="auto" w:fill="auto"/>
            <w:vAlign w:val="center"/>
            <w:hideMark/>
          </w:tcPr>
          <w:p w14:paraId="73797C4D" w14:textId="77777777" w:rsidR="00C2495B" w:rsidRPr="00A27896" w:rsidRDefault="00C2495B"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18" w:type="pct"/>
            <w:tcBorders>
              <w:top w:val="single" w:sz="4" w:space="0" w:color="17365D"/>
              <w:bottom w:val="single" w:sz="4" w:space="0" w:color="17365D"/>
            </w:tcBorders>
            <w:shd w:val="clear" w:color="auto" w:fill="auto"/>
            <w:vAlign w:val="center"/>
            <w:hideMark/>
          </w:tcPr>
          <w:p w14:paraId="16A29DF8" w14:textId="77777777" w:rsidR="00C2495B" w:rsidRPr="00A27896" w:rsidRDefault="00C2495B"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006F2A" w:rsidRPr="00A27896" w14:paraId="49D85CD7" w14:textId="77777777" w:rsidTr="00006F2A">
        <w:trPr>
          <w:trHeight w:val="264"/>
          <w:tblHeader/>
        </w:trPr>
        <w:tc>
          <w:tcPr>
            <w:tcW w:w="1500" w:type="pct"/>
            <w:tcBorders>
              <w:top w:val="single" w:sz="4" w:space="0" w:color="17365D"/>
              <w:bottom w:val="single" w:sz="4" w:space="0" w:color="17365D"/>
            </w:tcBorders>
            <w:shd w:val="clear" w:color="auto" w:fill="auto"/>
            <w:vAlign w:val="center"/>
            <w:hideMark/>
          </w:tcPr>
          <w:p w14:paraId="5D8C93B4" w14:textId="7B26E227" w:rsidR="00006F2A" w:rsidRPr="00A27896" w:rsidRDefault="00006F2A" w:rsidP="00006F2A">
            <w:pPr>
              <w:spacing w:after="0" w:line="240" w:lineRule="auto"/>
              <w:rPr>
                <w:rFonts w:eastAsia="Times New Roman" w:cs="Times New Roman"/>
                <w:b/>
                <w:color w:val="17365D"/>
                <w:sz w:val="18"/>
                <w:szCs w:val="18"/>
                <w:lang w:eastAsia="lv-LV"/>
              </w:rPr>
            </w:pPr>
            <w:r w:rsidRPr="00A27896">
              <w:rPr>
                <w:rFonts w:cs="Times New Roman"/>
                <w:b/>
                <w:color w:val="17365D"/>
                <w:sz w:val="18"/>
                <w:szCs w:val="18"/>
              </w:rPr>
              <w:t>Ieguldījuma īpašumi</w:t>
            </w:r>
          </w:p>
        </w:tc>
        <w:tc>
          <w:tcPr>
            <w:tcW w:w="550" w:type="pct"/>
            <w:gridSpan w:val="2"/>
            <w:tcBorders>
              <w:top w:val="single" w:sz="4" w:space="0" w:color="17365D"/>
              <w:bottom w:val="single" w:sz="4" w:space="0" w:color="17365D"/>
            </w:tcBorders>
            <w:shd w:val="clear" w:color="auto" w:fill="auto"/>
            <w:vAlign w:val="center"/>
            <w:hideMark/>
          </w:tcPr>
          <w:p w14:paraId="750B519B" w14:textId="456F80E8" w:rsidR="00006F2A" w:rsidRPr="00A27896" w:rsidRDefault="00006F2A" w:rsidP="00100EA1">
            <w:pPr>
              <w:spacing w:after="0" w:line="240" w:lineRule="auto"/>
              <w:jc w:val="center"/>
              <w:rPr>
                <w:rFonts w:eastAsia="Times New Roman" w:cs="Times New Roman"/>
                <w:b/>
                <w:color w:val="17365D"/>
                <w:sz w:val="18"/>
                <w:szCs w:val="18"/>
                <w:lang w:eastAsia="lv-LV"/>
              </w:rPr>
            </w:pPr>
            <w:r w:rsidRPr="00A27896">
              <w:rPr>
                <w:rFonts w:cs="Times New Roman"/>
                <w:b/>
                <w:color w:val="17365D"/>
                <w:sz w:val="18"/>
                <w:szCs w:val="18"/>
              </w:rPr>
              <w:t>KB.1.5.</w:t>
            </w:r>
          </w:p>
        </w:tc>
        <w:tc>
          <w:tcPr>
            <w:tcW w:w="745" w:type="pct"/>
            <w:gridSpan w:val="2"/>
            <w:tcBorders>
              <w:top w:val="single" w:sz="4" w:space="0" w:color="17365D"/>
              <w:bottom w:val="single" w:sz="4" w:space="0" w:color="17365D"/>
            </w:tcBorders>
            <w:shd w:val="clear" w:color="auto" w:fill="auto"/>
            <w:vAlign w:val="center"/>
            <w:hideMark/>
          </w:tcPr>
          <w:p w14:paraId="4E4692C1" w14:textId="7F6B7C51" w:rsidR="00006F2A" w:rsidRPr="00A27896" w:rsidRDefault="00006F2A" w:rsidP="00006F2A">
            <w:pPr>
              <w:spacing w:after="0" w:line="240" w:lineRule="auto"/>
              <w:jc w:val="right"/>
              <w:rPr>
                <w:rFonts w:cs="Times New Roman"/>
                <w:b/>
                <w:color w:val="17365D"/>
                <w:sz w:val="18"/>
                <w:szCs w:val="18"/>
              </w:rPr>
            </w:pPr>
            <w:r w:rsidRPr="00A27896">
              <w:rPr>
                <w:rFonts w:cs="Times New Roman"/>
                <w:b/>
                <w:color w:val="17365D"/>
                <w:sz w:val="18"/>
                <w:szCs w:val="18"/>
              </w:rPr>
              <w:t>641 780 943</w:t>
            </w:r>
          </w:p>
        </w:tc>
        <w:tc>
          <w:tcPr>
            <w:tcW w:w="831" w:type="pct"/>
            <w:gridSpan w:val="2"/>
            <w:tcBorders>
              <w:top w:val="single" w:sz="4" w:space="0" w:color="17365D"/>
              <w:bottom w:val="single" w:sz="4" w:space="0" w:color="17365D"/>
            </w:tcBorders>
            <w:shd w:val="clear" w:color="auto" w:fill="auto"/>
            <w:vAlign w:val="center"/>
            <w:hideMark/>
          </w:tcPr>
          <w:p w14:paraId="0478E23D" w14:textId="185D85C1" w:rsidR="00006F2A" w:rsidRPr="00A27896" w:rsidRDefault="00006F2A" w:rsidP="00006F2A">
            <w:pPr>
              <w:spacing w:after="0" w:line="240" w:lineRule="auto"/>
              <w:jc w:val="right"/>
              <w:rPr>
                <w:rFonts w:cs="Times New Roman"/>
                <w:b/>
                <w:color w:val="17365D"/>
                <w:sz w:val="18"/>
                <w:szCs w:val="18"/>
              </w:rPr>
            </w:pPr>
            <w:r w:rsidRPr="00A27896">
              <w:rPr>
                <w:rFonts w:cs="Times New Roman"/>
                <w:b/>
                <w:color w:val="17365D"/>
                <w:sz w:val="18"/>
                <w:szCs w:val="18"/>
              </w:rPr>
              <w:t>638 876 993</w:t>
            </w:r>
          </w:p>
        </w:tc>
        <w:tc>
          <w:tcPr>
            <w:tcW w:w="756" w:type="pct"/>
            <w:gridSpan w:val="3"/>
            <w:tcBorders>
              <w:top w:val="single" w:sz="4" w:space="0" w:color="17365D"/>
              <w:bottom w:val="single" w:sz="4" w:space="0" w:color="17365D"/>
            </w:tcBorders>
            <w:shd w:val="clear" w:color="auto" w:fill="auto"/>
            <w:noWrap/>
            <w:vAlign w:val="center"/>
            <w:hideMark/>
          </w:tcPr>
          <w:p w14:paraId="2C8BF5C2" w14:textId="11ED1AD4" w:rsidR="00006F2A" w:rsidRPr="00A27896" w:rsidRDefault="00006F2A" w:rsidP="00006F2A">
            <w:pPr>
              <w:spacing w:after="0" w:line="240" w:lineRule="auto"/>
              <w:jc w:val="right"/>
              <w:rPr>
                <w:rFonts w:cs="Times New Roman"/>
                <w:b/>
                <w:color w:val="17365D"/>
                <w:sz w:val="18"/>
                <w:szCs w:val="18"/>
              </w:rPr>
            </w:pPr>
            <w:r w:rsidRPr="00A27896">
              <w:rPr>
                <w:rFonts w:cs="Times New Roman"/>
                <w:b/>
                <w:color w:val="17365D"/>
                <w:sz w:val="18"/>
                <w:szCs w:val="18"/>
              </w:rPr>
              <w:t>2 903 950</w:t>
            </w:r>
          </w:p>
        </w:tc>
        <w:tc>
          <w:tcPr>
            <w:tcW w:w="618" w:type="pct"/>
            <w:tcBorders>
              <w:top w:val="single" w:sz="4" w:space="0" w:color="17365D"/>
              <w:bottom w:val="single" w:sz="4" w:space="0" w:color="17365D"/>
            </w:tcBorders>
            <w:shd w:val="clear" w:color="auto" w:fill="auto"/>
            <w:noWrap/>
            <w:vAlign w:val="center"/>
            <w:hideMark/>
          </w:tcPr>
          <w:p w14:paraId="105FE4C7" w14:textId="198114CD" w:rsidR="00006F2A" w:rsidRPr="00A27896" w:rsidRDefault="00006F2A" w:rsidP="00006F2A">
            <w:pPr>
              <w:spacing w:after="0" w:line="240" w:lineRule="auto"/>
              <w:jc w:val="right"/>
              <w:rPr>
                <w:rFonts w:cs="Times New Roman"/>
                <w:b/>
                <w:color w:val="17365D"/>
                <w:sz w:val="18"/>
                <w:szCs w:val="18"/>
              </w:rPr>
            </w:pPr>
            <w:r w:rsidRPr="00A27896">
              <w:rPr>
                <w:rFonts w:cs="Times New Roman"/>
                <w:b/>
                <w:color w:val="17365D"/>
                <w:sz w:val="18"/>
                <w:szCs w:val="18"/>
              </w:rPr>
              <w:t>0.45</w:t>
            </w:r>
          </w:p>
        </w:tc>
      </w:tr>
      <w:tr w:rsidR="00006F2A" w:rsidRPr="00A27896" w14:paraId="2166076A" w14:textId="77777777" w:rsidTr="00006F2A">
        <w:trPr>
          <w:trHeight w:val="264"/>
          <w:tblHeader/>
        </w:trPr>
        <w:tc>
          <w:tcPr>
            <w:tcW w:w="1500" w:type="pct"/>
            <w:tcBorders>
              <w:top w:val="single" w:sz="4" w:space="0" w:color="17365D"/>
              <w:bottom w:val="single" w:sz="4" w:space="0" w:color="17365D"/>
            </w:tcBorders>
            <w:shd w:val="clear" w:color="auto" w:fill="auto"/>
            <w:vAlign w:val="center"/>
            <w:hideMark/>
          </w:tcPr>
          <w:p w14:paraId="0C6E86F0" w14:textId="4BC185B8" w:rsidR="00006F2A" w:rsidRPr="00A27896" w:rsidRDefault="00006F2A" w:rsidP="00006F2A">
            <w:pPr>
              <w:spacing w:after="0" w:line="240" w:lineRule="auto"/>
              <w:rPr>
                <w:rFonts w:eastAsia="Times New Roman" w:cs="Times New Roman"/>
                <w:color w:val="17365D"/>
                <w:sz w:val="18"/>
                <w:szCs w:val="18"/>
                <w:lang w:eastAsia="lv-LV"/>
              </w:rPr>
            </w:pPr>
            <w:r w:rsidRPr="00A27896">
              <w:rPr>
                <w:rFonts w:cs="Times New Roman"/>
                <w:color w:val="17365D"/>
                <w:sz w:val="18"/>
                <w:szCs w:val="18"/>
              </w:rPr>
              <w:t>Ieguldījuma īpašumi</w:t>
            </w:r>
          </w:p>
        </w:tc>
        <w:tc>
          <w:tcPr>
            <w:tcW w:w="550" w:type="pct"/>
            <w:gridSpan w:val="2"/>
            <w:tcBorders>
              <w:top w:val="single" w:sz="4" w:space="0" w:color="17365D"/>
              <w:bottom w:val="single" w:sz="4" w:space="0" w:color="17365D"/>
            </w:tcBorders>
            <w:shd w:val="clear" w:color="auto" w:fill="auto"/>
            <w:noWrap/>
            <w:vAlign w:val="center"/>
          </w:tcPr>
          <w:p w14:paraId="073B6F12" w14:textId="0204E8A3" w:rsidR="00006F2A" w:rsidRPr="00A27896" w:rsidRDefault="00006F2A" w:rsidP="00006F2A">
            <w:pPr>
              <w:spacing w:after="0" w:line="240" w:lineRule="auto"/>
              <w:jc w:val="right"/>
              <w:rPr>
                <w:rFonts w:eastAsia="Times New Roman" w:cs="Times New Roman"/>
                <w:color w:val="17365D"/>
                <w:sz w:val="18"/>
                <w:szCs w:val="18"/>
                <w:lang w:eastAsia="lv-LV"/>
              </w:rPr>
            </w:pPr>
          </w:p>
        </w:tc>
        <w:tc>
          <w:tcPr>
            <w:tcW w:w="745" w:type="pct"/>
            <w:gridSpan w:val="2"/>
            <w:tcBorders>
              <w:top w:val="single" w:sz="4" w:space="0" w:color="17365D"/>
              <w:bottom w:val="single" w:sz="4" w:space="0" w:color="17365D"/>
            </w:tcBorders>
            <w:shd w:val="clear" w:color="auto" w:fill="auto"/>
            <w:vAlign w:val="center"/>
            <w:hideMark/>
          </w:tcPr>
          <w:p w14:paraId="0E20BCC4" w14:textId="0F6F9602" w:rsidR="00006F2A" w:rsidRPr="00A27896" w:rsidRDefault="00006F2A" w:rsidP="00006F2A">
            <w:pPr>
              <w:spacing w:after="0" w:line="240" w:lineRule="auto"/>
              <w:jc w:val="right"/>
              <w:rPr>
                <w:rFonts w:cs="Times New Roman"/>
                <w:color w:val="17365D"/>
                <w:sz w:val="18"/>
                <w:szCs w:val="18"/>
              </w:rPr>
            </w:pPr>
            <w:r w:rsidRPr="00A27896">
              <w:rPr>
                <w:rFonts w:cs="Times New Roman"/>
                <w:color w:val="17365D"/>
                <w:sz w:val="18"/>
                <w:szCs w:val="18"/>
              </w:rPr>
              <w:t>430 890 476</w:t>
            </w:r>
          </w:p>
        </w:tc>
        <w:tc>
          <w:tcPr>
            <w:tcW w:w="831" w:type="pct"/>
            <w:gridSpan w:val="2"/>
            <w:tcBorders>
              <w:top w:val="single" w:sz="4" w:space="0" w:color="17365D"/>
              <w:bottom w:val="single" w:sz="4" w:space="0" w:color="17365D"/>
            </w:tcBorders>
            <w:shd w:val="clear" w:color="auto" w:fill="auto"/>
            <w:vAlign w:val="center"/>
            <w:hideMark/>
          </w:tcPr>
          <w:p w14:paraId="18F659A9" w14:textId="49338B06" w:rsidR="00006F2A" w:rsidRPr="00A27896" w:rsidRDefault="00006F2A" w:rsidP="00006F2A">
            <w:pPr>
              <w:spacing w:after="0" w:line="240" w:lineRule="auto"/>
              <w:jc w:val="right"/>
              <w:rPr>
                <w:rFonts w:cs="Times New Roman"/>
                <w:color w:val="17365D"/>
                <w:sz w:val="18"/>
                <w:szCs w:val="18"/>
              </w:rPr>
            </w:pPr>
            <w:r w:rsidRPr="00A27896">
              <w:rPr>
                <w:rFonts w:cs="Times New Roman"/>
                <w:color w:val="17365D"/>
                <w:sz w:val="18"/>
                <w:szCs w:val="18"/>
              </w:rPr>
              <w:t>450 872 076</w:t>
            </w:r>
          </w:p>
        </w:tc>
        <w:tc>
          <w:tcPr>
            <w:tcW w:w="756" w:type="pct"/>
            <w:gridSpan w:val="3"/>
            <w:tcBorders>
              <w:top w:val="single" w:sz="4" w:space="0" w:color="17365D"/>
              <w:bottom w:val="single" w:sz="4" w:space="0" w:color="17365D"/>
            </w:tcBorders>
            <w:shd w:val="clear" w:color="auto" w:fill="auto"/>
            <w:noWrap/>
            <w:vAlign w:val="center"/>
            <w:hideMark/>
          </w:tcPr>
          <w:p w14:paraId="3DDA738C" w14:textId="38275785" w:rsidR="00006F2A" w:rsidRPr="00A27896" w:rsidRDefault="00006F2A" w:rsidP="00006F2A">
            <w:pPr>
              <w:spacing w:after="0" w:line="240" w:lineRule="auto"/>
              <w:jc w:val="right"/>
              <w:rPr>
                <w:rFonts w:cs="Times New Roman"/>
                <w:color w:val="17365D"/>
                <w:sz w:val="18"/>
                <w:szCs w:val="18"/>
              </w:rPr>
            </w:pPr>
            <w:r w:rsidRPr="00A27896">
              <w:rPr>
                <w:rFonts w:cs="Times New Roman"/>
                <w:color w:val="17365D"/>
                <w:sz w:val="18"/>
                <w:szCs w:val="18"/>
              </w:rPr>
              <w:t>-19 981 600</w:t>
            </w:r>
          </w:p>
        </w:tc>
        <w:tc>
          <w:tcPr>
            <w:tcW w:w="618" w:type="pct"/>
            <w:tcBorders>
              <w:top w:val="single" w:sz="4" w:space="0" w:color="17365D"/>
              <w:bottom w:val="single" w:sz="4" w:space="0" w:color="17365D"/>
            </w:tcBorders>
            <w:shd w:val="clear" w:color="auto" w:fill="auto"/>
            <w:noWrap/>
            <w:vAlign w:val="center"/>
            <w:hideMark/>
          </w:tcPr>
          <w:p w14:paraId="008FA2D2" w14:textId="5E5C8C1E" w:rsidR="00006F2A" w:rsidRPr="00A27896" w:rsidRDefault="00006F2A" w:rsidP="00006F2A">
            <w:pPr>
              <w:spacing w:after="0" w:line="240" w:lineRule="auto"/>
              <w:jc w:val="right"/>
              <w:rPr>
                <w:rFonts w:cs="Times New Roman"/>
                <w:color w:val="17365D"/>
                <w:sz w:val="18"/>
                <w:szCs w:val="18"/>
              </w:rPr>
            </w:pPr>
            <w:r w:rsidRPr="00A27896">
              <w:rPr>
                <w:rFonts w:cs="Times New Roman"/>
                <w:color w:val="17365D"/>
                <w:sz w:val="18"/>
                <w:szCs w:val="18"/>
              </w:rPr>
              <w:t>-4.43</w:t>
            </w:r>
          </w:p>
        </w:tc>
      </w:tr>
      <w:tr w:rsidR="00006F2A" w:rsidRPr="00A27896" w14:paraId="29EFE130" w14:textId="77777777" w:rsidTr="00006F2A">
        <w:trPr>
          <w:trHeight w:val="264"/>
          <w:tblHeader/>
        </w:trPr>
        <w:tc>
          <w:tcPr>
            <w:tcW w:w="1500" w:type="pct"/>
            <w:tcBorders>
              <w:top w:val="single" w:sz="4" w:space="0" w:color="17365D"/>
              <w:bottom w:val="single" w:sz="4" w:space="0" w:color="17365D"/>
            </w:tcBorders>
            <w:shd w:val="clear" w:color="auto" w:fill="auto"/>
            <w:vAlign w:val="center"/>
          </w:tcPr>
          <w:p w14:paraId="5C354C70" w14:textId="49838FD1" w:rsidR="00006F2A" w:rsidRPr="00A27896" w:rsidRDefault="00006F2A" w:rsidP="00006F2A">
            <w:pPr>
              <w:spacing w:after="0" w:line="240" w:lineRule="auto"/>
              <w:rPr>
                <w:rFonts w:cs="Times New Roman"/>
                <w:color w:val="17365D"/>
                <w:sz w:val="18"/>
                <w:szCs w:val="18"/>
              </w:rPr>
            </w:pPr>
            <w:r w:rsidRPr="00A27896">
              <w:rPr>
                <w:rFonts w:cs="Times New Roman"/>
                <w:color w:val="17365D"/>
                <w:sz w:val="18"/>
                <w:szCs w:val="18"/>
              </w:rPr>
              <w:t>Ieguldījuma īpašumu izveidošana un nepabeigtā būvniecība</w:t>
            </w:r>
          </w:p>
        </w:tc>
        <w:tc>
          <w:tcPr>
            <w:tcW w:w="550" w:type="pct"/>
            <w:gridSpan w:val="2"/>
            <w:tcBorders>
              <w:top w:val="single" w:sz="4" w:space="0" w:color="17365D"/>
              <w:bottom w:val="single" w:sz="4" w:space="0" w:color="17365D"/>
            </w:tcBorders>
            <w:shd w:val="clear" w:color="auto" w:fill="auto"/>
            <w:noWrap/>
            <w:vAlign w:val="center"/>
          </w:tcPr>
          <w:p w14:paraId="03C24FFD" w14:textId="08C51461" w:rsidR="00006F2A" w:rsidRPr="00A27896" w:rsidRDefault="00006F2A" w:rsidP="00006F2A">
            <w:pPr>
              <w:spacing w:after="0" w:line="240" w:lineRule="auto"/>
              <w:jc w:val="right"/>
              <w:rPr>
                <w:rFonts w:cs="Times New Roman"/>
                <w:color w:val="17365D"/>
                <w:sz w:val="18"/>
                <w:szCs w:val="18"/>
              </w:rPr>
            </w:pPr>
          </w:p>
        </w:tc>
        <w:tc>
          <w:tcPr>
            <w:tcW w:w="745" w:type="pct"/>
            <w:gridSpan w:val="2"/>
            <w:tcBorders>
              <w:top w:val="single" w:sz="4" w:space="0" w:color="17365D"/>
              <w:bottom w:val="single" w:sz="4" w:space="0" w:color="17365D"/>
            </w:tcBorders>
            <w:shd w:val="clear" w:color="auto" w:fill="auto"/>
            <w:vAlign w:val="center"/>
          </w:tcPr>
          <w:p w14:paraId="50835495" w14:textId="6E2AFE0C" w:rsidR="00006F2A" w:rsidRPr="00A27896" w:rsidRDefault="00006F2A" w:rsidP="00006F2A">
            <w:pPr>
              <w:spacing w:after="0" w:line="240" w:lineRule="auto"/>
              <w:jc w:val="right"/>
              <w:rPr>
                <w:rFonts w:cs="Times New Roman"/>
                <w:color w:val="17365D"/>
                <w:sz w:val="18"/>
                <w:szCs w:val="18"/>
              </w:rPr>
            </w:pPr>
            <w:r w:rsidRPr="00A27896">
              <w:rPr>
                <w:rFonts w:cs="Times New Roman"/>
                <w:color w:val="17365D"/>
                <w:sz w:val="18"/>
                <w:szCs w:val="18"/>
              </w:rPr>
              <w:t>14 816 414</w:t>
            </w:r>
          </w:p>
        </w:tc>
        <w:tc>
          <w:tcPr>
            <w:tcW w:w="831" w:type="pct"/>
            <w:gridSpan w:val="2"/>
            <w:tcBorders>
              <w:top w:val="single" w:sz="4" w:space="0" w:color="17365D"/>
              <w:bottom w:val="single" w:sz="4" w:space="0" w:color="17365D"/>
            </w:tcBorders>
            <w:shd w:val="clear" w:color="auto" w:fill="auto"/>
            <w:vAlign w:val="center"/>
          </w:tcPr>
          <w:p w14:paraId="5950B065" w14:textId="6042F95E" w:rsidR="00006F2A" w:rsidRPr="00A27896" w:rsidRDefault="00006F2A" w:rsidP="00006F2A">
            <w:pPr>
              <w:spacing w:after="0" w:line="240" w:lineRule="auto"/>
              <w:jc w:val="right"/>
              <w:rPr>
                <w:rFonts w:cs="Times New Roman"/>
                <w:color w:val="17365D"/>
                <w:sz w:val="18"/>
                <w:szCs w:val="18"/>
              </w:rPr>
            </w:pPr>
            <w:r w:rsidRPr="00A27896">
              <w:rPr>
                <w:rFonts w:cs="Times New Roman"/>
                <w:color w:val="17365D"/>
                <w:sz w:val="18"/>
                <w:szCs w:val="18"/>
              </w:rPr>
              <w:t>7 809 631</w:t>
            </w:r>
          </w:p>
        </w:tc>
        <w:tc>
          <w:tcPr>
            <w:tcW w:w="756" w:type="pct"/>
            <w:gridSpan w:val="3"/>
            <w:tcBorders>
              <w:top w:val="single" w:sz="4" w:space="0" w:color="17365D"/>
              <w:bottom w:val="single" w:sz="4" w:space="0" w:color="17365D"/>
            </w:tcBorders>
            <w:shd w:val="clear" w:color="auto" w:fill="auto"/>
            <w:noWrap/>
            <w:vAlign w:val="center"/>
          </w:tcPr>
          <w:p w14:paraId="078BEB7C" w14:textId="46130AB5" w:rsidR="00006F2A" w:rsidRPr="00A27896" w:rsidRDefault="00006F2A" w:rsidP="00006F2A">
            <w:pPr>
              <w:spacing w:after="0" w:line="240" w:lineRule="auto"/>
              <w:jc w:val="right"/>
              <w:rPr>
                <w:rFonts w:cs="Times New Roman"/>
                <w:color w:val="17365D"/>
                <w:sz w:val="18"/>
                <w:szCs w:val="18"/>
              </w:rPr>
            </w:pPr>
            <w:r w:rsidRPr="00A27896">
              <w:rPr>
                <w:rFonts w:cs="Times New Roman"/>
                <w:color w:val="17365D"/>
                <w:sz w:val="18"/>
                <w:szCs w:val="18"/>
              </w:rPr>
              <w:t>7 006 783</w:t>
            </w:r>
          </w:p>
        </w:tc>
        <w:tc>
          <w:tcPr>
            <w:tcW w:w="618" w:type="pct"/>
            <w:tcBorders>
              <w:top w:val="single" w:sz="4" w:space="0" w:color="17365D"/>
              <w:bottom w:val="single" w:sz="4" w:space="0" w:color="17365D"/>
            </w:tcBorders>
            <w:shd w:val="clear" w:color="auto" w:fill="auto"/>
            <w:noWrap/>
            <w:vAlign w:val="center"/>
          </w:tcPr>
          <w:p w14:paraId="1DD5B0E4" w14:textId="710AE6DA" w:rsidR="00006F2A" w:rsidRPr="00A27896" w:rsidRDefault="00006F2A" w:rsidP="00006F2A">
            <w:pPr>
              <w:spacing w:after="0" w:line="240" w:lineRule="auto"/>
              <w:jc w:val="right"/>
              <w:rPr>
                <w:rFonts w:cs="Times New Roman"/>
                <w:color w:val="17365D"/>
                <w:sz w:val="18"/>
                <w:szCs w:val="18"/>
              </w:rPr>
            </w:pPr>
            <w:r w:rsidRPr="00A27896">
              <w:rPr>
                <w:rFonts w:cs="Times New Roman"/>
                <w:color w:val="17365D"/>
                <w:sz w:val="18"/>
                <w:szCs w:val="18"/>
              </w:rPr>
              <w:t>89.72</w:t>
            </w:r>
          </w:p>
        </w:tc>
      </w:tr>
      <w:tr w:rsidR="00006F2A" w:rsidRPr="00A27896" w14:paraId="41618C0F" w14:textId="77777777" w:rsidTr="00006F2A">
        <w:trPr>
          <w:trHeight w:val="264"/>
          <w:tblHeader/>
        </w:trPr>
        <w:tc>
          <w:tcPr>
            <w:tcW w:w="1500" w:type="pct"/>
            <w:tcBorders>
              <w:top w:val="single" w:sz="4" w:space="0" w:color="17365D"/>
              <w:bottom w:val="single" w:sz="4" w:space="0" w:color="17365D"/>
            </w:tcBorders>
            <w:shd w:val="clear" w:color="auto" w:fill="auto"/>
            <w:vAlign w:val="center"/>
          </w:tcPr>
          <w:p w14:paraId="224866DC" w14:textId="688378FA" w:rsidR="00006F2A" w:rsidRPr="00A27896" w:rsidRDefault="00006F2A" w:rsidP="00006F2A">
            <w:pPr>
              <w:spacing w:after="0" w:line="240" w:lineRule="auto"/>
              <w:rPr>
                <w:rFonts w:cs="Times New Roman"/>
                <w:color w:val="17365D"/>
                <w:sz w:val="18"/>
                <w:szCs w:val="18"/>
              </w:rPr>
            </w:pPr>
            <w:r w:rsidRPr="00A27896">
              <w:rPr>
                <w:rFonts w:cs="Times New Roman"/>
                <w:color w:val="17365D"/>
                <w:sz w:val="18"/>
                <w:szCs w:val="18"/>
              </w:rPr>
              <w:t>Turējumā nodotie ieguldījuma īpašumi</w:t>
            </w:r>
          </w:p>
        </w:tc>
        <w:tc>
          <w:tcPr>
            <w:tcW w:w="550" w:type="pct"/>
            <w:gridSpan w:val="2"/>
            <w:tcBorders>
              <w:top w:val="single" w:sz="4" w:space="0" w:color="17365D"/>
              <w:bottom w:val="single" w:sz="4" w:space="0" w:color="17365D"/>
            </w:tcBorders>
            <w:shd w:val="clear" w:color="auto" w:fill="auto"/>
            <w:noWrap/>
            <w:vAlign w:val="center"/>
          </w:tcPr>
          <w:p w14:paraId="4E9EB9B2" w14:textId="60DBF3AA" w:rsidR="00006F2A" w:rsidRPr="00A27896" w:rsidRDefault="00006F2A" w:rsidP="00006F2A">
            <w:pPr>
              <w:spacing w:after="0" w:line="240" w:lineRule="auto"/>
              <w:jc w:val="right"/>
              <w:rPr>
                <w:rFonts w:cs="Times New Roman"/>
                <w:color w:val="17365D"/>
                <w:sz w:val="18"/>
                <w:szCs w:val="18"/>
              </w:rPr>
            </w:pPr>
          </w:p>
        </w:tc>
        <w:tc>
          <w:tcPr>
            <w:tcW w:w="745" w:type="pct"/>
            <w:gridSpan w:val="2"/>
            <w:tcBorders>
              <w:top w:val="single" w:sz="4" w:space="0" w:color="17365D"/>
              <w:bottom w:val="single" w:sz="4" w:space="0" w:color="17365D"/>
            </w:tcBorders>
            <w:shd w:val="clear" w:color="auto" w:fill="auto"/>
            <w:vAlign w:val="center"/>
          </w:tcPr>
          <w:p w14:paraId="3A46CF36" w14:textId="5F70D2BC" w:rsidR="00006F2A" w:rsidRPr="00A27896" w:rsidRDefault="00006F2A" w:rsidP="00006F2A">
            <w:pPr>
              <w:spacing w:after="0" w:line="240" w:lineRule="auto"/>
              <w:jc w:val="right"/>
              <w:rPr>
                <w:rFonts w:cs="Times New Roman"/>
                <w:color w:val="17365D"/>
                <w:sz w:val="18"/>
                <w:szCs w:val="18"/>
              </w:rPr>
            </w:pPr>
            <w:r w:rsidRPr="00A27896">
              <w:rPr>
                <w:rFonts w:cs="Times New Roman"/>
                <w:color w:val="17365D"/>
                <w:sz w:val="18"/>
                <w:szCs w:val="18"/>
              </w:rPr>
              <w:t>195 971 130</w:t>
            </w:r>
          </w:p>
        </w:tc>
        <w:tc>
          <w:tcPr>
            <w:tcW w:w="831" w:type="pct"/>
            <w:gridSpan w:val="2"/>
            <w:tcBorders>
              <w:top w:val="single" w:sz="4" w:space="0" w:color="17365D"/>
              <w:bottom w:val="single" w:sz="4" w:space="0" w:color="17365D"/>
            </w:tcBorders>
            <w:shd w:val="clear" w:color="auto" w:fill="auto"/>
            <w:vAlign w:val="center"/>
          </w:tcPr>
          <w:p w14:paraId="49881386" w14:textId="7B2E0158" w:rsidR="00006F2A" w:rsidRPr="00A27896" w:rsidRDefault="00006F2A" w:rsidP="00006F2A">
            <w:pPr>
              <w:spacing w:after="0" w:line="240" w:lineRule="auto"/>
              <w:jc w:val="right"/>
              <w:rPr>
                <w:rFonts w:cs="Times New Roman"/>
                <w:color w:val="17365D"/>
                <w:sz w:val="18"/>
                <w:szCs w:val="18"/>
              </w:rPr>
            </w:pPr>
            <w:r w:rsidRPr="00A27896">
              <w:rPr>
                <w:rFonts w:cs="Times New Roman"/>
                <w:color w:val="17365D"/>
                <w:sz w:val="18"/>
                <w:szCs w:val="18"/>
              </w:rPr>
              <w:t>179 465 883</w:t>
            </w:r>
          </w:p>
        </w:tc>
        <w:tc>
          <w:tcPr>
            <w:tcW w:w="756" w:type="pct"/>
            <w:gridSpan w:val="3"/>
            <w:tcBorders>
              <w:top w:val="single" w:sz="4" w:space="0" w:color="17365D"/>
              <w:bottom w:val="single" w:sz="4" w:space="0" w:color="17365D"/>
            </w:tcBorders>
            <w:shd w:val="clear" w:color="auto" w:fill="auto"/>
            <w:noWrap/>
            <w:vAlign w:val="center"/>
          </w:tcPr>
          <w:p w14:paraId="0461CB68" w14:textId="44C35506" w:rsidR="00006F2A" w:rsidRPr="00A27896" w:rsidRDefault="00006F2A" w:rsidP="00006F2A">
            <w:pPr>
              <w:spacing w:after="0" w:line="240" w:lineRule="auto"/>
              <w:jc w:val="right"/>
              <w:rPr>
                <w:rFonts w:cs="Times New Roman"/>
                <w:color w:val="17365D"/>
                <w:sz w:val="18"/>
                <w:szCs w:val="18"/>
              </w:rPr>
            </w:pPr>
            <w:r w:rsidRPr="00A27896">
              <w:rPr>
                <w:rFonts w:cs="Times New Roman"/>
                <w:color w:val="17365D"/>
                <w:sz w:val="18"/>
                <w:szCs w:val="18"/>
              </w:rPr>
              <w:t>16 505 247</w:t>
            </w:r>
          </w:p>
        </w:tc>
        <w:tc>
          <w:tcPr>
            <w:tcW w:w="618" w:type="pct"/>
            <w:tcBorders>
              <w:top w:val="single" w:sz="4" w:space="0" w:color="17365D"/>
              <w:bottom w:val="single" w:sz="4" w:space="0" w:color="17365D"/>
            </w:tcBorders>
            <w:shd w:val="clear" w:color="auto" w:fill="auto"/>
            <w:noWrap/>
            <w:vAlign w:val="center"/>
          </w:tcPr>
          <w:p w14:paraId="36C51273" w14:textId="166BFCD9" w:rsidR="00006F2A" w:rsidRPr="00A27896" w:rsidRDefault="00006F2A" w:rsidP="00006F2A">
            <w:pPr>
              <w:spacing w:after="0" w:line="240" w:lineRule="auto"/>
              <w:jc w:val="right"/>
              <w:rPr>
                <w:rFonts w:cs="Times New Roman"/>
                <w:color w:val="17365D"/>
                <w:sz w:val="18"/>
                <w:szCs w:val="18"/>
              </w:rPr>
            </w:pPr>
            <w:r w:rsidRPr="00A27896">
              <w:rPr>
                <w:rFonts w:cs="Times New Roman"/>
                <w:color w:val="17365D"/>
                <w:sz w:val="18"/>
                <w:szCs w:val="18"/>
              </w:rPr>
              <w:t>9.20</w:t>
            </w:r>
          </w:p>
        </w:tc>
      </w:tr>
      <w:tr w:rsidR="00006F2A" w:rsidRPr="00A27896" w14:paraId="2DEF92EA" w14:textId="77777777" w:rsidTr="00006F2A">
        <w:trPr>
          <w:trHeight w:val="54"/>
          <w:tblHeader/>
        </w:trPr>
        <w:tc>
          <w:tcPr>
            <w:tcW w:w="1500" w:type="pct"/>
            <w:tcBorders>
              <w:top w:val="single" w:sz="4" w:space="0" w:color="17365D"/>
              <w:bottom w:val="single" w:sz="4" w:space="0" w:color="17365D"/>
            </w:tcBorders>
            <w:shd w:val="clear" w:color="auto" w:fill="auto"/>
            <w:vAlign w:val="center"/>
            <w:hideMark/>
          </w:tcPr>
          <w:p w14:paraId="62373F07" w14:textId="5BA66B49" w:rsidR="00006F2A" w:rsidRPr="00A27896" w:rsidRDefault="00006F2A" w:rsidP="00006F2A">
            <w:pPr>
              <w:spacing w:after="0" w:line="240" w:lineRule="auto"/>
              <w:rPr>
                <w:rFonts w:eastAsia="Times New Roman" w:cs="Times New Roman"/>
                <w:color w:val="17365D"/>
                <w:sz w:val="18"/>
                <w:szCs w:val="18"/>
                <w:lang w:eastAsia="lv-LV"/>
              </w:rPr>
            </w:pPr>
            <w:r w:rsidRPr="00A27896">
              <w:rPr>
                <w:rFonts w:cs="Times New Roman"/>
                <w:color w:val="17365D"/>
                <w:sz w:val="18"/>
                <w:szCs w:val="18"/>
              </w:rPr>
              <w:t>Avansa maksājumi par ieguldījuma īpašumiem</w:t>
            </w:r>
          </w:p>
        </w:tc>
        <w:tc>
          <w:tcPr>
            <w:tcW w:w="550" w:type="pct"/>
            <w:gridSpan w:val="2"/>
            <w:tcBorders>
              <w:top w:val="single" w:sz="4" w:space="0" w:color="17365D"/>
              <w:bottom w:val="single" w:sz="4" w:space="0" w:color="17365D"/>
            </w:tcBorders>
            <w:shd w:val="clear" w:color="auto" w:fill="auto"/>
            <w:noWrap/>
            <w:vAlign w:val="center"/>
          </w:tcPr>
          <w:p w14:paraId="7C79ECDB" w14:textId="77777777" w:rsidR="00006F2A" w:rsidRPr="00A27896" w:rsidRDefault="00006F2A" w:rsidP="00006F2A">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 xml:space="preserve"> </w:t>
            </w:r>
          </w:p>
        </w:tc>
        <w:tc>
          <w:tcPr>
            <w:tcW w:w="745" w:type="pct"/>
            <w:gridSpan w:val="2"/>
            <w:tcBorders>
              <w:top w:val="single" w:sz="4" w:space="0" w:color="17365D"/>
              <w:bottom w:val="single" w:sz="4" w:space="0" w:color="17365D"/>
            </w:tcBorders>
            <w:shd w:val="clear" w:color="auto" w:fill="auto"/>
            <w:vAlign w:val="center"/>
            <w:hideMark/>
          </w:tcPr>
          <w:p w14:paraId="6C809913" w14:textId="435CFF78" w:rsidR="00006F2A" w:rsidRPr="00A27896" w:rsidRDefault="00006F2A" w:rsidP="00006F2A">
            <w:pPr>
              <w:spacing w:after="0" w:line="240" w:lineRule="auto"/>
              <w:jc w:val="right"/>
              <w:rPr>
                <w:rFonts w:cs="Times New Roman"/>
                <w:color w:val="17365D"/>
                <w:sz w:val="18"/>
                <w:szCs w:val="18"/>
              </w:rPr>
            </w:pPr>
            <w:r w:rsidRPr="00A27896">
              <w:rPr>
                <w:rFonts w:cs="Times New Roman"/>
                <w:color w:val="17365D"/>
                <w:sz w:val="18"/>
                <w:szCs w:val="18"/>
              </w:rPr>
              <w:t>102 923</w:t>
            </w:r>
          </w:p>
        </w:tc>
        <w:tc>
          <w:tcPr>
            <w:tcW w:w="831" w:type="pct"/>
            <w:gridSpan w:val="2"/>
            <w:tcBorders>
              <w:top w:val="single" w:sz="4" w:space="0" w:color="17365D"/>
              <w:bottom w:val="single" w:sz="4" w:space="0" w:color="17365D"/>
            </w:tcBorders>
            <w:shd w:val="clear" w:color="auto" w:fill="auto"/>
            <w:vAlign w:val="center"/>
            <w:hideMark/>
          </w:tcPr>
          <w:p w14:paraId="1C7D5023" w14:textId="5749FF94" w:rsidR="00006F2A" w:rsidRPr="00A27896" w:rsidRDefault="00006F2A" w:rsidP="00006F2A">
            <w:pPr>
              <w:spacing w:after="0" w:line="240" w:lineRule="auto"/>
              <w:jc w:val="right"/>
              <w:rPr>
                <w:rFonts w:cs="Times New Roman"/>
                <w:color w:val="17365D"/>
                <w:sz w:val="18"/>
                <w:szCs w:val="18"/>
              </w:rPr>
            </w:pPr>
            <w:r w:rsidRPr="00A27896">
              <w:rPr>
                <w:rFonts w:cs="Times New Roman"/>
                <w:color w:val="17365D"/>
                <w:sz w:val="18"/>
                <w:szCs w:val="18"/>
              </w:rPr>
              <w:t>729 403</w:t>
            </w:r>
          </w:p>
        </w:tc>
        <w:tc>
          <w:tcPr>
            <w:tcW w:w="756" w:type="pct"/>
            <w:gridSpan w:val="3"/>
            <w:tcBorders>
              <w:top w:val="single" w:sz="4" w:space="0" w:color="17365D"/>
              <w:bottom w:val="single" w:sz="4" w:space="0" w:color="17365D"/>
            </w:tcBorders>
            <w:shd w:val="clear" w:color="auto" w:fill="auto"/>
            <w:noWrap/>
            <w:vAlign w:val="center"/>
            <w:hideMark/>
          </w:tcPr>
          <w:p w14:paraId="0E78074A" w14:textId="1926613D" w:rsidR="00006F2A" w:rsidRPr="00A27896" w:rsidRDefault="00006F2A" w:rsidP="00006F2A">
            <w:pPr>
              <w:spacing w:after="0" w:line="240" w:lineRule="auto"/>
              <w:jc w:val="right"/>
              <w:rPr>
                <w:rFonts w:cs="Times New Roman"/>
                <w:color w:val="17365D"/>
                <w:sz w:val="18"/>
                <w:szCs w:val="18"/>
              </w:rPr>
            </w:pPr>
            <w:r w:rsidRPr="00A27896">
              <w:rPr>
                <w:rFonts w:cs="Times New Roman"/>
                <w:color w:val="17365D"/>
                <w:sz w:val="18"/>
                <w:szCs w:val="18"/>
              </w:rPr>
              <w:t>-626 480</w:t>
            </w:r>
          </w:p>
        </w:tc>
        <w:tc>
          <w:tcPr>
            <w:tcW w:w="618" w:type="pct"/>
            <w:tcBorders>
              <w:top w:val="single" w:sz="4" w:space="0" w:color="17365D"/>
              <w:bottom w:val="single" w:sz="4" w:space="0" w:color="17365D"/>
            </w:tcBorders>
            <w:shd w:val="clear" w:color="auto" w:fill="auto"/>
            <w:noWrap/>
            <w:vAlign w:val="center"/>
            <w:hideMark/>
          </w:tcPr>
          <w:p w14:paraId="2DBC5AAE" w14:textId="22B50EC9" w:rsidR="00006F2A" w:rsidRPr="00A27896" w:rsidRDefault="00006F2A" w:rsidP="00006F2A">
            <w:pPr>
              <w:spacing w:after="0" w:line="240" w:lineRule="auto"/>
              <w:jc w:val="right"/>
              <w:rPr>
                <w:rFonts w:cs="Times New Roman"/>
                <w:color w:val="17365D"/>
                <w:sz w:val="18"/>
                <w:szCs w:val="18"/>
              </w:rPr>
            </w:pPr>
            <w:r w:rsidRPr="00A27896">
              <w:rPr>
                <w:rFonts w:cs="Times New Roman"/>
                <w:color w:val="17365D"/>
                <w:sz w:val="18"/>
                <w:szCs w:val="18"/>
              </w:rPr>
              <w:t>-85.89</w:t>
            </w:r>
          </w:p>
        </w:tc>
      </w:tr>
      <w:tr w:rsidR="000C1009" w:rsidRPr="00A27896" w14:paraId="32E02F27" w14:textId="77777777" w:rsidTr="00432761">
        <w:trPr>
          <w:trHeight w:val="202"/>
          <w:tblHeader/>
        </w:trPr>
        <w:tc>
          <w:tcPr>
            <w:tcW w:w="1626" w:type="pct"/>
            <w:gridSpan w:val="2"/>
            <w:tcBorders>
              <w:top w:val="single" w:sz="4" w:space="0" w:color="17365D"/>
            </w:tcBorders>
            <w:shd w:val="clear" w:color="auto" w:fill="B9CDE5"/>
            <w:vAlign w:val="center"/>
          </w:tcPr>
          <w:p w14:paraId="5AE3DC58" w14:textId="77777777" w:rsidR="00C2495B" w:rsidRPr="00A27896" w:rsidRDefault="00C2495B" w:rsidP="00D92FFA">
            <w:pPr>
              <w:spacing w:after="0" w:line="240" w:lineRule="auto"/>
              <w:rPr>
                <w:rFonts w:eastAsia="Times New Roman" w:cs="Times New Roman"/>
                <w:color w:val="17365D"/>
                <w:sz w:val="18"/>
                <w:szCs w:val="18"/>
                <w:lang w:eastAsia="lv-LV"/>
              </w:rPr>
            </w:pPr>
          </w:p>
        </w:tc>
        <w:tc>
          <w:tcPr>
            <w:tcW w:w="507" w:type="pct"/>
            <w:gridSpan w:val="2"/>
            <w:tcBorders>
              <w:top w:val="single" w:sz="4" w:space="0" w:color="17365D"/>
            </w:tcBorders>
            <w:shd w:val="clear" w:color="auto" w:fill="B9CDE5"/>
            <w:noWrap/>
            <w:vAlign w:val="center"/>
          </w:tcPr>
          <w:p w14:paraId="728904CA" w14:textId="77777777" w:rsidR="00C2495B" w:rsidRPr="00A27896" w:rsidRDefault="00C2495B" w:rsidP="00D92FFA">
            <w:pPr>
              <w:spacing w:after="0" w:line="240" w:lineRule="auto"/>
              <w:jc w:val="center"/>
              <w:rPr>
                <w:rFonts w:eastAsia="Times New Roman" w:cs="Times New Roman"/>
                <w:color w:val="17365D"/>
                <w:sz w:val="18"/>
                <w:szCs w:val="18"/>
                <w:lang w:eastAsia="lv-LV"/>
              </w:rPr>
            </w:pPr>
          </w:p>
        </w:tc>
        <w:tc>
          <w:tcPr>
            <w:tcW w:w="771" w:type="pct"/>
            <w:gridSpan w:val="2"/>
            <w:tcBorders>
              <w:top w:val="single" w:sz="4" w:space="0" w:color="17365D"/>
            </w:tcBorders>
            <w:shd w:val="clear" w:color="auto" w:fill="B9CDE5"/>
            <w:noWrap/>
            <w:vAlign w:val="center"/>
          </w:tcPr>
          <w:p w14:paraId="0D89BE02" w14:textId="77777777" w:rsidR="00C2495B" w:rsidRPr="00A27896" w:rsidRDefault="00C2495B" w:rsidP="00D92FFA">
            <w:pPr>
              <w:spacing w:after="0" w:line="240" w:lineRule="auto"/>
              <w:jc w:val="right"/>
              <w:rPr>
                <w:rFonts w:eastAsia="Times New Roman" w:cs="Times New Roman"/>
                <w:color w:val="17365D"/>
                <w:sz w:val="18"/>
                <w:szCs w:val="18"/>
                <w:lang w:eastAsia="lv-LV"/>
              </w:rPr>
            </w:pPr>
          </w:p>
        </w:tc>
        <w:tc>
          <w:tcPr>
            <w:tcW w:w="763" w:type="pct"/>
            <w:gridSpan w:val="2"/>
            <w:tcBorders>
              <w:top w:val="single" w:sz="4" w:space="0" w:color="17365D"/>
            </w:tcBorders>
            <w:shd w:val="clear" w:color="auto" w:fill="B9CDE5"/>
            <w:noWrap/>
            <w:vAlign w:val="center"/>
          </w:tcPr>
          <w:p w14:paraId="784B19AE" w14:textId="77777777" w:rsidR="00C2495B" w:rsidRPr="00A27896" w:rsidRDefault="00C2495B" w:rsidP="00D92FFA">
            <w:pPr>
              <w:spacing w:after="0" w:line="240" w:lineRule="auto"/>
              <w:jc w:val="right"/>
              <w:rPr>
                <w:rFonts w:eastAsia="Times New Roman" w:cs="Times New Roman"/>
                <w:color w:val="17365D"/>
                <w:sz w:val="18"/>
                <w:szCs w:val="18"/>
                <w:lang w:eastAsia="lv-LV"/>
              </w:rPr>
            </w:pPr>
          </w:p>
        </w:tc>
        <w:tc>
          <w:tcPr>
            <w:tcW w:w="676" w:type="pct"/>
            <w:tcBorders>
              <w:top w:val="single" w:sz="4" w:space="0" w:color="17365D"/>
            </w:tcBorders>
            <w:shd w:val="clear" w:color="auto" w:fill="B9CDE5"/>
            <w:noWrap/>
            <w:vAlign w:val="center"/>
          </w:tcPr>
          <w:p w14:paraId="742528EF" w14:textId="77777777" w:rsidR="00C2495B" w:rsidRPr="00A27896" w:rsidRDefault="00C2495B" w:rsidP="00D92FFA">
            <w:pPr>
              <w:spacing w:after="0" w:line="240" w:lineRule="auto"/>
              <w:jc w:val="right"/>
              <w:rPr>
                <w:rFonts w:eastAsia="Times New Roman" w:cs="Times New Roman"/>
                <w:color w:val="17365D"/>
                <w:sz w:val="18"/>
                <w:szCs w:val="18"/>
                <w:lang w:eastAsia="lv-LV"/>
              </w:rPr>
            </w:pPr>
          </w:p>
        </w:tc>
        <w:tc>
          <w:tcPr>
            <w:tcW w:w="657" w:type="pct"/>
            <w:gridSpan w:val="2"/>
            <w:tcBorders>
              <w:top w:val="single" w:sz="4" w:space="0" w:color="17365D"/>
            </w:tcBorders>
            <w:shd w:val="clear" w:color="auto" w:fill="B9CDE5"/>
            <w:noWrap/>
            <w:vAlign w:val="center"/>
          </w:tcPr>
          <w:p w14:paraId="50A05B6C" w14:textId="77777777" w:rsidR="00C2495B" w:rsidRPr="00A27896" w:rsidRDefault="00C2495B" w:rsidP="00D92FFA">
            <w:pPr>
              <w:spacing w:after="0" w:line="240" w:lineRule="auto"/>
              <w:jc w:val="right"/>
              <w:rPr>
                <w:rFonts w:eastAsia="Times New Roman" w:cs="Times New Roman"/>
                <w:color w:val="17365D"/>
                <w:sz w:val="18"/>
                <w:szCs w:val="18"/>
                <w:lang w:eastAsia="lv-LV"/>
              </w:rPr>
            </w:pPr>
          </w:p>
        </w:tc>
      </w:tr>
    </w:tbl>
    <w:p w14:paraId="30858C92" w14:textId="77777777" w:rsidR="00B44AC4" w:rsidRPr="00A27896" w:rsidRDefault="00B44AC4" w:rsidP="00280F28">
      <w:pPr>
        <w:spacing w:after="120" w:line="240" w:lineRule="auto"/>
        <w:ind w:firstLine="284"/>
        <w:jc w:val="both"/>
        <w:rPr>
          <w:rFonts w:cs="Times New Roman"/>
          <w:color w:val="17365D"/>
          <w:highlight w:val="yellow"/>
        </w:rPr>
      </w:pPr>
    </w:p>
    <w:p w14:paraId="2D2FB77D" w14:textId="11A5B674" w:rsidR="009F01EB" w:rsidRPr="00A27896" w:rsidRDefault="009F01EB" w:rsidP="00280F28">
      <w:pPr>
        <w:spacing w:after="120" w:line="240" w:lineRule="auto"/>
        <w:ind w:firstLine="284"/>
        <w:jc w:val="both"/>
        <w:rPr>
          <w:rFonts w:cs="Times New Roman"/>
          <w:bCs/>
          <w:color w:val="17365D"/>
        </w:rPr>
      </w:pPr>
      <w:r w:rsidRPr="00A27896">
        <w:rPr>
          <w:rFonts w:cs="Times New Roman"/>
          <w:color w:val="17365D"/>
        </w:rPr>
        <w:t xml:space="preserve">Bilances postenī “Ieguldījuma īpašumi” pārskata gadā būtisku izmaiņu nav. </w:t>
      </w:r>
    </w:p>
    <w:p w14:paraId="6ADE2055" w14:textId="6C913C70" w:rsidR="000708CF" w:rsidRPr="00A27896" w:rsidRDefault="00EC1B09" w:rsidP="009A1A38">
      <w:pPr>
        <w:spacing w:after="120" w:line="240" w:lineRule="auto"/>
        <w:ind w:firstLine="284"/>
        <w:jc w:val="both"/>
        <w:rPr>
          <w:rFonts w:cs="Times New Roman"/>
          <w:color w:val="17365D"/>
        </w:rPr>
      </w:pPr>
      <w:r w:rsidRPr="00A27896">
        <w:rPr>
          <w:rFonts w:cs="Times New Roman"/>
          <w:color w:val="17365D"/>
        </w:rPr>
        <w:t xml:space="preserve">Ieguldījuma īpašumu vērtības samazinājums būtiski neietekmē posteņa vērtību. </w:t>
      </w:r>
      <w:r w:rsidR="00AB3C42" w:rsidRPr="00A27896">
        <w:rPr>
          <w:rFonts w:cs="Times New Roman"/>
          <w:color w:val="17365D"/>
        </w:rPr>
        <w:t xml:space="preserve">Tas konstatēts, izvērtējot </w:t>
      </w:r>
      <w:r w:rsidR="00DA27DF" w:rsidRPr="00A27896">
        <w:rPr>
          <w:rFonts w:cs="Times New Roman"/>
          <w:color w:val="17365D"/>
        </w:rPr>
        <w:t xml:space="preserve">zemes apgrūtinājuma apjomu </w:t>
      </w:r>
      <w:r w:rsidR="00A23538" w:rsidRPr="00A27896">
        <w:rPr>
          <w:rFonts w:cs="Times New Roman"/>
          <w:color w:val="17365D"/>
        </w:rPr>
        <w:t>un novērtēts, izmantojot aktīva patiesās vērtības novērtējumu.</w:t>
      </w:r>
    </w:p>
    <w:p w14:paraId="55555CD0" w14:textId="328D2518" w:rsidR="00294B1A" w:rsidRPr="00A27896" w:rsidRDefault="00294B1A" w:rsidP="006D1C00">
      <w:pPr>
        <w:spacing w:before="240" w:after="480" w:line="240" w:lineRule="auto"/>
        <w:ind w:firstLine="284"/>
        <w:jc w:val="both"/>
        <w:rPr>
          <w:rFonts w:cs="Times New Roman"/>
          <w:bCs/>
          <w:color w:val="17365D"/>
        </w:rPr>
      </w:pPr>
      <w:r w:rsidRPr="00A27896">
        <w:rPr>
          <w:rFonts w:cs="Times New Roman"/>
          <w:bCs/>
          <w:color w:val="17365D"/>
        </w:rPr>
        <w:t>P</w:t>
      </w:r>
      <w:r w:rsidR="00773B41" w:rsidRPr="00A27896">
        <w:rPr>
          <w:rFonts w:cs="Times New Roman"/>
          <w:bCs/>
          <w:color w:val="17365D"/>
        </w:rPr>
        <w:t>ārskata gadā valsts un pašvaldību</w:t>
      </w:r>
      <w:r w:rsidRPr="00A27896">
        <w:rPr>
          <w:rFonts w:cs="Times New Roman"/>
          <w:bCs/>
          <w:color w:val="17365D"/>
        </w:rPr>
        <w:t xml:space="preserve"> ieguldījuma</w:t>
      </w:r>
      <w:r w:rsidR="00773B41" w:rsidRPr="00A27896">
        <w:rPr>
          <w:rFonts w:cs="Times New Roman"/>
          <w:bCs/>
          <w:color w:val="17365D"/>
        </w:rPr>
        <w:t xml:space="preserve"> īpašumos </w:t>
      </w:r>
      <w:r w:rsidRPr="00A27896">
        <w:rPr>
          <w:rFonts w:cs="Times New Roman"/>
          <w:bCs/>
          <w:color w:val="17365D"/>
        </w:rPr>
        <w:t xml:space="preserve">nav </w:t>
      </w:r>
      <w:r w:rsidR="00773B41" w:rsidRPr="00A27896">
        <w:rPr>
          <w:rFonts w:cs="Times New Roman"/>
          <w:bCs/>
          <w:color w:val="17365D"/>
        </w:rPr>
        <w:t>veikti kapitālsabiedrību ieguldījumi, kas nav iekļauti ieguldījuma īpašumu uzskaites vērtībā</w:t>
      </w:r>
      <w:bookmarkStart w:id="68" w:name="RANGE!A3"/>
      <w:r w:rsidR="00C93A9C" w:rsidRPr="00A27896">
        <w:rPr>
          <w:rFonts w:cs="Times New Roman"/>
          <w:bCs/>
          <w:color w:val="17365D"/>
        </w:rPr>
        <w:t>.</w:t>
      </w:r>
      <w:bookmarkEnd w:id="68"/>
    </w:p>
    <w:p w14:paraId="016AF518" w14:textId="33D1B9FA" w:rsidR="00AA06B8" w:rsidRDefault="00AA06B8" w:rsidP="006D1C00">
      <w:pPr>
        <w:pStyle w:val="Heading4"/>
        <w:rPr>
          <w:rFonts w:cs="Times New Roman"/>
        </w:rPr>
      </w:pPr>
      <w:r w:rsidRPr="00A27896">
        <w:rPr>
          <w:rFonts w:cs="Times New Roman"/>
        </w:rPr>
        <w:lastRenderedPageBreak/>
        <w:t>Piezīme Nr. KB.1.6. Bioloģiskie aktīvi lauksaimnieciskajai darbībai</w:t>
      </w:r>
    </w:p>
    <w:p w14:paraId="14A2A0B0" w14:textId="77777777" w:rsidR="006D1C00" w:rsidRDefault="006D1C00" w:rsidP="006D1C00">
      <w:pPr>
        <w:pStyle w:val="Tabulasnosaukums1"/>
        <w:spacing w:before="0" w:line="240" w:lineRule="auto"/>
        <w:rPr>
          <w:rFonts w:cs="Times New Roman"/>
          <w:i/>
          <w:color w:val="17365D"/>
        </w:rPr>
      </w:pPr>
    </w:p>
    <w:p w14:paraId="3620417B" w14:textId="4A5AB370" w:rsidR="00DB1118" w:rsidRPr="00AA06B8" w:rsidRDefault="00212DF3" w:rsidP="006D1C00">
      <w:pPr>
        <w:pStyle w:val="Tabulasnosaukums1"/>
        <w:spacing w:before="0" w:line="240" w:lineRule="auto"/>
        <w:rPr>
          <w:rFonts w:cs="Times New Roman"/>
          <w:i/>
          <w:color w:val="17365D"/>
        </w:rPr>
      </w:pPr>
      <w:r w:rsidRPr="00A27896">
        <w:rPr>
          <w:rFonts w:cs="Times New Roman"/>
          <w:i/>
          <w:color w:val="17365D"/>
        </w:rPr>
        <w:t>8</w:t>
      </w:r>
      <w:r w:rsidR="00DB1118" w:rsidRPr="00A27896">
        <w:rPr>
          <w:rFonts w:cs="Times New Roman"/>
          <w:i/>
          <w:color w:val="17365D"/>
        </w:rPr>
        <w:t xml:space="preserve">. tabula. </w:t>
      </w:r>
      <w:r w:rsidR="00146B5D" w:rsidRPr="006D1C00">
        <w:rPr>
          <w:rFonts w:cs="Times New Roman"/>
          <w:i/>
          <w:color w:val="17365D"/>
        </w:rPr>
        <w:t>Bioloģiskie aktīvi lauksaimnieciskajai darbībai</w:t>
      </w:r>
      <w:r w:rsidR="00DB1118" w:rsidRPr="00A27896">
        <w:rPr>
          <w:rFonts w:cs="Times New Roman"/>
          <w:i/>
          <w:color w:val="17365D"/>
        </w:rPr>
        <w:t xml:space="preserve"> (</w:t>
      </w:r>
      <w:proofErr w:type="spellStart"/>
      <w:r w:rsidR="00DB1118" w:rsidRPr="00A27896">
        <w:rPr>
          <w:rFonts w:cs="Times New Roman"/>
          <w:i/>
          <w:color w:val="17365D"/>
        </w:rPr>
        <w:t>euro</w:t>
      </w:r>
      <w:proofErr w:type="spellEnd"/>
      <w:r w:rsidR="00DB1118" w:rsidRPr="00A27896">
        <w:rPr>
          <w:rFonts w:cs="Times New Roman"/>
          <w:i/>
          <w:color w:val="17365D"/>
        </w:rPr>
        <w:t>)</w:t>
      </w:r>
    </w:p>
    <w:tbl>
      <w:tblPr>
        <w:tblW w:w="5000" w:type="pct"/>
        <w:tblLayout w:type="fixed"/>
        <w:tblLook w:val="04A0" w:firstRow="1" w:lastRow="0" w:firstColumn="1" w:lastColumn="0" w:noHBand="0" w:noVBand="1"/>
      </w:tblPr>
      <w:tblGrid>
        <w:gridCol w:w="2554"/>
        <w:gridCol w:w="232"/>
        <w:gridCol w:w="692"/>
        <w:gridCol w:w="282"/>
        <w:gridCol w:w="1203"/>
        <w:gridCol w:w="279"/>
        <w:gridCol w:w="1207"/>
        <w:gridCol w:w="258"/>
        <w:gridCol w:w="1227"/>
        <w:gridCol w:w="71"/>
        <w:gridCol w:w="1349"/>
      </w:tblGrid>
      <w:tr w:rsidR="000C1009" w:rsidRPr="00A27896" w14:paraId="1A496ECE" w14:textId="77777777" w:rsidTr="00432761">
        <w:trPr>
          <w:trHeight w:val="684"/>
        </w:trPr>
        <w:tc>
          <w:tcPr>
            <w:tcW w:w="1365" w:type="pct"/>
            <w:tcBorders>
              <w:bottom w:val="single" w:sz="4" w:space="0" w:color="17365D"/>
            </w:tcBorders>
            <w:shd w:val="clear" w:color="auto" w:fill="B9CDE5"/>
            <w:vAlign w:val="center"/>
            <w:hideMark/>
          </w:tcPr>
          <w:p w14:paraId="33525A19" w14:textId="77777777" w:rsidR="002B58FA" w:rsidRPr="00A27896" w:rsidRDefault="002B58FA"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494" w:type="pct"/>
            <w:gridSpan w:val="2"/>
            <w:tcBorders>
              <w:bottom w:val="single" w:sz="4" w:space="0" w:color="17365D"/>
            </w:tcBorders>
            <w:shd w:val="clear" w:color="auto" w:fill="B9CDE5"/>
            <w:vAlign w:val="center"/>
            <w:hideMark/>
          </w:tcPr>
          <w:p w14:paraId="79574C7E" w14:textId="77777777" w:rsidR="002B58FA" w:rsidRPr="00A27896" w:rsidRDefault="002B58FA"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794" w:type="pct"/>
            <w:gridSpan w:val="2"/>
            <w:tcBorders>
              <w:bottom w:val="single" w:sz="4" w:space="0" w:color="17365D"/>
            </w:tcBorders>
            <w:shd w:val="clear" w:color="auto" w:fill="B9CDE5"/>
            <w:vAlign w:val="center"/>
            <w:hideMark/>
          </w:tcPr>
          <w:p w14:paraId="251E6EB1" w14:textId="77777777" w:rsidR="002B58FA" w:rsidRPr="00A27896" w:rsidRDefault="002B58FA"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794" w:type="pct"/>
            <w:gridSpan w:val="2"/>
            <w:tcBorders>
              <w:bottom w:val="single" w:sz="4" w:space="0" w:color="17365D"/>
            </w:tcBorders>
            <w:shd w:val="clear" w:color="auto" w:fill="B9CDE5"/>
            <w:vAlign w:val="center"/>
            <w:hideMark/>
          </w:tcPr>
          <w:p w14:paraId="1B894BF4" w14:textId="77777777" w:rsidR="002B58FA" w:rsidRPr="00A27896" w:rsidRDefault="002B58FA"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794" w:type="pct"/>
            <w:gridSpan w:val="2"/>
            <w:tcBorders>
              <w:bottom w:val="single" w:sz="4" w:space="0" w:color="17365D"/>
            </w:tcBorders>
            <w:shd w:val="clear" w:color="auto" w:fill="B9CDE5"/>
            <w:vAlign w:val="center"/>
            <w:hideMark/>
          </w:tcPr>
          <w:p w14:paraId="7D338656" w14:textId="77777777" w:rsidR="002B58FA" w:rsidRPr="00A27896" w:rsidRDefault="002B58FA"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Pr="00A27896">
              <w:rPr>
                <w:rFonts w:eastAsia="Times New Roman" w:cs="Times New Roman"/>
                <w:b/>
                <w:color w:val="17365D"/>
                <w:sz w:val="18"/>
                <w:szCs w:val="18"/>
                <w:lang w:eastAsia="lv-LV"/>
              </w:rPr>
              <w:t xml:space="preserve"> – )</w:t>
            </w:r>
          </w:p>
        </w:tc>
        <w:tc>
          <w:tcPr>
            <w:tcW w:w="759" w:type="pct"/>
            <w:gridSpan w:val="2"/>
            <w:tcBorders>
              <w:bottom w:val="single" w:sz="4" w:space="0" w:color="17365D"/>
            </w:tcBorders>
            <w:shd w:val="clear" w:color="auto" w:fill="B9CDE5"/>
            <w:vAlign w:val="center"/>
            <w:hideMark/>
          </w:tcPr>
          <w:p w14:paraId="3CB58203" w14:textId="77777777" w:rsidR="002B58FA" w:rsidRPr="00A27896" w:rsidRDefault="002B58FA"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615987DB" w14:textId="77777777" w:rsidTr="00432761">
        <w:trPr>
          <w:trHeight w:val="264"/>
        </w:trPr>
        <w:tc>
          <w:tcPr>
            <w:tcW w:w="1365" w:type="pct"/>
            <w:tcBorders>
              <w:top w:val="single" w:sz="4" w:space="0" w:color="17365D"/>
              <w:bottom w:val="single" w:sz="4" w:space="0" w:color="17365D"/>
            </w:tcBorders>
            <w:shd w:val="clear" w:color="auto" w:fill="auto"/>
            <w:vAlign w:val="center"/>
            <w:hideMark/>
          </w:tcPr>
          <w:p w14:paraId="0E2C93C7" w14:textId="77777777" w:rsidR="002B58FA" w:rsidRPr="00A27896" w:rsidRDefault="002B58FA"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494" w:type="pct"/>
            <w:gridSpan w:val="2"/>
            <w:tcBorders>
              <w:top w:val="single" w:sz="4" w:space="0" w:color="17365D"/>
              <w:bottom w:val="single" w:sz="4" w:space="0" w:color="17365D"/>
            </w:tcBorders>
            <w:shd w:val="clear" w:color="auto" w:fill="auto"/>
            <w:vAlign w:val="center"/>
            <w:hideMark/>
          </w:tcPr>
          <w:p w14:paraId="5F2E02F2" w14:textId="77777777" w:rsidR="002B58FA" w:rsidRPr="00A27896" w:rsidRDefault="002B58FA"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94" w:type="pct"/>
            <w:gridSpan w:val="2"/>
            <w:tcBorders>
              <w:top w:val="single" w:sz="4" w:space="0" w:color="17365D"/>
              <w:bottom w:val="single" w:sz="4" w:space="0" w:color="17365D"/>
            </w:tcBorders>
            <w:shd w:val="clear" w:color="auto" w:fill="auto"/>
            <w:vAlign w:val="center"/>
            <w:hideMark/>
          </w:tcPr>
          <w:p w14:paraId="0333ECF6" w14:textId="77777777" w:rsidR="002B58FA" w:rsidRPr="00A27896" w:rsidRDefault="002B58FA"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794" w:type="pct"/>
            <w:gridSpan w:val="2"/>
            <w:tcBorders>
              <w:top w:val="single" w:sz="4" w:space="0" w:color="17365D"/>
              <w:bottom w:val="single" w:sz="4" w:space="0" w:color="17365D"/>
            </w:tcBorders>
            <w:shd w:val="clear" w:color="auto" w:fill="auto"/>
            <w:vAlign w:val="center"/>
            <w:hideMark/>
          </w:tcPr>
          <w:p w14:paraId="7A16542F" w14:textId="77777777" w:rsidR="002B58FA" w:rsidRPr="00A27896" w:rsidRDefault="002B58FA"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794" w:type="pct"/>
            <w:gridSpan w:val="2"/>
            <w:tcBorders>
              <w:top w:val="single" w:sz="4" w:space="0" w:color="17365D"/>
              <w:bottom w:val="single" w:sz="4" w:space="0" w:color="17365D"/>
            </w:tcBorders>
            <w:shd w:val="clear" w:color="auto" w:fill="auto"/>
            <w:vAlign w:val="center"/>
            <w:hideMark/>
          </w:tcPr>
          <w:p w14:paraId="45A87F78" w14:textId="77777777" w:rsidR="002B58FA" w:rsidRPr="00A27896" w:rsidRDefault="002B58FA"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759" w:type="pct"/>
            <w:gridSpan w:val="2"/>
            <w:tcBorders>
              <w:top w:val="single" w:sz="4" w:space="0" w:color="17365D"/>
              <w:bottom w:val="single" w:sz="4" w:space="0" w:color="17365D"/>
            </w:tcBorders>
            <w:shd w:val="clear" w:color="auto" w:fill="auto"/>
            <w:vAlign w:val="center"/>
            <w:hideMark/>
          </w:tcPr>
          <w:p w14:paraId="6C2EFAD4" w14:textId="77777777" w:rsidR="002B58FA" w:rsidRPr="00A27896" w:rsidRDefault="002B58FA"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006F2A" w:rsidRPr="00A27896" w14:paraId="6A8FE412" w14:textId="77777777" w:rsidTr="00006F2A">
        <w:trPr>
          <w:trHeight w:val="264"/>
        </w:trPr>
        <w:tc>
          <w:tcPr>
            <w:tcW w:w="1365" w:type="pct"/>
            <w:tcBorders>
              <w:top w:val="single" w:sz="4" w:space="0" w:color="17365D"/>
              <w:bottom w:val="single" w:sz="4" w:space="0" w:color="17365D"/>
            </w:tcBorders>
            <w:shd w:val="clear" w:color="auto" w:fill="auto"/>
            <w:vAlign w:val="center"/>
            <w:hideMark/>
          </w:tcPr>
          <w:p w14:paraId="42BDCBAD" w14:textId="4151EB46" w:rsidR="00006F2A" w:rsidRPr="00A27896" w:rsidRDefault="00006F2A" w:rsidP="00006F2A">
            <w:pPr>
              <w:spacing w:after="0" w:line="240" w:lineRule="auto"/>
              <w:rPr>
                <w:rFonts w:eastAsia="Times New Roman" w:cs="Times New Roman"/>
                <w:b/>
                <w:color w:val="17365D"/>
                <w:sz w:val="18"/>
                <w:szCs w:val="18"/>
                <w:lang w:eastAsia="lv-LV"/>
              </w:rPr>
            </w:pPr>
            <w:r w:rsidRPr="00A27896">
              <w:rPr>
                <w:rFonts w:cs="Times New Roman"/>
                <w:b/>
                <w:color w:val="17365D"/>
                <w:sz w:val="18"/>
                <w:szCs w:val="18"/>
              </w:rPr>
              <w:t>Bioloģiskie aktīvi lauksaimnieciskajai darbībai</w:t>
            </w:r>
          </w:p>
        </w:tc>
        <w:tc>
          <w:tcPr>
            <w:tcW w:w="494" w:type="pct"/>
            <w:gridSpan w:val="2"/>
            <w:tcBorders>
              <w:top w:val="single" w:sz="4" w:space="0" w:color="17365D"/>
              <w:bottom w:val="single" w:sz="4" w:space="0" w:color="17365D"/>
            </w:tcBorders>
            <w:shd w:val="clear" w:color="auto" w:fill="auto"/>
            <w:vAlign w:val="center"/>
            <w:hideMark/>
          </w:tcPr>
          <w:p w14:paraId="063B9400" w14:textId="1767CC20" w:rsidR="00006F2A" w:rsidRPr="00A27896" w:rsidRDefault="00006F2A" w:rsidP="00006F2A">
            <w:pPr>
              <w:spacing w:after="0" w:line="240" w:lineRule="auto"/>
              <w:jc w:val="center"/>
              <w:rPr>
                <w:rFonts w:eastAsia="Times New Roman" w:cs="Times New Roman"/>
                <w:b/>
                <w:color w:val="17365D"/>
                <w:sz w:val="18"/>
                <w:szCs w:val="18"/>
                <w:lang w:eastAsia="lv-LV"/>
              </w:rPr>
            </w:pPr>
            <w:r w:rsidRPr="00A27896">
              <w:rPr>
                <w:rFonts w:cs="Times New Roman"/>
                <w:b/>
                <w:color w:val="17365D"/>
                <w:sz w:val="18"/>
                <w:szCs w:val="18"/>
              </w:rPr>
              <w:t>KB.1.6.</w:t>
            </w:r>
          </w:p>
        </w:tc>
        <w:tc>
          <w:tcPr>
            <w:tcW w:w="794" w:type="pct"/>
            <w:gridSpan w:val="2"/>
            <w:tcBorders>
              <w:top w:val="single" w:sz="4" w:space="0" w:color="17365D"/>
              <w:bottom w:val="single" w:sz="4" w:space="0" w:color="17365D"/>
            </w:tcBorders>
            <w:shd w:val="clear" w:color="auto" w:fill="auto"/>
            <w:vAlign w:val="center"/>
            <w:hideMark/>
          </w:tcPr>
          <w:p w14:paraId="36A989E9" w14:textId="1DBAE47C" w:rsidR="00006F2A" w:rsidRPr="00A27896" w:rsidRDefault="00006F2A" w:rsidP="00006F2A">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1 214 749 464</w:t>
            </w:r>
          </w:p>
        </w:tc>
        <w:tc>
          <w:tcPr>
            <w:tcW w:w="794" w:type="pct"/>
            <w:gridSpan w:val="2"/>
            <w:tcBorders>
              <w:top w:val="single" w:sz="4" w:space="0" w:color="17365D"/>
              <w:bottom w:val="single" w:sz="4" w:space="0" w:color="17365D"/>
            </w:tcBorders>
            <w:shd w:val="clear" w:color="auto" w:fill="auto"/>
            <w:vAlign w:val="center"/>
            <w:hideMark/>
          </w:tcPr>
          <w:p w14:paraId="211C752E" w14:textId="0CFC1BC8" w:rsidR="00006F2A" w:rsidRPr="00A27896" w:rsidRDefault="00006F2A" w:rsidP="00006F2A">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1 201 772 743</w:t>
            </w:r>
          </w:p>
        </w:tc>
        <w:tc>
          <w:tcPr>
            <w:tcW w:w="794" w:type="pct"/>
            <w:gridSpan w:val="2"/>
            <w:tcBorders>
              <w:top w:val="single" w:sz="4" w:space="0" w:color="17365D"/>
              <w:bottom w:val="single" w:sz="4" w:space="0" w:color="17365D"/>
            </w:tcBorders>
            <w:shd w:val="clear" w:color="auto" w:fill="auto"/>
            <w:noWrap/>
            <w:vAlign w:val="center"/>
            <w:hideMark/>
          </w:tcPr>
          <w:p w14:paraId="5BC82EC4" w14:textId="4400AFC9" w:rsidR="00006F2A" w:rsidRPr="00A27896" w:rsidRDefault="00006F2A" w:rsidP="00006F2A">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12 976 721</w:t>
            </w:r>
          </w:p>
        </w:tc>
        <w:tc>
          <w:tcPr>
            <w:tcW w:w="759" w:type="pct"/>
            <w:gridSpan w:val="2"/>
            <w:tcBorders>
              <w:top w:val="single" w:sz="4" w:space="0" w:color="17365D"/>
              <w:bottom w:val="single" w:sz="4" w:space="0" w:color="17365D"/>
            </w:tcBorders>
            <w:shd w:val="clear" w:color="auto" w:fill="auto"/>
            <w:noWrap/>
            <w:vAlign w:val="center"/>
            <w:hideMark/>
          </w:tcPr>
          <w:p w14:paraId="29B6F2DD" w14:textId="50BB0F94" w:rsidR="00006F2A" w:rsidRPr="00A27896" w:rsidRDefault="00006F2A" w:rsidP="00006F2A">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1.08</w:t>
            </w:r>
          </w:p>
        </w:tc>
      </w:tr>
      <w:tr w:rsidR="000C1009" w:rsidRPr="00A27896" w14:paraId="1731D344" w14:textId="77777777" w:rsidTr="00432761">
        <w:trPr>
          <w:trHeight w:val="202"/>
        </w:trPr>
        <w:tc>
          <w:tcPr>
            <w:tcW w:w="1489" w:type="pct"/>
            <w:gridSpan w:val="2"/>
            <w:tcBorders>
              <w:top w:val="single" w:sz="4" w:space="0" w:color="17365D"/>
            </w:tcBorders>
            <w:shd w:val="clear" w:color="auto" w:fill="B9CDE5"/>
            <w:vAlign w:val="center"/>
          </w:tcPr>
          <w:p w14:paraId="44D3DB29" w14:textId="77777777" w:rsidR="002B58FA" w:rsidRPr="00A27896" w:rsidRDefault="002B58FA" w:rsidP="00D92FFA">
            <w:pPr>
              <w:spacing w:after="0" w:line="240" w:lineRule="auto"/>
              <w:rPr>
                <w:rFonts w:eastAsia="Times New Roman" w:cs="Times New Roman"/>
                <w:color w:val="17365D"/>
                <w:sz w:val="18"/>
                <w:szCs w:val="18"/>
                <w:lang w:eastAsia="lv-LV"/>
              </w:rPr>
            </w:pPr>
          </w:p>
        </w:tc>
        <w:tc>
          <w:tcPr>
            <w:tcW w:w="521" w:type="pct"/>
            <w:gridSpan w:val="2"/>
            <w:tcBorders>
              <w:top w:val="single" w:sz="4" w:space="0" w:color="17365D"/>
            </w:tcBorders>
            <w:shd w:val="clear" w:color="auto" w:fill="B9CDE5"/>
            <w:noWrap/>
            <w:vAlign w:val="center"/>
          </w:tcPr>
          <w:p w14:paraId="0E8B91A2" w14:textId="77777777" w:rsidR="002B58FA" w:rsidRPr="00A27896" w:rsidRDefault="002B58FA" w:rsidP="00D92FFA">
            <w:pPr>
              <w:spacing w:after="0" w:line="240" w:lineRule="auto"/>
              <w:jc w:val="center"/>
              <w:rPr>
                <w:rFonts w:eastAsia="Times New Roman" w:cs="Times New Roman"/>
                <w:color w:val="17365D"/>
                <w:sz w:val="18"/>
                <w:szCs w:val="18"/>
                <w:lang w:eastAsia="lv-LV"/>
              </w:rPr>
            </w:pPr>
          </w:p>
        </w:tc>
        <w:tc>
          <w:tcPr>
            <w:tcW w:w="792" w:type="pct"/>
            <w:gridSpan w:val="2"/>
            <w:tcBorders>
              <w:top w:val="single" w:sz="4" w:space="0" w:color="17365D"/>
            </w:tcBorders>
            <w:shd w:val="clear" w:color="auto" w:fill="B9CDE5"/>
            <w:noWrap/>
            <w:vAlign w:val="center"/>
          </w:tcPr>
          <w:p w14:paraId="1B5EB03F" w14:textId="77777777" w:rsidR="002B58FA" w:rsidRPr="00A27896" w:rsidRDefault="002B58FA" w:rsidP="00D92FFA">
            <w:pPr>
              <w:spacing w:after="0" w:line="240" w:lineRule="auto"/>
              <w:jc w:val="right"/>
              <w:rPr>
                <w:rFonts w:eastAsia="Times New Roman" w:cs="Times New Roman"/>
                <w:color w:val="17365D"/>
                <w:sz w:val="18"/>
                <w:szCs w:val="18"/>
                <w:lang w:eastAsia="lv-LV"/>
              </w:rPr>
            </w:pPr>
          </w:p>
        </w:tc>
        <w:tc>
          <w:tcPr>
            <w:tcW w:w="783" w:type="pct"/>
            <w:gridSpan w:val="2"/>
            <w:tcBorders>
              <w:top w:val="single" w:sz="4" w:space="0" w:color="17365D"/>
            </w:tcBorders>
            <w:shd w:val="clear" w:color="auto" w:fill="B9CDE5"/>
            <w:noWrap/>
            <w:vAlign w:val="center"/>
          </w:tcPr>
          <w:p w14:paraId="1A9C23CD" w14:textId="77777777" w:rsidR="002B58FA" w:rsidRPr="00A27896" w:rsidRDefault="002B58FA" w:rsidP="00D92FFA">
            <w:pPr>
              <w:spacing w:after="0" w:line="240" w:lineRule="auto"/>
              <w:jc w:val="right"/>
              <w:rPr>
                <w:rFonts w:eastAsia="Times New Roman" w:cs="Times New Roman"/>
                <w:color w:val="17365D"/>
                <w:sz w:val="18"/>
                <w:szCs w:val="18"/>
                <w:lang w:eastAsia="lv-LV"/>
              </w:rPr>
            </w:pPr>
          </w:p>
        </w:tc>
        <w:tc>
          <w:tcPr>
            <w:tcW w:w="694" w:type="pct"/>
            <w:gridSpan w:val="2"/>
            <w:tcBorders>
              <w:top w:val="single" w:sz="4" w:space="0" w:color="17365D"/>
            </w:tcBorders>
            <w:shd w:val="clear" w:color="auto" w:fill="B9CDE5"/>
            <w:noWrap/>
            <w:vAlign w:val="center"/>
          </w:tcPr>
          <w:p w14:paraId="73162AD0" w14:textId="77777777" w:rsidR="002B58FA" w:rsidRPr="00A27896" w:rsidRDefault="002B58FA" w:rsidP="00D92FFA">
            <w:pPr>
              <w:spacing w:after="0" w:line="240" w:lineRule="auto"/>
              <w:jc w:val="right"/>
              <w:rPr>
                <w:rFonts w:eastAsia="Times New Roman" w:cs="Times New Roman"/>
                <w:color w:val="17365D"/>
                <w:sz w:val="18"/>
                <w:szCs w:val="18"/>
                <w:lang w:eastAsia="lv-LV"/>
              </w:rPr>
            </w:pPr>
          </w:p>
        </w:tc>
        <w:tc>
          <w:tcPr>
            <w:tcW w:w="721" w:type="pct"/>
            <w:tcBorders>
              <w:top w:val="single" w:sz="4" w:space="0" w:color="17365D"/>
            </w:tcBorders>
            <w:shd w:val="clear" w:color="auto" w:fill="B9CDE5"/>
            <w:noWrap/>
            <w:vAlign w:val="center"/>
          </w:tcPr>
          <w:p w14:paraId="3475685F" w14:textId="77777777" w:rsidR="002B58FA" w:rsidRPr="00A27896" w:rsidRDefault="002B58FA" w:rsidP="00D92FFA">
            <w:pPr>
              <w:spacing w:after="0" w:line="240" w:lineRule="auto"/>
              <w:jc w:val="right"/>
              <w:rPr>
                <w:rFonts w:eastAsia="Times New Roman" w:cs="Times New Roman"/>
                <w:color w:val="17365D"/>
                <w:sz w:val="18"/>
                <w:szCs w:val="18"/>
                <w:lang w:eastAsia="lv-LV"/>
              </w:rPr>
            </w:pPr>
          </w:p>
        </w:tc>
      </w:tr>
    </w:tbl>
    <w:p w14:paraId="37ED389F" w14:textId="4E7CAF70" w:rsidR="00D077C2" w:rsidRPr="00A27896" w:rsidRDefault="00D23F23" w:rsidP="00C93A9C">
      <w:pPr>
        <w:spacing w:before="240" w:after="120" w:line="240" w:lineRule="auto"/>
        <w:ind w:firstLine="284"/>
        <w:jc w:val="both"/>
        <w:rPr>
          <w:rFonts w:cs="Times New Roman"/>
          <w:bCs/>
          <w:color w:val="17365D"/>
        </w:rPr>
      </w:pPr>
      <w:r w:rsidRPr="00A27896">
        <w:rPr>
          <w:rFonts w:cs="Times New Roman"/>
          <w:bCs/>
          <w:color w:val="17365D"/>
        </w:rPr>
        <w:t>Šajā pos</w:t>
      </w:r>
      <w:r w:rsidR="003F15C6" w:rsidRPr="00A27896">
        <w:rPr>
          <w:rFonts w:cs="Times New Roman"/>
          <w:bCs/>
          <w:color w:val="17365D"/>
        </w:rPr>
        <w:t>t</w:t>
      </w:r>
      <w:r w:rsidRPr="00A27896">
        <w:rPr>
          <w:rFonts w:cs="Times New Roman"/>
          <w:bCs/>
          <w:color w:val="17365D"/>
        </w:rPr>
        <w:t>enī uzskaitīti</w:t>
      </w:r>
      <w:r w:rsidR="00146B5D" w:rsidRPr="00A27896">
        <w:rPr>
          <w:rFonts w:cs="Times New Roman"/>
          <w:bCs/>
          <w:color w:val="17365D"/>
        </w:rPr>
        <w:t xml:space="preserve"> bioloģiskie aktīvi, ku</w:t>
      </w:r>
      <w:r w:rsidR="00D077C2" w:rsidRPr="00A27896">
        <w:rPr>
          <w:rFonts w:cs="Times New Roman"/>
          <w:bCs/>
          <w:color w:val="17365D"/>
        </w:rPr>
        <w:t>r</w:t>
      </w:r>
      <w:r w:rsidR="00146B5D" w:rsidRPr="00A27896">
        <w:rPr>
          <w:rFonts w:cs="Times New Roman"/>
          <w:bCs/>
          <w:color w:val="17365D"/>
        </w:rPr>
        <w:t xml:space="preserve">us </w:t>
      </w:r>
      <w:r w:rsidR="00D077C2" w:rsidRPr="00A27896">
        <w:rPr>
          <w:rFonts w:cs="Times New Roman"/>
          <w:bCs/>
          <w:color w:val="17365D"/>
        </w:rPr>
        <w:t xml:space="preserve">budžeta iestādes </w:t>
      </w:r>
      <w:r w:rsidR="00146B5D" w:rsidRPr="00A27896">
        <w:rPr>
          <w:rFonts w:cs="Times New Roman"/>
          <w:bCs/>
          <w:color w:val="17365D"/>
        </w:rPr>
        <w:t>izmanto plānveidīgai darbībai lauksaimniecībā, zivsaimniecībā un mežsaimniecībā ieņēmumu gūšanai</w:t>
      </w:r>
      <w:r w:rsidR="00D077C2" w:rsidRPr="00A27896">
        <w:rPr>
          <w:rFonts w:cs="Times New Roman"/>
          <w:bCs/>
          <w:color w:val="17365D"/>
        </w:rPr>
        <w:t>.</w:t>
      </w:r>
    </w:p>
    <w:p w14:paraId="168C132C" w14:textId="4137AC56" w:rsidR="003F15C6" w:rsidRPr="00A27896" w:rsidRDefault="00D23F23" w:rsidP="003F15C6">
      <w:pPr>
        <w:spacing w:after="120" w:line="240" w:lineRule="auto"/>
        <w:ind w:firstLine="284"/>
        <w:jc w:val="both"/>
        <w:rPr>
          <w:rFonts w:cs="Times New Roman"/>
          <w:bCs/>
          <w:color w:val="17365D"/>
        </w:rPr>
      </w:pPr>
      <w:r w:rsidRPr="00A27896">
        <w:rPr>
          <w:rFonts w:cs="Times New Roman"/>
          <w:bCs/>
          <w:color w:val="17365D"/>
        </w:rPr>
        <w:t xml:space="preserve">Pārskata periodā posteņa vērtība pieaugusi </w:t>
      </w:r>
      <w:r w:rsidR="003F15C6" w:rsidRPr="00A27896">
        <w:rPr>
          <w:rFonts w:cs="Times New Roman"/>
          <w:bCs/>
          <w:color w:val="17365D"/>
        </w:rPr>
        <w:t xml:space="preserve">aktīvu pārvērtēšanas rezultātā, galvenokārt par Zemkopības ministrijas uzskaitē esošo un VAS “Latvijas Valsts meži” turējumā nodoto mežaudžu vērtības izmaiņām </w:t>
      </w:r>
      <w:r w:rsidR="006C21A3" w:rsidRPr="00A27896">
        <w:rPr>
          <w:rFonts w:cs="Times New Roman"/>
          <w:bCs/>
          <w:color w:val="17365D"/>
        </w:rPr>
        <w:t>1</w:t>
      </w:r>
      <w:r w:rsidR="001E437B" w:rsidRPr="00A27896">
        <w:rPr>
          <w:rFonts w:cs="Times New Roman"/>
          <w:bCs/>
          <w:color w:val="17365D"/>
        </w:rPr>
        <w:t>6</w:t>
      </w:r>
      <w:r w:rsidR="006C21A3" w:rsidRPr="00A27896">
        <w:rPr>
          <w:rFonts w:cs="Times New Roman"/>
          <w:bCs/>
          <w:color w:val="17365D"/>
        </w:rPr>
        <w:t> </w:t>
      </w:r>
      <w:r w:rsidR="001E437B" w:rsidRPr="00A27896">
        <w:rPr>
          <w:rFonts w:cs="Times New Roman"/>
          <w:bCs/>
          <w:color w:val="17365D"/>
        </w:rPr>
        <w:t xml:space="preserve">850 797 </w:t>
      </w:r>
      <w:proofErr w:type="spellStart"/>
      <w:r w:rsidR="003F15C6" w:rsidRPr="00A27896">
        <w:rPr>
          <w:rFonts w:cs="Times New Roman"/>
          <w:bCs/>
          <w:i/>
          <w:color w:val="17365D"/>
        </w:rPr>
        <w:t>euro</w:t>
      </w:r>
      <w:proofErr w:type="spellEnd"/>
      <w:r w:rsidR="003F15C6" w:rsidRPr="00A27896">
        <w:rPr>
          <w:rFonts w:cs="Times New Roman"/>
          <w:bCs/>
          <w:color w:val="17365D"/>
        </w:rPr>
        <w:t>.</w:t>
      </w:r>
    </w:p>
    <w:p w14:paraId="0C194245" w14:textId="1566B6C4" w:rsidR="00146B5D" w:rsidRPr="00A27896" w:rsidRDefault="00773B41" w:rsidP="003F15C6">
      <w:pPr>
        <w:spacing w:after="120" w:line="240" w:lineRule="auto"/>
        <w:ind w:firstLine="284"/>
        <w:jc w:val="both"/>
        <w:rPr>
          <w:rFonts w:cs="Times New Roman"/>
          <w:bCs/>
          <w:color w:val="17365D"/>
        </w:rPr>
      </w:pPr>
      <w:r w:rsidRPr="00A27896">
        <w:rPr>
          <w:rFonts w:cs="Times New Roman"/>
          <w:bCs/>
          <w:color w:val="17365D"/>
        </w:rPr>
        <w:t>Mežaudzes novērtētas atbilstoši Meža valsts reģistrā norādītai pilnajai vērtībai.</w:t>
      </w:r>
    </w:p>
    <w:p w14:paraId="0A00714D" w14:textId="252B45DB" w:rsidR="003E4135" w:rsidRPr="00A27896" w:rsidRDefault="00D41F06" w:rsidP="00FD10CC">
      <w:pPr>
        <w:pStyle w:val="Heading3"/>
      </w:pPr>
      <w:r w:rsidRPr="00A27896">
        <w:t>Apgrozāmie līdzekļi</w:t>
      </w:r>
      <w:r w:rsidR="00724752" w:rsidRPr="00A27896">
        <w:t xml:space="preserve"> </w:t>
      </w:r>
    </w:p>
    <w:p w14:paraId="4E074B0C" w14:textId="67E35BF4" w:rsidR="00616585" w:rsidRPr="00A27896" w:rsidRDefault="00616585" w:rsidP="00836F9B">
      <w:pPr>
        <w:spacing w:after="120" w:line="240" w:lineRule="auto"/>
        <w:ind w:firstLine="284"/>
        <w:jc w:val="both"/>
        <w:rPr>
          <w:rFonts w:cs="Times New Roman"/>
          <w:bCs/>
          <w:color w:val="17365D"/>
        </w:rPr>
      </w:pPr>
      <w:r w:rsidRPr="00A27896">
        <w:rPr>
          <w:rFonts w:cs="Times New Roman"/>
          <w:bCs/>
          <w:color w:val="17365D"/>
        </w:rPr>
        <w:t>Apgrozāmie līdzekļi konsolidēti par valsts iestāžu, kā arī valsts un pašvaldību budžeta iestāžu savstarpējiem un valsts budžeta finanšu uzskaites savstarpējiem atlikumiem.</w:t>
      </w:r>
    </w:p>
    <w:p w14:paraId="08D6EE6B" w14:textId="7DF172C3" w:rsidR="00CA2DC5" w:rsidRPr="00A27896" w:rsidRDefault="00B539A5" w:rsidP="007B7C14">
      <w:pPr>
        <w:pStyle w:val="Heading4"/>
        <w:spacing w:after="0"/>
        <w:rPr>
          <w:rFonts w:cs="Times New Roman"/>
        </w:rPr>
      </w:pPr>
      <w:r w:rsidRPr="00A27896">
        <w:rPr>
          <w:rFonts w:cs="Times New Roman"/>
        </w:rPr>
        <w:t xml:space="preserve">Piezīme Nr. </w:t>
      </w:r>
      <w:r w:rsidR="00D41F06" w:rsidRPr="00A27896">
        <w:rPr>
          <w:rFonts w:cs="Times New Roman"/>
        </w:rPr>
        <w:t>KB.</w:t>
      </w:r>
      <w:r w:rsidR="00F73CE6" w:rsidRPr="00A27896">
        <w:rPr>
          <w:rFonts w:cs="Times New Roman"/>
        </w:rPr>
        <w:t>2.1</w:t>
      </w:r>
      <w:r w:rsidR="00D41F06" w:rsidRPr="00A27896">
        <w:rPr>
          <w:rFonts w:cs="Times New Roman"/>
        </w:rPr>
        <w:t>. Krājumi</w:t>
      </w:r>
    </w:p>
    <w:p w14:paraId="3885374B" w14:textId="36854FC5" w:rsidR="00025567" w:rsidRPr="00A27896" w:rsidRDefault="00212DF3" w:rsidP="007B7C14">
      <w:pPr>
        <w:pStyle w:val="Tabulasnosaukums1"/>
        <w:spacing w:before="0" w:line="240" w:lineRule="auto"/>
        <w:rPr>
          <w:rFonts w:cs="Times New Roman"/>
          <w:i/>
          <w:color w:val="17365D"/>
        </w:rPr>
      </w:pPr>
      <w:r w:rsidRPr="00A27896">
        <w:rPr>
          <w:rFonts w:cs="Times New Roman"/>
          <w:i/>
          <w:color w:val="17365D"/>
        </w:rPr>
        <w:t>9</w:t>
      </w:r>
      <w:r w:rsidR="00025567" w:rsidRPr="00A27896">
        <w:rPr>
          <w:rFonts w:cs="Times New Roman"/>
          <w:i/>
          <w:color w:val="17365D"/>
        </w:rPr>
        <w:t>. tabula. Krājumi (</w:t>
      </w:r>
      <w:proofErr w:type="spellStart"/>
      <w:r w:rsidR="00025567" w:rsidRPr="00A27896">
        <w:rPr>
          <w:rFonts w:cs="Times New Roman"/>
          <w:i/>
          <w:color w:val="17365D"/>
        </w:rPr>
        <w:t>euro</w:t>
      </w:r>
      <w:proofErr w:type="spellEnd"/>
      <w:r w:rsidR="00025567" w:rsidRPr="00A27896">
        <w:rPr>
          <w:rFonts w:cs="Times New Roman"/>
          <w:i/>
          <w:color w:val="17365D"/>
        </w:rPr>
        <w:t>)</w:t>
      </w:r>
    </w:p>
    <w:tbl>
      <w:tblPr>
        <w:tblW w:w="5016" w:type="pct"/>
        <w:jc w:val="center"/>
        <w:tblLayout w:type="fixed"/>
        <w:tblLook w:val="04A0" w:firstRow="1" w:lastRow="0" w:firstColumn="1" w:lastColumn="0" w:noHBand="0" w:noVBand="1"/>
      </w:tblPr>
      <w:tblGrid>
        <w:gridCol w:w="2268"/>
        <w:gridCol w:w="1275"/>
        <w:gridCol w:w="1560"/>
        <w:gridCol w:w="1560"/>
        <w:gridCol w:w="1505"/>
        <w:gridCol w:w="1216"/>
      </w:tblGrid>
      <w:tr w:rsidR="000C1009" w:rsidRPr="00A27896" w14:paraId="2F2D0B1A" w14:textId="77777777" w:rsidTr="00B7000B">
        <w:trPr>
          <w:trHeight w:val="684"/>
          <w:tblHeader/>
          <w:jc w:val="center"/>
        </w:trPr>
        <w:tc>
          <w:tcPr>
            <w:tcW w:w="1208" w:type="pct"/>
            <w:tcBorders>
              <w:bottom w:val="single" w:sz="4" w:space="0" w:color="17365D"/>
            </w:tcBorders>
            <w:shd w:val="clear" w:color="auto" w:fill="B9CDE5"/>
            <w:vAlign w:val="center"/>
            <w:hideMark/>
          </w:tcPr>
          <w:p w14:paraId="47C3FA3F" w14:textId="77777777" w:rsidR="00751550" w:rsidRPr="00A27896" w:rsidRDefault="00751550" w:rsidP="008C701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679" w:type="pct"/>
            <w:tcBorders>
              <w:bottom w:val="single" w:sz="4" w:space="0" w:color="17365D"/>
            </w:tcBorders>
            <w:shd w:val="clear" w:color="auto" w:fill="B9CDE5"/>
            <w:vAlign w:val="center"/>
            <w:hideMark/>
          </w:tcPr>
          <w:p w14:paraId="44641A67" w14:textId="77777777" w:rsidR="00751550" w:rsidRPr="00A27896" w:rsidRDefault="00751550" w:rsidP="008C701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831" w:type="pct"/>
            <w:tcBorders>
              <w:bottom w:val="single" w:sz="4" w:space="0" w:color="17365D"/>
            </w:tcBorders>
            <w:shd w:val="clear" w:color="auto" w:fill="B9CDE5"/>
            <w:vAlign w:val="center"/>
            <w:hideMark/>
          </w:tcPr>
          <w:p w14:paraId="7B7B9A0A" w14:textId="77777777" w:rsidR="00F23E80" w:rsidRPr="00A27896" w:rsidRDefault="00751550" w:rsidP="008C701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Pārskata </w:t>
            </w:r>
          </w:p>
          <w:p w14:paraId="4F55C140" w14:textId="0DB88965" w:rsidR="00751550" w:rsidRPr="00A27896" w:rsidRDefault="00751550" w:rsidP="008C701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perioda beigās</w:t>
            </w:r>
          </w:p>
        </w:tc>
        <w:tc>
          <w:tcPr>
            <w:tcW w:w="831" w:type="pct"/>
            <w:tcBorders>
              <w:bottom w:val="single" w:sz="4" w:space="0" w:color="17365D"/>
            </w:tcBorders>
            <w:shd w:val="clear" w:color="auto" w:fill="B9CDE5"/>
            <w:vAlign w:val="center"/>
            <w:hideMark/>
          </w:tcPr>
          <w:p w14:paraId="27E39A4E" w14:textId="4412A475" w:rsidR="00751550" w:rsidRPr="00A27896" w:rsidRDefault="00751550" w:rsidP="008C701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w:t>
            </w:r>
            <w:r w:rsidR="00D50D19" w:rsidRPr="00A27896">
              <w:rPr>
                <w:rFonts w:eastAsia="Times New Roman" w:cs="Times New Roman"/>
                <w:b/>
                <w:color w:val="17365D"/>
                <w:sz w:val="18"/>
                <w:szCs w:val="18"/>
                <w:lang w:eastAsia="lv-LV"/>
              </w:rPr>
              <w:t xml:space="preserve"> </w:t>
            </w:r>
            <w:r w:rsidRPr="00A27896">
              <w:rPr>
                <w:rFonts w:eastAsia="Times New Roman" w:cs="Times New Roman"/>
                <w:b/>
                <w:color w:val="17365D"/>
                <w:sz w:val="18"/>
                <w:szCs w:val="18"/>
                <w:lang w:eastAsia="lv-LV"/>
              </w:rPr>
              <w:t>perioda sākumā</w:t>
            </w:r>
          </w:p>
        </w:tc>
        <w:tc>
          <w:tcPr>
            <w:tcW w:w="802" w:type="pct"/>
            <w:tcBorders>
              <w:bottom w:val="single" w:sz="4" w:space="0" w:color="17365D"/>
            </w:tcBorders>
            <w:shd w:val="clear" w:color="auto" w:fill="B9CDE5"/>
            <w:vAlign w:val="center"/>
            <w:hideMark/>
          </w:tcPr>
          <w:p w14:paraId="61A364F2" w14:textId="29BFB5BE" w:rsidR="00751550" w:rsidRPr="00A27896" w:rsidRDefault="00751550" w:rsidP="008C701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 </w:t>
            </w:r>
            <w:r w:rsidRPr="00A27896">
              <w:rPr>
                <w:rFonts w:eastAsia="Times New Roman" w:cs="Times New Roman"/>
                <w:b/>
                <w:color w:val="17365D"/>
                <w:sz w:val="18"/>
                <w:szCs w:val="18"/>
                <w:lang w:eastAsia="lv-LV"/>
              </w:rPr>
              <w:t>)</w:t>
            </w:r>
          </w:p>
        </w:tc>
        <w:tc>
          <w:tcPr>
            <w:tcW w:w="648" w:type="pct"/>
            <w:tcBorders>
              <w:bottom w:val="single" w:sz="4" w:space="0" w:color="17365D"/>
            </w:tcBorders>
            <w:shd w:val="clear" w:color="auto" w:fill="B9CDE5"/>
            <w:vAlign w:val="center"/>
            <w:hideMark/>
          </w:tcPr>
          <w:p w14:paraId="5464841C" w14:textId="77777777" w:rsidR="00751550" w:rsidRPr="00A27896" w:rsidRDefault="00751550" w:rsidP="008C701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7565A4BB" w14:textId="77777777" w:rsidTr="00B7000B">
        <w:trPr>
          <w:trHeight w:val="240"/>
          <w:jc w:val="center"/>
        </w:trPr>
        <w:tc>
          <w:tcPr>
            <w:tcW w:w="1208" w:type="pct"/>
            <w:tcBorders>
              <w:top w:val="single" w:sz="4" w:space="0" w:color="17365D"/>
              <w:bottom w:val="single" w:sz="4" w:space="0" w:color="17365D"/>
            </w:tcBorders>
            <w:shd w:val="clear" w:color="auto" w:fill="auto"/>
            <w:vAlign w:val="center"/>
            <w:hideMark/>
          </w:tcPr>
          <w:p w14:paraId="6E0FB19E" w14:textId="77777777" w:rsidR="00751550" w:rsidRPr="00A27896" w:rsidRDefault="00751550" w:rsidP="008C701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679" w:type="pct"/>
            <w:tcBorders>
              <w:top w:val="single" w:sz="4" w:space="0" w:color="17365D"/>
              <w:bottom w:val="single" w:sz="4" w:space="0" w:color="17365D"/>
            </w:tcBorders>
            <w:shd w:val="clear" w:color="auto" w:fill="auto"/>
            <w:vAlign w:val="center"/>
            <w:hideMark/>
          </w:tcPr>
          <w:p w14:paraId="6B1DFE0C" w14:textId="77777777" w:rsidR="00751550" w:rsidRPr="00A27896" w:rsidRDefault="00751550" w:rsidP="008C701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831" w:type="pct"/>
            <w:tcBorders>
              <w:top w:val="single" w:sz="4" w:space="0" w:color="17365D"/>
              <w:bottom w:val="single" w:sz="4" w:space="0" w:color="17365D"/>
            </w:tcBorders>
            <w:shd w:val="clear" w:color="auto" w:fill="auto"/>
            <w:vAlign w:val="center"/>
            <w:hideMark/>
          </w:tcPr>
          <w:p w14:paraId="78A7F1BD" w14:textId="77777777" w:rsidR="00751550" w:rsidRPr="00A27896" w:rsidRDefault="00751550" w:rsidP="008C701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831" w:type="pct"/>
            <w:tcBorders>
              <w:top w:val="single" w:sz="4" w:space="0" w:color="17365D"/>
              <w:bottom w:val="single" w:sz="4" w:space="0" w:color="17365D"/>
            </w:tcBorders>
            <w:shd w:val="clear" w:color="auto" w:fill="auto"/>
            <w:vAlign w:val="center"/>
            <w:hideMark/>
          </w:tcPr>
          <w:p w14:paraId="5DF1E8B4" w14:textId="77777777" w:rsidR="00751550" w:rsidRPr="00A27896" w:rsidRDefault="00751550" w:rsidP="008C701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802" w:type="pct"/>
            <w:tcBorders>
              <w:top w:val="single" w:sz="4" w:space="0" w:color="17365D"/>
              <w:bottom w:val="single" w:sz="4" w:space="0" w:color="17365D"/>
            </w:tcBorders>
            <w:shd w:val="clear" w:color="auto" w:fill="auto"/>
            <w:vAlign w:val="center"/>
            <w:hideMark/>
          </w:tcPr>
          <w:p w14:paraId="247923C6" w14:textId="77777777" w:rsidR="00751550" w:rsidRPr="00A27896" w:rsidRDefault="00751550" w:rsidP="008C701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48" w:type="pct"/>
            <w:tcBorders>
              <w:top w:val="single" w:sz="4" w:space="0" w:color="17365D"/>
              <w:bottom w:val="single" w:sz="4" w:space="0" w:color="17365D"/>
            </w:tcBorders>
            <w:shd w:val="clear" w:color="auto" w:fill="auto"/>
            <w:vAlign w:val="center"/>
            <w:hideMark/>
          </w:tcPr>
          <w:p w14:paraId="565E295C" w14:textId="77777777" w:rsidR="00751550" w:rsidRPr="00A27896" w:rsidRDefault="00751550" w:rsidP="008C701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006F2A" w:rsidRPr="00A27896" w14:paraId="28E23C7F" w14:textId="77777777" w:rsidTr="00006F2A">
        <w:trPr>
          <w:trHeight w:val="325"/>
          <w:jc w:val="center"/>
        </w:trPr>
        <w:tc>
          <w:tcPr>
            <w:tcW w:w="1208" w:type="pct"/>
            <w:tcBorders>
              <w:top w:val="single" w:sz="4" w:space="0" w:color="17365D"/>
              <w:bottom w:val="single" w:sz="4" w:space="0" w:color="17365D"/>
            </w:tcBorders>
            <w:shd w:val="clear" w:color="auto" w:fill="auto"/>
            <w:vAlign w:val="center"/>
            <w:hideMark/>
          </w:tcPr>
          <w:p w14:paraId="576D92DE" w14:textId="05C2FB47" w:rsidR="00006F2A" w:rsidRPr="00A27896" w:rsidRDefault="00006F2A" w:rsidP="00006F2A">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Krājumi</w:t>
            </w:r>
          </w:p>
        </w:tc>
        <w:tc>
          <w:tcPr>
            <w:tcW w:w="679" w:type="pct"/>
            <w:tcBorders>
              <w:top w:val="single" w:sz="4" w:space="0" w:color="17365D"/>
              <w:bottom w:val="single" w:sz="4" w:space="0" w:color="17365D"/>
            </w:tcBorders>
            <w:shd w:val="clear" w:color="auto" w:fill="auto"/>
            <w:vAlign w:val="center"/>
            <w:hideMark/>
          </w:tcPr>
          <w:p w14:paraId="21A82F15" w14:textId="6F574A85" w:rsidR="00006F2A" w:rsidRPr="00A27896" w:rsidRDefault="00006F2A" w:rsidP="00006F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KB.2.1.</w:t>
            </w:r>
          </w:p>
        </w:tc>
        <w:tc>
          <w:tcPr>
            <w:tcW w:w="831" w:type="pct"/>
            <w:tcBorders>
              <w:top w:val="single" w:sz="4" w:space="0" w:color="17365D"/>
              <w:bottom w:val="single" w:sz="4" w:space="0" w:color="17365D"/>
            </w:tcBorders>
            <w:shd w:val="clear" w:color="auto" w:fill="auto"/>
            <w:noWrap/>
            <w:vAlign w:val="center"/>
            <w:hideMark/>
          </w:tcPr>
          <w:p w14:paraId="4C2309B3" w14:textId="23200294" w:rsidR="00006F2A" w:rsidRPr="00A27896" w:rsidRDefault="00006F2A" w:rsidP="00006F2A">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1 284 037 615</w:t>
            </w:r>
          </w:p>
        </w:tc>
        <w:tc>
          <w:tcPr>
            <w:tcW w:w="831" w:type="pct"/>
            <w:tcBorders>
              <w:top w:val="single" w:sz="4" w:space="0" w:color="17365D"/>
              <w:bottom w:val="single" w:sz="4" w:space="0" w:color="17365D"/>
            </w:tcBorders>
            <w:shd w:val="clear" w:color="auto" w:fill="auto"/>
            <w:noWrap/>
            <w:vAlign w:val="center"/>
            <w:hideMark/>
          </w:tcPr>
          <w:p w14:paraId="77380665" w14:textId="586463F4" w:rsidR="00006F2A" w:rsidRPr="00A27896" w:rsidRDefault="00006F2A" w:rsidP="00006F2A">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782 442 950</w:t>
            </w:r>
          </w:p>
        </w:tc>
        <w:tc>
          <w:tcPr>
            <w:tcW w:w="802" w:type="pct"/>
            <w:tcBorders>
              <w:top w:val="single" w:sz="4" w:space="0" w:color="17365D"/>
              <w:bottom w:val="single" w:sz="4" w:space="0" w:color="17365D"/>
            </w:tcBorders>
            <w:shd w:val="clear" w:color="auto" w:fill="auto"/>
            <w:noWrap/>
            <w:vAlign w:val="center"/>
            <w:hideMark/>
          </w:tcPr>
          <w:p w14:paraId="3B5A3FE3" w14:textId="328F3F2B" w:rsidR="00006F2A" w:rsidRPr="00A27896" w:rsidRDefault="00006F2A" w:rsidP="00006F2A">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501 594 665</w:t>
            </w:r>
          </w:p>
        </w:tc>
        <w:tc>
          <w:tcPr>
            <w:tcW w:w="648" w:type="pct"/>
            <w:tcBorders>
              <w:top w:val="single" w:sz="4" w:space="0" w:color="17365D"/>
              <w:bottom w:val="single" w:sz="4" w:space="0" w:color="17365D"/>
            </w:tcBorders>
            <w:shd w:val="clear" w:color="auto" w:fill="auto"/>
            <w:noWrap/>
            <w:vAlign w:val="center"/>
            <w:hideMark/>
          </w:tcPr>
          <w:p w14:paraId="1051B039" w14:textId="4052D82A" w:rsidR="00006F2A" w:rsidRPr="00A27896" w:rsidRDefault="00006F2A" w:rsidP="00006F2A">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64.11</w:t>
            </w:r>
          </w:p>
        </w:tc>
      </w:tr>
      <w:tr w:rsidR="000C1009" w:rsidRPr="00A27896" w14:paraId="1FF07C94" w14:textId="77777777" w:rsidTr="00B7000B">
        <w:trPr>
          <w:trHeight w:val="56"/>
          <w:jc w:val="center"/>
        </w:trPr>
        <w:tc>
          <w:tcPr>
            <w:tcW w:w="1208" w:type="pct"/>
            <w:tcBorders>
              <w:top w:val="single" w:sz="4" w:space="0" w:color="17365D"/>
            </w:tcBorders>
            <w:shd w:val="clear" w:color="auto" w:fill="B9CDE5"/>
            <w:vAlign w:val="center"/>
          </w:tcPr>
          <w:p w14:paraId="0A379A0C" w14:textId="77777777" w:rsidR="00751550" w:rsidRPr="00A27896" w:rsidRDefault="00751550" w:rsidP="008C7015">
            <w:pPr>
              <w:spacing w:after="0"/>
              <w:rPr>
                <w:rFonts w:eastAsia="Times New Roman" w:cs="Times New Roman"/>
                <w:color w:val="17365D"/>
                <w:sz w:val="16"/>
                <w:szCs w:val="18"/>
                <w:lang w:eastAsia="lv-LV"/>
              </w:rPr>
            </w:pPr>
          </w:p>
        </w:tc>
        <w:tc>
          <w:tcPr>
            <w:tcW w:w="679" w:type="pct"/>
            <w:tcBorders>
              <w:top w:val="single" w:sz="4" w:space="0" w:color="17365D"/>
            </w:tcBorders>
            <w:shd w:val="clear" w:color="auto" w:fill="B9CDE5"/>
            <w:noWrap/>
            <w:vAlign w:val="center"/>
          </w:tcPr>
          <w:p w14:paraId="121D83E5" w14:textId="77777777" w:rsidR="00751550" w:rsidRPr="00A27896" w:rsidRDefault="00751550" w:rsidP="008C7015">
            <w:pPr>
              <w:spacing w:after="0"/>
              <w:jc w:val="center"/>
              <w:rPr>
                <w:rFonts w:eastAsia="Times New Roman" w:cs="Times New Roman"/>
                <w:color w:val="17365D"/>
                <w:sz w:val="18"/>
                <w:szCs w:val="18"/>
                <w:lang w:eastAsia="lv-LV"/>
              </w:rPr>
            </w:pPr>
          </w:p>
        </w:tc>
        <w:tc>
          <w:tcPr>
            <w:tcW w:w="831" w:type="pct"/>
            <w:tcBorders>
              <w:top w:val="single" w:sz="4" w:space="0" w:color="17365D"/>
            </w:tcBorders>
            <w:shd w:val="clear" w:color="auto" w:fill="B9CDE5"/>
            <w:noWrap/>
            <w:vAlign w:val="center"/>
          </w:tcPr>
          <w:p w14:paraId="1159B140" w14:textId="77777777" w:rsidR="00751550" w:rsidRPr="00A27896" w:rsidRDefault="00751550" w:rsidP="008C7015">
            <w:pPr>
              <w:spacing w:after="0"/>
              <w:jc w:val="right"/>
              <w:rPr>
                <w:rFonts w:eastAsia="Times New Roman" w:cs="Times New Roman"/>
                <w:color w:val="17365D"/>
                <w:sz w:val="18"/>
                <w:szCs w:val="18"/>
                <w:lang w:eastAsia="lv-LV"/>
              </w:rPr>
            </w:pPr>
          </w:p>
        </w:tc>
        <w:tc>
          <w:tcPr>
            <w:tcW w:w="831" w:type="pct"/>
            <w:tcBorders>
              <w:top w:val="single" w:sz="4" w:space="0" w:color="17365D"/>
            </w:tcBorders>
            <w:shd w:val="clear" w:color="auto" w:fill="B9CDE5"/>
            <w:noWrap/>
            <w:vAlign w:val="center"/>
          </w:tcPr>
          <w:p w14:paraId="38F19B8C" w14:textId="77777777" w:rsidR="00751550" w:rsidRPr="00A27896" w:rsidRDefault="00751550" w:rsidP="008C7015">
            <w:pPr>
              <w:spacing w:after="0"/>
              <w:jc w:val="right"/>
              <w:rPr>
                <w:rFonts w:eastAsia="Times New Roman" w:cs="Times New Roman"/>
                <w:color w:val="17365D"/>
                <w:sz w:val="18"/>
                <w:szCs w:val="18"/>
                <w:lang w:eastAsia="lv-LV"/>
              </w:rPr>
            </w:pPr>
          </w:p>
        </w:tc>
        <w:tc>
          <w:tcPr>
            <w:tcW w:w="802" w:type="pct"/>
            <w:tcBorders>
              <w:top w:val="single" w:sz="4" w:space="0" w:color="17365D"/>
            </w:tcBorders>
            <w:shd w:val="clear" w:color="auto" w:fill="B9CDE5"/>
            <w:noWrap/>
            <w:vAlign w:val="center"/>
          </w:tcPr>
          <w:p w14:paraId="27E925A6" w14:textId="77777777" w:rsidR="00751550" w:rsidRPr="00A27896" w:rsidRDefault="00751550" w:rsidP="008C7015">
            <w:pPr>
              <w:spacing w:after="0"/>
              <w:jc w:val="right"/>
              <w:rPr>
                <w:rFonts w:eastAsia="Times New Roman" w:cs="Times New Roman"/>
                <w:color w:val="17365D"/>
                <w:sz w:val="18"/>
                <w:szCs w:val="18"/>
                <w:lang w:eastAsia="lv-LV"/>
              </w:rPr>
            </w:pPr>
          </w:p>
        </w:tc>
        <w:tc>
          <w:tcPr>
            <w:tcW w:w="648" w:type="pct"/>
            <w:tcBorders>
              <w:top w:val="single" w:sz="4" w:space="0" w:color="17365D"/>
            </w:tcBorders>
            <w:shd w:val="clear" w:color="auto" w:fill="B9CDE5"/>
            <w:noWrap/>
            <w:vAlign w:val="center"/>
          </w:tcPr>
          <w:p w14:paraId="36561856" w14:textId="77777777" w:rsidR="00751550" w:rsidRPr="00A27896" w:rsidRDefault="00751550" w:rsidP="008C7015">
            <w:pPr>
              <w:spacing w:after="0"/>
              <w:jc w:val="right"/>
              <w:rPr>
                <w:rFonts w:eastAsia="Times New Roman" w:cs="Times New Roman"/>
                <w:color w:val="17365D"/>
                <w:sz w:val="18"/>
                <w:szCs w:val="18"/>
                <w:lang w:eastAsia="lv-LV"/>
              </w:rPr>
            </w:pPr>
          </w:p>
        </w:tc>
      </w:tr>
    </w:tbl>
    <w:p w14:paraId="2F5B6E74" w14:textId="3BD226A3" w:rsidR="00BC5468" w:rsidRPr="00A27896" w:rsidRDefault="00BC5468" w:rsidP="00C93A9C">
      <w:pPr>
        <w:spacing w:before="240" w:after="120" w:line="240" w:lineRule="auto"/>
        <w:ind w:firstLine="284"/>
        <w:jc w:val="both"/>
        <w:rPr>
          <w:rFonts w:cs="Times New Roman"/>
          <w:bCs/>
          <w:color w:val="17365D"/>
        </w:rPr>
      </w:pPr>
      <w:r w:rsidRPr="00A27896">
        <w:rPr>
          <w:rFonts w:cs="Times New Roman"/>
          <w:bCs/>
          <w:color w:val="17365D"/>
        </w:rPr>
        <w:t xml:space="preserve">Pārskata gadā krājumu atlikuma izmaiņas galvenokārt ietekmēja </w:t>
      </w:r>
      <w:r w:rsidR="00B44AC4" w:rsidRPr="00A27896">
        <w:rPr>
          <w:rFonts w:cs="Times New Roman"/>
          <w:bCs/>
          <w:color w:val="17365D"/>
        </w:rPr>
        <w:t>Ekonomikas ministrijas veiktais avansa maksājums AS “Latvenergo” par dabasgāzes energoapgādes drošuma rezervi</w:t>
      </w:r>
      <w:r w:rsidR="00B44AC4" w:rsidRPr="00A27896">
        <w:rPr>
          <w:rFonts w:cs="Times New Roman"/>
          <w:color w:val="17365D"/>
        </w:rPr>
        <w:t xml:space="preserve"> </w:t>
      </w:r>
      <w:r w:rsidR="00B44AC4" w:rsidRPr="00A27896">
        <w:rPr>
          <w:rFonts w:cs="Times New Roman"/>
          <w:bCs/>
          <w:color w:val="17365D"/>
        </w:rPr>
        <w:t>428 697 918</w:t>
      </w:r>
      <w:r w:rsidR="00B44AC4" w:rsidRPr="00A27896">
        <w:rPr>
          <w:rFonts w:cs="Times New Roman"/>
          <w:bCs/>
          <w:i/>
          <w:color w:val="17365D"/>
        </w:rPr>
        <w:t xml:space="preserve"> </w:t>
      </w:r>
      <w:proofErr w:type="spellStart"/>
      <w:r w:rsidR="00B44AC4" w:rsidRPr="00A27896">
        <w:rPr>
          <w:rFonts w:cs="Times New Roman"/>
          <w:bCs/>
          <w:i/>
          <w:color w:val="17365D"/>
        </w:rPr>
        <w:t>euro</w:t>
      </w:r>
      <w:proofErr w:type="spellEnd"/>
      <w:r w:rsidR="00B44AC4" w:rsidRPr="00A27896">
        <w:rPr>
          <w:rFonts w:cs="Times New Roman"/>
          <w:bCs/>
          <w:color w:val="17365D"/>
        </w:rPr>
        <w:t xml:space="preserve">, kā arī Aizsardzības ministrijas izejvielu un materiālu iegāde iestādes darbības nodrošināšanai 55 621 162 </w:t>
      </w:r>
      <w:proofErr w:type="spellStart"/>
      <w:r w:rsidR="00B44AC4" w:rsidRPr="00A27896">
        <w:rPr>
          <w:rFonts w:cs="Times New Roman"/>
          <w:bCs/>
          <w:i/>
          <w:color w:val="17365D"/>
        </w:rPr>
        <w:t>euro</w:t>
      </w:r>
      <w:proofErr w:type="spellEnd"/>
      <w:r w:rsidR="00B44AC4" w:rsidRPr="00A27896">
        <w:rPr>
          <w:rFonts w:cs="Times New Roman"/>
          <w:bCs/>
          <w:color w:val="17365D"/>
        </w:rPr>
        <w:t xml:space="preserve">, inventāra iegādi 116 585 833 </w:t>
      </w:r>
      <w:proofErr w:type="spellStart"/>
      <w:r w:rsidR="00B44AC4" w:rsidRPr="00A27896">
        <w:rPr>
          <w:rFonts w:cs="Times New Roman"/>
          <w:bCs/>
          <w:i/>
          <w:color w:val="17365D"/>
        </w:rPr>
        <w:t>euro</w:t>
      </w:r>
      <w:proofErr w:type="spellEnd"/>
      <w:r w:rsidR="00B44AC4" w:rsidRPr="00A27896">
        <w:rPr>
          <w:rFonts w:cs="Times New Roman"/>
          <w:bCs/>
          <w:color w:val="17365D"/>
        </w:rPr>
        <w:t xml:space="preserve">, veiktajiem avansa maksājumiem par krājumiem 10 667 881 </w:t>
      </w:r>
      <w:proofErr w:type="spellStart"/>
      <w:r w:rsidR="00EF7936" w:rsidRPr="00A27896">
        <w:rPr>
          <w:rFonts w:cs="Times New Roman"/>
          <w:bCs/>
          <w:i/>
          <w:color w:val="17365D"/>
        </w:rPr>
        <w:t>euro</w:t>
      </w:r>
      <w:proofErr w:type="spellEnd"/>
      <w:r w:rsidR="00EF7936" w:rsidRPr="00A27896">
        <w:rPr>
          <w:rFonts w:cs="Times New Roman"/>
          <w:bCs/>
          <w:color w:val="17365D"/>
        </w:rPr>
        <w:t xml:space="preserve"> </w:t>
      </w:r>
      <w:r w:rsidR="007B2C71" w:rsidRPr="00A27896">
        <w:rPr>
          <w:rFonts w:cs="Times New Roman"/>
          <w:bCs/>
          <w:color w:val="17365D"/>
        </w:rPr>
        <w:t>vērtībā</w:t>
      </w:r>
      <w:r w:rsidR="00075EA0" w:rsidRPr="00A27896">
        <w:rPr>
          <w:rFonts w:cs="Times New Roman"/>
          <w:bCs/>
          <w:color w:val="17365D"/>
        </w:rPr>
        <w:t xml:space="preserve">. </w:t>
      </w:r>
      <w:r w:rsidR="0072540C" w:rsidRPr="00A27896">
        <w:rPr>
          <w:rFonts w:cs="Times New Roman"/>
          <w:bCs/>
          <w:color w:val="17365D"/>
        </w:rPr>
        <w:t>No</w:t>
      </w:r>
      <w:r w:rsidR="00EF7936" w:rsidRPr="00A27896">
        <w:rPr>
          <w:rFonts w:cs="Times New Roman"/>
          <w:bCs/>
          <w:color w:val="17365D"/>
        </w:rPr>
        <w:t xml:space="preserve"> uzskaites </w:t>
      </w:r>
      <w:r w:rsidR="0072540C" w:rsidRPr="00A27896">
        <w:rPr>
          <w:rFonts w:cs="Times New Roman"/>
          <w:bCs/>
          <w:color w:val="17365D"/>
        </w:rPr>
        <w:t>izs</w:t>
      </w:r>
      <w:r w:rsidR="000C1009" w:rsidRPr="00A27896">
        <w:rPr>
          <w:rFonts w:cs="Times New Roman"/>
          <w:bCs/>
          <w:color w:val="17365D"/>
        </w:rPr>
        <w:t>l</w:t>
      </w:r>
      <w:r w:rsidR="0072540C" w:rsidRPr="00A27896">
        <w:rPr>
          <w:rFonts w:cs="Times New Roman"/>
          <w:bCs/>
          <w:color w:val="17365D"/>
        </w:rPr>
        <w:t>ēgta</w:t>
      </w:r>
      <w:r w:rsidR="00EF7936" w:rsidRPr="00A27896">
        <w:rPr>
          <w:rFonts w:cs="Times New Roman"/>
          <w:bCs/>
          <w:color w:val="17365D"/>
        </w:rPr>
        <w:t xml:space="preserve"> lietošanā </w:t>
      </w:r>
      <w:r w:rsidR="0072540C" w:rsidRPr="00A27896">
        <w:rPr>
          <w:rFonts w:cs="Times New Roman"/>
          <w:bCs/>
          <w:color w:val="17365D"/>
        </w:rPr>
        <w:t>nodot</w:t>
      </w:r>
      <w:r w:rsidR="00107C41" w:rsidRPr="00A27896">
        <w:rPr>
          <w:rFonts w:cs="Times New Roman"/>
          <w:bCs/>
          <w:color w:val="17365D"/>
        </w:rPr>
        <w:t>ā</w:t>
      </w:r>
      <w:r w:rsidR="00EF7936" w:rsidRPr="00A27896">
        <w:rPr>
          <w:rFonts w:cs="Times New Roman"/>
          <w:bCs/>
          <w:color w:val="17365D"/>
        </w:rPr>
        <w:t xml:space="preserve"> inventāra </w:t>
      </w:r>
      <w:r w:rsidR="00B44AC4" w:rsidRPr="00A27896">
        <w:rPr>
          <w:rFonts w:cs="Times New Roman"/>
          <w:bCs/>
          <w:color w:val="17365D"/>
        </w:rPr>
        <w:t xml:space="preserve">un izlietoto krājumu </w:t>
      </w:r>
      <w:r w:rsidR="0072540C" w:rsidRPr="00A27896">
        <w:rPr>
          <w:rFonts w:cs="Times New Roman"/>
          <w:bCs/>
          <w:color w:val="17365D"/>
        </w:rPr>
        <w:t xml:space="preserve">vērtība </w:t>
      </w:r>
      <w:r w:rsidR="00EF7936" w:rsidRPr="00A27896">
        <w:rPr>
          <w:rFonts w:cs="Times New Roman"/>
          <w:bCs/>
          <w:color w:val="17365D"/>
        </w:rPr>
        <w:t>(</w:t>
      </w:r>
      <w:r w:rsidR="00B44AC4" w:rsidRPr="00A27896">
        <w:rPr>
          <w:rFonts w:cs="Times New Roman"/>
          <w:bCs/>
          <w:color w:val="17365D"/>
        </w:rPr>
        <w:t>130 710 565</w:t>
      </w:r>
      <w:r w:rsidR="00EF7936" w:rsidRPr="00A27896">
        <w:rPr>
          <w:rFonts w:cs="Times New Roman"/>
          <w:bCs/>
          <w:color w:val="17365D"/>
        </w:rPr>
        <w:t xml:space="preserve">) </w:t>
      </w:r>
      <w:proofErr w:type="spellStart"/>
      <w:r w:rsidR="00EF7936" w:rsidRPr="00A27896">
        <w:rPr>
          <w:rFonts w:cs="Times New Roman"/>
          <w:bCs/>
          <w:i/>
          <w:color w:val="17365D"/>
        </w:rPr>
        <w:t>euro</w:t>
      </w:r>
      <w:proofErr w:type="spellEnd"/>
      <w:r w:rsidRPr="00A27896">
        <w:rPr>
          <w:rFonts w:cs="Times New Roman"/>
          <w:bCs/>
          <w:color w:val="17365D"/>
        </w:rPr>
        <w:t>.</w:t>
      </w:r>
      <w:r w:rsidR="00075EA0" w:rsidRPr="00A27896">
        <w:rPr>
          <w:rFonts w:cs="Times New Roman"/>
          <w:bCs/>
          <w:color w:val="17365D"/>
        </w:rPr>
        <w:t xml:space="preserve"> Būtiskas krājuma atlikuma izmaiņas ietekmēja arī Veselības ministrijas vakcīn</w:t>
      </w:r>
      <w:r w:rsidR="00B44AC4" w:rsidRPr="00A27896">
        <w:rPr>
          <w:rFonts w:cs="Times New Roman"/>
          <w:bCs/>
          <w:color w:val="17365D"/>
        </w:rPr>
        <w:t>u iepirkumu pieaugum</w:t>
      </w:r>
      <w:r w:rsidR="00E173A7" w:rsidRPr="00A27896">
        <w:rPr>
          <w:rFonts w:cs="Times New Roman"/>
          <w:bCs/>
          <w:color w:val="17365D"/>
        </w:rPr>
        <w:t>s</w:t>
      </w:r>
      <w:r w:rsidR="00B44AC4" w:rsidRPr="00A27896">
        <w:rPr>
          <w:rFonts w:cs="Times New Roman"/>
          <w:bCs/>
          <w:color w:val="17365D"/>
        </w:rPr>
        <w:t xml:space="preserve"> 23 603 590</w:t>
      </w:r>
      <w:r w:rsidR="00B44AC4" w:rsidRPr="00A27896" w:rsidDel="00B44AC4">
        <w:rPr>
          <w:rFonts w:cs="Times New Roman"/>
          <w:bCs/>
          <w:color w:val="17365D"/>
        </w:rPr>
        <w:t xml:space="preserve"> </w:t>
      </w:r>
      <w:proofErr w:type="spellStart"/>
      <w:r w:rsidR="00075EA0" w:rsidRPr="00A27896">
        <w:rPr>
          <w:rFonts w:cs="Times New Roman"/>
          <w:bCs/>
          <w:i/>
          <w:color w:val="17365D"/>
        </w:rPr>
        <w:t>euro</w:t>
      </w:r>
      <w:proofErr w:type="spellEnd"/>
      <w:r w:rsidR="00075EA0" w:rsidRPr="00A27896">
        <w:rPr>
          <w:rFonts w:cs="Times New Roman"/>
          <w:bCs/>
          <w:i/>
          <w:color w:val="17365D"/>
        </w:rPr>
        <w:t xml:space="preserve"> </w:t>
      </w:r>
      <w:r w:rsidR="00075EA0" w:rsidRPr="00A27896">
        <w:rPr>
          <w:rFonts w:cs="Times New Roman"/>
          <w:bCs/>
          <w:color w:val="17365D"/>
        </w:rPr>
        <w:t>vērtībā.</w:t>
      </w:r>
    </w:p>
    <w:p w14:paraId="6ED4DC48" w14:textId="0F5F7279" w:rsidR="00DD4ABC" w:rsidRPr="00A27896" w:rsidRDefault="00A2534B" w:rsidP="00DD4ABC">
      <w:pPr>
        <w:spacing w:after="120" w:line="240" w:lineRule="auto"/>
        <w:ind w:firstLine="284"/>
        <w:jc w:val="both"/>
        <w:rPr>
          <w:rFonts w:cs="Times New Roman"/>
          <w:bCs/>
          <w:color w:val="17365D"/>
        </w:rPr>
      </w:pPr>
      <w:r w:rsidRPr="00A27896">
        <w:rPr>
          <w:rFonts w:cs="Times New Roman"/>
          <w:bCs/>
          <w:color w:val="17365D"/>
        </w:rPr>
        <w:t>Atsavināšanai paredzēto krājumu sastāvā uzskaitīti aktīvi</w:t>
      </w:r>
      <w:r w:rsidR="00DD4ABC" w:rsidRPr="00A27896">
        <w:rPr>
          <w:rFonts w:cs="Times New Roman"/>
          <w:bCs/>
          <w:color w:val="17365D"/>
        </w:rPr>
        <w:t xml:space="preserve"> </w:t>
      </w:r>
      <w:r w:rsidR="001E437B" w:rsidRPr="00A27896">
        <w:rPr>
          <w:rFonts w:cs="Times New Roman"/>
          <w:color w:val="17365D"/>
        </w:rPr>
        <w:t>35 305 881 </w:t>
      </w:r>
      <w:proofErr w:type="spellStart"/>
      <w:r w:rsidR="00DD4ABC" w:rsidRPr="00A27896">
        <w:rPr>
          <w:rFonts w:cs="Times New Roman"/>
          <w:bCs/>
          <w:i/>
          <w:color w:val="17365D"/>
        </w:rPr>
        <w:t>euro</w:t>
      </w:r>
      <w:proofErr w:type="spellEnd"/>
      <w:r w:rsidR="00DD4ABC" w:rsidRPr="00A27896">
        <w:rPr>
          <w:rFonts w:cs="Times New Roman"/>
          <w:bCs/>
          <w:i/>
          <w:color w:val="17365D"/>
        </w:rPr>
        <w:t xml:space="preserve"> </w:t>
      </w:r>
      <w:r w:rsidR="00DD4ABC" w:rsidRPr="00A27896">
        <w:rPr>
          <w:rFonts w:cs="Times New Roman"/>
          <w:bCs/>
          <w:color w:val="17365D"/>
        </w:rPr>
        <w:t xml:space="preserve">vērtībā saskaņā ar </w:t>
      </w:r>
      <w:r w:rsidR="00DD4ABC" w:rsidRPr="00A27896">
        <w:rPr>
          <w:rFonts w:cs="Times New Roman"/>
          <w:color w:val="17365D"/>
        </w:rPr>
        <w:t>1</w:t>
      </w:r>
      <w:r w:rsidR="00212DF3" w:rsidRPr="00A27896">
        <w:rPr>
          <w:rFonts w:cs="Times New Roman"/>
          <w:color w:val="17365D"/>
        </w:rPr>
        <w:t>0</w:t>
      </w:r>
      <w:r w:rsidR="00DD4ABC" w:rsidRPr="00A27896">
        <w:rPr>
          <w:rFonts w:cs="Times New Roman"/>
          <w:color w:val="17365D"/>
        </w:rPr>
        <w:t>. tabulā</w:t>
      </w:r>
      <w:r w:rsidR="00DD4ABC" w:rsidRPr="00A27896">
        <w:rPr>
          <w:rFonts w:cs="Times New Roman"/>
          <w:bCs/>
          <w:color w:val="17365D"/>
        </w:rPr>
        <w:t xml:space="preserve"> snie</w:t>
      </w:r>
      <w:r w:rsidR="005E780D" w:rsidRPr="00A27896">
        <w:rPr>
          <w:rFonts w:cs="Times New Roman"/>
          <w:bCs/>
          <w:color w:val="17365D"/>
        </w:rPr>
        <w:t>g</w:t>
      </w:r>
      <w:r w:rsidR="00DD4ABC" w:rsidRPr="00A27896">
        <w:rPr>
          <w:rFonts w:cs="Times New Roman"/>
          <w:bCs/>
          <w:color w:val="17365D"/>
        </w:rPr>
        <w:t>to informāciju:</w:t>
      </w:r>
    </w:p>
    <w:p w14:paraId="076E9321" w14:textId="5F282A8C" w:rsidR="00575D43" w:rsidRPr="00A27896" w:rsidRDefault="00DB1118" w:rsidP="00000A59">
      <w:pPr>
        <w:pStyle w:val="Tabulasnosaukums1"/>
        <w:spacing w:before="120" w:line="240" w:lineRule="auto"/>
        <w:ind w:right="-30" w:firstLine="284"/>
        <w:rPr>
          <w:rFonts w:cs="Times New Roman"/>
          <w:bCs/>
          <w:color w:val="17365D"/>
        </w:rPr>
      </w:pPr>
      <w:r w:rsidRPr="00A27896">
        <w:rPr>
          <w:rFonts w:cs="Times New Roman"/>
          <w:i/>
          <w:color w:val="17365D"/>
        </w:rPr>
        <w:t>1</w:t>
      </w:r>
      <w:r w:rsidR="00212DF3" w:rsidRPr="00A27896">
        <w:rPr>
          <w:rFonts w:cs="Times New Roman"/>
          <w:i/>
          <w:color w:val="17365D"/>
        </w:rPr>
        <w:t>0</w:t>
      </w:r>
      <w:r w:rsidRPr="00A27896">
        <w:rPr>
          <w:rFonts w:cs="Times New Roman"/>
          <w:i/>
          <w:color w:val="17365D"/>
        </w:rPr>
        <w:t xml:space="preserve">. tabula. </w:t>
      </w:r>
      <w:r w:rsidRPr="00A27896">
        <w:rPr>
          <w:rFonts w:cs="Times New Roman"/>
          <w:bCs/>
          <w:i/>
          <w:color w:val="17365D"/>
        </w:rPr>
        <w:t xml:space="preserve">Atsavināšanai paredzētie krājumi </w:t>
      </w:r>
      <w:r w:rsidRPr="00A27896">
        <w:rPr>
          <w:rFonts w:cs="Times New Roman"/>
          <w:i/>
          <w:color w:val="17365D"/>
        </w:rPr>
        <w:t>(</w:t>
      </w:r>
      <w:proofErr w:type="spellStart"/>
      <w:r w:rsidRPr="00A27896">
        <w:rPr>
          <w:rFonts w:cs="Times New Roman"/>
          <w:i/>
          <w:color w:val="17365D"/>
        </w:rPr>
        <w:t>euro</w:t>
      </w:r>
      <w:proofErr w:type="spellEnd"/>
      <w:r w:rsidRPr="00A27896">
        <w:rPr>
          <w:rFonts w:cs="Times New Roman"/>
          <w:i/>
          <w:color w:val="17365D"/>
        </w:rPr>
        <w:t>)</w:t>
      </w:r>
    </w:p>
    <w:tbl>
      <w:tblPr>
        <w:tblW w:w="5000" w:type="pct"/>
        <w:tblLook w:val="04A0" w:firstRow="1" w:lastRow="0" w:firstColumn="1" w:lastColumn="0" w:noHBand="0" w:noVBand="1"/>
      </w:tblPr>
      <w:tblGrid>
        <w:gridCol w:w="5426"/>
        <w:gridCol w:w="1964"/>
        <w:gridCol w:w="1964"/>
      </w:tblGrid>
      <w:tr w:rsidR="000C1009" w:rsidRPr="00A27896" w14:paraId="6AFE5E78" w14:textId="3D97ECE5" w:rsidTr="00581A8F">
        <w:trPr>
          <w:trHeight w:val="684"/>
          <w:tblHeader/>
        </w:trPr>
        <w:tc>
          <w:tcPr>
            <w:tcW w:w="2900" w:type="pct"/>
            <w:tcBorders>
              <w:bottom w:val="single" w:sz="4" w:space="0" w:color="17365D"/>
            </w:tcBorders>
            <w:shd w:val="clear" w:color="auto" w:fill="B9CDE5"/>
            <w:vAlign w:val="center"/>
            <w:hideMark/>
          </w:tcPr>
          <w:p w14:paraId="3024D071" w14:textId="57011AE4" w:rsidR="00CF5FD8" w:rsidRPr="00A27896" w:rsidRDefault="00CF5FD8" w:rsidP="00684DC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Aktīva veids</w:t>
            </w:r>
          </w:p>
        </w:tc>
        <w:tc>
          <w:tcPr>
            <w:tcW w:w="1050" w:type="pct"/>
            <w:tcBorders>
              <w:bottom w:val="single" w:sz="4" w:space="0" w:color="17365D"/>
            </w:tcBorders>
            <w:shd w:val="clear" w:color="auto" w:fill="B9CDE5"/>
            <w:vAlign w:val="center"/>
            <w:hideMark/>
          </w:tcPr>
          <w:p w14:paraId="023E0BEF" w14:textId="51E086FB" w:rsidR="00CF5FD8" w:rsidRPr="00A27896" w:rsidRDefault="00CF5FD8" w:rsidP="00B9337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Uzskaites (atlikusī) vērtība</w:t>
            </w:r>
          </w:p>
          <w:p w14:paraId="0BD46CBE" w14:textId="328DBAA5" w:rsidR="00CF5FD8" w:rsidRPr="00A27896" w:rsidRDefault="00CF5FD8" w:rsidP="00B9337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1050" w:type="pct"/>
            <w:tcBorders>
              <w:bottom w:val="single" w:sz="4" w:space="0" w:color="17365D"/>
            </w:tcBorders>
            <w:shd w:val="clear" w:color="auto" w:fill="B9CDE5"/>
            <w:vAlign w:val="center"/>
          </w:tcPr>
          <w:p w14:paraId="5F3DD0FD" w14:textId="77777777" w:rsidR="00CF5FD8" w:rsidRPr="00A27896" w:rsidRDefault="00CF5FD8" w:rsidP="00B9337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Uzskaites (atlikusī) vērtība</w:t>
            </w:r>
          </w:p>
          <w:p w14:paraId="0867F07A" w14:textId="54BE50D1" w:rsidR="00CF5FD8" w:rsidRPr="00A27896" w:rsidRDefault="00CF5FD8" w:rsidP="00B9337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r>
      <w:tr w:rsidR="000C1009" w:rsidRPr="00A27896" w14:paraId="26E491F4" w14:textId="16811F49" w:rsidTr="00EC6774">
        <w:trPr>
          <w:trHeight w:val="266"/>
        </w:trPr>
        <w:tc>
          <w:tcPr>
            <w:tcW w:w="2900" w:type="pct"/>
            <w:tcBorders>
              <w:top w:val="single" w:sz="4" w:space="0" w:color="17365D"/>
              <w:bottom w:val="single" w:sz="4" w:space="0" w:color="17365D"/>
            </w:tcBorders>
            <w:shd w:val="clear" w:color="auto" w:fill="auto"/>
            <w:vAlign w:val="center"/>
            <w:hideMark/>
          </w:tcPr>
          <w:p w14:paraId="3B7AFFC7" w14:textId="77777777" w:rsidR="00CF5FD8" w:rsidRPr="00A27896" w:rsidRDefault="00CF5FD8" w:rsidP="00684DC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1050" w:type="pct"/>
            <w:tcBorders>
              <w:top w:val="single" w:sz="4" w:space="0" w:color="17365D"/>
              <w:bottom w:val="single" w:sz="4" w:space="0" w:color="000000"/>
            </w:tcBorders>
            <w:shd w:val="clear" w:color="auto" w:fill="auto"/>
            <w:vAlign w:val="center"/>
            <w:hideMark/>
          </w:tcPr>
          <w:p w14:paraId="13CCC78F" w14:textId="77777777" w:rsidR="00CF5FD8" w:rsidRPr="00A27896" w:rsidRDefault="00CF5FD8" w:rsidP="00B9337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1050" w:type="pct"/>
            <w:tcBorders>
              <w:top w:val="single" w:sz="4" w:space="0" w:color="17365D"/>
              <w:bottom w:val="single" w:sz="4" w:space="0" w:color="17365D"/>
            </w:tcBorders>
            <w:vAlign w:val="center"/>
          </w:tcPr>
          <w:p w14:paraId="7299F860" w14:textId="1AC1D9F2" w:rsidR="00CF5FD8" w:rsidRPr="00A27896" w:rsidRDefault="00CF5FD8" w:rsidP="00B9337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r>
      <w:tr w:rsidR="00A27896" w:rsidRPr="00A27896" w14:paraId="66BCE5AD" w14:textId="77777777" w:rsidTr="00D55032">
        <w:trPr>
          <w:trHeight w:val="266"/>
        </w:trPr>
        <w:tc>
          <w:tcPr>
            <w:tcW w:w="2900" w:type="pct"/>
            <w:tcBorders>
              <w:top w:val="single" w:sz="4" w:space="0" w:color="17365D"/>
              <w:bottom w:val="single" w:sz="4" w:space="0" w:color="17365D"/>
            </w:tcBorders>
            <w:shd w:val="clear" w:color="auto" w:fill="auto"/>
            <w:vAlign w:val="center"/>
          </w:tcPr>
          <w:p w14:paraId="55116769" w14:textId="46B07ABC" w:rsidR="00EC6774" w:rsidRPr="00A27896" w:rsidRDefault="00EC6774" w:rsidP="00EC6774">
            <w:pPr>
              <w:spacing w:after="0"/>
              <w:rPr>
                <w:rFonts w:cs="Times New Roman"/>
                <w:color w:val="17365D"/>
                <w:sz w:val="18"/>
                <w:szCs w:val="18"/>
              </w:rPr>
            </w:pPr>
            <w:r w:rsidRPr="00A27896">
              <w:rPr>
                <w:rFonts w:cs="Times New Roman"/>
                <w:color w:val="17365D"/>
                <w:sz w:val="18"/>
                <w:szCs w:val="18"/>
              </w:rPr>
              <w:t>Nemateriālie ieguldījumi</w:t>
            </w:r>
          </w:p>
        </w:tc>
        <w:tc>
          <w:tcPr>
            <w:tcW w:w="1050" w:type="pct"/>
            <w:tcBorders>
              <w:top w:val="single" w:sz="4" w:space="0" w:color="000000"/>
              <w:bottom w:val="single" w:sz="4" w:space="0" w:color="000000"/>
            </w:tcBorders>
            <w:shd w:val="clear" w:color="auto" w:fill="auto"/>
            <w:vAlign w:val="center"/>
          </w:tcPr>
          <w:p w14:paraId="17B90CAD" w14:textId="1C9B4EE7" w:rsidR="00EC6774" w:rsidRPr="00A27896" w:rsidRDefault="00EC6774" w:rsidP="00EC6774">
            <w:pPr>
              <w:spacing w:after="0"/>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100 973</w:t>
            </w:r>
          </w:p>
        </w:tc>
        <w:tc>
          <w:tcPr>
            <w:tcW w:w="1050" w:type="pct"/>
            <w:tcBorders>
              <w:top w:val="single" w:sz="4" w:space="0" w:color="17365D"/>
              <w:left w:val="nil"/>
              <w:bottom w:val="single" w:sz="4" w:space="0" w:color="17365D"/>
            </w:tcBorders>
            <w:shd w:val="clear" w:color="auto" w:fill="auto"/>
            <w:vAlign w:val="center"/>
          </w:tcPr>
          <w:p w14:paraId="3128010C" w14:textId="6721FCCB" w:rsidR="00EC6774" w:rsidRPr="00A27896" w:rsidRDefault="00EC6774" w:rsidP="00EC6774">
            <w:pPr>
              <w:spacing w:after="0"/>
              <w:jc w:val="right"/>
              <w:rPr>
                <w:rFonts w:cs="Times New Roman"/>
                <w:color w:val="17365D"/>
                <w:sz w:val="18"/>
                <w:szCs w:val="18"/>
              </w:rPr>
            </w:pPr>
            <w:r w:rsidRPr="00A27896">
              <w:rPr>
                <w:rFonts w:eastAsia="Times New Roman" w:cs="Times New Roman"/>
                <w:color w:val="17365D"/>
                <w:sz w:val="18"/>
                <w:szCs w:val="18"/>
                <w:lang w:eastAsia="lv-LV"/>
              </w:rPr>
              <w:t>100 973</w:t>
            </w:r>
          </w:p>
        </w:tc>
      </w:tr>
      <w:tr w:rsidR="00A27896" w:rsidRPr="00A27896" w14:paraId="080F0B0A" w14:textId="17DA784F" w:rsidTr="00D55032">
        <w:trPr>
          <w:trHeight w:val="266"/>
        </w:trPr>
        <w:tc>
          <w:tcPr>
            <w:tcW w:w="2900" w:type="pct"/>
            <w:tcBorders>
              <w:top w:val="single" w:sz="4" w:space="0" w:color="17365D"/>
              <w:bottom w:val="single" w:sz="4" w:space="0" w:color="17365D"/>
            </w:tcBorders>
            <w:shd w:val="clear" w:color="auto" w:fill="auto"/>
            <w:vAlign w:val="center"/>
            <w:hideMark/>
          </w:tcPr>
          <w:p w14:paraId="29BFFC35" w14:textId="35765946" w:rsidR="00EC6774" w:rsidRPr="00A27896" w:rsidRDefault="00EC6774" w:rsidP="00EC6774">
            <w:pPr>
              <w:spacing w:after="0" w:line="240" w:lineRule="auto"/>
              <w:rPr>
                <w:rFonts w:cs="Times New Roman"/>
                <w:color w:val="17365D"/>
                <w:sz w:val="18"/>
                <w:szCs w:val="18"/>
              </w:rPr>
            </w:pPr>
            <w:r w:rsidRPr="00A27896">
              <w:rPr>
                <w:rFonts w:cs="Times New Roman"/>
                <w:color w:val="17365D"/>
                <w:sz w:val="18"/>
                <w:szCs w:val="18"/>
              </w:rPr>
              <w:t>Pamatlīdzekļi</w:t>
            </w:r>
          </w:p>
        </w:tc>
        <w:tc>
          <w:tcPr>
            <w:tcW w:w="1050" w:type="pct"/>
            <w:tcBorders>
              <w:top w:val="single" w:sz="4" w:space="0" w:color="000000"/>
              <w:bottom w:val="single" w:sz="4" w:space="0" w:color="000000"/>
            </w:tcBorders>
            <w:shd w:val="clear" w:color="auto" w:fill="auto"/>
            <w:noWrap/>
            <w:vAlign w:val="center"/>
            <w:hideMark/>
          </w:tcPr>
          <w:p w14:paraId="0EA33B40" w14:textId="54F4DB8A" w:rsidR="00EC6774" w:rsidRPr="00A27896" w:rsidRDefault="00EC6774" w:rsidP="00EC6774">
            <w:pPr>
              <w:spacing w:after="0"/>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16 625 642</w:t>
            </w:r>
          </w:p>
        </w:tc>
        <w:tc>
          <w:tcPr>
            <w:tcW w:w="1050" w:type="pct"/>
            <w:tcBorders>
              <w:top w:val="single" w:sz="4" w:space="0" w:color="17365D"/>
              <w:left w:val="nil"/>
              <w:bottom w:val="single" w:sz="4" w:space="0" w:color="17365D"/>
            </w:tcBorders>
            <w:shd w:val="clear" w:color="auto" w:fill="auto"/>
            <w:vAlign w:val="center"/>
          </w:tcPr>
          <w:p w14:paraId="334624E0" w14:textId="7FB980C6" w:rsidR="00EC6774" w:rsidRPr="00A27896" w:rsidRDefault="00EC6774" w:rsidP="00EC6774">
            <w:pPr>
              <w:spacing w:after="0"/>
              <w:jc w:val="right"/>
              <w:rPr>
                <w:rFonts w:cs="Times New Roman"/>
                <w:color w:val="17365D"/>
                <w:sz w:val="18"/>
                <w:szCs w:val="18"/>
              </w:rPr>
            </w:pPr>
            <w:r w:rsidRPr="00A27896">
              <w:rPr>
                <w:rFonts w:eastAsia="Times New Roman" w:cs="Times New Roman"/>
                <w:color w:val="17365D"/>
                <w:sz w:val="18"/>
                <w:szCs w:val="18"/>
                <w:lang w:eastAsia="lv-LV"/>
              </w:rPr>
              <w:t>26 725 507</w:t>
            </w:r>
          </w:p>
        </w:tc>
      </w:tr>
      <w:tr w:rsidR="00A27896" w:rsidRPr="00A27896" w14:paraId="4FD6156D" w14:textId="2501655E" w:rsidTr="00D55032">
        <w:trPr>
          <w:trHeight w:val="266"/>
        </w:trPr>
        <w:tc>
          <w:tcPr>
            <w:tcW w:w="2900" w:type="pct"/>
            <w:tcBorders>
              <w:top w:val="single" w:sz="4" w:space="0" w:color="17365D"/>
              <w:bottom w:val="single" w:sz="4" w:space="0" w:color="17365D"/>
            </w:tcBorders>
            <w:shd w:val="clear" w:color="auto" w:fill="auto"/>
            <w:vAlign w:val="center"/>
          </w:tcPr>
          <w:p w14:paraId="1005803E" w14:textId="2419EF48" w:rsidR="00EC6774" w:rsidRPr="00A27896" w:rsidRDefault="00EC6774" w:rsidP="00EC6774">
            <w:pPr>
              <w:spacing w:after="0" w:line="240" w:lineRule="auto"/>
              <w:rPr>
                <w:rFonts w:cs="Times New Roman"/>
                <w:color w:val="17365D"/>
                <w:sz w:val="18"/>
                <w:szCs w:val="18"/>
              </w:rPr>
            </w:pPr>
            <w:r w:rsidRPr="00A27896">
              <w:rPr>
                <w:rFonts w:cs="Times New Roman"/>
                <w:color w:val="17365D"/>
                <w:sz w:val="18"/>
                <w:szCs w:val="18"/>
              </w:rPr>
              <w:t>Bioloģiskie aktīvi</w:t>
            </w:r>
          </w:p>
        </w:tc>
        <w:tc>
          <w:tcPr>
            <w:tcW w:w="1050" w:type="pct"/>
            <w:tcBorders>
              <w:top w:val="single" w:sz="4" w:space="0" w:color="000000"/>
              <w:bottom w:val="single" w:sz="4" w:space="0" w:color="000000"/>
            </w:tcBorders>
            <w:shd w:val="clear" w:color="auto" w:fill="auto"/>
            <w:noWrap/>
            <w:vAlign w:val="center"/>
          </w:tcPr>
          <w:p w14:paraId="588CE34F" w14:textId="50AF30BD" w:rsidR="00EC6774" w:rsidRPr="00A27896" w:rsidRDefault="00EC6774" w:rsidP="00EC6774">
            <w:pPr>
              <w:spacing w:after="0"/>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109 736</w:t>
            </w:r>
          </w:p>
        </w:tc>
        <w:tc>
          <w:tcPr>
            <w:tcW w:w="1050" w:type="pct"/>
            <w:tcBorders>
              <w:top w:val="single" w:sz="4" w:space="0" w:color="17365D"/>
              <w:left w:val="nil"/>
              <w:bottom w:val="single" w:sz="4" w:space="0" w:color="17365D"/>
            </w:tcBorders>
            <w:shd w:val="clear" w:color="auto" w:fill="auto"/>
            <w:vAlign w:val="center"/>
          </w:tcPr>
          <w:p w14:paraId="419A7F45" w14:textId="0C201C04" w:rsidR="00EC6774" w:rsidRPr="00A27896" w:rsidRDefault="00EC6774" w:rsidP="00EC6774">
            <w:pPr>
              <w:spacing w:after="0"/>
              <w:jc w:val="right"/>
              <w:rPr>
                <w:rFonts w:cs="Times New Roman"/>
                <w:color w:val="17365D"/>
                <w:sz w:val="18"/>
                <w:szCs w:val="18"/>
              </w:rPr>
            </w:pPr>
            <w:r w:rsidRPr="00A27896">
              <w:rPr>
                <w:rFonts w:eastAsia="Times New Roman" w:cs="Times New Roman"/>
                <w:color w:val="17365D"/>
                <w:sz w:val="18"/>
                <w:szCs w:val="18"/>
                <w:lang w:eastAsia="lv-LV"/>
              </w:rPr>
              <w:t>94 113</w:t>
            </w:r>
          </w:p>
        </w:tc>
      </w:tr>
      <w:tr w:rsidR="00A27896" w:rsidRPr="00A27896" w14:paraId="11C45F04" w14:textId="5F1155C7" w:rsidTr="00D55032">
        <w:trPr>
          <w:trHeight w:val="266"/>
        </w:trPr>
        <w:tc>
          <w:tcPr>
            <w:tcW w:w="2900" w:type="pct"/>
            <w:tcBorders>
              <w:top w:val="single" w:sz="4" w:space="0" w:color="17365D"/>
              <w:bottom w:val="single" w:sz="4" w:space="0" w:color="17365D"/>
            </w:tcBorders>
            <w:shd w:val="clear" w:color="auto" w:fill="auto"/>
            <w:vAlign w:val="center"/>
          </w:tcPr>
          <w:p w14:paraId="3224B254" w14:textId="260C138E" w:rsidR="00EC6774" w:rsidRPr="00A27896" w:rsidRDefault="00EC6774" w:rsidP="00EC6774">
            <w:pPr>
              <w:spacing w:after="0" w:line="240" w:lineRule="auto"/>
              <w:rPr>
                <w:rFonts w:cs="Times New Roman"/>
                <w:color w:val="17365D"/>
                <w:sz w:val="18"/>
                <w:szCs w:val="18"/>
              </w:rPr>
            </w:pPr>
            <w:r w:rsidRPr="00A27896">
              <w:rPr>
                <w:rFonts w:cs="Times New Roman"/>
                <w:color w:val="17365D"/>
                <w:sz w:val="18"/>
                <w:szCs w:val="18"/>
              </w:rPr>
              <w:t>Ieguldījuma īpašumi</w:t>
            </w:r>
          </w:p>
        </w:tc>
        <w:tc>
          <w:tcPr>
            <w:tcW w:w="1050" w:type="pct"/>
            <w:tcBorders>
              <w:top w:val="single" w:sz="4" w:space="0" w:color="000000"/>
              <w:bottom w:val="single" w:sz="4" w:space="0" w:color="000000"/>
            </w:tcBorders>
            <w:shd w:val="clear" w:color="auto" w:fill="auto"/>
            <w:noWrap/>
            <w:vAlign w:val="center"/>
          </w:tcPr>
          <w:p w14:paraId="7DF86950" w14:textId="16C77E98" w:rsidR="00EC6774" w:rsidRPr="00A27896" w:rsidRDefault="00EC6774" w:rsidP="00EC6774">
            <w:pPr>
              <w:spacing w:after="0"/>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13 834 523</w:t>
            </w:r>
          </w:p>
        </w:tc>
        <w:tc>
          <w:tcPr>
            <w:tcW w:w="1050" w:type="pct"/>
            <w:tcBorders>
              <w:top w:val="single" w:sz="4" w:space="0" w:color="17365D"/>
              <w:left w:val="nil"/>
              <w:bottom w:val="single" w:sz="4" w:space="0" w:color="17365D"/>
            </w:tcBorders>
            <w:shd w:val="clear" w:color="auto" w:fill="auto"/>
            <w:vAlign w:val="center"/>
          </w:tcPr>
          <w:p w14:paraId="371499B9" w14:textId="04FB81F9" w:rsidR="00EC6774" w:rsidRPr="00A27896" w:rsidRDefault="00EC6774" w:rsidP="00EC6774">
            <w:pPr>
              <w:spacing w:after="0"/>
              <w:jc w:val="right"/>
              <w:rPr>
                <w:rFonts w:cs="Times New Roman"/>
                <w:color w:val="17365D"/>
                <w:sz w:val="18"/>
                <w:szCs w:val="18"/>
              </w:rPr>
            </w:pPr>
            <w:r w:rsidRPr="00A27896">
              <w:rPr>
                <w:rFonts w:eastAsia="Times New Roman" w:cs="Times New Roman"/>
                <w:color w:val="17365D"/>
                <w:sz w:val="18"/>
                <w:szCs w:val="18"/>
                <w:lang w:eastAsia="lv-LV"/>
              </w:rPr>
              <w:t>2 376 075</w:t>
            </w:r>
          </w:p>
        </w:tc>
      </w:tr>
      <w:tr w:rsidR="00A27896" w:rsidRPr="00A27896" w14:paraId="29686470" w14:textId="2C5A0D4C" w:rsidTr="00D55032">
        <w:trPr>
          <w:trHeight w:val="266"/>
        </w:trPr>
        <w:tc>
          <w:tcPr>
            <w:tcW w:w="2900" w:type="pct"/>
            <w:tcBorders>
              <w:top w:val="single" w:sz="4" w:space="0" w:color="17365D"/>
              <w:bottom w:val="single" w:sz="4" w:space="0" w:color="17365D"/>
            </w:tcBorders>
            <w:shd w:val="clear" w:color="auto" w:fill="auto"/>
            <w:vAlign w:val="center"/>
          </w:tcPr>
          <w:p w14:paraId="62B5EBB8" w14:textId="385703A1" w:rsidR="00EC6774" w:rsidRPr="00A27896" w:rsidRDefault="00EC6774" w:rsidP="00EC6774">
            <w:pPr>
              <w:spacing w:after="0" w:line="240" w:lineRule="auto"/>
              <w:rPr>
                <w:rFonts w:cs="Times New Roman"/>
                <w:color w:val="17365D"/>
                <w:sz w:val="18"/>
                <w:szCs w:val="18"/>
              </w:rPr>
            </w:pPr>
            <w:r w:rsidRPr="00A27896">
              <w:rPr>
                <w:rFonts w:cs="Times New Roman"/>
                <w:color w:val="17365D"/>
                <w:sz w:val="18"/>
                <w:szCs w:val="18"/>
              </w:rPr>
              <w:t>Krājumi</w:t>
            </w:r>
          </w:p>
        </w:tc>
        <w:tc>
          <w:tcPr>
            <w:tcW w:w="1050" w:type="pct"/>
            <w:tcBorders>
              <w:top w:val="single" w:sz="4" w:space="0" w:color="000000"/>
              <w:bottom w:val="single" w:sz="4" w:space="0" w:color="000000"/>
            </w:tcBorders>
            <w:shd w:val="clear" w:color="auto" w:fill="auto"/>
            <w:noWrap/>
            <w:vAlign w:val="center"/>
          </w:tcPr>
          <w:p w14:paraId="1DEAC1F9" w14:textId="6BE50F42" w:rsidR="00EC6774" w:rsidRPr="00A27896" w:rsidRDefault="00EC6774" w:rsidP="00EC6774">
            <w:pPr>
              <w:spacing w:after="0"/>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4 635 007</w:t>
            </w:r>
          </w:p>
        </w:tc>
        <w:tc>
          <w:tcPr>
            <w:tcW w:w="1050" w:type="pct"/>
            <w:tcBorders>
              <w:top w:val="single" w:sz="4" w:space="0" w:color="17365D"/>
              <w:left w:val="nil"/>
              <w:bottom w:val="single" w:sz="4" w:space="0" w:color="17365D"/>
            </w:tcBorders>
            <w:shd w:val="clear" w:color="auto" w:fill="auto"/>
            <w:vAlign w:val="center"/>
          </w:tcPr>
          <w:p w14:paraId="15BCF434" w14:textId="4249028E" w:rsidR="00EC6774" w:rsidRPr="00A27896" w:rsidRDefault="00EC6774" w:rsidP="00EC6774">
            <w:pPr>
              <w:spacing w:after="0"/>
              <w:jc w:val="right"/>
              <w:rPr>
                <w:rFonts w:cs="Times New Roman"/>
                <w:color w:val="17365D"/>
                <w:sz w:val="18"/>
                <w:szCs w:val="18"/>
              </w:rPr>
            </w:pPr>
            <w:r w:rsidRPr="00A27896">
              <w:rPr>
                <w:rFonts w:eastAsia="Times New Roman" w:cs="Times New Roman"/>
                <w:color w:val="17365D"/>
                <w:sz w:val="18"/>
                <w:szCs w:val="18"/>
                <w:lang w:eastAsia="lv-LV"/>
              </w:rPr>
              <w:t>9 553 858</w:t>
            </w:r>
          </w:p>
        </w:tc>
      </w:tr>
      <w:tr w:rsidR="00EC6774" w:rsidRPr="00A27896" w14:paraId="31136793" w14:textId="0CF12F55" w:rsidTr="00EC6774">
        <w:trPr>
          <w:trHeight w:val="56"/>
        </w:trPr>
        <w:tc>
          <w:tcPr>
            <w:tcW w:w="2900" w:type="pct"/>
            <w:tcBorders>
              <w:top w:val="single" w:sz="4" w:space="0" w:color="17365D"/>
            </w:tcBorders>
            <w:shd w:val="clear" w:color="auto" w:fill="B9CDE5"/>
            <w:vAlign w:val="center"/>
          </w:tcPr>
          <w:p w14:paraId="44272F7C" w14:textId="40FDDBE1" w:rsidR="00EC6774" w:rsidRPr="00A27896" w:rsidRDefault="00EC6774" w:rsidP="00EC6774">
            <w:pPr>
              <w:spacing w:after="0"/>
              <w:rPr>
                <w:rFonts w:eastAsia="Times New Roman" w:cs="Times New Roman"/>
                <w:b/>
                <w:color w:val="17365D"/>
                <w:sz w:val="16"/>
                <w:szCs w:val="18"/>
                <w:lang w:eastAsia="lv-LV"/>
              </w:rPr>
            </w:pPr>
            <w:r w:rsidRPr="00A27896">
              <w:rPr>
                <w:rFonts w:cs="Times New Roman"/>
                <w:b/>
                <w:color w:val="17365D"/>
                <w:sz w:val="18"/>
                <w:szCs w:val="18"/>
              </w:rPr>
              <w:t>Kopā</w:t>
            </w:r>
          </w:p>
        </w:tc>
        <w:tc>
          <w:tcPr>
            <w:tcW w:w="1050" w:type="pct"/>
            <w:tcBorders>
              <w:top w:val="single" w:sz="4" w:space="0" w:color="000000"/>
            </w:tcBorders>
            <w:shd w:val="clear" w:color="auto" w:fill="B8CCE4" w:themeFill="accent1" w:themeFillTint="66"/>
            <w:noWrap/>
            <w:vAlign w:val="bottom"/>
          </w:tcPr>
          <w:p w14:paraId="23DD16B0" w14:textId="5B8758B3" w:rsidR="00EC6774" w:rsidRPr="00A27896" w:rsidRDefault="00EC6774" w:rsidP="00EC6774">
            <w:pPr>
              <w:spacing w:after="0"/>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35 305 881</w:t>
            </w:r>
          </w:p>
        </w:tc>
        <w:tc>
          <w:tcPr>
            <w:tcW w:w="1050" w:type="pct"/>
            <w:tcBorders>
              <w:top w:val="single" w:sz="4" w:space="0" w:color="17365D"/>
              <w:left w:val="nil"/>
            </w:tcBorders>
            <w:shd w:val="clear" w:color="auto" w:fill="B8CCE4" w:themeFill="accent1" w:themeFillTint="66"/>
            <w:vAlign w:val="center"/>
          </w:tcPr>
          <w:p w14:paraId="1BB18B73" w14:textId="7413BA59" w:rsidR="00EC6774" w:rsidRPr="00A27896" w:rsidRDefault="00EC6774" w:rsidP="00EC6774">
            <w:pPr>
              <w:spacing w:after="0"/>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38 850 526</w:t>
            </w:r>
          </w:p>
        </w:tc>
      </w:tr>
    </w:tbl>
    <w:p w14:paraId="71FFF4C0" w14:textId="0A380ED2" w:rsidR="00637EA7" w:rsidRPr="00A27896" w:rsidRDefault="00B657DC" w:rsidP="00C652D1">
      <w:pPr>
        <w:spacing w:before="240" w:after="120" w:line="240" w:lineRule="auto"/>
        <w:ind w:firstLine="567"/>
        <w:jc w:val="both"/>
        <w:rPr>
          <w:rFonts w:cs="Times New Roman"/>
          <w:bCs/>
          <w:color w:val="17365D"/>
        </w:rPr>
      </w:pPr>
      <w:r w:rsidRPr="00A27896">
        <w:rPr>
          <w:rFonts w:cs="Times New Roman"/>
          <w:bCs/>
          <w:color w:val="17365D"/>
        </w:rPr>
        <w:lastRenderedPageBreak/>
        <w:t xml:space="preserve">Vērtības samazinājums krājumiem un avansa maksājumiem par krājumiem būtiski neietekmē posteņa vērtību. Vērtības samazinājums </w:t>
      </w:r>
      <w:r w:rsidR="00662AB4" w:rsidRPr="00A27896">
        <w:rPr>
          <w:rFonts w:cs="Times New Roman"/>
          <w:bCs/>
          <w:color w:val="17365D"/>
        </w:rPr>
        <w:t xml:space="preserve">avansa maksājumiem par </w:t>
      </w:r>
      <w:r w:rsidRPr="00A27896">
        <w:rPr>
          <w:rFonts w:cs="Times New Roman"/>
          <w:bCs/>
          <w:color w:val="17365D"/>
        </w:rPr>
        <w:t xml:space="preserve">krājumiem </w:t>
      </w:r>
      <w:r w:rsidR="00662AB4" w:rsidRPr="00A27896">
        <w:rPr>
          <w:rFonts w:cs="Times New Roman"/>
          <w:bCs/>
          <w:color w:val="17365D"/>
        </w:rPr>
        <w:t xml:space="preserve">galvenokārt veidots </w:t>
      </w:r>
      <w:r w:rsidR="00EC6774" w:rsidRPr="00A27896">
        <w:rPr>
          <w:rFonts w:cs="Times New Roman"/>
          <w:bCs/>
          <w:color w:val="17365D"/>
        </w:rPr>
        <w:t>atbilstoši izpildes termiņa kavējuma dienām</w:t>
      </w:r>
      <w:r w:rsidR="00662AB4" w:rsidRPr="00A27896">
        <w:rPr>
          <w:rFonts w:cs="Times New Roman"/>
          <w:bCs/>
          <w:color w:val="17365D"/>
        </w:rPr>
        <w:t>.</w:t>
      </w:r>
    </w:p>
    <w:p w14:paraId="07A3BC26" w14:textId="06E854C7" w:rsidR="00D41F06" w:rsidRPr="00A27896" w:rsidRDefault="009D537C" w:rsidP="005A3758">
      <w:pPr>
        <w:pStyle w:val="Heading4"/>
        <w:rPr>
          <w:rFonts w:cs="Times New Roman"/>
        </w:rPr>
      </w:pPr>
      <w:r w:rsidRPr="00A27896">
        <w:rPr>
          <w:rFonts w:cs="Times New Roman"/>
        </w:rPr>
        <w:t xml:space="preserve">Piezīme Nr. </w:t>
      </w:r>
      <w:r w:rsidR="00D41F06" w:rsidRPr="00A27896">
        <w:rPr>
          <w:rFonts w:cs="Times New Roman"/>
        </w:rPr>
        <w:t>KB.</w:t>
      </w:r>
      <w:r w:rsidR="00F73CE6" w:rsidRPr="00A27896">
        <w:rPr>
          <w:rFonts w:cs="Times New Roman"/>
        </w:rPr>
        <w:t>2.3</w:t>
      </w:r>
      <w:r w:rsidR="00D41F06" w:rsidRPr="00A27896">
        <w:rPr>
          <w:rFonts w:cs="Times New Roman"/>
        </w:rPr>
        <w:t xml:space="preserve">. </w:t>
      </w:r>
      <w:r w:rsidR="0003117E" w:rsidRPr="00A27896">
        <w:rPr>
          <w:rFonts w:cs="Times New Roman"/>
        </w:rPr>
        <w:t>Īstermiņa prasības</w:t>
      </w:r>
    </w:p>
    <w:p w14:paraId="2F75B63A" w14:textId="2AB455D0" w:rsidR="00B84FF3" w:rsidRPr="00A27896" w:rsidRDefault="00DB1118" w:rsidP="00775C62">
      <w:pPr>
        <w:pStyle w:val="Tabulasnosaukums1"/>
        <w:spacing w:before="0" w:line="240" w:lineRule="auto"/>
        <w:rPr>
          <w:rFonts w:cs="Times New Roman"/>
          <w:i/>
          <w:color w:val="17365D"/>
        </w:rPr>
      </w:pPr>
      <w:r w:rsidRPr="00A27896">
        <w:rPr>
          <w:rFonts w:cs="Times New Roman"/>
          <w:i/>
          <w:color w:val="17365D"/>
        </w:rPr>
        <w:t>1</w:t>
      </w:r>
      <w:r w:rsidR="00241FC4" w:rsidRPr="00A27896">
        <w:rPr>
          <w:rFonts w:cs="Times New Roman"/>
          <w:i/>
          <w:color w:val="17365D"/>
        </w:rPr>
        <w:t>1</w:t>
      </w:r>
      <w:r w:rsidR="00B84FF3" w:rsidRPr="00A27896">
        <w:rPr>
          <w:rFonts w:cs="Times New Roman"/>
          <w:i/>
          <w:color w:val="17365D"/>
        </w:rPr>
        <w:t xml:space="preserve">. tabula. </w:t>
      </w:r>
      <w:r w:rsidR="0003117E" w:rsidRPr="00A27896">
        <w:rPr>
          <w:rFonts w:cs="Times New Roman"/>
          <w:i/>
          <w:iCs/>
          <w:color w:val="17365D"/>
        </w:rPr>
        <w:t>Īstermiņa prasības</w:t>
      </w:r>
      <w:r w:rsidR="0003117E" w:rsidRPr="00A27896">
        <w:rPr>
          <w:rFonts w:cs="Times New Roman"/>
          <w:i/>
          <w:color w:val="17365D"/>
        </w:rPr>
        <w:t xml:space="preserve"> </w:t>
      </w:r>
      <w:r w:rsidR="00B84FF3" w:rsidRPr="00A27896">
        <w:rPr>
          <w:rFonts w:cs="Times New Roman"/>
          <w:i/>
          <w:color w:val="17365D"/>
        </w:rPr>
        <w:t>(</w:t>
      </w:r>
      <w:proofErr w:type="spellStart"/>
      <w:r w:rsidR="00B84FF3" w:rsidRPr="00A27896">
        <w:rPr>
          <w:rFonts w:cs="Times New Roman"/>
          <w:i/>
          <w:color w:val="17365D"/>
        </w:rPr>
        <w:t>euro</w:t>
      </w:r>
      <w:proofErr w:type="spellEnd"/>
      <w:r w:rsidR="00B84FF3" w:rsidRPr="00A27896">
        <w:rPr>
          <w:rFonts w:cs="Times New Roman"/>
          <w:i/>
          <w:color w:val="17365D"/>
        </w:rPr>
        <w:t>)</w:t>
      </w:r>
    </w:p>
    <w:tbl>
      <w:tblPr>
        <w:tblW w:w="5000" w:type="pct"/>
        <w:tblLayout w:type="fixed"/>
        <w:tblLook w:val="04A0" w:firstRow="1" w:lastRow="0" w:firstColumn="1" w:lastColumn="0" w:noHBand="0" w:noVBand="1"/>
      </w:tblPr>
      <w:tblGrid>
        <w:gridCol w:w="1992"/>
        <w:gridCol w:w="1560"/>
        <w:gridCol w:w="1416"/>
        <w:gridCol w:w="1702"/>
        <w:gridCol w:w="1416"/>
        <w:gridCol w:w="1268"/>
      </w:tblGrid>
      <w:tr w:rsidR="000C1009" w:rsidRPr="00A27896" w14:paraId="3099555C" w14:textId="77777777" w:rsidTr="00AB0896">
        <w:trPr>
          <w:trHeight w:val="684"/>
          <w:tblHeader/>
        </w:trPr>
        <w:tc>
          <w:tcPr>
            <w:tcW w:w="1064" w:type="pct"/>
            <w:tcBorders>
              <w:bottom w:val="single" w:sz="4" w:space="0" w:color="17365D"/>
            </w:tcBorders>
            <w:shd w:val="clear" w:color="auto" w:fill="B9CDE5"/>
            <w:vAlign w:val="center"/>
            <w:hideMark/>
          </w:tcPr>
          <w:p w14:paraId="4518F3DC" w14:textId="77777777" w:rsidR="00E138F1" w:rsidRPr="00A27896" w:rsidRDefault="00E138F1" w:rsidP="00792AE6">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834" w:type="pct"/>
            <w:tcBorders>
              <w:bottom w:val="single" w:sz="4" w:space="0" w:color="17365D"/>
            </w:tcBorders>
            <w:shd w:val="clear" w:color="auto" w:fill="B9CDE5"/>
            <w:vAlign w:val="center"/>
            <w:hideMark/>
          </w:tcPr>
          <w:p w14:paraId="69501DB4" w14:textId="77777777" w:rsidR="00E138F1" w:rsidRPr="00A27896" w:rsidRDefault="00E138F1" w:rsidP="00792AE6">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757" w:type="pct"/>
            <w:tcBorders>
              <w:bottom w:val="single" w:sz="4" w:space="0" w:color="17365D"/>
            </w:tcBorders>
            <w:shd w:val="clear" w:color="auto" w:fill="B9CDE5"/>
            <w:vAlign w:val="center"/>
            <w:hideMark/>
          </w:tcPr>
          <w:p w14:paraId="419079FA" w14:textId="77777777" w:rsidR="00E138F1" w:rsidRPr="00A27896" w:rsidRDefault="00E138F1" w:rsidP="00792AE6">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910" w:type="pct"/>
            <w:tcBorders>
              <w:bottom w:val="single" w:sz="4" w:space="0" w:color="17365D"/>
            </w:tcBorders>
            <w:shd w:val="clear" w:color="auto" w:fill="B9CDE5"/>
            <w:vAlign w:val="center"/>
            <w:hideMark/>
          </w:tcPr>
          <w:p w14:paraId="5EA441C3" w14:textId="77777777" w:rsidR="00E138F1" w:rsidRPr="00A27896" w:rsidRDefault="00E138F1" w:rsidP="00792AE6">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757" w:type="pct"/>
            <w:tcBorders>
              <w:bottom w:val="single" w:sz="4" w:space="0" w:color="17365D"/>
            </w:tcBorders>
            <w:shd w:val="clear" w:color="auto" w:fill="B9CDE5"/>
            <w:vAlign w:val="center"/>
            <w:hideMark/>
          </w:tcPr>
          <w:p w14:paraId="5E7BBCCA" w14:textId="4487C8CD" w:rsidR="00E138F1" w:rsidRPr="00A27896" w:rsidRDefault="00E138F1" w:rsidP="00792AE6">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 </w:t>
            </w:r>
            <w:r w:rsidRPr="00A27896">
              <w:rPr>
                <w:rFonts w:eastAsia="Times New Roman" w:cs="Times New Roman"/>
                <w:b/>
                <w:color w:val="17365D"/>
                <w:sz w:val="18"/>
                <w:szCs w:val="18"/>
                <w:lang w:eastAsia="lv-LV"/>
              </w:rPr>
              <w:t>)</w:t>
            </w:r>
          </w:p>
        </w:tc>
        <w:tc>
          <w:tcPr>
            <w:tcW w:w="679" w:type="pct"/>
            <w:tcBorders>
              <w:bottom w:val="single" w:sz="4" w:space="0" w:color="17365D"/>
            </w:tcBorders>
            <w:shd w:val="clear" w:color="auto" w:fill="B9CDE5"/>
            <w:vAlign w:val="center"/>
            <w:hideMark/>
          </w:tcPr>
          <w:p w14:paraId="4C068140" w14:textId="77777777" w:rsidR="00E138F1" w:rsidRPr="00A27896" w:rsidRDefault="00E138F1" w:rsidP="00792AE6">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511013B4" w14:textId="77777777" w:rsidTr="00AB0896">
        <w:trPr>
          <w:trHeight w:val="240"/>
        </w:trPr>
        <w:tc>
          <w:tcPr>
            <w:tcW w:w="1064" w:type="pct"/>
            <w:tcBorders>
              <w:top w:val="single" w:sz="4" w:space="0" w:color="17365D"/>
              <w:bottom w:val="single" w:sz="4" w:space="0" w:color="17365D"/>
            </w:tcBorders>
            <w:shd w:val="clear" w:color="auto" w:fill="auto"/>
            <w:vAlign w:val="center"/>
            <w:hideMark/>
          </w:tcPr>
          <w:p w14:paraId="056C6D7D" w14:textId="77777777" w:rsidR="00E138F1" w:rsidRPr="00A27896" w:rsidRDefault="00E138F1" w:rsidP="00792AE6">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834" w:type="pct"/>
            <w:tcBorders>
              <w:top w:val="single" w:sz="4" w:space="0" w:color="17365D"/>
              <w:bottom w:val="single" w:sz="4" w:space="0" w:color="17365D"/>
            </w:tcBorders>
            <w:shd w:val="clear" w:color="auto" w:fill="auto"/>
            <w:vAlign w:val="center"/>
            <w:hideMark/>
          </w:tcPr>
          <w:p w14:paraId="2BB0F754" w14:textId="77777777" w:rsidR="00E138F1" w:rsidRPr="00A27896" w:rsidRDefault="00E138F1" w:rsidP="00792AE6">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57" w:type="pct"/>
            <w:tcBorders>
              <w:top w:val="single" w:sz="4" w:space="0" w:color="17365D"/>
              <w:bottom w:val="single" w:sz="4" w:space="0" w:color="17365D"/>
            </w:tcBorders>
            <w:shd w:val="clear" w:color="auto" w:fill="auto"/>
            <w:vAlign w:val="center"/>
            <w:hideMark/>
          </w:tcPr>
          <w:p w14:paraId="3F0D1DB8" w14:textId="77777777" w:rsidR="00E138F1" w:rsidRPr="00A27896" w:rsidRDefault="00E138F1" w:rsidP="00792AE6">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910" w:type="pct"/>
            <w:tcBorders>
              <w:top w:val="single" w:sz="4" w:space="0" w:color="17365D"/>
              <w:bottom w:val="single" w:sz="4" w:space="0" w:color="17365D"/>
            </w:tcBorders>
            <w:shd w:val="clear" w:color="auto" w:fill="auto"/>
            <w:vAlign w:val="center"/>
            <w:hideMark/>
          </w:tcPr>
          <w:p w14:paraId="7539EB44" w14:textId="77777777" w:rsidR="00E138F1" w:rsidRPr="00A27896" w:rsidRDefault="00E138F1" w:rsidP="00792AE6">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757" w:type="pct"/>
            <w:tcBorders>
              <w:top w:val="single" w:sz="4" w:space="0" w:color="17365D"/>
              <w:bottom w:val="single" w:sz="4" w:space="0" w:color="17365D"/>
            </w:tcBorders>
            <w:shd w:val="clear" w:color="auto" w:fill="auto"/>
            <w:vAlign w:val="center"/>
            <w:hideMark/>
          </w:tcPr>
          <w:p w14:paraId="4A037E39" w14:textId="77777777" w:rsidR="00E138F1" w:rsidRPr="00A27896" w:rsidRDefault="00E138F1" w:rsidP="00792AE6">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79" w:type="pct"/>
            <w:tcBorders>
              <w:top w:val="single" w:sz="4" w:space="0" w:color="17365D"/>
              <w:bottom w:val="single" w:sz="4" w:space="0" w:color="17365D"/>
            </w:tcBorders>
            <w:shd w:val="clear" w:color="auto" w:fill="auto"/>
            <w:vAlign w:val="center"/>
            <w:hideMark/>
          </w:tcPr>
          <w:p w14:paraId="030E278E" w14:textId="77777777" w:rsidR="00E138F1" w:rsidRPr="00A27896" w:rsidRDefault="00E138F1" w:rsidP="00792AE6">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AB0896" w:rsidRPr="00A27896" w14:paraId="1747B214" w14:textId="77777777" w:rsidTr="009712FE">
        <w:trPr>
          <w:trHeight w:val="335"/>
        </w:trPr>
        <w:tc>
          <w:tcPr>
            <w:tcW w:w="1064" w:type="pct"/>
            <w:tcBorders>
              <w:top w:val="single" w:sz="4" w:space="0" w:color="17365D"/>
              <w:bottom w:val="single" w:sz="4" w:space="0" w:color="17365D"/>
            </w:tcBorders>
            <w:shd w:val="clear" w:color="auto" w:fill="auto"/>
            <w:vAlign w:val="center"/>
            <w:hideMark/>
          </w:tcPr>
          <w:p w14:paraId="70D0C52B" w14:textId="7FBD5BF7" w:rsidR="00AB0896" w:rsidRPr="00A27896" w:rsidRDefault="00AB0896" w:rsidP="00AB0896">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Īstermiņa prasības</w:t>
            </w:r>
          </w:p>
        </w:tc>
        <w:tc>
          <w:tcPr>
            <w:tcW w:w="834" w:type="pct"/>
            <w:tcBorders>
              <w:top w:val="single" w:sz="4" w:space="0" w:color="17365D"/>
              <w:bottom w:val="single" w:sz="4" w:space="0" w:color="17365D"/>
            </w:tcBorders>
            <w:shd w:val="clear" w:color="auto" w:fill="auto"/>
            <w:vAlign w:val="center"/>
            <w:hideMark/>
          </w:tcPr>
          <w:p w14:paraId="1428FF3B" w14:textId="58293603" w:rsidR="00AB0896" w:rsidRPr="00A27896" w:rsidRDefault="00AB0896" w:rsidP="00AB0896">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KB.2.3.</w:t>
            </w:r>
          </w:p>
        </w:tc>
        <w:tc>
          <w:tcPr>
            <w:tcW w:w="757" w:type="pct"/>
            <w:tcBorders>
              <w:top w:val="single" w:sz="4" w:space="0" w:color="17365D"/>
              <w:bottom w:val="single" w:sz="4" w:space="0" w:color="17365D"/>
            </w:tcBorders>
            <w:shd w:val="clear" w:color="auto" w:fill="auto"/>
            <w:noWrap/>
            <w:vAlign w:val="center"/>
            <w:hideMark/>
          </w:tcPr>
          <w:p w14:paraId="03D4309C" w14:textId="291AA1C7" w:rsidR="00AB0896" w:rsidRPr="00AB0896" w:rsidRDefault="00AB0896" w:rsidP="00AB0896">
            <w:pPr>
              <w:spacing w:after="0" w:line="240" w:lineRule="auto"/>
              <w:jc w:val="right"/>
              <w:rPr>
                <w:rFonts w:eastAsia="Times New Roman" w:cs="Times New Roman"/>
                <w:b/>
                <w:color w:val="17365D"/>
                <w:sz w:val="18"/>
                <w:szCs w:val="18"/>
                <w:lang w:eastAsia="lv-LV"/>
              </w:rPr>
            </w:pPr>
            <w:r w:rsidRPr="009712FE">
              <w:rPr>
                <w:rFonts w:eastAsia="Times New Roman" w:cs="Times New Roman"/>
                <w:b/>
                <w:color w:val="17365D"/>
                <w:sz w:val="18"/>
                <w:szCs w:val="18"/>
                <w:lang w:eastAsia="lv-LV"/>
              </w:rPr>
              <w:t>2 216 736 289</w:t>
            </w:r>
          </w:p>
        </w:tc>
        <w:tc>
          <w:tcPr>
            <w:tcW w:w="910" w:type="pct"/>
            <w:tcBorders>
              <w:top w:val="single" w:sz="4" w:space="0" w:color="17365D"/>
              <w:bottom w:val="single" w:sz="4" w:space="0" w:color="17365D"/>
            </w:tcBorders>
            <w:shd w:val="clear" w:color="auto" w:fill="auto"/>
            <w:noWrap/>
            <w:vAlign w:val="center"/>
            <w:hideMark/>
          </w:tcPr>
          <w:p w14:paraId="7E5990A8" w14:textId="7DBD16FF" w:rsidR="00AB0896" w:rsidRPr="00AB0896" w:rsidRDefault="00AB0896" w:rsidP="00AB0896">
            <w:pPr>
              <w:spacing w:after="0" w:line="240" w:lineRule="auto"/>
              <w:jc w:val="right"/>
              <w:rPr>
                <w:rFonts w:eastAsia="Times New Roman" w:cs="Times New Roman"/>
                <w:b/>
                <w:color w:val="17365D"/>
                <w:sz w:val="18"/>
                <w:szCs w:val="18"/>
                <w:lang w:eastAsia="lv-LV"/>
              </w:rPr>
            </w:pPr>
            <w:r w:rsidRPr="009712FE">
              <w:rPr>
                <w:rFonts w:eastAsia="Times New Roman" w:cs="Times New Roman"/>
                <w:b/>
                <w:color w:val="17365D"/>
                <w:sz w:val="18"/>
                <w:szCs w:val="18"/>
                <w:lang w:eastAsia="lv-LV"/>
              </w:rPr>
              <w:t>1 569 395 163</w:t>
            </w:r>
          </w:p>
        </w:tc>
        <w:tc>
          <w:tcPr>
            <w:tcW w:w="757" w:type="pct"/>
            <w:tcBorders>
              <w:top w:val="single" w:sz="4" w:space="0" w:color="17365D"/>
              <w:bottom w:val="single" w:sz="4" w:space="0" w:color="17365D"/>
            </w:tcBorders>
            <w:shd w:val="clear" w:color="auto" w:fill="auto"/>
            <w:noWrap/>
            <w:vAlign w:val="center"/>
            <w:hideMark/>
          </w:tcPr>
          <w:p w14:paraId="4D0F81E1" w14:textId="5A282E52" w:rsidR="00AB0896" w:rsidRPr="00AB0896" w:rsidRDefault="00AB0896" w:rsidP="00AB0896">
            <w:pPr>
              <w:spacing w:after="0" w:line="240" w:lineRule="auto"/>
              <w:jc w:val="right"/>
              <w:rPr>
                <w:rFonts w:eastAsia="Times New Roman" w:cs="Times New Roman"/>
                <w:b/>
                <w:color w:val="17365D"/>
                <w:sz w:val="18"/>
                <w:szCs w:val="18"/>
                <w:lang w:eastAsia="lv-LV"/>
              </w:rPr>
            </w:pPr>
            <w:r w:rsidRPr="009712FE">
              <w:rPr>
                <w:rFonts w:eastAsia="Times New Roman" w:cs="Times New Roman"/>
                <w:b/>
                <w:color w:val="17365D"/>
                <w:sz w:val="18"/>
                <w:szCs w:val="18"/>
                <w:lang w:eastAsia="lv-LV"/>
              </w:rPr>
              <w:t>647</w:t>
            </w:r>
            <w:r w:rsidR="00681C0E">
              <w:rPr>
                <w:rFonts w:eastAsia="Times New Roman" w:cs="Times New Roman"/>
                <w:b/>
                <w:color w:val="17365D"/>
                <w:sz w:val="18"/>
                <w:szCs w:val="18"/>
                <w:lang w:eastAsia="lv-LV"/>
              </w:rPr>
              <w:t> </w:t>
            </w:r>
            <w:r w:rsidRPr="009712FE">
              <w:rPr>
                <w:rFonts w:eastAsia="Times New Roman" w:cs="Times New Roman"/>
                <w:b/>
                <w:color w:val="17365D"/>
                <w:sz w:val="18"/>
                <w:szCs w:val="18"/>
                <w:lang w:eastAsia="lv-LV"/>
              </w:rPr>
              <w:t>341</w:t>
            </w:r>
            <w:r w:rsidR="00681C0E">
              <w:rPr>
                <w:rFonts w:eastAsia="Times New Roman" w:cs="Times New Roman"/>
                <w:b/>
                <w:color w:val="17365D"/>
                <w:sz w:val="18"/>
                <w:szCs w:val="18"/>
                <w:lang w:eastAsia="lv-LV"/>
              </w:rPr>
              <w:t> </w:t>
            </w:r>
            <w:r w:rsidRPr="009712FE">
              <w:rPr>
                <w:rFonts w:eastAsia="Times New Roman" w:cs="Times New Roman"/>
                <w:b/>
                <w:color w:val="17365D"/>
                <w:sz w:val="18"/>
                <w:szCs w:val="18"/>
                <w:lang w:eastAsia="lv-LV"/>
              </w:rPr>
              <w:t>126</w:t>
            </w:r>
          </w:p>
        </w:tc>
        <w:tc>
          <w:tcPr>
            <w:tcW w:w="679" w:type="pct"/>
            <w:tcBorders>
              <w:top w:val="single" w:sz="4" w:space="0" w:color="17365D"/>
              <w:bottom w:val="single" w:sz="4" w:space="0" w:color="17365D"/>
              <w:right w:val="nil"/>
            </w:tcBorders>
            <w:shd w:val="clear" w:color="auto" w:fill="auto"/>
            <w:noWrap/>
            <w:vAlign w:val="center"/>
            <w:hideMark/>
          </w:tcPr>
          <w:p w14:paraId="66F67086" w14:textId="5285D907" w:rsidR="00AB0896" w:rsidRPr="00AB0896" w:rsidRDefault="00AB0896" w:rsidP="00681C0E">
            <w:pPr>
              <w:spacing w:after="0" w:line="240" w:lineRule="auto"/>
              <w:jc w:val="right"/>
              <w:rPr>
                <w:rFonts w:eastAsia="Times New Roman" w:cs="Times New Roman"/>
                <w:b/>
                <w:color w:val="17365D"/>
                <w:sz w:val="18"/>
                <w:szCs w:val="18"/>
                <w:lang w:eastAsia="lv-LV"/>
              </w:rPr>
            </w:pPr>
            <w:r w:rsidRPr="009712FE">
              <w:rPr>
                <w:rFonts w:eastAsia="Times New Roman" w:cs="Times New Roman"/>
                <w:b/>
                <w:color w:val="17365D"/>
                <w:sz w:val="18"/>
                <w:szCs w:val="18"/>
                <w:lang w:eastAsia="lv-LV"/>
              </w:rPr>
              <w:t>41.25</w:t>
            </w:r>
          </w:p>
        </w:tc>
      </w:tr>
      <w:tr w:rsidR="000C1009" w:rsidRPr="00A27896" w14:paraId="7336863E" w14:textId="77777777" w:rsidTr="00AB0896">
        <w:trPr>
          <w:trHeight w:val="56"/>
        </w:trPr>
        <w:tc>
          <w:tcPr>
            <w:tcW w:w="1064" w:type="pct"/>
            <w:tcBorders>
              <w:top w:val="single" w:sz="4" w:space="0" w:color="17365D"/>
            </w:tcBorders>
            <w:shd w:val="clear" w:color="auto" w:fill="B9CDE5"/>
            <w:vAlign w:val="center"/>
          </w:tcPr>
          <w:p w14:paraId="3487643C" w14:textId="77777777" w:rsidR="00E138F1" w:rsidRPr="00A27896" w:rsidRDefault="00E138F1" w:rsidP="00792AE6">
            <w:pPr>
              <w:spacing w:after="0"/>
              <w:rPr>
                <w:rFonts w:eastAsia="Times New Roman" w:cs="Times New Roman"/>
                <w:color w:val="17365D"/>
                <w:sz w:val="16"/>
                <w:szCs w:val="18"/>
                <w:lang w:eastAsia="lv-LV"/>
              </w:rPr>
            </w:pPr>
          </w:p>
        </w:tc>
        <w:tc>
          <w:tcPr>
            <w:tcW w:w="834" w:type="pct"/>
            <w:tcBorders>
              <w:top w:val="single" w:sz="4" w:space="0" w:color="17365D"/>
            </w:tcBorders>
            <w:shd w:val="clear" w:color="auto" w:fill="B9CDE5"/>
            <w:noWrap/>
            <w:vAlign w:val="center"/>
          </w:tcPr>
          <w:p w14:paraId="491D29C3" w14:textId="77777777" w:rsidR="00E138F1" w:rsidRPr="00A27896" w:rsidRDefault="00E138F1" w:rsidP="00792AE6">
            <w:pPr>
              <w:spacing w:after="0"/>
              <w:jc w:val="center"/>
              <w:rPr>
                <w:rFonts w:eastAsia="Times New Roman" w:cs="Times New Roman"/>
                <w:color w:val="17365D"/>
                <w:sz w:val="18"/>
                <w:szCs w:val="18"/>
                <w:lang w:eastAsia="lv-LV"/>
              </w:rPr>
            </w:pPr>
          </w:p>
        </w:tc>
        <w:tc>
          <w:tcPr>
            <w:tcW w:w="757" w:type="pct"/>
            <w:tcBorders>
              <w:top w:val="single" w:sz="4" w:space="0" w:color="17365D"/>
            </w:tcBorders>
            <w:shd w:val="clear" w:color="auto" w:fill="B9CDE5"/>
            <w:noWrap/>
            <w:vAlign w:val="center"/>
          </w:tcPr>
          <w:p w14:paraId="7ED8011E" w14:textId="77777777" w:rsidR="00E138F1" w:rsidRPr="00A27896" w:rsidRDefault="00E138F1" w:rsidP="00792AE6">
            <w:pPr>
              <w:spacing w:after="0"/>
              <w:jc w:val="right"/>
              <w:rPr>
                <w:rFonts w:eastAsia="Times New Roman" w:cs="Times New Roman"/>
                <w:color w:val="17365D"/>
                <w:sz w:val="18"/>
                <w:szCs w:val="18"/>
                <w:lang w:eastAsia="lv-LV"/>
              </w:rPr>
            </w:pPr>
          </w:p>
        </w:tc>
        <w:tc>
          <w:tcPr>
            <w:tcW w:w="910" w:type="pct"/>
            <w:tcBorders>
              <w:top w:val="single" w:sz="4" w:space="0" w:color="17365D"/>
            </w:tcBorders>
            <w:shd w:val="clear" w:color="auto" w:fill="B9CDE5"/>
            <w:noWrap/>
            <w:vAlign w:val="center"/>
          </w:tcPr>
          <w:p w14:paraId="3FAFCF97" w14:textId="77777777" w:rsidR="00E138F1" w:rsidRPr="00A27896" w:rsidRDefault="00E138F1" w:rsidP="00792AE6">
            <w:pPr>
              <w:spacing w:after="0"/>
              <w:jc w:val="right"/>
              <w:rPr>
                <w:rFonts w:eastAsia="Times New Roman" w:cs="Times New Roman"/>
                <w:color w:val="17365D"/>
                <w:sz w:val="18"/>
                <w:szCs w:val="18"/>
                <w:lang w:eastAsia="lv-LV"/>
              </w:rPr>
            </w:pPr>
          </w:p>
        </w:tc>
        <w:tc>
          <w:tcPr>
            <w:tcW w:w="757" w:type="pct"/>
            <w:tcBorders>
              <w:top w:val="single" w:sz="4" w:space="0" w:color="17365D"/>
            </w:tcBorders>
            <w:shd w:val="clear" w:color="auto" w:fill="B9CDE5"/>
            <w:noWrap/>
            <w:vAlign w:val="center"/>
          </w:tcPr>
          <w:p w14:paraId="56BB98B7" w14:textId="77777777" w:rsidR="00E138F1" w:rsidRPr="00A27896" w:rsidRDefault="00E138F1" w:rsidP="00792AE6">
            <w:pPr>
              <w:spacing w:after="0"/>
              <w:jc w:val="right"/>
              <w:rPr>
                <w:rFonts w:eastAsia="Times New Roman" w:cs="Times New Roman"/>
                <w:color w:val="17365D"/>
                <w:sz w:val="18"/>
                <w:szCs w:val="18"/>
                <w:lang w:eastAsia="lv-LV"/>
              </w:rPr>
            </w:pPr>
          </w:p>
        </w:tc>
        <w:tc>
          <w:tcPr>
            <w:tcW w:w="679" w:type="pct"/>
            <w:tcBorders>
              <w:top w:val="single" w:sz="4" w:space="0" w:color="17365D"/>
            </w:tcBorders>
            <w:shd w:val="clear" w:color="auto" w:fill="B9CDE5"/>
            <w:noWrap/>
            <w:vAlign w:val="center"/>
          </w:tcPr>
          <w:p w14:paraId="75DE7B8B" w14:textId="77777777" w:rsidR="00E138F1" w:rsidRPr="00A27896" w:rsidRDefault="00E138F1" w:rsidP="00792AE6">
            <w:pPr>
              <w:spacing w:after="0"/>
              <w:jc w:val="right"/>
              <w:rPr>
                <w:rFonts w:eastAsia="Times New Roman" w:cs="Times New Roman"/>
                <w:color w:val="17365D"/>
                <w:sz w:val="18"/>
                <w:szCs w:val="18"/>
                <w:lang w:eastAsia="lv-LV"/>
              </w:rPr>
            </w:pPr>
          </w:p>
        </w:tc>
      </w:tr>
    </w:tbl>
    <w:p w14:paraId="65384084" w14:textId="77777777" w:rsidR="00C23868" w:rsidRPr="00A27896" w:rsidRDefault="00DC6EAE" w:rsidP="00C93A9C">
      <w:pPr>
        <w:spacing w:before="240" w:after="120" w:line="240" w:lineRule="auto"/>
        <w:ind w:firstLine="284"/>
        <w:jc w:val="both"/>
        <w:rPr>
          <w:rFonts w:cs="Times New Roman"/>
          <w:bCs/>
          <w:iCs/>
          <w:color w:val="17365D"/>
        </w:rPr>
      </w:pPr>
      <w:r w:rsidRPr="00A27896">
        <w:rPr>
          <w:rFonts w:cs="Times New Roman"/>
          <w:bCs/>
          <w:color w:val="17365D"/>
        </w:rPr>
        <w:t>Bilances postenī “</w:t>
      </w:r>
      <w:r w:rsidR="0003117E" w:rsidRPr="00A27896">
        <w:rPr>
          <w:rFonts w:cs="Times New Roman"/>
          <w:bCs/>
          <w:iCs/>
          <w:color w:val="17365D"/>
        </w:rPr>
        <w:t>Īstermiņa prasības</w:t>
      </w:r>
      <w:r w:rsidRPr="00A27896">
        <w:rPr>
          <w:rFonts w:cs="Times New Roman"/>
          <w:bCs/>
          <w:color w:val="17365D"/>
        </w:rPr>
        <w:t xml:space="preserve">” konsolidētas valsts un pašvaldību budžeta iestāžu </w:t>
      </w:r>
      <w:r w:rsidRPr="00A27896">
        <w:rPr>
          <w:rFonts w:cs="Times New Roman"/>
          <w:bCs/>
          <w:iCs/>
          <w:color w:val="17365D"/>
        </w:rPr>
        <w:t>savstarpējās un valsts budžeta finanšu uzskaites savstarpējās prasības un attiecīgās saistības.</w:t>
      </w:r>
    </w:p>
    <w:p w14:paraId="08D79AF8" w14:textId="47E84E10" w:rsidR="00CE30FE" w:rsidRPr="00A27896" w:rsidRDefault="00C23868" w:rsidP="00107C41">
      <w:pPr>
        <w:spacing w:after="120" w:line="240" w:lineRule="auto"/>
        <w:ind w:firstLine="284"/>
        <w:jc w:val="both"/>
        <w:rPr>
          <w:rFonts w:cs="Times New Roman"/>
          <w:bCs/>
          <w:iCs/>
          <w:color w:val="17365D"/>
        </w:rPr>
      </w:pPr>
      <w:r w:rsidRPr="00A27896">
        <w:rPr>
          <w:rFonts w:cs="Times New Roman"/>
          <w:bCs/>
          <w:iCs/>
          <w:color w:val="17365D"/>
        </w:rPr>
        <w:t xml:space="preserve">Pārskata gadā bilances posteņa izmaiņas galvenokārt saistītas ar </w:t>
      </w:r>
      <w:r w:rsidR="00746521" w:rsidRPr="00A27896">
        <w:rPr>
          <w:rFonts w:cs="Times New Roman"/>
          <w:bCs/>
          <w:iCs/>
          <w:color w:val="17365D"/>
        </w:rPr>
        <w:t xml:space="preserve">prasību pret nodokļu maksātājiem pieaugumu </w:t>
      </w:r>
      <w:r w:rsidR="00CE30FE" w:rsidRPr="00A27896">
        <w:rPr>
          <w:rFonts w:cs="Times New Roman"/>
          <w:bCs/>
          <w:iCs/>
          <w:color w:val="17365D"/>
        </w:rPr>
        <w:t>VID administrēto valsts budžeta ieņēmumu grāmatvedības uzskaitē, tai skaitā lielāk</w:t>
      </w:r>
      <w:r w:rsidR="00746521" w:rsidRPr="00A27896">
        <w:rPr>
          <w:rFonts w:cs="Times New Roman"/>
          <w:bCs/>
          <w:iCs/>
          <w:color w:val="17365D"/>
        </w:rPr>
        <w:t>o pieaugumu veido</w:t>
      </w:r>
      <w:r w:rsidR="00CE30FE" w:rsidRPr="00A27896">
        <w:rPr>
          <w:rFonts w:cs="Times New Roman"/>
          <w:bCs/>
          <w:iCs/>
          <w:color w:val="17365D"/>
        </w:rPr>
        <w:t xml:space="preserve"> prasības par iedzīvotāju ienākuma nodokli </w:t>
      </w:r>
      <w:r w:rsidR="00172952" w:rsidRPr="00172952">
        <w:rPr>
          <w:rFonts w:cs="Times New Roman"/>
          <w:bCs/>
          <w:iCs/>
          <w:color w:val="17365D"/>
        </w:rPr>
        <w:t>130</w:t>
      </w:r>
      <w:r w:rsidR="00172952">
        <w:rPr>
          <w:rFonts w:cs="Times New Roman"/>
          <w:bCs/>
          <w:iCs/>
          <w:color w:val="17365D"/>
        </w:rPr>
        <w:t> </w:t>
      </w:r>
      <w:r w:rsidR="00172952" w:rsidRPr="00172952">
        <w:rPr>
          <w:rFonts w:cs="Times New Roman"/>
          <w:bCs/>
          <w:iCs/>
          <w:color w:val="17365D"/>
        </w:rPr>
        <w:t>074</w:t>
      </w:r>
      <w:r w:rsidR="00172952">
        <w:rPr>
          <w:rFonts w:cs="Times New Roman"/>
          <w:bCs/>
          <w:iCs/>
          <w:color w:val="17365D"/>
        </w:rPr>
        <w:t> </w:t>
      </w:r>
      <w:r w:rsidR="00172952" w:rsidRPr="00172952">
        <w:rPr>
          <w:rFonts w:cs="Times New Roman"/>
          <w:bCs/>
          <w:iCs/>
          <w:color w:val="17365D"/>
        </w:rPr>
        <w:t>072</w:t>
      </w:r>
      <w:r w:rsidR="00172952">
        <w:rPr>
          <w:rFonts w:cs="Times New Roman"/>
          <w:bCs/>
          <w:iCs/>
          <w:color w:val="17365D"/>
        </w:rPr>
        <w:t xml:space="preserve"> </w:t>
      </w:r>
      <w:proofErr w:type="spellStart"/>
      <w:r w:rsidR="00CE30FE" w:rsidRPr="00A27896">
        <w:rPr>
          <w:rFonts w:cs="Times New Roman"/>
          <w:bCs/>
          <w:i/>
          <w:iCs/>
          <w:color w:val="17365D"/>
        </w:rPr>
        <w:t>euro</w:t>
      </w:r>
      <w:proofErr w:type="spellEnd"/>
      <w:r w:rsidR="00CE30FE" w:rsidRPr="00A27896">
        <w:rPr>
          <w:rFonts w:cs="Times New Roman"/>
          <w:bCs/>
          <w:iCs/>
          <w:color w:val="17365D"/>
        </w:rPr>
        <w:t xml:space="preserve"> vērtībā, par pievienotās vērtības nodokli </w:t>
      </w:r>
      <w:r w:rsidR="00172952" w:rsidRPr="00172952">
        <w:rPr>
          <w:rFonts w:cs="Times New Roman"/>
          <w:bCs/>
          <w:iCs/>
          <w:color w:val="17365D"/>
        </w:rPr>
        <w:t>45</w:t>
      </w:r>
      <w:r w:rsidR="00172952">
        <w:rPr>
          <w:rFonts w:cs="Times New Roman"/>
          <w:bCs/>
          <w:iCs/>
          <w:color w:val="17365D"/>
        </w:rPr>
        <w:t> </w:t>
      </w:r>
      <w:r w:rsidR="00172952" w:rsidRPr="00172952">
        <w:rPr>
          <w:rFonts w:cs="Times New Roman"/>
          <w:bCs/>
          <w:iCs/>
          <w:color w:val="17365D"/>
        </w:rPr>
        <w:t>692</w:t>
      </w:r>
      <w:r w:rsidR="00172952">
        <w:rPr>
          <w:rFonts w:cs="Times New Roman"/>
          <w:bCs/>
          <w:iCs/>
          <w:color w:val="17365D"/>
        </w:rPr>
        <w:t> </w:t>
      </w:r>
      <w:r w:rsidR="00172952" w:rsidRPr="00172952">
        <w:rPr>
          <w:rFonts w:cs="Times New Roman"/>
          <w:bCs/>
          <w:iCs/>
          <w:color w:val="17365D"/>
        </w:rPr>
        <w:t>437</w:t>
      </w:r>
      <w:r w:rsidR="00172952">
        <w:rPr>
          <w:rFonts w:cs="Times New Roman"/>
          <w:bCs/>
          <w:iCs/>
          <w:color w:val="17365D"/>
        </w:rPr>
        <w:t xml:space="preserve"> </w:t>
      </w:r>
      <w:proofErr w:type="spellStart"/>
      <w:r w:rsidR="00CE30FE" w:rsidRPr="00A27896">
        <w:rPr>
          <w:rFonts w:cs="Times New Roman"/>
          <w:bCs/>
          <w:i/>
          <w:iCs/>
          <w:color w:val="17365D"/>
        </w:rPr>
        <w:t>euro</w:t>
      </w:r>
      <w:proofErr w:type="spellEnd"/>
      <w:r w:rsidR="00CE30FE" w:rsidRPr="00A27896">
        <w:rPr>
          <w:rFonts w:cs="Times New Roman"/>
          <w:bCs/>
          <w:iCs/>
          <w:color w:val="17365D"/>
        </w:rPr>
        <w:t xml:space="preserve"> vērtībā un par valsts sociālās apdrošināšanas obligātajām iemaksām </w:t>
      </w:r>
      <w:r w:rsidR="00172952" w:rsidRPr="00172952">
        <w:rPr>
          <w:rFonts w:cs="Times New Roman"/>
          <w:bCs/>
          <w:iCs/>
          <w:color w:val="17365D"/>
        </w:rPr>
        <w:t>167</w:t>
      </w:r>
      <w:r w:rsidR="00172952">
        <w:rPr>
          <w:rFonts w:cs="Times New Roman"/>
          <w:bCs/>
          <w:iCs/>
          <w:color w:val="17365D"/>
        </w:rPr>
        <w:t> </w:t>
      </w:r>
      <w:r w:rsidR="00172952" w:rsidRPr="00172952">
        <w:rPr>
          <w:rFonts w:cs="Times New Roman"/>
          <w:bCs/>
          <w:iCs/>
          <w:color w:val="17365D"/>
        </w:rPr>
        <w:t>060</w:t>
      </w:r>
      <w:r w:rsidR="00172952">
        <w:rPr>
          <w:rFonts w:cs="Times New Roman"/>
          <w:bCs/>
          <w:iCs/>
          <w:color w:val="17365D"/>
        </w:rPr>
        <w:t> </w:t>
      </w:r>
      <w:r w:rsidR="00172952" w:rsidRPr="00172952">
        <w:rPr>
          <w:rFonts w:cs="Times New Roman"/>
          <w:bCs/>
          <w:iCs/>
          <w:color w:val="17365D"/>
        </w:rPr>
        <w:t>923</w:t>
      </w:r>
      <w:r w:rsidR="00172952">
        <w:rPr>
          <w:rFonts w:cs="Times New Roman"/>
          <w:bCs/>
          <w:iCs/>
          <w:color w:val="17365D"/>
        </w:rPr>
        <w:t xml:space="preserve"> </w:t>
      </w:r>
      <w:proofErr w:type="spellStart"/>
      <w:r w:rsidR="00CE30FE" w:rsidRPr="00A27896">
        <w:rPr>
          <w:rFonts w:cs="Times New Roman"/>
          <w:bCs/>
          <w:i/>
          <w:iCs/>
          <w:color w:val="17365D"/>
        </w:rPr>
        <w:t>euro</w:t>
      </w:r>
      <w:proofErr w:type="spellEnd"/>
      <w:r w:rsidR="00CE30FE" w:rsidRPr="00A27896">
        <w:rPr>
          <w:rFonts w:cs="Times New Roman"/>
          <w:bCs/>
          <w:iCs/>
          <w:color w:val="17365D"/>
        </w:rPr>
        <w:t xml:space="preserve"> vērtībā.</w:t>
      </w:r>
      <w:r w:rsidR="003B5CE1" w:rsidRPr="00A27896">
        <w:rPr>
          <w:rFonts w:cs="Times New Roman"/>
          <w:bCs/>
          <w:iCs/>
          <w:color w:val="17365D"/>
        </w:rPr>
        <w:t xml:space="preserve"> </w:t>
      </w:r>
    </w:p>
    <w:p w14:paraId="7DDA20E9" w14:textId="017604A5" w:rsidR="0048672F" w:rsidRPr="00A27896" w:rsidRDefault="0048672F" w:rsidP="00BB3FA5">
      <w:pPr>
        <w:spacing w:after="120" w:line="240" w:lineRule="auto"/>
        <w:ind w:firstLine="284"/>
        <w:jc w:val="both"/>
        <w:rPr>
          <w:rFonts w:cs="Times New Roman"/>
          <w:color w:val="17365D"/>
        </w:rPr>
      </w:pPr>
      <w:r w:rsidRPr="00A27896">
        <w:rPr>
          <w:rFonts w:cs="Times New Roman"/>
          <w:color w:val="17365D"/>
        </w:rPr>
        <w:t>Atbilstoši pašvaldību sniegtai informācijai 1</w:t>
      </w:r>
      <w:r w:rsidR="00241FC4" w:rsidRPr="00A27896">
        <w:rPr>
          <w:rFonts w:cs="Times New Roman"/>
          <w:color w:val="17365D"/>
        </w:rPr>
        <w:t>2</w:t>
      </w:r>
      <w:r w:rsidRPr="00A27896">
        <w:rPr>
          <w:rFonts w:cs="Times New Roman"/>
          <w:color w:val="17365D"/>
        </w:rPr>
        <w:t>.</w:t>
      </w:r>
      <w:r w:rsidR="00CE6606" w:rsidRPr="00A27896">
        <w:rPr>
          <w:rFonts w:cs="Times New Roman"/>
          <w:color w:val="17365D"/>
        </w:rPr>
        <w:t xml:space="preserve"> </w:t>
      </w:r>
      <w:r w:rsidRPr="00A27896">
        <w:rPr>
          <w:rFonts w:cs="Times New Roman"/>
          <w:color w:val="17365D"/>
        </w:rPr>
        <w:t>tabulā uzrādīta informācija par nekustamā īpašuma nodokļa prasību sadalījumu atbilstoši termiņiem.</w:t>
      </w:r>
    </w:p>
    <w:p w14:paraId="75C27FBD" w14:textId="789A10B0" w:rsidR="00CE6606" w:rsidRPr="00A27896" w:rsidRDefault="00CE6606" w:rsidP="00CE6606">
      <w:pPr>
        <w:spacing w:before="240" w:after="0"/>
        <w:jc w:val="right"/>
        <w:rPr>
          <w:rFonts w:eastAsia="Times New Roman" w:cs="Times New Roman"/>
          <w:i/>
          <w:color w:val="17365D"/>
          <w:sz w:val="20"/>
          <w:szCs w:val="20"/>
          <w:lang w:eastAsia="lv-LV"/>
        </w:rPr>
      </w:pPr>
      <w:r w:rsidRPr="00A27896">
        <w:rPr>
          <w:rFonts w:eastAsia="Times New Roman" w:cs="Times New Roman"/>
          <w:i/>
          <w:color w:val="17365D"/>
          <w:sz w:val="20"/>
          <w:szCs w:val="20"/>
          <w:lang w:eastAsia="lv-LV"/>
        </w:rPr>
        <w:t>1</w:t>
      </w:r>
      <w:r w:rsidR="00241FC4" w:rsidRPr="00A27896">
        <w:rPr>
          <w:rFonts w:eastAsia="Times New Roman" w:cs="Times New Roman"/>
          <w:i/>
          <w:color w:val="17365D"/>
          <w:sz w:val="20"/>
          <w:szCs w:val="20"/>
          <w:lang w:eastAsia="lv-LV"/>
        </w:rPr>
        <w:t>2</w:t>
      </w:r>
      <w:r w:rsidRPr="00A27896">
        <w:rPr>
          <w:rFonts w:eastAsia="Times New Roman" w:cs="Times New Roman"/>
          <w:i/>
          <w:color w:val="17365D"/>
          <w:sz w:val="20"/>
          <w:szCs w:val="20"/>
          <w:lang w:eastAsia="lv-LV"/>
        </w:rPr>
        <w:t>. tabula. Nekustamā īpašuma nodokļa bruto prasību sadalījums atbilstoši kavējuma termiņiem (</w:t>
      </w:r>
      <w:proofErr w:type="spellStart"/>
      <w:r w:rsidRPr="00A27896">
        <w:rPr>
          <w:rFonts w:eastAsia="Times New Roman" w:cs="Times New Roman"/>
          <w:i/>
          <w:color w:val="17365D"/>
          <w:sz w:val="20"/>
          <w:szCs w:val="20"/>
          <w:lang w:eastAsia="lv-LV"/>
        </w:rPr>
        <w:t>euro</w:t>
      </w:r>
      <w:proofErr w:type="spellEnd"/>
      <w:r w:rsidRPr="00A27896">
        <w:rPr>
          <w:rFonts w:eastAsia="Times New Roman" w:cs="Times New Roman"/>
          <w:i/>
          <w:color w:val="17365D"/>
          <w:sz w:val="20"/>
          <w:szCs w:val="20"/>
          <w:lang w:eastAsia="lv-LV"/>
        </w:rPr>
        <w:t>)</w:t>
      </w:r>
    </w:p>
    <w:tbl>
      <w:tblPr>
        <w:tblW w:w="5004" w:type="pct"/>
        <w:tblLayout w:type="fixed"/>
        <w:tblLook w:val="04A0" w:firstRow="1" w:lastRow="0" w:firstColumn="1" w:lastColumn="0" w:noHBand="0" w:noVBand="1"/>
      </w:tblPr>
      <w:tblGrid>
        <w:gridCol w:w="1558"/>
        <w:gridCol w:w="992"/>
        <w:gridCol w:w="992"/>
        <w:gridCol w:w="992"/>
        <w:gridCol w:w="996"/>
        <w:gridCol w:w="998"/>
        <w:gridCol w:w="944"/>
        <w:gridCol w:w="944"/>
        <w:gridCol w:w="945"/>
      </w:tblGrid>
      <w:tr w:rsidR="000C1009" w:rsidRPr="00A27896" w14:paraId="3A02BCC3" w14:textId="110BD1AB" w:rsidTr="00096631">
        <w:trPr>
          <w:trHeight w:val="50"/>
          <w:tblHeader/>
        </w:trPr>
        <w:tc>
          <w:tcPr>
            <w:tcW w:w="832" w:type="pct"/>
            <w:vMerge w:val="restart"/>
            <w:tcBorders>
              <w:bottom w:val="single" w:sz="4" w:space="0" w:color="012169"/>
            </w:tcBorders>
            <w:shd w:val="clear" w:color="auto" w:fill="B9CDE5"/>
            <w:noWrap/>
            <w:vAlign w:val="center"/>
          </w:tcPr>
          <w:p w14:paraId="18B93310" w14:textId="0B53D30B" w:rsidR="009001BC" w:rsidRPr="00A27896" w:rsidRDefault="009001BC" w:rsidP="00D92FFA">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Nodokļa nosaukums/ termiņš</w:t>
            </w:r>
          </w:p>
        </w:tc>
        <w:tc>
          <w:tcPr>
            <w:tcW w:w="2122" w:type="pct"/>
            <w:gridSpan w:val="4"/>
            <w:tcBorders>
              <w:bottom w:val="single" w:sz="4" w:space="0" w:color="17365D"/>
            </w:tcBorders>
            <w:shd w:val="clear" w:color="auto" w:fill="B9CDE5"/>
            <w:vAlign w:val="center"/>
          </w:tcPr>
          <w:p w14:paraId="1B021595" w14:textId="3679087E" w:rsidR="009001BC" w:rsidRPr="00A27896" w:rsidRDefault="009001BC" w:rsidP="00D92FFA">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2046" w:type="pct"/>
            <w:gridSpan w:val="4"/>
            <w:tcBorders>
              <w:bottom w:val="single" w:sz="4" w:space="0" w:color="17365D"/>
            </w:tcBorders>
            <w:shd w:val="clear" w:color="auto" w:fill="B9CDE5"/>
          </w:tcPr>
          <w:p w14:paraId="0D775308" w14:textId="2C2F5FC6" w:rsidR="009001BC" w:rsidRPr="00A27896" w:rsidRDefault="009001BC" w:rsidP="00D92FFA">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4050AA76" w14:textId="4B5A93A1" w:rsidTr="003F0D49">
        <w:trPr>
          <w:trHeight w:val="519"/>
          <w:tblHeader/>
        </w:trPr>
        <w:tc>
          <w:tcPr>
            <w:tcW w:w="832" w:type="pct"/>
            <w:vMerge/>
            <w:tcBorders>
              <w:top w:val="single" w:sz="4" w:space="0" w:color="012169"/>
              <w:bottom w:val="single" w:sz="4" w:space="0" w:color="17365D"/>
            </w:tcBorders>
            <w:shd w:val="clear" w:color="auto" w:fill="B9CDE5"/>
            <w:noWrap/>
            <w:vAlign w:val="center"/>
            <w:hideMark/>
          </w:tcPr>
          <w:p w14:paraId="41AB7244" w14:textId="41E86412" w:rsidR="009001BC" w:rsidRPr="00A27896" w:rsidRDefault="009001BC" w:rsidP="006512D6">
            <w:pPr>
              <w:spacing w:after="0"/>
              <w:jc w:val="center"/>
              <w:rPr>
                <w:rFonts w:eastAsia="Times New Roman" w:cs="Times New Roman"/>
                <w:b/>
                <w:bCs/>
                <w:color w:val="17365D"/>
                <w:sz w:val="18"/>
                <w:szCs w:val="18"/>
                <w:lang w:eastAsia="lv-LV"/>
              </w:rPr>
            </w:pPr>
          </w:p>
        </w:tc>
        <w:tc>
          <w:tcPr>
            <w:tcW w:w="530" w:type="pct"/>
            <w:tcBorders>
              <w:top w:val="single" w:sz="4" w:space="0" w:color="17365D"/>
              <w:bottom w:val="single" w:sz="4" w:space="0" w:color="17365D"/>
            </w:tcBorders>
            <w:shd w:val="clear" w:color="auto" w:fill="B9CDE5"/>
            <w:vAlign w:val="center"/>
            <w:hideMark/>
          </w:tcPr>
          <w:p w14:paraId="694B773D" w14:textId="77777777" w:rsidR="009001BC" w:rsidRPr="00A27896" w:rsidRDefault="009001BC" w:rsidP="009001B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līdz 1 gadam</w:t>
            </w:r>
          </w:p>
        </w:tc>
        <w:tc>
          <w:tcPr>
            <w:tcW w:w="530" w:type="pct"/>
            <w:tcBorders>
              <w:top w:val="single" w:sz="4" w:space="0" w:color="17365D"/>
              <w:bottom w:val="single" w:sz="4" w:space="0" w:color="17365D"/>
            </w:tcBorders>
            <w:shd w:val="clear" w:color="auto" w:fill="B9CDE5"/>
            <w:noWrap/>
            <w:vAlign w:val="center"/>
            <w:hideMark/>
          </w:tcPr>
          <w:p w14:paraId="0F2A4584" w14:textId="77777777" w:rsidR="009001BC" w:rsidRPr="00A27896" w:rsidRDefault="009001BC" w:rsidP="009001B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1 - 2 gadi</w:t>
            </w:r>
          </w:p>
        </w:tc>
        <w:tc>
          <w:tcPr>
            <w:tcW w:w="530" w:type="pct"/>
            <w:tcBorders>
              <w:top w:val="single" w:sz="4" w:space="0" w:color="17365D"/>
              <w:bottom w:val="single" w:sz="4" w:space="0" w:color="17365D"/>
            </w:tcBorders>
            <w:shd w:val="clear" w:color="auto" w:fill="B9CDE5"/>
            <w:noWrap/>
            <w:vAlign w:val="center"/>
            <w:hideMark/>
          </w:tcPr>
          <w:p w14:paraId="63B99113" w14:textId="77777777" w:rsidR="009001BC" w:rsidRPr="00A27896" w:rsidRDefault="009001BC" w:rsidP="009001B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3 - 5 gadi</w:t>
            </w:r>
          </w:p>
        </w:tc>
        <w:tc>
          <w:tcPr>
            <w:tcW w:w="532" w:type="pct"/>
            <w:tcBorders>
              <w:top w:val="single" w:sz="4" w:space="0" w:color="17365D"/>
              <w:bottom w:val="single" w:sz="4" w:space="0" w:color="17365D"/>
            </w:tcBorders>
            <w:shd w:val="clear" w:color="auto" w:fill="B9CDE5"/>
            <w:vAlign w:val="center"/>
            <w:hideMark/>
          </w:tcPr>
          <w:p w14:paraId="60FF619D" w14:textId="77777777" w:rsidR="009001BC" w:rsidRPr="00A27896" w:rsidRDefault="009001BC" w:rsidP="009001B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vairāk nekā 5 gadi</w:t>
            </w:r>
          </w:p>
        </w:tc>
        <w:tc>
          <w:tcPr>
            <w:tcW w:w="533" w:type="pct"/>
            <w:tcBorders>
              <w:top w:val="single" w:sz="4" w:space="0" w:color="17365D"/>
              <w:bottom w:val="single" w:sz="4" w:space="0" w:color="17365D"/>
            </w:tcBorders>
            <w:shd w:val="clear" w:color="auto" w:fill="B9CDE5"/>
            <w:vAlign w:val="center"/>
          </w:tcPr>
          <w:p w14:paraId="35910CED" w14:textId="2C063125" w:rsidR="009001BC" w:rsidRPr="00A27896" w:rsidRDefault="009001BC" w:rsidP="009001B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līdz 1 gadam</w:t>
            </w:r>
          </w:p>
        </w:tc>
        <w:tc>
          <w:tcPr>
            <w:tcW w:w="504" w:type="pct"/>
            <w:tcBorders>
              <w:top w:val="single" w:sz="4" w:space="0" w:color="17365D"/>
              <w:bottom w:val="single" w:sz="4" w:space="0" w:color="17365D"/>
            </w:tcBorders>
            <w:shd w:val="clear" w:color="auto" w:fill="B9CDE5"/>
            <w:vAlign w:val="center"/>
          </w:tcPr>
          <w:p w14:paraId="65A9F1C5" w14:textId="049818F5" w:rsidR="009001BC" w:rsidRPr="00A27896" w:rsidRDefault="009001BC" w:rsidP="009001B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1 - 2 gadi</w:t>
            </w:r>
          </w:p>
        </w:tc>
        <w:tc>
          <w:tcPr>
            <w:tcW w:w="504" w:type="pct"/>
            <w:tcBorders>
              <w:top w:val="single" w:sz="4" w:space="0" w:color="17365D"/>
              <w:bottom w:val="single" w:sz="4" w:space="0" w:color="17365D"/>
            </w:tcBorders>
            <w:shd w:val="clear" w:color="auto" w:fill="B8CCE4" w:themeFill="accent1" w:themeFillTint="66"/>
            <w:vAlign w:val="center"/>
          </w:tcPr>
          <w:p w14:paraId="11975B0B" w14:textId="5A02318A" w:rsidR="009001BC" w:rsidRPr="00A27896" w:rsidRDefault="009001BC" w:rsidP="009001B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3 - 5 gadi</w:t>
            </w:r>
          </w:p>
        </w:tc>
        <w:tc>
          <w:tcPr>
            <w:tcW w:w="505" w:type="pct"/>
            <w:tcBorders>
              <w:top w:val="single" w:sz="4" w:space="0" w:color="17365D"/>
              <w:bottom w:val="single" w:sz="4" w:space="0" w:color="17365D"/>
            </w:tcBorders>
            <w:shd w:val="clear" w:color="auto" w:fill="B8CCE4" w:themeFill="accent1" w:themeFillTint="66"/>
            <w:vAlign w:val="center"/>
          </w:tcPr>
          <w:p w14:paraId="19F7FB1C" w14:textId="0F165538" w:rsidR="009001BC" w:rsidRPr="00A27896" w:rsidRDefault="009001BC" w:rsidP="009001BC">
            <w:pPr>
              <w:spacing w:after="0" w:line="240" w:lineRule="auto"/>
              <w:jc w:val="center"/>
              <w:rPr>
                <w:rFonts w:cs="Times New Roman"/>
                <w:color w:val="17365D"/>
                <w:sz w:val="18"/>
                <w:szCs w:val="18"/>
              </w:rPr>
            </w:pPr>
            <w:r w:rsidRPr="00A27896">
              <w:rPr>
                <w:rFonts w:eastAsia="Times New Roman" w:cs="Times New Roman"/>
                <w:b/>
                <w:bCs/>
                <w:color w:val="17365D"/>
                <w:sz w:val="18"/>
                <w:szCs w:val="18"/>
                <w:lang w:eastAsia="lv-LV"/>
              </w:rPr>
              <w:t>vairāk nekā 5 gadi</w:t>
            </w:r>
          </w:p>
        </w:tc>
      </w:tr>
      <w:tr w:rsidR="000C1009" w:rsidRPr="00A27896" w14:paraId="4242DD46" w14:textId="59691878" w:rsidTr="003F0D49">
        <w:trPr>
          <w:trHeight w:val="194"/>
          <w:tblHeader/>
        </w:trPr>
        <w:tc>
          <w:tcPr>
            <w:tcW w:w="832" w:type="pct"/>
            <w:tcBorders>
              <w:top w:val="single" w:sz="4" w:space="0" w:color="17365D"/>
              <w:bottom w:val="single" w:sz="4" w:space="0" w:color="17365D"/>
            </w:tcBorders>
            <w:shd w:val="clear" w:color="auto" w:fill="auto"/>
            <w:noWrap/>
            <w:vAlign w:val="center"/>
            <w:hideMark/>
          </w:tcPr>
          <w:p w14:paraId="71A85651" w14:textId="77777777" w:rsidR="009001BC" w:rsidRPr="00A27896" w:rsidRDefault="009001BC" w:rsidP="006512D6">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530" w:type="pct"/>
            <w:tcBorders>
              <w:top w:val="single" w:sz="4" w:space="0" w:color="17365D"/>
              <w:bottom w:val="single" w:sz="4" w:space="0" w:color="17365D"/>
            </w:tcBorders>
            <w:shd w:val="clear" w:color="auto" w:fill="auto"/>
            <w:vAlign w:val="center"/>
            <w:hideMark/>
          </w:tcPr>
          <w:p w14:paraId="62045F61" w14:textId="77777777" w:rsidR="009001BC" w:rsidRPr="00A27896" w:rsidRDefault="009001BC" w:rsidP="006512D6">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530" w:type="pct"/>
            <w:tcBorders>
              <w:top w:val="single" w:sz="4" w:space="0" w:color="17365D"/>
              <w:bottom w:val="single" w:sz="4" w:space="0" w:color="17365D"/>
            </w:tcBorders>
            <w:shd w:val="clear" w:color="auto" w:fill="auto"/>
            <w:noWrap/>
            <w:vAlign w:val="center"/>
            <w:hideMark/>
          </w:tcPr>
          <w:p w14:paraId="5CCBF31D" w14:textId="77777777" w:rsidR="009001BC" w:rsidRPr="00A27896" w:rsidRDefault="009001BC" w:rsidP="006512D6">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530" w:type="pct"/>
            <w:tcBorders>
              <w:top w:val="single" w:sz="4" w:space="0" w:color="17365D"/>
              <w:bottom w:val="single" w:sz="4" w:space="0" w:color="17365D"/>
            </w:tcBorders>
            <w:shd w:val="clear" w:color="auto" w:fill="auto"/>
            <w:noWrap/>
            <w:vAlign w:val="center"/>
            <w:hideMark/>
          </w:tcPr>
          <w:p w14:paraId="173A8870" w14:textId="77777777" w:rsidR="009001BC" w:rsidRPr="00A27896" w:rsidRDefault="009001BC" w:rsidP="006512D6">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532" w:type="pct"/>
            <w:tcBorders>
              <w:top w:val="single" w:sz="4" w:space="0" w:color="17365D"/>
              <w:bottom w:val="single" w:sz="4" w:space="0" w:color="17365D"/>
            </w:tcBorders>
            <w:shd w:val="clear" w:color="auto" w:fill="auto"/>
            <w:vAlign w:val="center"/>
            <w:hideMark/>
          </w:tcPr>
          <w:p w14:paraId="3B90EF8E" w14:textId="77777777" w:rsidR="009001BC" w:rsidRPr="00A27896" w:rsidRDefault="009001BC" w:rsidP="006512D6">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c>
          <w:tcPr>
            <w:tcW w:w="533" w:type="pct"/>
            <w:tcBorders>
              <w:top w:val="single" w:sz="4" w:space="0" w:color="17365D"/>
              <w:bottom w:val="single" w:sz="4" w:space="0" w:color="17365D"/>
            </w:tcBorders>
          </w:tcPr>
          <w:p w14:paraId="402CD66E" w14:textId="4BC326C6" w:rsidR="009001BC" w:rsidRPr="00A27896" w:rsidRDefault="009001BC" w:rsidP="006512D6">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5</w:t>
            </w:r>
          </w:p>
        </w:tc>
        <w:tc>
          <w:tcPr>
            <w:tcW w:w="504" w:type="pct"/>
            <w:tcBorders>
              <w:top w:val="single" w:sz="4" w:space="0" w:color="17365D"/>
              <w:bottom w:val="single" w:sz="4" w:space="0" w:color="17365D"/>
            </w:tcBorders>
          </w:tcPr>
          <w:p w14:paraId="23340A97" w14:textId="7E62E0A5" w:rsidR="009001BC" w:rsidRPr="00A27896" w:rsidRDefault="009001BC" w:rsidP="009001BC">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6</w:t>
            </w:r>
          </w:p>
        </w:tc>
        <w:tc>
          <w:tcPr>
            <w:tcW w:w="504" w:type="pct"/>
            <w:tcBorders>
              <w:top w:val="single" w:sz="4" w:space="0" w:color="17365D"/>
              <w:bottom w:val="single" w:sz="4" w:space="0" w:color="17365D"/>
            </w:tcBorders>
          </w:tcPr>
          <w:p w14:paraId="5FAD98A5" w14:textId="4EB8EBA6" w:rsidR="009001BC" w:rsidRPr="00A27896" w:rsidRDefault="009001BC" w:rsidP="006512D6">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7</w:t>
            </w:r>
          </w:p>
        </w:tc>
        <w:tc>
          <w:tcPr>
            <w:tcW w:w="505" w:type="pct"/>
            <w:tcBorders>
              <w:top w:val="single" w:sz="4" w:space="0" w:color="17365D"/>
              <w:bottom w:val="single" w:sz="4" w:space="0" w:color="17365D"/>
            </w:tcBorders>
          </w:tcPr>
          <w:p w14:paraId="0470F18C" w14:textId="0BABC6FE" w:rsidR="009001BC" w:rsidRPr="00A27896" w:rsidRDefault="009001BC" w:rsidP="006512D6">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8</w:t>
            </w:r>
          </w:p>
        </w:tc>
      </w:tr>
      <w:tr w:rsidR="00A27896" w:rsidRPr="00A27896" w14:paraId="538A8729" w14:textId="3B7569A2" w:rsidTr="00D55032">
        <w:trPr>
          <w:trHeight w:val="194"/>
        </w:trPr>
        <w:tc>
          <w:tcPr>
            <w:tcW w:w="832" w:type="pct"/>
            <w:tcBorders>
              <w:top w:val="single" w:sz="4" w:space="0" w:color="17365D"/>
              <w:bottom w:val="single" w:sz="4" w:space="0" w:color="17365D"/>
            </w:tcBorders>
            <w:shd w:val="clear" w:color="auto" w:fill="auto"/>
            <w:vAlign w:val="center"/>
            <w:hideMark/>
          </w:tcPr>
          <w:p w14:paraId="1A2F933C" w14:textId="77777777" w:rsidR="00EC6774" w:rsidRPr="00A27896" w:rsidRDefault="00EC6774" w:rsidP="00EC677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Nekustamā īpašuma nodoklis par zemi</w:t>
            </w:r>
          </w:p>
        </w:tc>
        <w:tc>
          <w:tcPr>
            <w:tcW w:w="530" w:type="pct"/>
            <w:tcBorders>
              <w:top w:val="single" w:sz="4" w:space="0" w:color="17365D"/>
              <w:bottom w:val="single" w:sz="4" w:space="0" w:color="17365D"/>
            </w:tcBorders>
            <w:shd w:val="clear" w:color="auto" w:fill="auto"/>
            <w:noWrap/>
            <w:vAlign w:val="center"/>
          </w:tcPr>
          <w:p w14:paraId="2E301F3E" w14:textId="463FB33B"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7 159 478</w:t>
            </w:r>
          </w:p>
        </w:tc>
        <w:tc>
          <w:tcPr>
            <w:tcW w:w="530" w:type="pct"/>
            <w:tcBorders>
              <w:top w:val="single" w:sz="4" w:space="0" w:color="17365D"/>
              <w:bottom w:val="single" w:sz="4" w:space="0" w:color="17365D"/>
            </w:tcBorders>
            <w:shd w:val="clear" w:color="auto" w:fill="auto"/>
            <w:noWrap/>
            <w:vAlign w:val="center"/>
          </w:tcPr>
          <w:p w14:paraId="072B5B14" w14:textId="6660877D"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3 311 789</w:t>
            </w:r>
          </w:p>
        </w:tc>
        <w:tc>
          <w:tcPr>
            <w:tcW w:w="530" w:type="pct"/>
            <w:tcBorders>
              <w:top w:val="single" w:sz="4" w:space="0" w:color="17365D"/>
              <w:bottom w:val="single" w:sz="4" w:space="0" w:color="17365D"/>
            </w:tcBorders>
            <w:shd w:val="clear" w:color="auto" w:fill="auto"/>
            <w:noWrap/>
            <w:vAlign w:val="center"/>
          </w:tcPr>
          <w:p w14:paraId="2551C1AB" w14:textId="05EB945D"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1 608 325</w:t>
            </w:r>
          </w:p>
        </w:tc>
        <w:tc>
          <w:tcPr>
            <w:tcW w:w="532" w:type="pct"/>
            <w:tcBorders>
              <w:top w:val="single" w:sz="4" w:space="0" w:color="17365D"/>
              <w:bottom w:val="single" w:sz="4" w:space="0" w:color="17365D"/>
            </w:tcBorders>
            <w:shd w:val="clear" w:color="auto" w:fill="auto"/>
            <w:noWrap/>
            <w:vAlign w:val="center"/>
          </w:tcPr>
          <w:p w14:paraId="4C7F87D3" w14:textId="65AA2D17"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4 265 319</w:t>
            </w:r>
          </w:p>
        </w:tc>
        <w:tc>
          <w:tcPr>
            <w:tcW w:w="533" w:type="pct"/>
            <w:tcBorders>
              <w:top w:val="single" w:sz="4" w:space="0" w:color="17365D"/>
              <w:bottom w:val="single" w:sz="4" w:space="0" w:color="17365D"/>
            </w:tcBorders>
            <w:shd w:val="clear" w:color="auto" w:fill="auto"/>
            <w:vAlign w:val="center"/>
          </w:tcPr>
          <w:p w14:paraId="78EDD6C2" w14:textId="6454DE60"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7 808 395</w:t>
            </w:r>
          </w:p>
        </w:tc>
        <w:tc>
          <w:tcPr>
            <w:tcW w:w="504" w:type="pct"/>
            <w:tcBorders>
              <w:top w:val="single" w:sz="4" w:space="0" w:color="17365D"/>
              <w:bottom w:val="single" w:sz="4" w:space="0" w:color="17365D"/>
            </w:tcBorders>
            <w:shd w:val="clear" w:color="auto" w:fill="auto"/>
            <w:vAlign w:val="center"/>
          </w:tcPr>
          <w:p w14:paraId="31DC2FD6" w14:textId="14EF796F"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3 770 777</w:t>
            </w:r>
          </w:p>
        </w:tc>
        <w:tc>
          <w:tcPr>
            <w:tcW w:w="504" w:type="pct"/>
            <w:tcBorders>
              <w:top w:val="single" w:sz="4" w:space="0" w:color="17365D"/>
              <w:bottom w:val="single" w:sz="4" w:space="0" w:color="17365D"/>
            </w:tcBorders>
            <w:shd w:val="clear" w:color="auto" w:fill="auto"/>
            <w:vAlign w:val="center"/>
          </w:tcPr>
          <w:p w14:paraId="3EA2CCBF" w14:textId="52289384"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1 628 840</w:t>
            </w:r>
          </w:p>
        </w:tc>
        <w:tc>
          <w:tcPr>
            <w:tcW w:w="505" w:type="pct"/>
            <w:tcBorders>
              <w:top w:val="single" w:sz="4" w:space="0" w:color="17365D"/>
              <w:bottom w:val="single" w:sz="4" w:space="0" w:color="17365D"/>
            </w:tcBorders>
            <w:shd w:val="clear" w:color="auto" w:fill="auto"/>
            <w:vAlign w:val="center"/>
          </w:tcPr>
          <w:p w14:paraId="21853DC8" w14:textId="71F1FE0B"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4 318 967</w:t>
            </w:r>
          </w:p>
        </w:tc>
      </w:tr>
      <w:tr w:rsidR="00A27896" w:rsidRPr="00A27896" w14:paraId="269F071F" w14:textId="3037DC0B" w:rsidTr="00D55032">
        <w:trPr>
          <w:trHeight w:val="224"/>
        </w:trPr>
        <w:tc>
          <w:tcPr>
            <w:tcW w:w="832" w:type="pct"/>
            <w:tcBorders>
              <w:top w:val="single" w:sz="4" w:space="0" w:color="17365D"/>
              <w:bottom w:val="single" w:sz="4" w:space="0" w:color="17365D"/>
            </w:tcBorders>
            <w:shd w:val="clear" w:color="auto" w:fill="auto"/>
            <w:vAlign w:val="center"/>
            <w:hideMark/>
          </w:tcPr>
          <w:p w14:paraId="0470241D" w14:textId="77777777" w:rsidR="00EC6774" w:rsidRPr="00A27896" w:rsidRDefault="00EC6774" w:rsidP="00EC677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Nekustamā īpašuma nodoklis par ēkām un būvēm</w:t>
            </w:r>
          </w:p>
        </w:tc>
        <w:tc>
          <w:tcPr>
            <w:tcW w:w="530" w:type="pct"/>
            <w:tcBorders>
              <w:top w:val="single" w:sz="4" w:space="0" w:color="17365D"/>
              <w:bottom w:val="single" w:sz="4" w:space="0" w:color="17365D"/>
            </w:tcBorders>
            <w:shd w:val="clear" w:color="auto" w:fill="auto"/>
            <w:noWrap/>
            <w:vAlign w:val="center"/>
          </w:tcPr>
          <w:p w14:paraId="5D261572" w14:textId="3CCDBB12"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3 404 798</w:t>
            </w:r>
          </w:p>
        </w:tc>
        <w:tc>
          <w:tcPr>
            <w:tcW w:w="530" w:type="pct"/>
            <w:tcBorders>
              <w:top w:val="single" w:sz="4" w:space="0" w:color="17365D"/>
              <w:bottom w:val="single" w:sz="4" w:space="0" w:color="17365D"/>
            </w:tcBorders>
            <w:shd w:val="clear" w:color="auto" w:fill="auto"/>
            <w:noWrap/>
            <w:vAlign w:val="center"/>
          </w:tcPr>
          <w:p w14:paraId="19119700" w14:textId="611DAC91"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2 062 960</w:t>
            </w:r>
          </w:p>
        </w:tc>
        <w:tc>
          <w:tcPr>
            <w:tcW w:w="530" w:type="pct"/>
            <w:tcBorders>
              <w:top w:val="single" w:sz="4" w:space="0" w:color="17365D"/>
              <w:bottom w:val="single" w:sz="4" w:space="0" w:color="17365D"/>
            </w:tcBorders>
            <w:shd w:val="clear" w:color="auto" w:fill="auto"/>
            <w:noWrap/>
            <w:vAlign w:val="center"/>
          </w:tcPr>
          <w:p w14:paraId="52DA93A5" w14:textId="19687628"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1 086 777</w:t>
            </w:r>
          </w:p>
        </w:tc>
        <w:tc>
          <w:tcPr>
            <w:tcW w:w="532" w:type="pct"/>
            <w:tcBorders>
              <w:top w:val="single" w:sz="4" w:space="0" w:color="17365D"/>
              <w:bottom w:val="single" w:sz="4" w:space="0" w:color="17365D"/>
            </w:tcBorders>
            <w:shd w:val="clear" w:color="auto" w:fill="auto"/>
            <w:noWrap/>
            <w:vAlign w:val="center"/>
          </w:tcPr>
          <w:p w14:paraId="265F0712" w14:textId="54BF5EE1"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2 449 227</w:t>
            </w:r>
          </w:p>
        </w:tc>
        <w:tc>
          <w:tcPr>
            <w:tcW w:w="533" w:type="pct"/>
            <w:tcBorders>
              <w:top w:val="single" w:sz="4" w:space="0" w:color="17365D"/>
              <w:bottom w:val="single" w:sz="4" w:space="0" w:color="17365D"/>
            </w:tcBorders>
            <w:shd w:val="clear" w:color="auto" w:fill="auto"/>
            <w:vAlign w:val="center"/>
          </w:tcPr>
          <w:p w14:paraId="6C43B00A" w14:textId="59CA33F8"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3 571 702</w:t>
            </w:r>
          </w:p>
        </w:tc>
        <w:tc>
          <w:tcPr>
            <w:tcW w:w="504" w:type="pct"/>
            <w:tcBorders>
              <w:top w:val="single" w:sz="4" w:space="0" w:color="17365D"/>
              <w:bottom w:val="single" w:sz="4" w:space="0" w:color="17365D"/>
            </w:tcBorders>
            <w:shd w:val="clear" w:color="auto" w:fill="auto"/>
            <w:vAlign w:val="center"/>
          </w:tcPr>
          <w:p w14:paraId="595C2EEE" w14:textId="40C31BA1"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2 400 663</w:t>
            </w:r>
          </w:p>
        </w:tc>
        <w:tc>
          <w:tcPr>
            <w:tcW w:w="504" w:type="pct"/>
            <w:tcBorders>
              <w:top w:val="single" w:sz="4" w:space="0" w:color="17365D"/>
              <w:bottom w:val="single" w:sz="4" w:space="0" w:color="17365D"/>
            </w:tcBorders>
            <w:shd w:val="clear" w:color="auto" w:fill="auto"/>
            <w:vAlign w:val="center"/>
          </w:tcPr>
          <w:p w14:paraId="34F7B352" w14:textId="7E02AA57"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1 288 963</w:t>
            </w:r>
          </w:p>
        </w:tc>
        <w:tc>
          <w:tcPr>
            <w:tcW w:w="505" w:type="pct"/>
            <w:tcBorders>
              <w:top w:val="single" w:sz="4" w:space="0" w:color="17365D"/>
              <w:bottom w:val="single" w:sz="4" w:space="0" w:color="17365D"/>
            </w:tcBorders>
            <w:shd w:val="clear" w:color="auto" w:fill="auto"/>
            <w:vAlign w:val="center"/>
          </w:tcPr>
          <w:p w14:paraId="047DAB79" w14:textId="0C68AEC8"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2 333 576</w:t>
            </w:r>
          </w:p>
        </w:tc>
      </w:tr>
      <w:tr w:rsidR="00A27896" w:rsidRPr="00A27896" w14:paraId="3F6FA918" w14:textId="4F3D3455" w:rsidTr="00D55032">
        <w:trPr>
          <w:trHeight w:val="194"/>
        </w:trPr>
        <w:tc>
          <w:tcPr>
            <w:tcW w:w="832" w:type="pct"/>
            <w:tcBorders>
              <w:top w:val="single" w:sz="4" w:space="0" w:color="17365D"/>
              <w:bottom w:val="single" w:sz="4" w:space="0" w:color="17365D"/>
            </w:tcBorders>
            <w:shd w:val="clear" w:color="auto" w:fill="auto"/>
            <w:vAlign w:val="center"/>
            <w:hideMark/>
          </w:tcPr>
          <w:p w14:paraId="3DE0F1F9" w14:textId="77777777" w:rsidR="00EC6774" w:rsidRPr="00A27896" w:rsidRDefault="00EC6774" w:rsidP="00EC677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Nekustamā īpašuma nodoklis par mājokļiem</w:t>
            </w:r>
          </w:p>
        </w:tc>
        <w:tc>
          <w:tcPr>
            <w:tcW w:w="530" w:type="pct"/>
            <w:tcBorders>
              <w:top w:val="single" w:sz="4" w:space="0" w:color="17365D"/>
              <w:bottom w:val="single" w:sz="4" w:space="0" w:color="17365D"/>
            </w:tcBorders>
            <w:shd w:val="clear" w:color="auto" w:fill="auto"/>
            <w:noWrap/>
            <w:vAlign w:val="center"/>
          </w:tcPr>
          <w:p w14:paraId="79AFC2C2" w14:textId="2693319B"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3 104 589</w:t>
            </w:r>
          </w:p>
        </w:tc>
        <w:tc>
          <w:tcPr>
            <w:tcW w:w="530" w:type="pct"/>
            <w:tcBorders>
              <w:top w:val="single" w:sz="4" w:space="0" w:color="17365D"/>
              <w:bottom w:val="single" w:sz="4" w:space="0" w:color="17365D"/>
            </w:tcBorders>
            <w:shd w:val="clear" w:color="auto" w:fill="auto"/>
            <w:noWrap/>
            <w:vAlign w:val="center"/>
          </w:tcPr>
          <w:p w14:paraId="66CF7C7E" w14:textId="51AE50F9"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1 304 861</w:t>
            </w:r>
          </w:p>
        </w:tc>
        <w:tc>
          <w:tcPr>
            <w:tcW w:w="530" w:type="pct"/>
            <w:tcBorders>
              <w:top w:val="single" w:sz="4" w:space="0" w:color="17365D"/>
              <w:bottom w:val="single" w:sz="4" w:space="0" w:color="17365D"/>
            </w:tcBorders>
            <w:shd w:val="clear" w:color="auto" w:fill="auto"/>
            <w:noWrap/>
            <w:vAlign w:val="center"/>
          </w:tcPr>
          <w:p w14:paraId="40E7DCE4" w14:textId="730CB52C"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521 329</w:t>
            </w:r>
          </w:p>
        </w:tc>
        <w:tc>
          <w:tcPr>
            <w:tcW w:w="532" w:type="pct"/>
            <w:tcBorders>
              <w:top w:val="single" w:sz="4" w:space="0" w:color="17365D"/>
              <w:bottom w:val="single" w:sz="4" w:space="0" w:color="17365D"/>
            </w:tcBorders>
            <w:shd w:val="clear" w:color="auto" w:fill="auto"/>
            <w:noWrap/>
            <w:vAlign w:val="center"/>
          </w:tcPr>
          <w:p w14:paraId="1A11FEFB" w14:textId="1B129B8D"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887 590</w:t>
            </w:r>
          </w:p>
        </w:tc>
        <w:tc>
          <w:tcPr>
            <w:tcW w:w="533" w:type="pct"/>
            <w:tcBorders>
              <w:top w:val="single" w:sz="4" w:space="0" w:color="17365D"/>
              <w:bottom w:val="single" w:sz="4" w:space="0" w:color="17365D"/>
            </w:tcBorders>
            <w:shd w:val="clear" w:color="auto" w:fill="auto"/>
            <w:vAlign w:val="center"/>
          </w:tcPr>
          <w:p w14:paraId="60E19098" w14:textId="1EBDBE29"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2 946 594</w:t>
            </w:r>
          </w:p>
        </w:tc>
        <w:tc>
          <w:tcPr>
            <w:tcW w:w="504" w:type="pct"/>
            <w:tcBorders>
              <w:top w:val="single" w:sz="4" w:space="0" w:color="17365D"/>
              <w:bottom w:val="single" w:sz="4" w:space="0" w:color="17365D"/>
            </w:tcBorders>
            <w:shd w:val="clear" w:color="auto" w:fill="auto"/>
            <w:vAlign w:val="center"/>
          </w:tcPr>
          <w:p w14:paraId="46208A9E" w14:textId="376ED23F"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1 352 289</w:t>
            </w:r>
          </w:p>
        </w:tc>
        <w:tc>
          <w:tcPr>
            <w:tcW w:w="504" w:type="pct"/>
            <w:tcBorders>
              <w:top w:val="single" w:sz="4" w:space="0" w:color="17365D"/>
              <w:bottom w:val="single" w:sz="4" w:space="0" w:color="17365D"/>
            </w:tcBorders>
            <w:shd w:val="clear" w:color="auto" w:fill="auto"/>
            <w:vAlign w:val="center"/>
          </w:tcPr>
          <w:p w14:paraId="2D583F7C" w14:textId="42B85E5E"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476 667</w:t>
            </w:r>
          </w:p>
        </w:tc>
        <w:tc>
          <w:tcPr>
            <w:tcW w:w="505" w:type="pct"/>
            <w:tcBorders>
              <w:top w:val="single" w:sz="4" w:space="0" w:color="17365D"/>
              <w:bottom w:val="single" w:sz="4" w:space="0" w:color="17365D"/>
            </w:tcBorders>
            <w:shd w:val="clear" w:color="auto" w:fill="auto"/>
            <w:vAlign w:val="center"/>
          </w:tcPr>
          <w:p w14:paraId="6A9166BD" w14:textId="1677D2C2" w:rsidR="00EC6774" w:rsidRPr="00A27896" w:rsidRDefault="00EC6774" w:rsidP="00EC6774">
            <w:pPr>
              <w:spacing w:after="0" w:line="240" w:lineRule="auto"/>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843 895</w:t>
            </w:r>
          </w:p>
        </w:tc>
      </w:tr>
      <w:tr w:rsidR="00A27896" w:rsidRPr="00A27896" w14:paraId="3FDFB4BF" w14:textId="74C49882" w:rsidTr="00D55032">
        <w:trPr>
          <w:trHeight w:val="194"/>
        </w:trPr>
        <w:tc>
          <w:tcPr>
            <w:tcW w:w="832" w:type="pct"/>
            <w:tcBorders>
              <w:top w:val="single" w:sz="4" w:space="0" w:color="17365D"/>
            </w:tcBorders>
            <w:shd w:val="clear" w:color="auto" w:fill="B9CDE5"/>
            <w:vAlign w:val="center"/>
            <w:hideMark/>
          </w:tcPr>
          <w:p w14:paraId="39B6C341" w14:textId="17391C5F" w:rsidR="00EC6774" w:rsidRPr="00A27896" w:rsidRDefault="00EC6774" w:rsidP="00EC6774">
            <w:pPr>
              <w:spacing w:after="0" w:line="240" w:lineRule="auto"/>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w:t>
            </w:r>
          </w:p>
        </w:tc>
        <w:tc>
          <w:tcPr>
            <w:tcW w:w="530" w:type="pct"/>
            <w:tcBorders>
              <w:top w:val="single" w:sz="4" w:space="0" w:color="17365D"/>
            </w:tcBorders>
            <w:shd w:val="clear" w:color="auto" w:fill="B8CCE4" w:themeFill="accent1" w:themeFillTint="66"/>
            <w:noWrap/>
            <w:vAlign w:val="center"/>
          </w:tcPr>
          <w:p w14:paraId="336D5DAB" w14:textId="73B720F3" w:rsidR="00EC6774" w:rsidRPr="00A27896" w:rsidRDefault="00EC6774" w:rsidP="00D55032">
            <w:pPr>
              <w:spacing w:after="0"/>
              <w:ind w:left="-113"/>
              <w:jc w:val="right"/>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13 668 865</w:t>
            </w:r>
          </w:p>
        </w:tc>
        <w:tc>
          <w:tcPr>
            <w:tcW w:w="530" w:type="pct"/>
            <w:tcBorders>
              <w:top w:val="single" w:sz="4" w:space="0" w:color="17365D"/>
            </w:tcBorders>
            <w:shd w:val="clear" w:color="auto" w:fill="B8CCE4" w:themeFill="accent1" w:themeFillTint="66"/>
            <w:noWrap/>
            <w:vAlign w:val="center"/>
          </w:tcPr>
          <w:p w14:paraId="05AF46C9" w14:textId="3D3CF931" w:rsidR="00EC6774" w:rsidRPr="00A27896" w:rsidRDefault="00EC6774" w:rsidP="00D55032">
            <w:pPr>
              <w:spacing w:after="0"/>
              <w:ind w:left="-113"/>
              <w:jc w:val="right"/>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6 679 610</w:t>
            </w:r>
          </w:p>
        </w:tc>
        <w:tc>
          <w:tcPr>
            <w:tcW w:w="530" w:type="pct"/>
            <w:tcBorders>
              <w:top w:val="single" w:sz="4" w:space="0" w:color="17365D"/>
            </w:tcBorders>
            <w:shd w:val="clear" w:color="auto" w:fill="B8CCE4" w:themeFill="accent1" w:themeFillTint="66"/>
            <w:noWrap/>
            <w:vAlign w:val="center"/>
          </w:tcPr>
          <w:p w14:paraId="303B4272" w14:textId="50E5CE35" w:rsidR="00EC6774" w:rsidRPr="00A27896" w:rsidRDefault="00EC6774" w:rsidP="00D55032">
            <w:pPr>
              <w:spacing w:after="0"/>
              <w:ind w:left="-113"/>
              <w:jc w:val="right"/>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3 216 431</w:t>
            </w:r>
          </w:p>
        </w:tc>
        <w:tc>
          <w:tcPr>
            <w:tcW w:w="532" w:type="pct"/>
            <w:tcBorders>
              <w:top w:val="single" w:sz="4" w:space="0" w:color="17365D"/>
            </w:tcBorders>
            <w:shd w:val="clear" w:color="auto" w:fill="B8CCE4" w:themeFill="accent1" w:themeFillTint="66"/>
            <w:noWrap/>
            <w:vAlign w:val="center"/>
          </w:tcPr>
          <w:p w14:paraId="6C70D672" w14:textId="661CD4B6" w:rsidR="00EC6774" w:rsidRPr="00A27896" w:rsidRDefault="00EC6774" w:rsidP="00D55032">
            <w:pPr>
              <w:spacing w:after="0"/>
              <w:ind w:left="-113"/>
              <w:jc w:val="right"/>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7 602 136</w:t>
            </w:r>
          </w:p>
        </w:tc>
        <w:tc>
          <w:tcPr>
            <w:tcW w:w="533" w:type="pct"/>
            <w:tcBorders>
              <w:top w:val="single" w:sz="4" w:space="0" w:color="17365D"/>
            </w:tcBorders>
            <w:shd w:val="clear" w:color="auto" w:fill="B8CCE4" w:themeFill="accent1" w:themeFillTint="66"/>
            <w:vAlign w:val="center"/>
          </w:tcPr>
          <w:p w14:paraId="4A3693C6" w14:textId="0ED2DC30" w:rsidR="00EC6774" w:rsidRPr="00A27896" w:rsidRDefault="00EC6774" w:rsidP="00D55032">
            <w:pPr>
              <w:spacing w:after="0"/>
              <w:ind w:left="-113"/>
              <w:jc w:val="right"/>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14 326 691</w:t>
            </w:r>
          </w:p>
        </w:tc>
        <w:tc>
          <w:tcPr>
            <w:tcW w:w="504" w:type="pct"/>
            <w:tcBorders>
              <w:top w:val="single" w:sz="4" w:space="0" w:color="17365D"/>
            </w:tcBorders>
            <w:shd w:val="clear" w:color="auto" w:fill="B8CCE4" w:themeFill="accent1" w:themeFillTint="66"/>
            <w:vAlign w:val="center"/>
          </w:tcPr>
          <w:p w14:paraId="13E174DB" w14:textId="59C0ACBB" w:rsidR="00EC6774" w:rsidRPr="00A27896" w:rsidRDefault="00EC6774" w:rsidP="00D55032">
            <w:pPr>
              <w:spacing w:after="0"/>
              <w:ind w:left="-113"/>
              <w:jc w:val="right"/>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7 523 729</w:t>
            </w:r>
          </w:p>
        </w:tc>
        <w:tc>
          <w:tcPr>
            <w:tcW w:w="504" w:type="pct"/>
            <w:tcBorders>
              <w:top w:val="single" w:sz="4" w:space="0" w:color="17365D"/>
            </w:tcBorders>
            <w:shd w:val="clear" w:color="auto" w:fill="B8CCE4" w:themeFill="accent1" w:themeFillTint="66"/>
            <w:vAlign w:val="center"/>
          </w:tcPr>
          <w:p w14:paraId="6194E4D1" w14:textId="15A58980" w:rsidR="00EC6774" w:rsidRPr="00A27896" w:rsidRDefault="00EC6774" w:rsidP="00D55032">
            <w:pPr>
              <w:spacing w:after="0"/>
              <w:ind w:left="-113"/>
              <w:jc w:val="right"/>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3 394 470</w:t>
            </w:r>
          </w:p>
        </w:tc>
        <w:tc>
          <w:tcPr>
            <w:tcW w:w="505" w:type="pct"/>
            <w:tcBorders>
              <w:top w:val="single" w:sz="4" w:space="0" w:color="17365D"/>
            </w:tcBorders>
            <w:shd w:val="clear" w:color="auto" w:fill="B8CCE4" w:themeFill="accent1" w:themeFillTint="66"/>
            <w:vAlign w:val="center"/>
          </w:tcPr>
          <w:p w14:paraId="356D02A7" w14:textId="1FA63B56" w:rsidR="00EC6774" w:rsidRPr="00A27896" w:rsidRDefault="00EC6774" w:rsidP="00D55032">
            <w:pPr>
              <w:spacing w:after="0"/>
              <w:ind w:left="-113"/>
              <w:jc w:val="right"/>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7 496 438</w:t>
            </w:r>
          </w:p>
        </w:tc>
      </w:tr>
    </w:tbl>
    <w:p w14:paraId="39DB7161" w14:textId="77777777" w:rsidR="00CE6606" w:rsidRPr="00A27896" w:rsidRDefault="00CE6606" w:rsidP="00BB3FA5">
      <w:pPr>
        <w:spacing w:after="120" w:line="240" w:lineRule="auto"/>
        <w:ind w:firstLine="284"/>
        <w:jc w:val="both"/>
        <w:rPr>
          <w:rFonts w:eastAsia="Times New Roman" w:cs="Times New Roman"/>
          <w:b/>
          <w:bCs/>
          <w:color w:val="17365D"/>
          <w:sz w:val="18"/>
          <w:szCs w:val="18"/>
          <w:lang w:eastAsia="lv-LV"/>
        </w:rPr>
      </w:pPr>
    </w:p>
    <w:p w14:paraId="6A9801A1" w14:textId="4C4A3406" w:rsidR="0057470D" w:rsidRPr="00A27896" w:rsidRDefault="0048672F" w:rsidP="0057470D">
      <w:pPr>
        <w:spacing w:after="120" w:line="240" w:lineRule="auto"/>
        <w:ind w:firstLine="284"/>
        <w:jc w:val="both"/>
        <w:rPr>
          <w:rFonts w:cs="Times New Roman"/>
          <w:color w:val="17365D"/>
        </w:rPr>
      </w:pPr>
      <w:r w:rsidRPr="00A27896">
        <w:rPr>
          <w:rFonts w:cs="Times New Roman"/>
          <w:color w:val="17365D"/>
        </w:rPr>
        <w:t>Pārskata gadā piešķirt</w:t>
      </w:r>
      <w:r w:rsidR="003E7CEB" w:rsidRPr="00A27896">
        <w:rPr>
          <w:rFonts w:cs="Times New Roman"/>
          <w:color w:val="17365D"/>
        </w:rPr>
        <w:t>o</w:t>
      </w:r>
      <w:r w:rsidRPr="00A27896">
        <w:rPr>
          <w:rFonts w:cs="Times New Roman"/>
          <w:color w:val="17365D"/>
        </w:rPr>
        <w:t xml:space="preserve"> </w:t>
      </w:r>
      <w:r w:rsidR="00BB3FA5" w:rsidRPr="00A27896">
        <w:rPr>
          <w:rFonts w:cs="Times New Roman"/>
          <w:color w:val="17365D"/>
        </w:rPr>
        <w:t xml:space="preserve">nekustamā īpašuma </w:t>
      </w:r>
      <w:r w:rsidRPr="00A27896">
        <w:rPr>
          <w:rFonts w:cs="Times New Roman"/>
          <w:color w:val="17365D"/>
        </w:rPr>
        <w:t>nodokļ</w:t>
      </w:r>
      <w:r w:rsidR="00BB3FA5" w:rsidRPr="00A27896">
        <w:rPr>
          <w:rFonts w:cs="Times New Roman"/>
          <w:color w:val="17365D"/>
        </w:rPr>
        <w:t>a</w:t>
      </w:r>
      <w:r w:rsidRPr="00A27896">
        <w:rPr>
          <w:rFonts w:cs="Times New Roman"/>
          <w:color w:val="17365D"/>
        </w:rPr>
        <w:t xml:space="preserve"> atvieglojum</w:t>
      </w:r>
      <w:r w:rsidR="003E7CEB" w:rsidRPr="00A27896">
        <w:rPr>
          <w:rFonts w:cs="Times New Roman"/>
          <w:color w:val="17365D"/>
        </w:rPr>
        <w:t xml:space="preserve">u kopsumma norādīta </w:t>
      </w:r>
      <w:r w:rsidR="00CE6606" w:rsidRPr="00A27896">
        <w:rPr>
          <w:rFonts w:cs="Times New Roman"/>
          <w:color w:val="17365D"/>
        </w:rPr>
        <w:t>1</w:t>
      </w:r>
      <w:r w:rsidR="00241FC4" w:rsidRPr="00A27896">
        <w:rPr>
          <w:rFonts w:cs="Times New Roman"/>
          <w:color w:val="17365D"/>
        </w:rPr>
        <w:t>3</w:t>
      </w:r>
      <w:r w:rsidR="007E57EC" w:rsidRPr="00A27896">
        <w:rPr>
          <w:rFonts w:cs="Times New Roman"/>
          <w:color w:val="17365D"/>
        </w:rPr>
        <w:t>. </w:t>
      </w:r>
      <w:r w:rsidR="003E7CEB" w:rsidRPr="00A27896">
        <w:rPr>
          <w:rFonts w:cs="Times New Roman"/>
          <w:color w:val="17365D"/>
        </w:rPr>
        <w:t>tabulā</w:t>
      </w:r>
      <w:r w:rsidR="00BB3FA5" w:rsidRPr="00A27896">
        <w:rPr>
          <w:rFonts w:cs="Times New Roman"/>
          <w:color w:val="17365D"/>
        </w:rPr>
        <w:t>. Visbiežāk nodokļa</w:t>
      </w:r>
      <w:r w:rsidR="003E7CEB" w:rsidRPr="00A27896">
        <w:rPr>
          <w:rFonts w:cs="Times New Roman"/>
          <w:color w:val="17365D"/>
        </w:rPr>
        <w:t xml:space="preserve"> atvieglojumi piešķirti invalīdiem, maznodrošinātām un </w:t>
      </w:r>
      <w:proofErr w:type="spellStart"/>
      <w:r w:rsidR="003E7CEB" w:rsidRPr="00A27896">
        <w:rPr>
          <w:rFonts w:cs="Times New Roman"/>
          <w:color w:val="17365D"/>
        </w:rPr>
        <w:t>daudzbērnu</w:t>
      </w:r>
      <w:proofErr w:type="spellEnd"/>
      <w:r w:rsidR="003E7CEB" w:rsidRPr="00A27896">
        <w:rPr>
          <w:rFonts w:cs="Times New Roman"/>
          <w:color w:val="17365D"/>
        </w:rPr>
        <w:t xml:space="preserve"> ģimenēm, kā arī</w:t>
      </w:r>
      <w:r w:rsidR="000842CA" w:rsidRPr="00A27896">
        <w:rPr>
          <w:rFonts w:cs="Times New Roman"/>
          <w:color w:val="17365D"/>
        </w:rPr>
        <w:t xml:space="preserve"> par nekustamo īpašumu uzņēmējdarbības veikšanai, kas atbilst noteiktiem kritērijiem</w:t>
      </w:r>
      <w:r w:rsidR="003E7CEB" w:rsidRPr="00A27896">
        <w:rPr>
          <w:rFonts w:cs="Times New Roman"/>
          <w:color w:val="17365D"/>
        </w:rPr>
        <w:t xml:space="preserve">. </w:t>
      </w:r>
    </w:p>
    <w:p w14:paraId="741CC23D" w14:textId="632DAECE" w:rsidR="005B5D45" w:rsidRPr="00A27896" w:rsidRDefault="005B5D45" w:rsidP="0057470D">
      <w:pPr>
        <w:spacing w:after="120" w:line="240" w:lineRule="auto"/>
        <w:ind w:firstLine="284"/>
        <w:jc w:val="right"/>
        <w:rPr>
          <w:rFonts w:cs="Times New Roman"/>
          <w:color w:val="17365D"/>
        </w:rPr>
      </w:pPr>
      <w:r w:rsidRPr="00A27896">
        <w:rPr>
          <w:rFonts w:eastAsia="Times New Roman" w:cs="Times New Roman"/>
          <w:i/>
          <w:color w:val="17365D"/>
          <w:sz w:val="20"/>
          <w:szCs w:val="20"/>
          <w:lang w:eastAsia="lv-LV"/>
        </w:rPr>
        <w:t>1</w:t>
      </w:r>
      <w:r w:rsidR="00241FC4" w:rsidRPr="00A27896">
        <w:rPr>
          <w:rFonts w:eastAsia="Times New Roman" w:cs="Times New Roman"/>
          <w:i/>
          <w:color w:val="17365D"/>
          <w:sz w:val="20"/>
          <w:szCs w:val="20"/>
          <w:lang w:eastAsia="lv-LV"/>
        </w:rPr>
        <w:t>3</w:t>
      </w:r>
      <w:r w:rsidRPr="00A27896">
        <w:rPr>
          <w:rFonts w:eastAsia="Times New Roman" w:cs="Times New Roman"/>
          <w:i/>
          <w:color w:val="17365D"/>
          <w:sz w:val="20"/>
          <w:szCs w:val="20"/>
          <w:lang w:eastAsia="lv-LV"/>
        </w:rPr>
        <w:t>. tabula. Piešķirtie nodokļu atvieglojumi (</w:t>
      </w:r>
      <w:proofErr w:type="spellStart"/>
      <w:r w:rsidRPr="00A27896">
        <w:rPr>
          <w:rFonts w:eastAsia="Times New Roman" w:cs="Times New Roman"/>
          <w:i/>
          <w:color w:val="17365D"/>
          <w:sz w:val="20"/>
          <w:szCs w:val="20"/>
          <w:lang w:eastAsia="lv-LV"/>
        </w:rPr>
        <w:t>euro</w:t>
      </w:r>
      <w:proofErr w:type="spellEnd"/>
      <w:r w:rsidRPr="00A27896">
        <w:rPr>
          <w:rFonts w:eastAsia="Times New Roman" w:cs="Times New Roman"/>
          <w:i/>
          <w:color w:val="17365D"/>
          <w:sz w:val="20"/>
          <w:szCs w:val="20"/>
          <w:lang w:eastAsia="lv-LV"/>
        </w:rPr>
        <w:t>)</w:t>
      </w:r>
    </w:p>
    <w:tbl>
      <w:tblPr>
        <w:tblW w:w="5000" w:type="pct"/>
        <w:tblLook w:val="04A0" w:firstRow="1" w:lastRow="0" w:firstColumn="1" w:lastColumn="0" w:noHBand="0" w:noVBand="1"/>
      </w:tblPr>
      <w:tblGrid>
        <w:gridCol w:w="5684"/>
        <w:gridCol w:w="1835"/>
        <w:gridCol w:w="1835"/>
      </w:tblGrid>
      <w:tr w:rsidR="000C1009" w:rsidRPr="00A27896" w14:paraId="6393D9F6" w14:textId="7249620E" w:rsidTr="00581A8F">
        <w:trPr>
          <w:trHeight w:val="684"/>
          <w:tblHeader/>
        </w:trPr>
        <w:tc>
          <w:tcPr>
            <w:tcW w:w="3038" w:type="pct"/>
            <w:tcBorders>
              <w:bottom w:val="single" w:sz="4" w:space="0" w:color="17365D"/>
            </w:tcBorders>
            <w:shd w:val="clear" w:color="auto" w:fill="B9CDE5"/>
            <w:vAlign w:val="center"/>
            <w:hideMark/>
          </w:tcPr>
          <w:p w14:paraId="6A601405" w14:textId="396AB64E" w:rsidR="007A0E27" w:rsidRPr="00A27896" w:rsidRDefault="007A0E27" w:rsidP="00D92FFA">
            <w:pPr>
              <w:spacing w:after="0"/>
              <w:jc w:val="center"/>
              <w:rPr>
                <w:rFonts w:eastAsia="Times New Roman" w:cs="Times New Roman"/>
                <w:b/>
                <w:color w:val="17365D"/>
                <w:sz w:val="18"/>
                <w:szCs w:val="18"/>
                <w:highlight w:val="yellow"/>
                <w:lang w:eastAsia="lv-LV"/>
              </w:rPr>
            </w:pPr>
            <w:r w:rsidRPr="00A27896">
              <w:rPr>
                <w:rFonts w:eastAsia="Times New Roman" w:cs="Times New Roman"/>
                <w:b/>
                <w:color w:val="17365D"/>
                <w:sz w:val="18"/>
                <w:szCs w:val="18"/>
                <w:lang w:eastAsia="lv-LV"/>
              </w:rPr>
              <w:t>Ieņēmumu klasifikācijas nosaukums</w:t>
            </w:r>
          </w:p>
        </w:tc>
        <w:tc>
          <w:tcPr>
            <w:tcW w:w="981" w:type="pct"/>
            <w:tcBorders>
              <w:bottom w:val="single" w:sz="4" w:space="0" w:color="17365D"/>
            </w:tcBorders>
            <w:shd w:val="clear" w:color="auto" w:fill="B9CDE5"/>
            <w:vAlign w:val="center"/>
            <w:hideMark/>
          </w:tcPr>
          <w:p w14:paraId="02ECE813" w14:textId="5D63AA92" w:rsidR="007A0E27" w:rsidRPr="00A27896" w:rsidRDefault="007A0E27" w:rsidP="00B93375">
            <w:pPr>
              <w:spacing w:after="0"/>
              <w:jc w:val="center"/>
              <w:rPr>
                <w:rFonts w:eastAsia="Times New Roman" w:cs="Times New Roman"/>
                <w:b/>
                <w:color w:val="17365D"/>
                <w:sz w:val="18"/>
                <w:szCs w:val="18"/>
                <w:highlight w:val="yellow"/>
                <w:lang w:eastAsia="lv-LV"/>
              </w:rPr>
            </w:pPr>
            <w:r w:rsidRPr="00A27896">
              <w:rPr>
                <w:rFonts w:eastAsia="Times New Roman" w:cs="Times New Roman"/>
                <w:b/>
                <w:color w:val="17365D"/>
                <w:sz w:val="18"/>
                <w:szCs w:val="18"/>
                <w:lang w:eastAsia="lv-LV"/>
              </w:rPr>
              <w:t>Pārskata perioda beigās</w:t>
            </w:r>
          </w:p>
        </w:tc>
        <w:tc>
          <w:tcPr>
            <w:tcW w:w="981" w:type="pct"/>
            <w:tcBorders>
              <w:bottom w:val="single" w:sz="4" w:space="0" w:color="17365D"/>
            </w:tcBorders>
            <w:shd w:val="clear" w:color="auto" w:fill="B9CDE5"/>
            <w:vAlign w:val="center"/>
          </w:tcPr>
          <w:p w14:paraId="0443B1CB" w14:textId="070340CA" w:rsidR="007A0E27" w:rsidRPr="00A27896" w:rsidRDefault="007A0E27" w:rsidP="00B9337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r>
      <w:tr w:rsidR="000C1009" w:rsidRPr="00A27896" w14:paraId="6660F5E7" w14:textId="34087238" w:rsidTr="00581A8F">
        <w:trPr>
          <w:trHeight w:val="266"/>
        </w:trPr>
        <w:tc>
          <w:tcPr>
            <w:tcW w:w="3038" w:type="pct"/>
            <w:tcBorders>
              <w:top w:val="single" w:sz="4" w:space="0" w:color="17365D"/>
              <w:bottom w:val="single" w:sz="4" w:space="0" w:color="17365D"/>
            </w:tcBorders>
            <w:shd w:val="clear" w:color="auto" w:fill="auto"/>
            <w:vAlign w:val="center"/>
            <w:hideMark/>
          </w:tcPr>
          <w:p w14:paraId="3A1DB15F" w14:textId="77777777" w:rsidR="007A0E27" w:rsidRPr="00A27896" w:rsidRDefault="007A0E27" w:rsidP="00D92FF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981" w:type="pct"/>
            <w:tcBorders>
              <w:top w:val="single" w:sz="4" w:space="0" w:color="17365D"/>
              <w:bottom w:val="single" w:sz="4" w:space="0" w:color="17365D"/>
            </w:tcBorders>
            <w:shd w:val="clear" w:color="auto" w:fill="auto"/>
            <w:vAlign w:val="center"/>
            <w:hideMark/>
          </w:tcPr>
          <w:p w14:paraId="202A5EC8" w14:textId="46F9C0BE" w:rsidR="007A0E27" w:rsidRPr="00A27896" w:rsidRDefault="007A0E27" w:rsidP="00B9337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981" w:type="pct"/>
            <w:tcBorders>
              <w:top w:val="single" w:sz="4" w:space="0" w:color="17365D"/>
              <w:bottom w:val="single" w:sz="4" w:space="0" w:color="17365D"/>
            </w:tcBorders>
            <w:vAlign w:val="center"/>
          </w:tcPr>
          <w:p w14:paraId="43128E08" w14:textId="57F8E199" w:rsidR="007A0E27" w:rsidRPr="00A27896" w:rsidRDefault="007A0E27" w:rsidP="00B9337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r>
      <w:tr w:rsidR="000C1009" w:rsidRPr="00A27896" w14:paraId="1029FAEB" w14:textId="39DFB1E2" w:rsidTr="00581A8F">
        <w:trPr>
          <w:trHeight w:val="266"/>
        </w:trPr>
        <w:tc>
          <w:tcPr>
            <w:tcW w:w="3038" w:type="pct"/>
            <w:tcBorders>
              <w:top w:val="single" w:sz="4" w:space="0" w:color="17365D"/>
              <w:bottom w:val="single" w:sz="4" w:space="0" w:color="17365D"/>
            </w:tcBorders>
            <w:shd w:val="clear" w:color="auto" w:fill="auto"/>
            <w:vAlign w:val="center"/>
            <w:hideMark/>
          </w:tcPr>
          <w:p w14:paraId="30C67C81" w14:textId="13F07979" w:rsidR="007A0E27" w:rsidRPr="00A27896" w:rsidRDefault="007A0E27" w:rsidP="007A0E27">
            <w:pPr>
              <w:spacing w:after="0" w:line="240" w:lineRule="auto"/>
              <w:rPr>
                <w:rFonts w:eastAsia="Times New Roman" w:cs="Times New Roman"/>
                <w:color w:val="17365D"/>
                <w:sz w:val="18"/>
                <w:szCs w:val="18"/>
                <w:highlight w:val="yellow"/>
                <w:lang w:eastAsia="lv-LV"/>
              </w:rPr>
            </w:pPr>
            <w:r w:rsidRPr="00A27896">
              <w:rPr>
                <w:rFonts w:eastAsia="Times New Roman" w:cs="Times New Roman"/>
                <w:color w:val="17365D"/>
                <w:sz w:val="18"/>
                <w:szCs w:val="18"/>
                <w:lang w:eastAsia="lv-LV"/>
              </w:rPr>
              <w:t>Nekustamā īpašuma nodoklis par zemi</w:t>
            </w:r>
          </w:p>
        </w:tc>
        <w:tc>
          <w:tcPr>
            <w:tcW w:w="981" w:type="pct"/>
            <w:tcBorders>
              <w:top w:val="single" w:sz="4" w:space="0" w:color="17365D"/>
              <w:bottom w:val="single" w:sz="4" w:space="0" w:color="17365D"/>
            </w:tcBorders>
            <w:shd w:val="clear" w:color="auto" w:fill="auto"/>
            <w:vAlign w:val="center"/>
            <w:hideMark/>
          </w:tcPr>
          <w:p w14:paraId="49A335AF" w14:textId="0A04B348" w:rsidR="007A0E27" w:rsidRPr="00A27896" w:rsidRDefault="00B92C61" w:rsidP="00B9337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9 045 738</w:t>
            </w:r>
          </w:p>
        </w:tc>
        <w:tc>
          <w:tcPr>
            <w:tcW w:w="981" w:type="pct"/>
            <w:tcBorders>
              <w:top w:val="single" w:sz="4" w:space="0" w:color="17365D"/>
              <w:bottom w:val="single" w:sz="4" w:space="0" w:color="17365D"/>
            </w:tcBorders>
            <w:vAlign w:val="center"/>
          </w:tcPr>
          <w:p w14:paraId="55B7F0EF" w14:textId="2535825B" w:rsidR="007A0E27" w:rsidRPr="00A27896" w:rsidRDefault="00B92C61" w:rsidP="00B9337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9 319 902</w:t>
            </w:r>
          </w:p>
        </w:tc>
      </w:tr>
      <w:tr w:rsidR="00B92C61" w:rsidRPr="00A27896" w14:paraId="1E3809FA" w14:textId="0CA2E5C2" w:rsidTr="000842CA">
        <w:trPr>
          <w:trHeight w:val="266"/>
        </w:trPr>
        <w:tc>
          <w:tcPr>
            <w:tcW w:w="3038" w:type="pct"/>
            <w:tcBorders>
              <w:top w:val="single" w:sz="4" w:space="0" w:color="17365D"/>
              <w:bottom w:val="single" w:sz="4" w:space="0" w:color="17365D"/>
            </w:tcBorders>
            <w:shd w:val="clear" w:color="auto" w:fill="auto"/>
            <w:vAlign w:val="center"/>
          </w:tcPr>
          <w:p w14:paraId="3A0C7F0A" w14:textId="532822D0" w:rsidR="00B92C61" w:rsidRPr="00A27896" w:rsidRDefault="00B92C61" w:rsidP="00B92C6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Nekustamā īpašuma nodoklis par ēkām</w:t>
            </w:r>
          </w:p>
        </w:tc>
        <w:tc>
          <w:tcPr>
            <w:tcW w:w="981" w:type="pct"/>
            <w:tcBorders>
              <w:top w:val="single" w:sz="4" w:space="0" w:color="17365D"/>
              <w:bottom w:val="single" w:sz="4" w:space="0" w:color="17365D"/>
            </w:tcBorders>
            <w:shd w:val="clear" w:color="auto" w:fill="auto"/>
            <w:vAlign w:val="center"/>
          </w:tcPr>
          <w:p w14:paraId="0C72767B" w14:textId="7A0224FD" w:rsidR="00B92C61" w:rsidRPr="00A27896" w:rsidRDefault="00B92C61" w:rsidP="00B92C6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3 657 790</w:t>
            </w:r>
          </w:p>
        </w:tc>
        <w:tc>
          <w:tcPr>
            <w:tcW w:w="981" w:type="pct"/>
            <w:tcBorders>
              <w:top w:val="single" w:sz="4" w:space="0" w:color="17365D"/>
              <w:bottom w:val="single" w:sz="4" w:space="0" w:color="17365D"/>
            </w:tcBorders>
            <w:shd w:val="clear" w:color="auto" w:fill="auto"/>
            <w:vAlign w:val="center"/>
          </w:tcPr>
          <w:p w14:paraId="6054EA4A" w14:textId="1E24D769" w:rsidR="00B92C61" w:rsidRPr="00A27896" w:rsidRDefault="00B92C61" w:rsidP="00B92C6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4 364 368</w:t>
            </w:r>
          </w:p>
        </w:tc>
      </w:tr>
      <w:tr w:rsidR="00B92C61" w:rsidRPr="00A27896" w14:paraId="114BB750" w14:textId="34ACF62B" w:rsidTr="000842CA">
        <w:trPr>
          <w:trHeight w:val="266"/>
        </w:trPr>
        <w:tc>
          <w:tcPr>
            <w:tcW w:w="3038" w:type="pct"/>
            <w:tcBorders>
              <w:top w:val="single" w:sz="4" w:space="0" w:color="17365D"/>
              <w:bottom w:val="single" w:sz="4" w:space="0" w:color="17365D"/>
            </w:tcBorders>
            <w:shd w:val="clear" w:color="auto" w:fill="auto"/>
            <w:vAlign w:val="center"/>
          </w:tcPr>
          <w:p w14:paraId="27C55AB9" w14:textId="3855D086" w:rsidR="00B92C61" w:rsidRPr="00A27896" w:rsidRDefault="00B92C61" w:rsidP="00B92C6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Nekustamā īpašuma nodoklis par mājokļiem</w:t>
            </w:r>
          </w:p>
        </w:tc>
        <w:tc>
          <w:tcPr>
            <w:tcW w:w="981" w:type="pct"/>
            <w:tcBorders>
              <w:top w:val="single" w:sz="4" w:space="0" w:color="17365D"/>
              <w:bottom w:val="single" w:sz="4" w:space="0" w:color="17365D"/>
            </w:tcBorders>
            <w:shd w:val="clear" w:color="auto" w:fill="auto"/>
            <w:vAlign w:val="center"/>
          </w:tcPr>
          <w:p w14:paraId="59364040" w14:textId="5FA4DA0C" w:rsidR="00B92C61" w:rsidRPr="00A27896" w:rsidRDefault="00B92C61" w:rsidP="00B92C6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5 125 560</w:t>
            </w:r>
          </w:p>
        </w:tc>
        <w:tc>
          <w:tcPr>
            <w:tcW w:w="981" w:type="pct"/>
            <w:tcBorders>
              <w:top w:val="single" w:sz="4" w:space="0" w:color="17365D"/>
              <w:bottom w:val="single" w:sz="4" w:space="0" w:color="17365D"/>
            </w:tcBorders>
            <w:shd w:val="clear" w:color="auto" w:fill="auto"/>
            <w:vAlign w:val="center"/>
          </w:tcPr>
          <w:p w14:paraId="6A6CAEED" w14:textId="73334C16" w:rsidR="00B92C61" w:rsidRPr="00A27896" w:rsidRDefault="00B92C61" w:rsidP="00B92C6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5 369 039</w:t>
            </w:r>
          </w:p>
        </w:tc>
      </w:tr>
      <w:tr w:rsidR="000C1009" w:rsidRPr="00A27896" w14:paraId="5600027C" w14:textId="667FBC19" w:rsidTr="00581A8F">
        <w:trPr>
          <w:trHeight w:val="56"/>
        </w:trPr>
        <w:tc>
          <w:tcPr>
            <w:tcW w:w="3038" w:type="pct"/>
            <w:tcBorders>
              <w:top w:val="single" w:sz="4" w:space="0" w:color="17365D"/>
            </w:tcBorders>
            <w:shd w:val="clear" w:color="auto" w:fill="B9CDE5"/>
            <w:vAlign w:val="center"/>
          </w:tcPr>
          <w:p w14:paraId="358BB97A" w14:textId="62E7A073" w:rsidR="007A0E27" w:rsidRPr="00A27896" w:rsidRDefault="007A0E27" w:rsidP="007A0E27">
            <w:pPr>
              <w:spacing w:after="0"/>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Kopā</w:t>
            </w:r>
          </w:p>
        </w:tc>
        <w:tc>
          <w:tcPr>
            <w:tcW w:w="981" w:type="pct"/>
            <w:tcBorders>
              <w:top w:val="single" w:sz="4" w:space="0" w:color="17365D"/>
            </w:tcBorders>
            <w:shd w:val="clear" w:color="auto" w:fill="B9CDE5"/>
            <w:noWrap/>
            <w:vAlign w:val="center"/>
          </w:tcPr>
          <w:p w14:paraId="4C574853" w14:textId="42B8FD6C" w:rsidR="007A0E27" w:rsidRPr="00A27896" w:rsidRDefault="00B92C61" w:rsidP="00B93375">
            <w:pPr>
              <w:spacing w:after="0"/>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17 829 088</w:t>
            </w:r>
          </w:p>
        </w:tc>
        <w:tc>
          <w:tcPr>
            <w:tcW w:w="981" w:type="pct"/>
            <w:tcBorders>
              <w:top w:val="single" w:sz="4" w:space="0" w:color="17365D"/>
            </w:tcBorders>
            <w:shd w:val="clear" w:color="auto" w:fill="B9CDE5"/>
            <w:vAlign w:val="center"/>
          </w:tcPr>
          <w:p w14:paraId="4D5FEA8A" w14:textId="0A4A2356" w:rsidR="007A0E27" w:rsidRPr="00A27896" w:rsidRDefault="00B92C61" w:rsidP="00B93375">
            <w:pPr>
              <w:spacing w:after="0"/>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19 053 309</w:t>
            </w:r>
          </w:p>
        </w:tc>
      </w:tr>
    </w:tbl>
    <w:p w14:paraId="35B29903" w14:textId="33CECD0E" w:rsidR="007F47FB" w:rsidRPr="00A27896" w:rsidRDefault="00CC0B09" w:rsidP="00C93A9C">
      <w:pPr>
        <w:spacing w:before="240" w:after="120" w:line="240" w:lineRule="auto"/>
        <w:ind w:firstLine="284"/>
        <w:rPr>
          <w:rFonts w:cs="Times New Roman"/>
          <w:color w:val="17365D"/>
        </w:rPr>
      </w:pPr>
      <w:r w:rsidRPr="00A27896">
        <w:rPr>
          <w:rFonts w:cs="Times New Roman"/>
          <w:color w:val="17365D"/>
        </w:rPr>
        <w:lastRenderedPageBreak/>
        <w:t xml:space="preserve">Būtiskākie </w:t>
      </w:r>
      <w:r w:rsidR="00BB3FA5" w:rsidRPr="00A27896">
        <w:rPr>
          <w:rFonts w:cs="Times New Roman"/>
          <w:color w:val="17365D"/>
        </w:rPr>
        <w:t xml:space="preserve">nodokļa </w:t>
      </w:r>
      <w:r w:rsidRPr="00A27896">
        <w:rPr>
          <w:rFonts w:cs="Times New Roman"/>
          <w:color w:val="17365D"/>
        </w:rPr>
        <w:t>atvieglojumi pieš</w:t>
      </w:r>
      <w:r w:rsidR="0003548F" w:rsidRPr="00A27896">
        <w:rPr>
          <w:rFonts w:cs="Times New Roman"/>
          <w:color w:val="17365D"/>
        </w:rPr>
        <w:t>ķirti:</w:t>
      </w:r>
    </w:p>
    <w:p w14:paraId="7B3048E0" w14:textId="0F26FD80" w:rsidR="00CC0B09" w:rsidRPr="00A27896" w:rsidRDefault="0003548F" w:rsidP="007C6C15">
      <w:pPr>
        <w:pStyle w:val="ListParagraph"/>
        <w:numPr>
          <w:ilvl w:val="0"/>
          <w:numId w:val="9"/>
        </w:numPr>
        <w:spacing w:after="0" w:line="240" w:lineRule="auto"/>
        <w:ind w:left="851" w:hanging="425"/>
        <w:jc w:val="both"/>
        <w:rPr>
          <w:rFonts w:cs="Times New Roman"/>
          <w:color w:val="17365D"/>
        </w:rPr>
      </w:pPr>
      <w:r w:rsidRPr="00A27896">
        <w:rPr>
          <w:rFonts w:cs="Times New Roman"/>
          <w:color w:val="17365D"/>
        </w:rPr>
        <w:t>nodokļa maksātājam –</w:t>
      </w:r>
      <w:r w:rsidR="00CC0B09" w:rsidRPr="00A27896">
        <w:rPr>
          <w:rFonts w:cs="Times New Roman"/>
          <w:color w:val="17365D"/>
        </w:rPr>
        <w:t xml:space="preserve"> fiziskai personai, kurš deklarējis pamata dzīvesvietu Jūrmalas administratīvajā teritorijā</w:t>
      </w:r>
      <w:r w:rsidR="00CC2F8D" w:rsidRPr="00A27896">
        <w:rPr>
          <w:rFonts w:cs="Times New Roman"/>
          <w:color w:val="17365D"/>
        </w:rPr>
        <w:t>,</w:t>
      </w:r>
      <w:r w:rsidR="00CC0B09" w:rsidRPr="00A27896">
        <w:rPr>
          <w:rFonts w:cs="Times New Roman"/>
          <w:color w:val="17365D"/>
        </w:rPr>
        <w:t xml:space="preserve"> </w:t>
      </w:r>
      <w:r w:rsidR="0005400B" w:rsidRPr="00A27896">
        <w:rPr>
          <w:rFonts w:cs="Times New Roman"/>
          <w:color w:val="17365D"/>
        </w:rPr>
        <w:t>3 308 </w:t>
      </w:r>
      <w:r w:rsidR="00677F52" w:rsidRPr="00A27896">
        <w:rPr>
          <w:rFonts w:cs="Times New Roman"/>
          <w:color w:val="17365D"/>
        </w:rPr>
        <w:t xml:space="preserve">934 </w:t>
      </w:r>
      <w:proofErr w:type="spellStart"/>
      <w:r w:rsidR="00CC0B09" w:rsidRPr="00A27896">
        <w:rPr>
          <w:rFonts w:cs="Times New Roman"/>
          <w:i/>
          <w:color w:val="17365D"/>
        </w:rPr>
        <w:t>euro</w:t>
      </w:r>
      <w:proofErr w:type="spellEnd"/>
      <w:r w:rsidRPr="00A27896">
        <w:rPr>
          <w:rFonts w:cs="Times New Roman"/>
          <w:i/>
          <w:color w:val="17365D"/>
        </w:rPr>
        <w:t>;</w:t>
      </w:r>
    </w:p>
    <w:p w14:paraId="1A9E47CE" w14:textId="50E21147" w:rsidR="0003548F" w:rsidRPr="00A27896" w:rsidRDefault="001A0415" w:rsidP="007C6C15">
      <w:pPr>
        <w:pStyle w:val="ListParagraph"/>
        <w:numPr>
          <w:ilvl w:val="0"/>
          <w:numId w:val="9"/>
        </w:numPr>
        <w:spacing w:after="0" w:line="240" w:lineRule="auto"/>
        <w:ind w:left="851" w:hanging="425"/>
        <w:jc w:val="both"/>
        <w:rPr>
          <w:rFonts w:cs="Times New Roman"/>
          <w:color w:val="17365D"/>
        </w:rPr>
      </w:pPr>
      <w:r w:rsidRPr="00A27896">
        <w:rPr>
          <w:rFonts w:cs="Times New Roman"/>
          <w:color w:val="17365D"/>
        </w:rPr>
        <w:t>speciālajām ekonom</w:t>
      </w:r>
      <w:r w:rsidR="00B92C61" w:rsidRPr="00A27896">
        <w:rPr>
          <w:rFonts w:cs="Times New Roman"/>
          <w:color w:val="17365D"/>
        </w:rPr>
        <w:t>iskajām zonām 2 016 423</w:t>
      </w:r>
      <w:r w:rsidR="0003548F" w:rsidRPr="00A27896">
        <w:rPr>
          <w:rFonts w:cs="Times New Roman"/>
          <w:color w:val="17365D"/>
        </w:rPr>
        <w:t xml:space="preserve"> </w:t>
      </w:r>
      <w:proofErr w:type="spellStart"/>
      <w:r w:rsidR="0003548F" w:rsidRPr="00A27896">
        <w:rPr>
          <w:rFonts w:cs="Times New Roman"/>
          <w:i/>
          <w:color w:val="17365D"/>
        </w:rPr>
        <w:t>euro</w:t>
      </w:r>
      <w:proofErr w:type="spellEnd"/>
      <w:r w:rsidR="0003548F" w:rsidRPr="00A27896">
        <w:rPr>
          <w:rFonts w:cs="Times New Roman"/>
          <w:i/>
          <w:color w:val="17365D"/>
        </w:rPr>
        <w:t>;</w:t>
      </w:r>
    </w:p>
    <w:p w14:paraId="0668A979" w14:textId="6D67B35A" w:rsidR="00CC0B09" w:rsidRPr="00A27896" w:rsidRDefault="00CC2F8D" w:rsidP="007C6C15">
      <w:pPr>
        <w:pStyle w:val="ListParagraph"/>
        <w:numPr>
          <w:ilvl w:val="0"/>
          <w:numId w:val="9"/>
        </w:numPr>
        <w:spacing w:after="0" w:line="240" w:lineRule="auto"/>
        <w:ind w:left="851" w:hanging="425"/>
        <w:jc w:val="both"/>
        <w:rPr>
          <w:rFonts w:cs="Times New Roman"/>
          <w:color w:val="17365D"/>
        </w:rPr>
      </w:pPr>
      <w:r w:rsidRPr="00A27896">
        <w:rPr>
          <w:rFonts w:cs="Times New Roman"/>
          <w:color w:val="17365D"/>
        </w:rPr>
        <w:t>p</w:t>
      </w:r>
      <w:r w:rsidR="00CC0B09" w:rsidRPr="00A27896">
        <w:rPr>
          <w:rFonts w:cs="Times New Roman"/>
          <w:color w:val="17365D"/>
        </w:rPr>
        <w:t xml:space="preserve">ersonām par ēkām, kas atrodas valsts nozīmes pilsētbūvniecības pieminekļu teritorijās, kā arī par ēkām, kas ir iekļautas valsts aizsargājamo kultūras pieminekļu sarakstā, ārpus šīm teritorijām, ja sabiedrībai šīs ēkas ir pieejamas no publiskās </w:t>
      </w:r>
      <w:proofErr w:type="spellStart"/>
      <w:r w:rsidR="00CC0B09" w:rsidRPr="00A27896">
        <w:rPr>
          <w:rFonts w:cs="Times New Roman"/>
          <w:color w:val="17365D"/>
        </w:rPr>
        <w:t>ārtelpas</w:t>
      </w:r>
      <w:proofErr w:type="spellEnd"/>
      <w:r w:rsidRPr="00A27896">
        <w:rPr>
          <w:rFonts w:cs="Times New Roman"/>
          <w:color w:val="17365D"/>
        </w:rPr>
        <w:t>,</w:t>
      </w:r>
      <w:r w:rsidR="00CC0B09" w:rsidRPr="00A27896">
        <w:rPr>
          <w:rFonts w:cs="Times New Roman"/>
          <w:color w:val="17365D"/>
        </w:rPr>
        <w:t xml:space="preserve"> </w:t>
      </w:r>
      <w:r w:rsidR="007A5157" w:rsidRPr="00A27896">
        <w:rPr>
          <w:rFonts w:cs="Times New Roman"/>
          <w:color w:val="17365D"/>
        </w:rPr>
        <w:t>2 </w:t>
      </w:r>
      <w:r w:rsidR="00B92C61" w:rsidRPr="00A27896">
        <w:rPr>
          <w:rFonts w:cs="Times New Roman"/>
          <w:color w:val="17365D"/>
        </w:rPr>
        <w:t>069</w:t>
      </w:r>
      <w:r w:rsidR="007A5157" w:rsidRPr="00A27896">
        <w:rPr>
          <w:rFonts w:cs="Times New Roman"/>
          <w:color w:val="17365D"/>
        </w:rPr>
        <w:t> </w:t>
      </w:r>
      <w:r w:rsidR="00B92C61" w:rsidRPr="00A27896">
        <w:rPr>
          <w:rFonts w:cs="Times New Roman"/>
          <w:color w:val="17365D"/>
        </w:rPr>
        <w:t>179</w:t>
      </w:r>
      <w:r w:rsidR="007A5157" w:rsidRPr="00A27896">
        <w:rPr>
          <w:rFonts w:cs="Times New Roman"/>
          <w:color w:val="17365D"/>
        </w:rPr>
        <w:t xml:space="preserve"> </w:t>
      </w:r>
      <w:proofErr w:type="spellStart"/>
      <w:r w:rsidR="00CC0B09" w:rsidRPr="00A27896">
        <w:rPr>
          <w:rFonts w:cs="Times New Roman"/>
          <w:i/>
          <w:color w:val="17365D"/>
        </w:rPr>
        <w:t>euro</w:t>
      </w:r>
      <w:proofErr w:type="spellEnd"/>
      <w:r w:rsidR="0003548F" w:rsidRPr="00A27896">
        <w:rPr>
          <w:rFonts w:cs="Times New Roman"/>
          <w:i/>
          <w:color w:val="17365D"/>
        </w:rPr>
        <w:t>.</w:t>
      </w:r>
    </w:p>
    <w:p w14:paraId="6F8452AF" w14:textId="77777777" w:rsidR="00CC2F8D" w:rsidRPr="00A27896" w:rsidRDefault="00CC2F8D" w:rsidP="00CC2F8D">
      <w:pPr>
        <w:spacing w:after="0" w:line="240" w:lineRule="auto"/>
        <w:jc w:val="both"/>
        <w:rPr>
          <w:rFonts w:cs="Times New Roman"/>
          <w:color w:val="17365D"/>
          <w:highlight w:val="yellow"/>
        </w:rPr>
      </w:pPr>
    </w:p>
    <w:p w14:paraId="6759E729" w14:textId="45569B82" w:rsidR="00AD542F" w:rsidRPr="00A27896" w:rsidRDefault="00AD542F" w:rsidP="009A23E5">
      <w:pPr>
        <w:spacing w:after="120" w:line="240" w:lineRule="auto"/>
        <w:ind w:firstLine="284"/>
        <w:jc w:val="both"/>
        <w:rPr>
          <w:rFonts w:cs="Times New Roman"/>
          <w:color w:val="17365D"/>
        </w:rPr>
      </w:pPr>
      <w:r w:rsidRPr="00A27896">
        <w:rPr>
          <w:rFonts w:cs="Times New Roman"/>
          <w:color w:val="17365D"/>
        </w:rPr>
        <w:t xml:space="preserve">Prasībām </w:t>
      </w:r>
      <w:r w:rsidR="001A0415" w:rsidRPr="00A27896">
        <w:rPr>
          <w:rFonts w:cs="Times New Roman"/>
          <w:color w:val="17365D"/>
        </w:rPr>
        <w:t>2022</w:t>
      </w:r>
      <w:r w:rsidRPr="00A27896">
        <w:rPr>
          <w:rFonts w:cs="Times New Roman"/>
          <w:color w:val="17365D"/>
        </w:rPr>
        <w:t>.</w:t>
      </w:r>
      <w:r w:rsidR="00F73CE6" w:rsidRPr="00A27896">
        <w:rPr>
          <w:rFonts w:cs="Times New Roman"/>
          <w:color w:val="17365D"/>
        </w:rPr>
        <w:t> </w:t>
      </w:r>
      <w:r w:rsidRPr="00A27896">
        <w:rPr>
          <w:rFonts w:cs="Times New Roman"/>
          <w:color w:val="17365D"/>
        </w:rPr>
        <w:t>gada beigās atzītais vērtības samazinājums saskaņā ar:</w:t>
      </w:r>
    </w:p>
    <w:p w14:paraId="3632ED0B" w14:textId="7AC17042" w:rsidR="00AD542F" w:rsidRPr="00A27896" w:rsidRDefault="00AD542F" w:rsidP="007C6C15">
      <w:pPr>
        <w:pStyle w:val="ListParagraph"/>
        <w:numPr>
          <w:ilvl w:val="0"/>
          <w:numId w:val="12"/>
        </w:numPr>
        <w:spacing w:after="120" w:line="240" w:lineRule="auto"/>
        <w:ind w:left="851" w:hanging="425"/>
        <w:jc w:val="both"/>
        <w:rPr>
          <w:rFonts w:cs="Times New Roman"/>
          <w:color w:val="17365D"/>
        </w:rPr>
      </w:pPr>
      <w:r w:rsidRPr="00A27896">
        <w:rPr>
          <w:rFonts w:cs="Times New Roman"/>
          <w:bCs/>
          <w:color w:val="17365D"/>
        </w:rPr>
        <w:t>ministriju un centrālo valsts iestāžu sniegto informāciju ir (</w:t>
      </w:r>
      <w:r w:rsidR="00001521" w:rsidRPr="00A27896">
        <w:rPr>
          <w:rFonts w:cs="Times New Roman"/>
          <w:bCs/>
          <w:color w:val="17365D"/>
        </w:rPr>
        <w:t>5</w:t>
      </w:r>
      <w:r w:rsidR="004B6785" w:rsidRPr="00A27896">
        <w:rPr>
          <w:rFonts w:cs="Times New Roman"/>
          <w:bCs/>
          <w:color w:val="17365D"/>
        </w:rPr>
        <w:t>50</w:t>
      </w:r>
      <w:r w:rsidR="00001521" w:rsidRPr="00A27896">
        <w:rPr>
          <w:rFonts w:cs="Times New Roman"/>
          <w:bCs/>
          <w:color w:val="17365D"/>
        </w:rPr>
        <w:t> </w:t>
      </w:r>
      <w:r w:rsidR="004B6785" w:rsidRPr="00A27896">
        <w:rPr>
          <w:rFonts w:cs="Times New Roman"/>
          <w:bCs/>
          <w:color w:val="17365D"/>
        </w:rPr>
        <w:t>234</w:t>
      </w:r>
      <w:r w:rsidR="00001521" w:rsidRPr="00A27896">
        <w:rPr>
          <w:rFonts w:cs="Times New Roman"/>
          <w:bCs/>
          <w:color w:val="17365D"/>
        </w:rPr>
        <w:t> </w:t>
      </w:r>
      <w:r w:rsidR="004B6785" w:rsidRPr="00A27896">
        <w:rPr>
          <w:rFonts w:cs="Times New Roman"/>
          <w:bCs/>
          <w:color w:val="17365D"/>
        </w:rPr>
        <w:t>808</w:t>
      </w:r>
      <w:r w:rsidRPr="00A27896">
        <w:rPr>
          <w:rFonts w:cs="Times New Roman"/>
          <w:bCs/>
          <w:color w:val="17365D"/>
        </w:rPr>
        <w:t xml:space="preserve">) </w:t>
      </w:r>
      <w:proofErr w:type="spellStart"/>
      <w:r w:rsidRPr="00A27896">
        <w:rPr>
          <w:rFonts w:cs="Times New Roman"/>
          <w:bCs/>
          <w:i/>
          <w:color w:val="17365D"/>
        </w:rPr>
        <w:t>euro</w:t>
      </w:r>
      <w:proofErr w:type="spellEnd"/>
      <w:r w:rsidRPr="00A27896">
        <w:rPr>
          <w:rFonts w:cs="Times New Roman"/>
          <w:bCs/>
          <w:color w:val="17365D"/>
        </w:rPr>
        <w:t>.</w:t>
      </w:r>
      <w:r w:rsidRPr="00A27896">
        <w:rPr>
          <w:rFonts w:cs="Times New Roman"/>
          <w:color w:val="17365D"/>
        </w:rPr>
        <w:t xml:space="preserve"> Lielākā vērtības samazinājuma daļa ir izveidota citām prasībām pret uzturlīdzekļu parādniekiem par iesniedzējiem izmaksātajiem uzturlīdzekļiem pilnas apšaubāmās summas (</w:t>
      </w:r>
      <w:r w:rsidR="004B6785" w:rsidRPr="00A27896">
        <w:rPr>
          <w:rFonts w:cs="Times New Roman"/>
          <w:color w:val="17365D"/>
        </w:rPr>
        <w:t>506</w:t>
      </w:r>
      <w:r w:rsidR="00801CED" w:rsidRPr="00A27896">
        <w:rPr>
          <w:rFonts w:cs="Times New Roman"/>
          <w:color w:val="17365D"/>
        </w:rPr>
        <w:t> </w:t>
      </w:r>
      <w:r w:rsidR="004B6785" w:rsidRPr="00A27896">
        <w:rPr>
          <w:rFonts w:cs="Times New Roman"/>
          <w:color w:val="17365D"/>
        </w:rPr>
        <w:t>404</w:t>
      </w:r>
      <w:r w:rsidR="00801CED" w:rsidRPr="00A27896">
        <w:rPr>
          <w:rFonts w:cs="Times New Roman"/>
          <w:color w:val="17365D"/>
        </w:rPr>
        <w:t> </w:t>
      </w:r>
      <w:r w:rsidR="004B6785" w:rsidRPr="00A27896">
        <w:rPr>
          <w:rFonts w:cs="Times New Roman"/>
          <w:color w:val="17365D"/>
        </w:rPr>
        <w:t>130</w:t>
      </w:r>
      <w:r w:rsidRPr="00A27896">
        <w:rPr>
          <w:rFonts w:cs="Times New Roman"/>
          <w:color w:val="17365D"/>
        </w:rPr>
        <w:t xml:space="preserve">) </w:t>
      </w:r>
      <w:proofErr w:type="spellStart"/>
      <w:r w:rsidRPr="00A27896">
        <w:rPr>
          <w:rFonts w:cs="Times New Roman"/>
          <w:i/>
          <w:color w:val="17365D"/>
        </w:rPr>
        <w:t>euro</w:t>
      </w:r>
      <w:proofErr w:type="spellEnd"/>
      <w:r w:rsidRPr="00A27896">
        <w:rPr>
          <w:rFonts w:cs="Times New Roman"/>
          <w:color w:val="17365D"/>
        </w:rPr>
        <w:t xml:space="preserve"> apmērā;</w:t>
      </w:r>
    </w:p>
    <w:p w14:paraId="441171B5" w14:textId="332AAC2A" w:rsidR="00801CED" w:rsidRPr="00A27896" w:rsidRDefault="00AD542F" w:rsidP="007C6C15">
      <w:pPr>
        <w:pStyle w:val="ListParagraph"/>
        <w:numPr>
          <w:ilvl w:val="0"/>
          <w:numId w:val="12"/>
        </w:numPr>
        <w:spacing w:after="120" w:line="240" w:lineRule="auto"/>
        <w:ind w:left="851" w:hanging="425"/>
        <w:jc w:val="both"/>
        <w:rPr>
          <w:rFonts w:cs="Times New Roman"/>
          <w:color w:val="17365D"/>
        </w:rPr>
      </w:pPr>
      <w:r w:rsidRPr="00A27896">
        <w:rPr>
          <w:rFonts w:cs="Times New Roman"/>
          <w:bCs/>
          <w:color w:val="17365D"/>
        </w:rPr>
        <w:t>pašvaldību sniegto informāciju ir (</w:t>
      </w:r>
      <w:r w:rsidR="00001521" w:rsidRPr="00A27896">
        <w:rPr>
          <w:rFonts w:cs="Times New Roman"/>
          <w:bCs/>
          <w:color w:val="17365D"/>
        </w:rPr>
        <w:t>53 </w:t>
      </w:r>
      <w:r w:rsidR="004B6785" w:rsidRPr="00A27896">
        <w:rPr>
          <w:rFonts w:cs="Times New Roman"/>
          <w:bCs/>
          <w:color w:val="17365D"/>
        </w:rPr>
        <w:t>924</w:t>
      </w:r>
      <w:r w:rsidR="00001521" w:rsidRPr="00A27896">
        <w:rPr>
          <w:rFonts w:cs="Times New Roman"/>
          <w:bCs/>
          <w:color w:val="17365D"/>
        </w:rPr>
        <w:t> </w:t>
      </w:r>
      <w:r w:rsidR="004B6785" w:rsidRPr="00A27896">
        <w:rPr>
          <w:rFonts w:cs="Times New Roman"/>
          <w:bCs/>
          <w:color w:val="17365D"/>
        </w:rPr>
        <w:t>394</w:t>
      </w:r>
      <w:r w:rsidRPr="00A27896">
        <w:rPr>
          <w:rFonts w:cs="Times New Roman"/>
          <w:bCs/>
          <w:color w:val="17365D"/>
        </w:rPr>
        <w:t xml:space="preserve">) </w:t>
      </w:r>
      <w:proofErr w:type="spellStart"/>
      <w:r w:rsidRPr="00A27896">
        <w:rPr>
          <w:rFonts w:cs="Times New Roman"/>
          <w:bCs/>
          <w:i/>
          <w:color w:val="17365D"/>
        </w:rPr>
        <w:t>euro</w:t>
      </w:r>
      <w:proofErr w:type="spellEnd"/>
      <w:r w:rsidRPr="00A27896">
        <w:rPr>
          <w:rFonts w:cs="Times New Roman"/>
          <w:bCs/>
          <w:color w:val="17365D"/>
        </w:rPr>
        <w:t>. Lielākā vērtības samazinājuma daļa ir izveidota apšaubāmās summas apmērā darījuma partnera maksātnespējas vai t</w:t>
      </w:r>
      <w:r w:rsidR="008742BF" w:rsidRPr="00A27896">
        <w:rPr>
          <w:rFonts w:cs="Times New Roman"/>
          <w:bCs/>
          <w:color w:val="17365D"/>
        </w:rPr>
        <w:t>i</w:t>
      </w:r>
      <w:r w:rsidRPr="00A27896">
        <w:rPr>
          <w:rFonts w:cs="Times New Roman"/>
          <w:bCs/>
          <w:color w:val="17365D"/>
        </w:rPr>
        <w:t>esvedības procesa dēļ</w:t>
      </w:r>
      <w:r w:rsidR="00801CED" w:rsidRPr="00A27896">
        <w:rPr>
          <w:rFonts w:cs="Times New Roman"/>
          <w:bCs/>
          <w:color w:val="17365D"/>
        </w:rPr>
        <w:t>;</w:t>
      </w:r>
    </w:p>
    <w:p w14:paraId="55F85D15" w14:textId="1FA98F2B" w:rsidR="00AD542F" w:rsidRPr="00A27896" w:rsidRDefault="00876BB1" w:rsidP="007C6C15">
      <w:pPr>
        <w:pStyle w:val="ListParagraph"/>
        <w:numPr>
          <w:ilvl w:val="0"/>
          <w:numId w:val="12"/>
        </w:numPr>
        <w:spacing w:after="120" w:line="240" w:lineRule="auto"/>
        <w:ind w:left="851" w:hanging="425"/>
        <w:jc w:val="both"/>
        <w:rPr>
          <w:rFonts w:cs="Times New Roman"/>
          <w:color w:val="17365D"/>
        </w:rPr>
      </w:pPr>
      <w:r w:rsidRPr="00A27896">
        <w:rPr>
          <w:rFonts w:cs="Times New Roman"/>
          <w:bCs/>
          <w:color w:val="17365D"/>
        </w:rPr>
        <w:t xml:space="preserve">ikgadējo pārskatu par VID administrēto valsts budžeta ieņēmumu grāmatvedības uzskaiti </w:t>
      </w:r>
      <w:r w:rsidR="006644A1" w:rsidRPr="00A27896">
        <w:rPr>
          <w:rFonts w:cs="Times New Roman"/>
          <w:bCs/>
          <w:color w:val="17365D"/>
        </w:rPr>
        <w:t xml:space="preserve">un ikgadējo pārskatu par valsts budžeta finanšu uzskaiti </w:t>
      </w:r>
      <w:r w:rsidRPr="00A27896">
        <w:rPr>
          <w:rFonts w:cs="Times New Roman"/>
          <w:bCs/>
          <w:color w:val="17365D"/>
        </w:rPr>
        <w:t>ir (</w:t>
      </w:r>
      <w:r w:rsidR="004B6785" w:rsidRPr="00A27896">
        <w:rPr>
          <w:rFonts w:cs="Times New Roman"/>
          <w:bCs/>
          <w:iCs/>
          <w:color w:val="17365D"/>
        </w:rPr>
        <w:t>32</w:t>
      </w:r>
      <w:r w:rsidR="006644A1" w:rsidRPr="00A27896">
        <w:rPr>
          <w:rFonts w:cs="Times New Roman"/>
          <w:bCs/>
          <w:iCs/>
          <w:color w:val="17365D"/>
        </w:rPr>
        <w:t>2</w:t>
      </w:r>
      <w:r w:rsidR="00D46188" w:rsidRPr="00A27896">
        <w:rPr>
          <w:rFonts w:cs="Times New Roman"/>
          <w:bCs/>
          <w:iCs/>
          <w:color w:val="17365D"/>
        </w:rPr>
        <w:t> </w:t>
      </w:r>
      <w:r w:rsidR="006644A1" w:rsidRPr="00A27896">
        <w:rPr>
          <w:rFonts w:cs="Times New Roman"/>
          <w:bCs/>
          <w:iCs/>
          <w:color w:val="17365D"/>
        </w:rPr>
        <w:t>139</w:t>
      </w:r>
      <w:r w:rsidR="00D46188" w:rsidRPr="00A27896">
        <w:rPr>
          <w:rFonts w:cs="Times New Roman"/>
          <w:bCs/>
          <w:iCs/>
          <w:color w:val="17365D"/>
        </w:rPr>
        <w:t> </w:t>
      </w:r>
      <w:r w:rsidR="006644A1" w:rsidRPr="00A27896">
        <w:rPr>
          <w:rFonts w:cs="Times New Roman"/>
          <w:bCs/>
          <w:iCs/>
          <w:color w:val="17365D"/>
        </w:rPr>
        <w:t>832</w:t>
      </w:r>
      <w:r w:rsidR="00D46188" w:rsidRPr="00A27896">
        <w:rPr>
          <w:rFonts w:cs="Times New Roman"/>
          <w:bCs/>
          <w:iCs/>
          <w:color w:val="17365D"/>
        </w:rPr>
        <w:t>)</w:t>
      </w:r>
      <w:r w:rsidRPr="00A27896">
        <w:rPr>
          <w:rFonts w:cs="Times New Roman"/>
          <w:bCs/>
          <w:color w:val="17365D"/>
        </w:rPr>
        <w:t xml:space="preserve"> </w:t>
      </w:r>
      <w:proofErr w:type="spellStart"/>
      <w:r w:rsidRPr="00A27896">
        <w:rPr>
          <w:rFonts w:cs="Times New Roman"/>
          <w:bCs/>
          <w:i/>
          <w:color w:val="17365D"/>
        </w:rPr>
        <w:t>euro</w:t>
      </w:r>
      <w:proofErr w:type="spellEnd"/>
      <w:r w:rsidRPr="00A27896">
        <w:rPr>
          <w:rFonts w:cs="Times New Roman"/>
          <w:bCs/>
          <w:color w:val="17365D"/>
        </w:rPr>
        <w:t>.</w:t>
      </w:r>
    </w:p>
    <w:p w14:paraId="4B78161B" w14:textId="20828ABE" w:rsidR="007F47FB" w:rsidRPr="00A27896" w:rsidRDefault="00672937" w:rsidP="009A23E5">
      <w:pPr>
        <w:spacing w:after="120" w:line="240" w:lineRule="auto"/>
        <w:ind w:firstLine="284"/>
        <w:jc w:val="both"/>
        <w:rPr>
          <w:rFonts w:cs="Times New Roman"/>
          <w:color w:val="17365D"/>
          <w:sz w:val="22"/>
        </w:rPr>
      </w:pPr>
      <w:r w:rsidRPr="00A27896">
        <w:rPr>
          <w:rFonts w:cs="Times New Roman"/>
          <w:color w:val="17365D"/>
        </w:rPr>
        <w:t xml:space="preserve">Vērtības samazinājums prasībām pret pircējiem un pasūtītājiem </w:t>
      </w:r>
      <w:r w:rsidR="0020364F" w:rsidRPr="00A27896">
        <w:rPr>
          <w:rFonts w:cs="Times New Roman"/>
          <w:color w:val="17365D"/>
        </w:rPr>
        <w:t>un prasībām par nodokļiem, nodevām un citiem maksājumiem budžetos</w:t>
      </w:r>
      <w:r w:rsidR="00DD4ABC" w:rsidRPr="00A27896">
        <w:rPr>
          <w:rFonts w:cs="Times New Roman"/>
          <w:color w:val="17365D"/>
        </w:rPr>
        <w:t xml:space="preserve"> g</w:t>
      </w:r>
      <w:r w:rsidR="0020364F" w:rsidRPr="00A27896">
        <w:rPr>
          <w:rFonts w:cs="Times New Roman"/>
          <w:color w:val="17365D"/>
        </w:rPr>
        <w:t xml:space="preserve">alvenokārt veidots atbilstoši izpildes termiņa kavēto dienu skaitam. </w:t>
      </w:r>
    </w:p>
    <w:p w14:paraId="6C316DB5" w14:textId="4704398C" w:rsidR="00B76C65" w:rsidRPr="00A27896" w:rsidRDefault="009D537C" w:rsidP="00123493">
      <w:pPr>
        <w:pStyle w:val="Heading4"/>
        <w:jc w:val="both"/>
        <w:rPr>
          <w:rFonts w:cs="Times New Roman"/>
        </w:rPr>
      </w:pPr>
      <w:r w:rsidRPr="00A27896">
        <w:rPr>
          <w:rFonts w:cs="Times New Roman"/>
        </w:rPr>
        <w:t xml:space="preserve">Piezīme Nr. </w:t>
      </w:r>
      <w:r w:rsidR="00D41F06" w:rsidRPr="00A27896">
        <w:rPr>
          <w:rFonts w:cs="Times New Roman"/>
        </w:rPr>
        <w:t>KB.</w:t>
      </w:r>
      <w:r w:rsidR="00F73CE6" w:rsidRPr="00A27896">
        <w:rPr>
          <w:rFonts w:cs="Times New Roman"/>
        </w:rPr>
        <w:t>2.4</w:t>
      </w:r>
      <w:r w:rsidR="00D41F06" w:rsidRPr="00A27896">
        <w:rPr>
          <w:rFonts w:cs="Times New Roman"/>
        </w:rPr>
        <w:t>. Nākamo periodu izdevumi un avansi par pakalpojumiem un projektiem</w:t>
      </w:r>
    </w:p>
    <w:p w14:paraId="3F4AA15B" w14:textId="4DC20F28" w:rsidR="009B1D0C" w:rsidRPr="00A27896" w:rsidRDefault="002C5934" w:rsidP="009B1D0C">
      <w:pPr>
        <w:pStyle w:val="Tabulasnosaukums1"/>
        <w:rPr>
          <w:rFonts w:cs="Times New Roman"/>
          <w:i/>
          <w:color w:val="17365D"/>
        </w:rPr>
      </w:pPr>
      <w:r w:rsidRPr="00A27896">
        <w:rPr>
          <w:rFonts w:cs="Times New Roman"/>
          <w:i/>
          <w:color w:val="17365D"/>
        </w:rPr>
        <w:t>1</w:t>
      </w:r>
      <w:r w:rsidR="00241FC4" w:rsidRPr="00A27896">
        <w:rPr>
          <w:rFonts w:cs="Times New Roman"/>
          <w:i/>
          <w:color w:val="17365D"/>
        </w:rPr>
        <w:t>4</w:t>
      </w:r>
      <w:r w:rsidR="009B1D0C" w:rsidRPr="00A27896">
        <w:rPr>
          <w:rFonts w:cs="Times New Roman"/>
          <w:i/>
          <w:color w:val="17365D"/>
        </w:rPr>
        <w:t>. tabula. Nākamo periodu izdevumi un avansi par pakal</w:t>
      </w:r>
      <w:r w:rsidR="00035FEE" w:rsidRPr="00A27896">
        <w:rPr>
          <w:rFonts w:cs="Times New Roman"/>
          <w:i/>
          <w:color w:val="17365D"/>
        </w:rPr>
        <w:t>p</w:t>
      </w:r>
      <w:r w:rsidR="009B1D0C" w:rsidRPr="00A27896">
        <w:rPr>
          <w:rFonts w:cs="Times New Roman"/>
          <w:i/>
          <w:color w:val="17365D"/>
        </w:rPr>
        <w:t>ojumiem un projektiem (</w:t>
      </w:r>
      <w:proofErr w:type="spellStart"/>
      <w:r w:rsidR="009B1D0C" w:rsidRPr="00A27896">
        <w:rPr>
          <w:rFonts w:cs="Times New Roman"/>
          <w:i/>
          <w:color w:val="17365D"/>
        </w:rPr>
        <w:t>euro</w:t>
      </w:r>
      <w:proofErr w:type="spellEnd"/>
      <w:r w:rsidR="009B1D0C" w:rsidRPr="00A27896">
        <w:rPr>
          <w:rFonts w:cs="Times New Roman"/>
          <w:i/>
          <w:color w:val="17365D"/>
        </w:rPr>
        <w:t>)</w:t>
      </w:r>
    </w:p>
    <w:tbl>
      <w:tblPr>
        <w:tblW w:w="4999" w:type="pct"/>
        <w:tblLayout w:type="fixed"/>
        <w:tblLook w:val="04A0" w:firstRow="1" w:lastRow="0" w:firstColumn="1" w:lastColumn="0" w:noHBand="0" w:noVBand="1"/>
      </w:tblPr>
      <w:tblGrid>
        <w:gridCol w:w="3259"/>
        <w:gridCol w:w="1134"/>
        <w:gridCol w:w="1136"/>
        <w:gridCol w:w="1416"/>
        <w:gridCol w:w="1133"/>
        <w:gridCol w:w="1274"/>
      </w:tblGrid>
      <w:tr w:rsidR="000C1009" w:rsidRPr="00A27896" w14:paraId="3B9815D5" w14:textId="77777777" w:rsidTr="00581A8F">
        <w:trPr>
          <w:trHeight w:val="684"/>
          <w:tblHeader/>
        </w:trPr>
        <w:tc>
          <w:tcPr>
            <w:tcW w:w="1742" w:type="pct"/>
            <w:tcBorders>
              <w:bottom w:val="single" w:sz="4" w:space="0" w:color="17365D"/>
            </w:tcBorders>
            <w:shd w:val="clear" w:color="auto" w:fill="B9CDE5"/>
            <w:vAlign w:val="center"/>
            <w:hideMark/>
          </w:tcPr>
          <w:p w14:paraId="69B7365C" w14:textId="77777777" w:rsidR="00905F3C" w:rsidRPr="00A27896" w:rsidRDefault="00905F3C" w:rsidP="00905F3C">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606" w:type="pct"/>
            <w:tcBorders>
              <w:bottom w:val="single" w:sz="4" w:space="0" w:color="17365D"/>
            </w:tcBorders>
            <w:shd w:val="clear" w:color="auto" w:fill="B9CDE5"/>
            <w:vAlign w:val="center"/>
            <w:hideMark/>
          </w:tcPr>
          <w:p w14:paraId="34AD60A8" w14:textId="77777777" w:rsidR="00905F3C" w:rsidRPr="00A27896" w:rsidRDefault="00905F3C" w:rsidP="00905F3C">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607" w:type="pct"/>
            <w:tcBorders>
              <w:bottom w:val="single" w:sz="4" w:space="0" w:color="17365D"/>
            </w:tcBorders>
            <w:shd w:val="clear" w:color="auto" w:fill="B9CDE5"/>
            <w:vAlign w:val="center"/>
            <w:hideMark/>
          </w:tcPr>
          <w:p w14:paraId="7A61E2D2" w14:textId="77777777" w:rsidR="00905F3C" w:rsidRPr="00A27896" w:rsidRDefault="00905F3C" w:rsidP="00905F3C">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757" w:type="pct"/>
            <w:tcBorders>
              <w:bottom w:val="single" w:sz="4" w:space="0" w:color="17365D"/>
            </w:tcBorders>
            <w:shd w:val="clear" w:color="auto" w:fill="B9CDE5"/>
            <w:vAlign w:val="center"/>
            <w:hideMark/>
          </w:tcPr>
          <w:p w14:paraId="184791AB" w14:textId="77777777" w:rsidR="00905F3C" w:rsidRPr="00A27896" w:rsidRDefault="00905F3C" w:rsidP="00905F3C">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606" w:type="pct"/>
            <w:tcBorders>
              <w:bottom w:val="single" w:sz="4" w:space="0" w:color="17365D"/>
            </w:tcBorders>
            <w:shd w:val="clear" w:color="auto" w:fill="B9CDE5"/>
            <w:vAlign w:val="center"/>
            <w:hideMark/>
          </w:tcPr>
          <w:p w14:paraId="0CAC1EDF" w14:textId="68D79970" w:rsidR="00905F3C" w:rsidRPr="00A27896" w:rsidRDefault="00905F3C" w:rsidP="00905F3C">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 </w:t>
            </w:r>
            <w:r w:rsidRPr="00A27896">
              <w:rPr>
                <w:rFonts w:eastAsia="Times New Roman" w:cs="Times New Roman"/>
                <w:b/>
                <w:color w:val="17365D"/>
                <w:sz w:val="18"/>
                <w:szCs w:val="18"/>
                <w:lang w:eastAsia="lv-LV"/>
              </w:rPr>
              <w:t>)</w:t>
            </w:r>
          </w:p>
        </w:tc>
        <w:tc>
          <w:tcPr>
            <w:tcW w:w="681" w:type="pct"/>
            <w:tcBorders>
              <w:bottom w:val="single" w:sz="4" w:space="0" w:color="17365D"/>
            </w:tcBorders>
            <w:shd w:val="clear" w:color="auto" w:fill="B9CDE5"/>
            <w:vAlign w:val="center"/>
            <w:hideMark/>
          </w:tcPr>
          <w:p w14:paraId="42290B02" w14:textId="77777777" w:rsidR="00905F3C" w:rsidRPr="00A27896" w:rsidRDefault="00905F3C" w:rsidP="00905F3C">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0DED9158" w14:textId="77777777" w:rsidTr="00581A8F">
        <w:trPr>
          <w:trHeight w:val="240"/>
        </w:trPr>
        <w:tc>
          <w:tcPr>
            <w:tcW w:w="1742" w:type="pct"/>
            <w:tcBorders>
              <w:top w:val="single" w:sz="4" w:space="0" w:color="17365D"/>
              <w:bottom w:val="single" w:sz="4" w:space="0" w:color="17365D"/>
            </w:tcBorders>
            <w:shd w:val="clear" w:color="auto" w:fill="auto"/>
            <w:vAlign w:val="center"/>
            <w:hideMark/>
          </w:tcPr>
          <w:p w14:paraId="548A5881" w14:textId="77777777" w:rsidR="00905F3C" w:rsidRPr="00A27896" w:rsidRDefault="00905F3C" w:rsidP="00905F3C">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606" w:type="pct"/>
            <w:tcBorders>
              <w:top w:val="single" w:sz="4" w:space="0" w:color="17365D"/>
              <w:bottom w:val="single" w:sz="4" w:space="0" w:color="17365D"/>
            </w:tcBorders>
            <w:shd w:val="clear" w:color="auto" w:fill="auto"/>
            <w:vAlign w:val="center"/>
            <w:hideMark/>
          </w:tcPr>
          <w:p w14:paraId="5A723BAE" w14:textId="77777777" w:rsidR="00905F3C" w:rsidRPr="00A27896" w:rsidRDefault="00905F3C" w:rsidP="00905F3C">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607" w:type="pct"/>
            <w:tcBorders>
              <w:top w:val="single" w:sz="4" w:space="0" w:color="17365D"/>
              <w:bottom w:val="single" w:sz="4" w:space="0" w:color="17365D"/>
            </w:tcBorders>
            <w:shd w:val="clear" w:color="auto" w:fill="auto"/>
            <w:vAlign w:val="center"/>
            <w:hideMark/>
          </w:tcPr>
          <w:p w14:paraId="6B6874D9" w14:textId="77777777" w:rsidR="00905F3C" w:rsidRPr="00A27896" w:rsidRDefault="00905F3C" w:rsidP="00905F3C">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757" w:type="pct"/>
            <w:tcBorders>
              <w:top w:val="single" w:sz="4" w:space="0" w:color="17365D"/>
              <w:bottom w:val="single" w:sz="4" w:space="0" w:color="17365D"/>
            </w:tcBorders>
            <w:shd w:val="clear" w:color="auto" w:fill="auto"/>
            <w:vAlign w:val="center"/>
            <w:hideMark/>
          </w:tcPr>
          <w:p w14:paraId="2157A597" w14:textId="77777777" w:rsidR="00905F3C" w:rsidRPr="00A27896" w:rsidRDefault="00905F3C" w:rsidP="00905F3C">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606" w:type="pct"/>
            <w:tcBorders>
              <w:top w:val="single" w:sz="4" w:space="0" w:color="17365D"/>
              <w:bottom w:val="single" w:sz="4" w:space="0" w:color="17365D"/>
            </w:tcBorders>
            <w:shd w:val="clear" w:color="auto" w:fill="auto"/>
            <w:vAlign w:val="center"/>
            <w:hideMark/>
          </w:tcPr>
          <w:p w14:paraId="3A7855F7" w14:textId="77777777" w:rsidR="00905F3C" w:rsidRPr="00A27896" w:rsidRDefault="00905F3C" w:rsidP="00905F3C">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81" w:type="pct"/>
            <w:tcBorders>
              <w:top w:val="single" w:sz="4" w:space="0" w:color="17365D"/>
              <w:bottom w:val="single" w:sz="4" w:space="0" w:color="17365D"/>
            </w:tcBorders>
            <w:shd w:val="clear" w:color="auto" w:fill="auto"/>
            <w:vAlign w:val="center"/>
            <w:hideMark/>
          </w:tcPr>
          <w:p w14:paraId="3586C2D7" w14:textId="77777777" w:rsidR="00905F3C" w:rsidRPr="00A27896" w:rsidRDefault="00905F3C" w:rsidP="00905F3C">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006F2A" w:rsidRPr="00A27896" w14:paraId="2AA5D017" w14:textId="77777777" w:rsidTr="00006F2A">
        <w:trPr>
          <w:trHeight w:val="60"/>
        </w:trPr>
        <w:tc>
          <w:tcPr>
            <w:tcW w:w="1742" w:type="pct"/>
            <w:tcBorders>
              <w:top w:val="single" w:sz="4" w:space="0" w:color="17365D"/>
              <w:bottom w:val="single" w:sz="4" w:space="0" w:color="17365D"/>
            </w:tcBorders>
            <w:shd w:val="clear" w:color="auto" w:fill="auto"/>
            <w:vAlign w:val="center"/>
            <w:hideMark/>
          </w:tcPr>
          <w:p w14:paraId="6DED8B46" w14:textId="57488808" w:rsidR="00006F2A" w:rsidRPr="00A27896" w:rsidRDefault="00006F2A" w:rsidP="00006F2A">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Nākamo periodu izdevumi un avansi par pakalpojumiem un projektiem</w:t>
            </w:r>
          </w:p>
        </w:tc>
        <w:tc>
          <w:tcPr>
            <w:tcW w:w="606" w:type="pct"/>
            <w:tcBorders>
              <w:top w:val="single" w:sz="4" w:space="0" w:color="17365D"/>
              <w:bottom w:val="single" w:sz="4" w:space="0" w:color="17365D"/>
            </w:tcBorders>
            <w:shd w:val="clear" w:color="auto" w:fill="auto"/>
            <w:vAlign w:val="center"/>
            <w:hideMark/>
          </w:tcPr>
          <w:p w14:paraId="4D04E002" w14:textId="71C580C4" w:rsidR="00006F2A" w:rsidRPr="00A27896" w:rsidRDefault="00006F2A" w:rsidP="00006F2A">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KB.2.4.</w:t>
            </w:r>
          </w:p>
        </w:tc>
        <w:tc>
          <w:tcPr>
            <w:tcW w:w="607" w:type="pct"/>
            <w:tcBorders>
              <w:top w:val="nil"/>
              <w:left w:val="nil"/>
              <w:bottom w:val="nil"/>
              <w:right w:val="nil"/>
            </w:tcBorders>
            <w:shd w:val="clear" w:color="auto" w:fill="auto"/>
            <w:noWrap/>
            <w:vAlign w:val="center"/>
            <w:hideMark/>
          </w:tcPr>
          <w:p w14:paraId="4F129600" w14:textId="1B7BB845" w:rsidR="00006F2A" w:rsidRPr="00A27896" w:rsidRDefault="00006F2A" w:rsidP="00006F2A">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498 321 504</w:t>
            </w:r>
          </w:p>
        </w:tc>
        <w:tc>
          <w:tcPr>
            <w:tcW w:w="757" w:type="pct"/>
            <w:tcBorders>
              <w:top w:val="nil"/>
              <w:left w:val="nil"/>
              <w:bottom w:val="nil"/>
              <w:right w:val="nil"/>
            </w:tcBorders>
            <w:shd w:val="clear" w:color="auto" w:fill="auto"/>
            <w:noWrap/>
            <w:vAlign w:val="center"/>
            <w:hideMark/>
          </w:tcPr>
          <w:p w14:paraId="17115FB6" w14:textId="124DD0C8" w:rsidR="00006F2A" w:rsidRPr="00A27896" w:rsidRDefault="00006F2A" w:rsidP="00006F2A">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278 663 160</w:t>
            </w:r>
          </w:p>
        </w:tc>
        <w:tc>
          <w:tcPr>
            <w:tcW w:w="606" w:type="pct"/>
            <w:tcBorders>
              <w:top w:val="nil"/>
              <w:left w:val="nil"/>
              <w:bottom w:val="nil"/>
              <w:right w:val="nil"/>
            </w:tcBorders>
            <w:shd w:val="clear" w:color="auto" w:fill="auto"/>
            <w:noWrap/>
            <w:vAlign w:val="center"/>
            <w:hideMark/>
          </w:tcPr>
          <w:p w14:paraId="10917734" w14:textId="51F36850" w:rsidR="00006F2A" w:rsidRPr="00A27896" w:rsidRDefault="00006F2A" w:rsidP="000E5114">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219 658 344</w:t>
            </w:r>
          </w:p>
        </w:tc>
        <w:tc>
          <w:tcPr>
            <w:tcW w:w="681" w:type="pct"/>
            <w:tcBorders>
              <w:top w:val="nil"/>
              <w:left w:val="nil"/>
              <w:bottom w:val="nil"/>
              <w:right w:val="nil"/>
            </w:tcBorders>
            <w:shd w:val="clear" w:color="auto" w:fill="auto"/>
            <w:noWrap/>
            <w:vAlign w:val="center"/>
            <w:hideMark/>
          </w:tcPr>
          <w:p w14:paraId="3796AE34" w14:textId="4A532DC2" w:rsidR="00006F2A" w:rsidRPr="00A27896" w:rsidRDefault="00006F2A" w:rsidP="00006F2A">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78.83</w:t>
            </w:r>
          </w:p>
        </w:tc>
      </w:tr>
      <w:tr w:rsidR="000C1009" w:rsidRPr="00A27896" w14:paraId="2AB7F2F6" w14:textId="77777777" w:rsidTr="00581A8F">
        <w:trPr>
          <w:trHeight w:val="56"/>
        </w:trPr>
        <w:tc>
          <w:tcPr>
            <w:tcW w:w="1742" w:type="pct"/>
            <w:tcBorders>
              <w:top w:val="single" w:sz="4" w:space="0" w:color="17365D"/>
            </w:tcBorders>
            <w:shd w:val="clear" w:color="auto" w:fill="B9CDE5"/>
            <w:vAlign w:val="center"/>
          </w:tcPr>
          <w:p w14:paraId="362CDBF8" w14:textId="77777777" w:rsidR="00905F3C" w:rsidRPr="00A27896" w:rsidRDefault="00905F3C" w:rsidP="00905F3C">
            <w:pPr>
              <w:spacing w:after="0"/>
              <w:rPr>
                <w:rFonts w:eastAsia="Times New Roman" w:cs="Times New Roman"/>
                <w:color w:val="17365D"/>
                <w:sz w:val="18"/>
                <w:szCs w:val="18"/>
                <w:lang w:eastAsia="lv-LV"/>
              </w:rPr>
            </w:pPr>
          </w:p>
        </w:tc>
        <w:tc>
          <w:tcPr>
            <w:tcW w:w="606" w:type="pct"/>
            <w:tcBorders>
              <w:top w:val="single" w:sz="4" w:space="0" w:color="17365D"/>
            </w:tcBorders>
            <w:shd w:val="clear" w:color="auto" w:fill="B9CDE5"/>
            <w:noWrap/>
            <w:vAlign w:val="center"/>
          </w:tcPr>
          <w:p w14:paraId="71FF9C39" w14:textId="77777777" w:rsidR="00905F3C" w:rsidRPr="00A27896" w:rsidRDefault="00905F3C" w:rsidP="00905F3C">
            <w:pPr>
              <w:spacing w:after="0"/>
              <w:jc w:val="center"/>
              <w:rPr>
                <w:rFonts w:eastAsia="Times New Roman" w:cs="Times New Roman"/>
                <w:color w:val="17365D"/>
                <w:sz w:val="18"/>
                <w:szCs w:val="18"/>
                <w:lang w:eastAsia="lv-LV"/>
              </w:rPr>
            </w:pPr>
          </w:p>
        </w:tc>
        <w:tc>
          <w:tcPr>
            <w:tcW w:w="607" w:type="pct"/>
            <w:tcBorders>
              <w:top w:val="single" w:sz="4" w:space="0" w:color="17365D"/>
            </w:tcBorders>
            <w:shd w:val="clear" w:color="auto" w:fill="B9CDE5"/>
            <w:noWrap/>
            <w:vAlign w:val="center"/>
          </w:tcPr>
          <w:p w14:paraId="76191C75" w14:textId="77777777" w:rsidR="00905F3C" w:rsidRPr="00A27896" w:rsidRDefault="00905F3C" w:rsidP="00905F3C">
            <w:pPr>
              <w:spacing w:after="0"/>
              <w:jc w:val="right"/>
              <w:rPr>
                <w:rFonts w:eastAsia="Times New Roman" w:cs="Times New Roman"/>
                <w:color w:val="17365D"/>
                <w:sz w:val="18"/>
                <w:szCs w:val="18"/>
                <w:lang w:eastAsia="lv-LV"/>
              </w:rPr>
            </w:pPr>
          </w:p>
        </w:tc>
        <w:tc>
          <w:tcPr>
            <w:tcW w:w="757" w:type="pct"/>
            <w:tcBorders>
              <w:top w:val="single" w:sz="4" w:space="0" w:color="17365D"/>
            </w:tcBorders>
            <w:shd w:val="clear" w:color="auto" w:fill="B9CDE5"/>
            <w:noWrap/>
            <w:vAlign w:val="center"/>
          </w:tcPr>
          <w:p w14:paraId="3C65A81E" w14:textId="77777777" w:rsidR="00905F3C" w:rsidRPr="00A27896" w:rsidRDefault="00905F3C" w:rsidP="00905F3C">
            <w:pPr>
              <w:spacing w:after="0"/>
              <w:jc w:val="right"/>
              <w:rPr>
                <w:rFonts w:eastAsia="Times New Roman" w:cs="Times New Roman"/>
                <w:color w:val="17365D"/>
                <w:sz w:val="18"/>
                <w:szCs w:val="18"/>
                <w:lang w:eastAsia="lv-LV"/>
              </w:rPr>
            </w:pPr>
          </w:p>
        </w:tc>
        <w:tc>
          <w:tcPr>
            <w:tcW w:w="606" w:type="pct"/>
            <w:tcBorders>
              <w:top w:val="single" w:sz="4" w:space="0" w:color="17365D"/>
            </w:tcBorders>
            <w:shd w:val="clear" w:color="auto" w:fill="B9CDE5"/>
            <w:noWrap/>
            <w:vAlign w:val="center"/>
          </w:tcPr>
          <w:p w14:paraId="22EF6B3B" w14:textId="77777777" w:rsidR="00905F3C" w:rsidRPr="00A27896" w:rsidRDefault="00905F3C" w:rsidP="00905F3C">
            <w:pPr>
              <w:spacing w:after="0"/>
              <w:jc w:val="right"/>
              <w:rPr>
                <w:rFonts w:eastAsia="Times New Roman" w:cs="Times New Roman"/>
                <w:color w:val="17365D"/>
                <w:sz w:val="18"/>
                <w:szCs w:val="18"/>
                <w:lang w:eastAsia="lv-LV"/>
              </w:rPr>
            </w:pPr>
          </w:p>
        </w:tc>
        <w:tc>
          <w:tcPr>
            <w:tcW w:w="681" w:type="pct"/>
            <w:tcBorders>
              <w:top w:val="single" w:sz="4" w:space="0" w:color="17365D"/>
            </w:tcBorders>
            <w:shd w:val="clear" w:color="auto" w:fill="B9CDE5"/>
            <w:noWrap/>
            <w:vAlign w:val="center"/>
          </w:tcPr>
          <w:p w14:paraId="55F1723A" w14:textId="77777777" w:rsidR="00905F3C" w:rsidRPr="00A27896" w:rsidRDefault="00905F3C" w:rsidP="00905F3C">
            <w:pPr>
              <w:spacing w:after="0"/>
              <w:jc w:val="right"/>
              <w:rPr>
                <w:rFonts w:eastAsia="Times New Roman" w:cs="Times New Roman"/>
                <w:color w:val="17365D"/>
                <w:sz w:val="18"/>
                <w:szCs w:val="18"/>
                <w:lang w:eastAsia="lv-LV"/>
              </w:rPr>
            </w:pPr>
          </w:p>
        </w:tc>
      </w:tr>
    </w:tbl>
    <w:p w14:paraId="4B15959F" w14:textId="078EEC81" w:rsidR="00D41F06" w:rsidRPr="00A27896" w:rsidRDefault="00343287" w:rsidP="00C93A9C">
      <w:pPr>
        <w:spacing w:before="240" w:after="120" w:line="240" w:lineRule="auto"/>
        <w:ind w:firstLine="284"/>
        <w:jc w:val="both"/>
        <w:rPr>
          <w:rFonts w:cs="Times New Roman"/>
          <w:bCs/>
          <w:color w:val="17365D"/>
        </w:rPr>
      </w:pPr>
      <w:r w:rsidRPr="00A27896">
        <w:rPr>
          <w:rFonts w:cs="Times New Roman"/>
          <w:bCs/>
          <w:color w:val="17365D"/>
        </w:rPr>
        <w:t>Saskaņā ar iestāžu sniegt</w:t>
      </w:r>
      <w:r w:rsidR="00934668" w:rsidRPr="00A27896">
        <w:rPr>
          <w:rFonts w:cs="Times New Roman"/>
          <w:bCs/>
          <w:color w:val="17365D"/>
        </w:rPr>
        <w:t xml:space="preserve">ajiem datiem, kas izslēgti konsolidācijā, ja </w:t>
      </w:r>
      <w:r w:rsidR="00A3112F" w:rsidRPr="00A27896">
        <w:rPr>
          <w:rFonts w:cs="Times New Roman"/>
          <w:bCs/>
          <w:color w:val="17365D"/>
        </w:rPr>
        <w:t xml:space="preserve">konsolidētie atlikumi </w:t>
      </w:r>
      <w:r w:rsidR="00934668" w:rsidRPr="00A27896">
        <w:rPr>
          <w:rFonts w:cs="Times New Roman"/>
          <w:bCs/>
          <w:color w:val="17365D"/>
        </w:rPr>
        <w:t xml:space="preserve">ir starp valsts budžetu un pašvaldību budžeta iestādēm, </w:t>
      </w:r>
      <w:r w:rsidRPr="00A27896">
        <w:rPr>
          <w:rFonts w:cs="Times New Roman"/>
          <w:bCs/>
          <w:color w:val="17365D"/>
        </w:rPr>
        <w:t xml:space="preserve">lielākās </w:t>
      </w:r>
      <w:r w:rsidR="00D41F06" w:rsidRPr="00A27896">
        <w:rPr>
          <w:rFonts w:cs="Times New Roman"/>
          <w:bCs/>
          <w:color w:val="17365D"/>
        </w:rPr>
        <w:t>izmaiņas šajā bilances postenī ir:</w:t>
      </w:r>
    </w:p>
    <w:p w14:paraId="0D5F3904" w14:textId="34AB30F7" w:rsidR="00D742DA" w:rsidRPr="00A27896" w:rsidRDefault="000515CA" w:rsidP="00603FE0">
      <w:pPr>
        <w:pStyle w:val="ListParagraph"/>
        <w:numPr>
          <w:ilvl w:val="0"/>
          <w:numId w:val="10"/>
        </w:numPr>
        <w:spacing w:after="120" w:line="240" w:lineRule="auto"/>
        <w:ind w:left="851"/>
        <w:contextualSpacing w:val="0"/>
        <w:jc w:val="both"/>
        <w:rPr>
          <w:rFonts w:cs="Times New Roman"/>
          <w:color w:val="17365D"/>
        </w:rPr>
      </w:pPr>
      <w:r w:rsidRPr="00A27896">
        <w:rPr>
          <w:rFonts w:cs="Times New Roman"/>
          <w:bCs/>
          <w:color w:val="17365D"/>
        </w:rPr>
        <w:t xml:space="preserve">Finanšu ministrijai </w:t>
      </w:r>
      <w:r w:rsidR="000F01CC" w:rsidRPr="00A27896">
        <w:rPr>
          <w:rFonts w:cs="Times New Roman"/>
          <w:bCs/>
          <w:color w:val="17365D"/>
        </w:rPr>
        <w:t>palielinājums 247 320 122</w:t>
      </w:r>
      <w:r w:rsidR="000F01CC" w:rsidRPr="00A27896" w:rsidDel="000515CA">
        <w:rPr>
          <w:rFonts w:cs="Times New Roman"/>
          <w:bCs/>
          <w:color w:val="17365D"/>
        </w:rPr>
        <w:t xml:space="preserve"> </w:t>
      </w:r>
      <w:proofErr w:type="spellStart"/>
      <w:r w:rsidR="000F01CC" w:rsidRPr="00A27896">
        <w:rPr>
          <w:rFonts w:cs="Times New Roman"/>
          <w:bCs/>
          <w:i/>
          <w:color w:val="17365D"/>
        </w:rPr>
        <w:t>euro</w:t>
      </w:r>
      <w:proofErr w:type="spellEnd"/>
      <w:r w:rsidR="000F01CC" w:rsidRPr="00A27896">
        <w:rPr>
          <w:rFonts w:cs="Times New Roman"/>
          <w:bCs/>
          <w:color w:val="17365D"/>
        </w:rPr>
        <w:t xml:space="preserve"> vērtībā </w:t>
      </w:r>
      <w:r w:rsidRPr="00A27896">
        <w:rPr>
          <w:rFonts w:cs="Times New Roman"/>
          <w:bCs/>
          <w:color w:val="17365D"/>
        </w:rPr>
        <w:t>pārklasificējot ilgtermiņa prasību īstermiņa daļu Kohēzijas fonda (KF), ERAF, Eiropas Sociālā fonda (turpmāk – ESF) 2014.-2020. programmēšanas perioda projektu ietvaros</w:t>
      </w:r>
      <w:r w:rsidRPr="00A27896" w:rsidDel="000515CA">
        <w:rPr>
          <w:rFonts w:cs="Times New Roman"/>
          <w:bCs/>
          <w:color w:val="17365D"/>
        </w:rPr>
        <w:t xml:space="preserve"> </w:t>
      </w:r>
      <w:r w:rsidR="000F01CC" w:rsidRPr="00A27896">
        <w:rPr>
          <w:rFonts w:cs="Times New Roman"/>
          <w:bCs/>
          <w:color w:val="17365D"/>
        </w:rPr>
        <w:t xml:space="preserve">un samazinājums </w:t>
      </w:r>
      <w:r w:rsidR="00F14440" w:rsidRPr="00A27896">
        <w:rPr>
          <w:rFonts w:cs="Times New Roman"/>
          <w:bCs/>
          <w:color w:val="17365D"/>
        </w:rPr>
        <w:t xml:space="preserve">(123 525 213) </w:t>
      </w:r>
      <w:proofErr w:type="spellStart"/>
      <w:r w:rsidR="00F14440" w:rsidRPr="00A27896">
        <w:rPr>
          <w:rFonts w:cs="Times New Roman"/>
          <w:bCs/>
          <w:i/>
          <w:color w:val="17365D"/>
        </w:rPr>
        <w:t>euro</w:t>
      </w:r>
      <w:proofErr w:type="spellEnd"/>
      <w:r w:rsidR="00F14440" w:rsidRPr="00A27896">
        <w:rPr>
          <w:rFonts w:cs="Times New Roman"/>
          <w:bCs/>
          <w:color w:val="17365D"/>
        </w:rPr>
        <w:t xml:space="preserve"> vērtībā </w:t>
      </w:r>
      <w:r w:rsidR="000F01CC" w:rsidRPr="00A27896">
        <w:rPr>
          <w:rFonts w:cs="Times New Roman"/>
          <w:bCs/>
          <w:color w:val="17365D"/>
        </w:rPr>
        <w:t xml:space="preserve">par atzītajiem izdevumiem </w:t>
      </w:r>
      <w:r w:rsidR="00F14440" w:rsidRPr="00A27896">
        <w:rPr>
          <w:rFonts w:cs="Times New Roman"/>
          <w:bCs/>
          <w:color w:val="17365D"/>
        </w:rPr>
        <w:t>atbilstoši izpildei KF, ERAF un ESF 2014.-</w:t>
      </w:r>
      <w:r w:rsidR="000F01CC" w:rsidRPr="00A27896">
        <w:rPr>
          <w:rFonts w:cs="Times New Roman"/>
          <w:bCs/>
          <w:color w:val="17365D"/>
        </w:rPr>
        <w:t>2020.gada programmēšanas perioda projektos</w:t>
      </w:r>
      <w:r w:rsidR="00D742DA" w:rsidRPr="00A27896">
        <w:rPr>
          <w:rFonts w:cs="Times New Roman"/>
          <w:bCs/>
          <w:color w:val="17365D"/>
        </w:rPr>
        <w:t>;</w:t>
      </w:r>
    </w:p>
    <w:p w14:paraId="44888CC5" w14:textId="1894FCA6" w:rsidR="00BE3AEA" w:rsidRPr="00A27896" w:rsidRDefault="00F14440" w:rsidP="00603FE0">
      <w:pPr>
        <w:pStyle w:val="ListParagraph"/>
        <w:numPr>
          <w:ilvl w:val="0"/>
          <w:numId w:val="10"/>
        </w:numPr>
        <w:spacing w:after="120" w:line="240" w:lineRule="auto"/>
        <w:ind w:left="851"/>
        <w:contextualSpacing w:val="0"/>
        <w:jc w:val="both"/>
        <w:rPr>
          <w:rFonts w:cs="Times New Roman"/>
          <w:color w:val="17365D"/>
        </w:rPr>
      </w:pPr>
      <w:r w:rsidRPr="00A27896">
        <w:rPr>
          <w:rFonts w:cs="Times New Roman"/>
          <w:bCs/>
          <w:color w:val="17365D"/>
        </w:rPr>
        <w:t>Labklājības ministrijai samaz</w:t>
      </w:r>
      <w:r w:rsidR="008C10F5" w:rsidRPr="00A27896">
        <w:rPr>
          <w:rFonts w:cs="Times New Roman"/>
          <w:bCs/>
          <w:color w:val="17365D"/>
        </w:rPr>
        <w:t>i</w:t>
      </w:r>
      <w:r w:rsidRPr="00A27896">
        <w:rPr>
          <w:rFonts w:cs="Times New Roman"/>
          <w:bCs/>
          <w:color w:val="17365D"/>
        </w:rPr>
        <w:t xml:space="preserve">nājumu (20 807 929) </w:t>
      </w:r>
      <w:proofErr w:type="spellStart"/>
      <w:r w:rsidRPr="00A27896">
        <w:rPr>
          <w:rFonts w:cs="Times New Roman"/>
          <w:bCs/>
          <w:i/>
          <w:color w:val="17365D"/>
        </w:rPr>
        <w:t>euro</w:t>
      </w:r>
      <w:proofErr w:type="spellEnd"/>
      <w:r w:rsidRPr="00A27896">
        <w:rPr>
          <w:rFonts w:cs="Times New Roman"/>
          <w:bCs/>
          <w:color w:val="17365D"/>
        </w:rPr>
        <w:t xml:space="preserve"> vērtībā veido pensiju un pabalstu avansa maksājumu samazinājums.</w:t>
      </w:r>
    </w:p>
    <w:p w14:paraId="119D401E" w14:textId="13514A2B" w:rsidR="009C31D2" w:rsidRPr="00A27896" w:rsidRDefault="009C31D2" w:rsidP="007E57EC">
      <w:pPr>
        <w:spacing w:after="120" w:line="240" w:lineRule="auto"/>
        <w:ind w:firstLine="284"/>
        <w:jc w:val="both"/>
        <w:rPr>
          <w:rFonts w:cs="Times New Roman"/>
          <w:bCs/>
          <w:color w:val="17365D"/>
        </w:rPr>
      </w:pPr>
      <w:r w:rsidRPr="00A27896">
        <w:rPr>
          <w:rFonts w:cs="Times New Roman"/>
          <w:bCs/>
          <w:color w:val="17365D"/>
        </w:rPr>
        <w:t xml:space="preserve">Nākamo periodu izdevumiem un avansiem par pakalpojumiem un projektiem </w:t>
      </w:r>
      <w:r w:rsidR="002221F1" w:rsidRPr="00A27896">
        <w:rPr>
          <w:rFonts w:cs="Times New Roman"/>
          <w:bCs/>
          <w:color w:val="17365D"/>
        </w:rPr>
        <w:t>atzītais vērtības</w:t>
      </w:r>
      <w:r w:rsidRPr="00A27896">
        <w:rPr>
          <w:rFonts w:cs="Times New Roman"/>
          <w:bCs/>
          <w:color w:val="17365D"/>
        </w:rPr>
        <w:t xml:space="preserve"> </w:t>
      </w:r>
      <w:r w:rsidR="002221F1" w:rsidRPr="00A27896">
        <w:rPr>
          <w:rFonts w:cs="Times New Roman"/>
          <w:bCs/>
          <w:color w:val="17365D"/>
        </w:rPr>
        <w:t>samazinājums</w:t>
      </w:r>
      <w:r w:rsidRPr="00A27896">
        <w:rPr>
          <w:rFonts w:cs="Times New Roman"/>
          <w:bCs/>
          <w:color w:val="17365D"/>
        </w:rPr>
        <w:t xml:space="preserve"> 20</w:t>
      </w:r>
      <w:r w:rsidR="00F267DD" w:rsidRPr="00A27896">
        <w:rPr>
          <w:rFonts w:cs="Times New Roman"/>
          <w:bCs/>
          <w:color w:val="17365D"/>
        </w:rPr>
        <w:t>2</w:t>
      </w:r>
      <w:r w:rsidR="001216B3" w:rsidRPr="00A27896">
        <w:rPr>
          <w:rFonts w:cs="Times New Roman"/>
          <w:bCs/>
          <w:color w:val="17365D"/>
        </w:rPr>
        <w:t>2</w:t>
      </w:r>
      <w:r w:rsidRPr="00A27896">
        <w:rPr>
          <w:rFonts w:cs="Times New Roman"/>
          <w:bCs/>
          <w:color w:val="17365D"/>
        </w:rPr>
        <w:t>. gada beigās s</w:t>
      </w:r>
      <w:r w:rsidR="00D71D95" w:rsidRPr="00A27896">
        <w:rPr>
          <w:rFonts w:cs="Times New Roman"/>
          <w:bCs/>
          <w:color w:val="17365D"/>
        </w:rPr>
        <w:t>askaņā ar</w:t>
      </w:r>
      <w:r w:rsidRPr="00A27896">
        <w:rPr>
          <w:rFonts w:cs="Times New Roman"/>
          <w:bCs/>
          <w:color w:val="17365D"/>
        </w:rPr>
        <w:t>:</w:t>
      </w:r>
    </w:p>
    <w:p w14:paraId="5DBD7B3B" w14:textId="3C2DAFA0" w:rsidR="009C31D2" w:rsidRPr="00A27896" w:rsidRDefault="00D71D95" w:rsidP="00F954E8">
      <w:pPr>
        <w:pStyle w:val="ListParagraph"/>
        <w:numPr>
          <w:ilvl w:val="0"/>
          <w:numId w:val="7"/>
        </w:numPr>
        <w:spacing w:after="120" w:line="240" w:lineRule="auto"/>
        <w:ind w:left="850" w:hanging="357"/>
        <w:contextualSpacing w:val="0"/>
        <w:jc w:val="both"/>
        <w:rPr>
          <w:rFonts w:cs="Times New Roman"/>
          <w:bCs/>
          <w:color w:val="17365D"/>
        </w:rPr>
      </w:pPr>
      <w:r w:rsidRPr="00A27896">
        <w:rPr>
          <w:rFonts w:cs="Times New Roman"/>
          <w:bCs/>
          <w:color w:val="17365D"/>
        </w:rPr>
        <w:t>ministriju un centrālo valsts iestāžu sniegto informāciju ir (</w:t>
      </w:r>
      <w:r w:rsidR="001216B3" w:rsidRPr="00A27896">
        <w:rPr>
          <w:rFonts w:cs="Times New Roman"/>
          <w:bCs/>
          <w:color w:val="17365D"/>
        </w:rPr>
        <w:t>687</w:t>
      </w:r>
      <w:r w:rsidR="00876BB1" w:rsidRPr="00A27896">
        <w:rPr>
          <w:rFonts w:cs="Times New Roman"/>
          <w:bCs/>
          <w:color w:val="17365D"/>
        </w:rPr>
        <w:t> </w:t>
      </w:r>
      <w:r w:rsidR="001216B3" w:rsidRPr="00A27896">
        <w:rPr>
          <w:rFonts w:cs="Times New Roman"/>
          <w:bCs/>
          <w:color w:val="17365D"/>
        </w:rPr>
        <w:t>972</w:t>
      </w:r>
      <w:r w:rsidRPr="00A27896">
        <w:rPr>
          <w:rFonts w:cs="Times New Roman"/>
          <w:bCs/>
          <w:color w:val="17365D"/>
        </w:rPr>
        <w:t>) </w:t>
      </w:r>
      <w:proofErr w:type="spellStart"/>
      <w:r w:rsidRPr="00A27896">
        <w:rPr>
          <w:rFonts w:cs="Times New Roman"/>
          <w:bCs/>
          <w:i/>
          <w:color w:val="17365D"/>
        </w:rPr>
        <w:t>euro</w:t>
      </w:r>
      <w:proofErr w:type="spellEnd"/>
      <w:r w:rsidR="002221F1" w:rsidRPr="00A27896">
        <w:rPr>
          <w:rFonts w:cs="Times New Roman"/>
          <w:bCs/>
          <w:i/>
          <w:color w:val="17365D"/>
        </w:rPr>
        <w:t xml:space="preserve">, </w:t>
      </w:r>
      <w:r w:rsidR="002221F1" w:rsidRPr="00A27896">
        <w:rPr>
          <w:rFonts w:cs="Times New Roman"/>
          <w:bCs/>
          <w:color w:val="17365D"/>
        </w:rPr>
        <w:t xml:space="preserve">galvenokārt veidots apšaubāmās summas apmērā, tai skaitā 491 273 </w:t>
      </w:r>
      <w:proofErr w:type="spellStart"/>
      <w:r w:rsidR="002221F1" w:rsidRPr="00A27896">
        <w:rPr>
          <w:rFonts w:cs="Times New Roman"/>
          <w:bCs/>
          <w:i/>
          <w:color w:val="17365D"/>
        </w:rPr>
        <w:t>euro</w:t>
      </w:r>
      <w:proofErr w:type="spellEnd"/>
      <w:r w:rsidR="002221F1" w:rsidRPr="00A27896">
        <w:rPr>
          <w:rFonts w:cs="Times New Roman"/>
          <w:bCs/>
          <w:i/>
          <w:color w:val="17365D"/>
        </w:rPr>
        <w:t xml:space="preserve"> </w:t>
      </w:r>
      <w:r w:rsidR="002221F1" w:rsidRPr="00A27896">
        <w:rPr>
          <w:rFonts w:cs="Times New Roman"/>
          <w:bCs/>
          <w:color w:val="17365D"/>
        </w:rPr>
        <w:t xml:space="preserve">vērtībā par </w:t>
      </w:r>
      <w:r w:rsidR="00346152" w:rsidRPr="00A27896">
        <w:rPr>
          <w:rFonts w:cs="Times New Roman"/>
          <w:bCs/>
          <w:color w:val="17365D"/>
        </w:rPr>
        <w:t>pašvaldībām ie</w:t>
      </w:r>
      <w:r w:rsidR="002221F1" w:rsidRPr="00A27896">
        <w:rPr>
          <w:rFonts w:cs="Times New Roman"/>
          <w:bCs/>
          <w:color w:val="17365D"/>
        </w:rPr>
        <w:t>skait</w:t>
      </w:r>
      <w:r w:rsidR="00346152" w:rsidRPr="00A27896">
        <w:rPr>
          <w:rFonts w:cs="Times New Roman"/>
          <w:bCs/>
          <w:color w:val="17365D"/>
        </w:rPr>
        <w:t xml:space="preserve">ītiem </w:t>
      </w:r>
      <w:proofErr w:type="spellStart"/>
      <w:r w:rsidR="00346152" w:rsidRPr="00A27896">
        <w:rPr>
          <w:rFonts w:cs="Times New Roman"/>
          <w:bCs/>
          <w:color w:val="17365D"/>
        </w:rPr>
        <w:t>tran</w:t>
      </w:r>
      <w:r w:rsidR="000C1009" w:rsidRPr="00A27896">
        <w:rPr>
          <w:rFonts w:cs="Times New Roman"/>
          <w:bCs/>
          <w:color w:val="17365D"/>
        </w:rPr>
        <w:t>s</w:t>
      </w:r>
      <w:r w:rsidR="00346152" w:rsidRPr="00A27896">
        <w:rPr>
          <w:rFonts w:cs="Times New Roman"/>
          <w:bCs/>
          <w:color w:val="17365D"/>
        </w:rPr>
        <w:t>fertiem</w:t>
      </w:r>
      <w:proofErr w:type="spellEnd"/>
      <w:r w:rsidR="002221F1" w:rsidRPr="00A27896">
        <w:rPr>
          <w:rFonts w:cs="Times New Roman"/>
          <w:bCs/>
          <w:color w:val="17365D"/>
        </w:rPr>
        <w:t xml:space="preserve"> </w:t>
      </w:r>
      <w:r w:rsidR="00346152" w:rsidRPr="00A27896">
        <w:rPr>
          <w:rFonts w:cs="Times New Roman"/>
          <w:bCs/>
          <w:color w:val="17365D"/>
        </w:rPr>
        <w:t xml:space="preserve">kontos </w:t>
      </w:r>
      <w:r w:rsidR="00AA2059" w:rsidRPr="00A27896">
        <w:rPr>
          <w:rFonts w:cs="Times New Roman"/>
          <w:bCs/>
          <w:color w:val="17365D"/>
        </w:rPr>
        <w:t xml:space="preserve">likvidējamā </w:t>
      </w:r>
      <w:r w:rsidR="00346152" w:rsidRPr="00A27896">
        <w:rPr>
          <w:rFonts w:cs="Times New Roman"/>
          <w:bCs/>
          <w:color w:val="17365D"/>
        </w:rPr>
        <w:t>AS “Latvijas Krājbanka”</w:t>
      </w:r>
      <w:r w:rsidR="009C31D2" w:rsidRPr="00A27896">
        <w:rPr>
          <w:rFonts w:cs="Times New Roman"/>
          <w:bCs/>
          <w:color w:val="17365D"/>
        </w:rPr>
        <w:t>;</w:t>
      </w:r>
    </w:p>
    <w:p w14:paraId="30DBE104" w14:textId="212C8000" w:rsidR="009C31D2" w:rsidRPr="00A27896" w:rsidRDefault="009C31D2" w:rsidP="00F954E8">
      <w:pPr>
        <w:pStyle w:val="ListParagraph"/>
        <w:numPr>
          <w:ilvl w:val="0"/>
          <w:numId w:val="7"/>
        </w:numPr>
        <w:spacing w:after="120" w:line="240" w:lineRule="auto"/>
        <w:ind w:left="850" w:hanging="357"/>
        <w:contextualSpacing w:val="0"/>
        <w:jc w:val="both"/>
        <w:rPr>
          <w:rFonts w:cs="Times New Roman"/>
          <w:bCs/>
          <w:color w:val="17365D"/>
        </w:rPr>
      </w:pPr>
      <w:r w:rsidRPr="00A27896">
        <w:rPr>
          <w:rFonts w:cs="Times New Roman"/>
          <w:bCs/>
          <w:color w:val="17365D"/>
        </w:rPr>
        <w:t>pašvaldību sniegto informāciju ir (</w:t>
      </w:r>
      <w:r w:rsidR="001216B3" w:rsidRPr="00A27896">
        <w:rPr>
          <w:rFonts w:cs="Times New Roman"/>
          <w:bCs/>
          <w:color w:val="17365D"/>
        </w:rPr>
        <w:t>1 220</w:t>
      </w:r>
      <w:r w:rsidR="00876BB1" w:rsidRPr="00A27896">
        <w:rPr>
          <w:rFonts w:cs="Times New Roman"/>
          <w:bCs/>
          <w:color w:val="17365D"/>
        </w:rPr>
        <w:t> </w:t>
      </w:r>
      <w:r w:rsidR="001216B3" w:rsidRPr="00A27896">
        <w:rPr>
          <w:rFonts w:cs="Times New Roman"/>
          <w:bCs/>
          <w:color w:val="17365D"/>
        </w:rPr>
        <w:t>841</w:t>
      </w:r>
      <w:r w:rsidRPr="00A27896">
        <w:rPr>
          <w:rFonts w:cs="Times New Roman"/>
          <w:bCs/>
          <w:color w:val="17365D"/>
        </w:rPr>
        <w:t>) </w:t>
      </w:r>
      <w:proofErr w:type="spellStart"/>
      <w:r w:rsidRPr="00A27896">
        <w:rPr>
          <w:rFonts w:cs="Times New Roman"/>
          <w:bCs/>
          <w:i/>
          <w:color w:val="17365D"/>
        </w:rPr>
        <w:t>euro</w:t>
      </w:r>
      <w:proofErr w:type="spellEnd"/>
      <w:r w:rsidR="002221F1" w:rsidRPr="00A27896">
        <w:rPr>
          <w:rFonts w:cs="Times New Roman"/>
          <w:bCs/>
          <w:i/>
          <w:color w:val="17365D"/>
        </w:rPr>
        <w:t xml:space="preserve">, </w:t>
      </w:r>
      <w:r w:rsidR="002221F1" w:rsidRPr="00A27896">
        <w:rPr>
          <w:rFonts w:cs="Times New Roman"/>
          <w:bCs/>
          <w:color w:val="17365D"/>
        </w:rPr>
        <w:t xml:space="preserve">galvenokārt veidots </w:t>
      </w:r>
      <w:r w:rsidR="008C3AE8" w:rsidRPr="00A27896">
        <w:rPr>
          <w:rFonts w:cs="Times New Roman"/>
          <w:bCs/>
          <w:color w:val="17365D"/>
        </w:rPr>
        <w:t>pilnā apmērā atbilstoši budžeta iestāžu grāmatvedības uzskaites kārtībā noteiktajam</w:t>
      </w:r>
      <w:r w:rsidRPr="00A27896">
        <w:rPr>
          <w:rFonts w:cs="Times New Roman"/>
          <w:bCs/>
          <w:color w:val="17365D"/>
        </w:rPr>
        <w:t>.</w:t>
      </w:r>
    </w:p>
    <w:p w14:paraId="4637158C" w14:textId="77777777" w:rsidR="007E57EC" w:rsidRPr="00A27896" w:rsidRDefault="007E57EC" w:rsidP="007E57EC">
      <w:pPr>
        <w:spacing w:after="120" w:line="240" w:lineRule="auto"/>
        <w:ind w:firstLine="284"/>
        <w:jc w:val="both"/>
        <w:rPr>
          <w:rFonts w:cs="Times New Roman"/>
          <w:bCs/>
          <w:color w:val="17365D"/>
        </w:rPr>
      </w:pPr>
      <w:r w:rsidRPr="00A27896">
        <w:rPr>
          <w:rFonts w:cs="Times New Roman"/>
          <w:bCs/>
          <w:color w:val="17365D"/>
        </w:rPr>
        <w:lastRenderedPageBreak/>
        <w:t>Bilances postenī “Nākamo periodu izdevumi un avansi par pakalpojumiem un projektiem” konsolidēti valsts un pašvaldību budžeta iestāžu savstarpējie avansa maksājumi un attiecīgās saistības.</w:t>
      </w:r>
    </w:p>
    <w:p w14:paraId="75B4508B" w14:textId="35EA17D6" w:rsidR="005F1E64" w:rsidRPr="00A27896" w:rsidRDefault="009D537C" w:rsidP="005A3758">
      <w:pPr>
        <w:pStyle w:val="Heading4"/>
        <w:rPr>
          <w:rFonts w:cs="Times New Roman"/>
        </w:rPr>
      </w:pPr>
      <w:r w:rsidRPr="00A27896">
        <w:rPr>
          <w:rFonts w:cs="Times New Roman"/>
        </w:rPr>
        <w:t xml:space="preserve">Piezīme Nr. </w:t>
      </w:r>
      <w:r w:rsidR="00D41F06" w:rsidRPr="00A27896">
        <w:rPr>
          <w:rFonts w:cs="Times New Roman"/>
        </w:rPr>
        <w:t>KB.</w:t>
      </w:r>
      <w:r w:rsidR="00F73CE6" w:rsidRPr="00A27896">
        <w:rPr>
          <w:rFonts w:cs="Times New Roman"/>
        </w:rPr>
        <w:t>2.5</w:t>
      </w:r>
      <w:r w:rsidR="00D41F06" w:rsidRPr="00A27896">
        <w:rPr>
          <w:rFonts w:cs="Times New Roman"/>
        </w:rPr>
        <w:t>. Īstermiņa finanšu ieguldījumi</w:t>
      </w:r>
    </w:p>
    <w:p w14:paraId="310D8AE1" w14:textId="50BB00C9" w:rsidR="00C17805" w:rsidRPr="00A27896" w:rsidRDefault="00994F50" w:rsidP="00B53D37">
      <w:pPr>
        <w:spacing w:after="120" w:line="240" w:lineRule="auto"/>
        <w:ind w:firstLine="284"/>
        <w:jc w:val="both"/>
        <w:rPr>
          <w:rFonts w:cs="Times New Roman"/>
          <w:bCs/>
          <w:color w:val="17365D"/>
        </w:rPr>
      </w:pPr>
      <w:r w:rsidRPr="00A27896">
        <w:rPr>
          <w:rFonts w:cs="Times New Roman"/>
          <w:bCs/>
          <w:color w:val="17365D"/>
        </w:rPr>
        <w:t>Bilances postenis konsolidēts par valsts budžeta un valsts budžeta iestāžu, no valsts budžeta daļēji finansētu atvasinātu publisku personu un to izveidotu iestāžu un pašvaldību savstarpējiem darījumiem</w:t>
      </w:r>
      <w:r w:rsidR="00AA2059" w:rsidRPr="00A27896">
        <w:rPr>
          <w:rFonts w:cs="Times New Roman"/>
          <w:bCs/>
          <w:color w:val="17365D"/>
        </w:rPr>
        <w:t>, kā arī par valsts budžeta finanšu uzskaitē atzītiem aizdevumiem valsts un pašvaldību budžeta iestādēm un budžeta iestāžu noguldījumiem Valsts kasē</w:t>
      </w:r>
      <w:r w:rsidRPr="00A27896">
        <w:rPr>
          <w:rFonts w:cs="Times New Roman"/>
          <w:bCs/>
          <w:color w:val="17365D"/>
        </w:rPr>
        <w:t>.</w:t>
      </w:r>
    </w:p>
    <w:p w14:paraId="2182CFDF" w14:textId="131AE543" w:rsidR="0003199C" w:rsidRPr="00A27896" w:rsidRDefault="00990A72" w:rsidP="009A23E5">
      <w:pPr>
        <w:pStyle w:val="Tabulasnosaukums1"/>
        <w:spacing w:before="120" w:line="240" w:lineRule="auto"/>
        <w:rPr>
          <w:rFonts w:cs="Times New Roman"/>
          <w:i/>
          <w:color w:val="17365D"/>
          <w:szCs w:val="18"/>
        </w:rPr>
      </w:pPr>
      <w:r w:rsidRPr="00A27896">
        <w:rPr>
          <w:rFonts w:cs="Times New Roman"/>
          <w:i/>
          <w:color w:val="17365D"/>
          <w:szCs w:val="18"/>
        </w:rPr>
        <w:t>1</w:t>
      </w:r>
      <w:r w:rsidR="00F14440" w:rsidRPr="00A27896">
        <w:rPr>
          <w:rFonts w:cs="Times New Roman"/>
          <w:i/>
          <w:color w:val="17365D"/>
          <w:szCs w:val="18"/>
        </w:rPr>
        <w:t>5</w:t>
      </w:r>
      <w:r w:rsidR="0003199C" w:rsidRPr="00A27896">
        <w:rPr>
          <w:rFonts w:cs="Times New Roman"/>
          <w:i/>
          <w:color w:val="17365D"/>
          <w:szCs w:val="18"/>
        </w:rPr>
        <w:t>. tabula</w:t>
      </w:r>
      <w:r w:rsidRPr="00A27896">
        <w:rPr>
          <w:rFonts w:cs="Times New Roman"/>
          <w:i/>
          <w:color w:val="17365D"/>
          <w:szCs w:val="18"/>
        </w:rPr>
        <w:t xml:space="preserve">. Īstermiņa finanšu ieguldījumi </w:t>
      </w:r>
      <w:r w:rsidRPr="00A27896">
        <w:rPr>
          <w:rFonts w:eastAsia="Times New Roman" w:cs="Times New Roman"/>
          <w:i/>
          <w:color w:val="17365D"/>
          <w:szCs w:val="18"/>
          <w:lang w:eastAsia="lv-LV"/>
        </w:rPr>
        <w:t>(</w:t>
      </w:r>
      <w:proofErr w:type="spellStart"/>
      <w:r w:rsidR="000224DA" w:rsidRPr="00A27896">
        <w:rPr>
          <w:rFonts w:eastAsia="Times New Roman" w:cs="Times New Roman"/>
          <w:i/>
          <w:color w:val="17365D"/>
          <w:szCs w:val="18"/>
          <w:lang w:eastAsia="lv-LV"/>
        </w:rPr>
        <w:t>euro</w:t>
      </w:r>
      <w:proofErr w:type="spellEnd"/>
      <w:r w:rsidRPr="00A27896">
        <w:rPr>
          <w:rFonts w:eastAsia="Times New Roman" w:cs="Times New Roman"/>
          <w:i/>
          <w:color w:val="17365D"/>
          <w:szCs w:val="18"/>
          <w:lang w:eastAsia="lv-LV"/>
        </w:rPr>
        <w:t>)</w:t>
      </w:r>
    </w:p>
    <w:tbl>
      <w:tblPr>
        <w:tblW w:w="5011" w:type="pct"/>
        <w:tblLayout w:type="fixed"/>
        <w:tblLook w:val="04A0" w:firstRow="1" w:lastRow="0" w:firstColumn="1" w:lastColumn="0" w:noHBand="0" w:noVBand="1"/>
      </w:tblPr>
      <w:tblGrid>
        <w:gridCol w:w="2695"/>
        <w:gridCol w:w="1274"/>
        <w:gridCol w:w="1418"/>
        <w:gridCol w:w="1558"/>
        <w:gridCol w:w="1213"/>
        <w:gridCol w:w="1217"/>
      </w:tblGrid>
      <w:tr w:rsidR="000C1009" w:rsidRPr="00A27896" w14:paraId="575BF867" w14:textId="77777777" w:rsidTr="00581A8F">
        <w:trPr>
          <w:trHeight w:val="684"/>
          <w:tblHeader/>
        </w:trPr>
        <w:tc>
          <w:tcPr>
            <w:tcW w:w="1437" w:type="pct"/>
            <w:tcBorders>
              <w:bottom w:val="single" w:sz="4" w:space="0" w:color="17365D"/>
            </w:tcBorders>
            <w:shd w:val="clear" w:color="auto" w:fill="B9CDE5"/>
            <w:vAlign w:val="center"/>
            <w:hideMark/>
          </w:tcPr>
          <w:p w14:paraId="326D5CBA" w14:textId="605C8AD9" w:rsidR="00F45393" w:rsidRPr="00A27896" w:rsidRDefault="00F45393" w:rsidP="00F45393">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679" w:type="pct"/>
            <w:tcBorders>
              <w:bottom w:val="single" w:sz="4" w:space="0" w:color="17365D"/>
            </w:tcBorders>
            <w:shd w:val="clear" w:color="auto" w:fill="B9CDE5"/>
            <w:vAlign w:val="center"/>
            <w:hideMark/>
          </w:tcPr>
          <w:p w14:paraId="288B26AF" w14:textId="77777777" w:rsidR="00F45393" w:rsidRPr="00A27896" w:rsidRDefault="00F45393" w:rsidP="00F45393">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756" w:type="pct"/>
            <w:tcBorders>
              <w:bottom w:val="single" w:sz="4" w:space="0" w:color="17365D"/>
            </w:tcBorders>
            <w:shd w:val="clear" w:color="auto" w:fill="B9CDE5"/>
            <w:vAlign w:val="center"/>
            <w:hideMark/>
          </w:tcPr>
          <w:p w14:paraId="7D57DC9D" w14:textId="77777777" w:rsidR="00F45393" w:rsidRPr="00A27896" w:rsidRDefault="00F45393" w:rsidP="00F45393">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831" w:type="pct"/>
            <w:tcBorders>
              <w:bottom w:val="single" w:sz="4" w:space="0" w:color="17365D"/>
            </w:tcBorders>
            <w:shd w:val="clear" w:color="auto" w:fill="B9CDE5"/>
            <w:vAlign w:val="center"/>
            <w:hideMark/>
          </w:tcPr>
          <w:p w14:paraId="2EB77975" w14:textId="77777777" w:rsidR="00F45393" w:rsidRPr="00A27896" w:rsidRDefault="00F45393" w:rsidP="00F45393">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647" w:type="pct"/>
            <w:tcBorders>
              <w:bottom w:val="single" w:sz="4" w:space="0" w:color="17365D"/>
            </w:tcBorders>
            <w:shd w:val="clear" w:color="auto" w:fill="B9CDE5"/>
            <w:vAlign w:val="center"/>
            <w:hideMark/>
          </w:tcPr>
          <w:p w14:paraId="4FBB523F" w14:textId="5D1926CA" w:rsidR="00F45393" w:rsidRPr="00A27896" w:rsidRDefault="00F45393" w:rsidP="00F45393">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 </w:t>
            </w:r>
            <w:r w:rsidRPr="00A27896">
              <w:rPr>
                <w:rFonts w:eastAsia="Times New Roman" w:cs="Times New Roman"/>
                <w:b/>
                <w:color w:val="17365D"/>
                <w:sz w:val="18"/>
                <w:szCs w:val="18"/>
                <w:lang w:eastAsia="lv-LV"/>
              </w:rPr>
              <w:t>)</w:t>
            </w:r>
          </w:p>
        </w:tc>
        <w:tc>
          <w:tcPr>
            <w:tcW w:w="649" w:type="pct"/>
            <w:tcBorders>
              <w:bottom w:val="single" w:sz="4" w:space="0" w:color="17365D"/>
            </w:tcBorders>
            <w:shd w:val="clear" w:color="auto" w:fill="B9CDE5"/>
            <w:vAlign w:val="center"/>
            <w:hideMark/>
          </w:tcPr>
          <w:p w14:paraId="604F256F" w14:textId="77777777" w:rsidR="00F45393" w:rsidRPr="00A27896" w:rsidRDefault="00F45393" w:rsidP="00F45393">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337DA1A2" w14:textId="77777777" w:rsidTr="00D742DA">
        <w:trPr>
          <w:trHeight w:val="240"/>
          <w:tblHeader/>
        </w:trPr>
        <w:tc>
          <w:tcPr>
            <w:tcW w:w="1437" w:type="pct"/>
            <w:tcBorders>
              <w:top w:val="single" w:sz="4" w:space="0" w:color="17365D"/>
              <w:bottom w:val="single" w:sz="4" w:space="0" w:color="17365D"/>
            </w:tcBorders>
            <w:shd w:val="clear" w:color="auto" w:fill="auto"/>
            <w:vAlign w:val="center"/>
            <w:hideMark/>
          </w:tcPr>
          <w:p w14:paraId="7E556287" w14:textId="77777777" w:rsidR="00F45393" w:rsidRPr="00A27896" w:rsidRDefault="00F45393" w:rsidP="00F45393">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679" w:type="pct"/>
            <w:tcBorders>
              <w:top w:val="single" w:sz="4" w:space="0" w:color="17365D"/>
              <w:bottom w:val="single" w:sz="4" w:space="0" w:color="17365D"/>
            </w:tcBorders>
            <w:shd w:val="clear" w:color="auto" w:fill="auto"/>
            <w:vAlign w:val="center"/>
            <w:hideMark/>
          </w:tcPr>
          <w:p w14:paraId="2CB1D074" w14:textId="77777777" w:rsidR="00F45393" w:rsidRPr="00A27896" w:rsidRDefault="00F45393" w:rsidP="00F45393">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56" w:type="pct"/>
            <w:tcBorders>
              <w:top w:val="single" w:sz="4" w:space="0" w:color="17365D"/>
              <w:bottom w:val="single" w:sz="4" w:space="0" w:color="17365D"/>
            </w:tcBorders>
            <w:shd w:val="clear" w:color="auto" w:fill="auto"/>
            <w:vAlign w:val="center"/>
            <w:hideMark/>
          </w:tcPr>
          <w:p w14:paraId="3C96ABE9" w14:textId="77777777" w:rsidR="00F45393" w:rsidRPr="00A27896" w:rsidRDefault="00F45393" w:rsidP="00F45393">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831" w:type="pct"/>
            <w:tcBorders>
              <w:top w:val="single" w:sz="4" w:space="0" w:color="17365D"/>
              <w:bottom w:val="single" w:sz="4" w:space="0" w:color="17365D"/>
            </w:tcBorders>
            <w:shd w:val="clear" w:color="auto" w:fill="auto"/>
            <w:vAlign w:val="center"/>
            <w:hideMark/>
          </w:tcPr>
          <w:p w14:paraId="7B4DE534" w14:textId="77777777" w:rsidR="00F45393" w:rsidRPr="00A27896" w:rsidRDefault="00F45393" w:rsidP="00F45393">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647" w:type="pct"/>
            <w:tcBorders>
              <w:top w:val="single" w:sz="4" w:space="0" w:color="17365D"/>
              <w:bottom w:val="single" w:sz="4" w:space="0" w:color="17365D"/>
            </w:tcBorders>
            <w:shd w:val="clear" w:color="auto" w:fill="auto"/>
            <w:vAlign w:val="center"/>
            <w:hideMark/>
          </w:tcPr>
          <w:p w14:paraId="765EFABE" w14:textId="77777777" w:rsidR="00F45393" w:rsidRPr="00A27896" w:rsidRDefault="00F45393" w:rsidP="00F45393">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49" w:type="pct"/>
            <w:tcBorders>
              <w:top w:val="single" w:sz="4" w:space="0" w:color="17365D"/>
              <w:bottom w:val="single" w:sz="4" w:space="0" w:color="17365D"/>
            </w:tcBorders>
            <w:shd w:val="clear" w:color="auto" w:fill="auto"/>
            <w:vAlign w:val="center"/>
            <w:hideMark/>
          </w:tcPr>
          <w:p w14:paraId="34C638CB" w14:textId="77777777" w:rsidR="00F45393" w:rsidRPr="00A27896" w:rsidRDefault="00F45393" w:rsidP="00F45393">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A27896" w:rsidRPr="00A27896" w14:paraId="03CEB5EE" w14:textId="77777777" w:rsidTr="00D742DA">
        <w:trPr>
          <w:trHeight w:val="266"/>
        </w:trPr>
        <w:tc>
          <w:tcPr>
            <w:tcW w:w="1437" w:type="pct"/>
            <w:tcBorders>
              <w:top w:val="single" w:sz="4" w:space="0" w:color="17365D"/>
              <w:bottom w:val="single" w:sz="4" w:space="0" w:color="17365D"/>
            </w:tcBorders>
            <w:shd w:val="clear" w:color="auto" w:fill="auto"/>
            <w:vAlign w:val="center"/>
            <w:hideMark/>
          </w:tcPr>
          <w:p w14:paraId="75AE8E2D" w14:textId="27F87862" w:rsidR="00D742DA" w:rsidRPr="00A27896" w:rsidRDefault="00D742DA" w:rsidP="00D742DA">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Īstermiņa finanšu ieguldījumi</w:t>
            </w:r>
          </w:p>
        </w:tc>
        <w:tc>
          <w:tcPr>
            <w:tcW w:w="679" w:type="pct"/>
            <w:tcBorders>
              <w:top w:val="single" w:sz="4" w:space="0" w:color="17365D"/>
              <w:bottom w:val="single" w:sz="4" w:space="0" w:color="17365D"/>
            </w:tcBorders>
            <w:shd w:val="clear" w:color="auto" w:fill="auto"/>
            <w:vAlign w:val="center"/>
            <w:hideMark/>
          </w:tcPr>
          <w:p w14:paraId="44915BBE" w14:textId="5C1778A2" w:rsidR="00D742DA" w:rsidRPr="00A27896" w:rsidRDefault="00D742DA" w:rsidP="000E5114">
            <w:pPr>
              <w:spacing w:after="0" w:line="240" w:lineRule="auto"/>
              <w:jc w:val="center"/>
              <w:rPr>
                <w:rFonts w:eastAsia="Times New Roman" w:cs="Times New Roman"/>
                <w:b/>
                <w:color w:val="17365D"/>
                <w:sz w:val="18"/>
                <w:szCs w:val="18"/>
                <w:lang w:eastAsia="lv-LV"/>
              </w:rPr>
            </w:pPr>
            <w:r w:rsidRPr="00A27896">
              <w:rPr>
                <w:rFonts w:cs="Times New Roman"/>
                <w:b/>
                <w:color w:val="17365D"/>
                <w:sz w:val="18"/>
                <w:szCs w:val="18"/>
              </w:rPr>
              <w:t>KB.2.5.</w:t>
            </w:r>
          </w:p>
        </w:tc>
        <w:tc>
          <w:tcPr>
            <w:tcW w:w="756" w:type="pct"/>
            <w:tcBorders>
              <w:top w:val="single" w:sz="4" w:space="0" w:color="17365D"/>
              <w:bottom w:val="single" w:sz="4" w:space="0" w:color="17365D"/>
            </w:tcBorders>
            <w:shd w:val="clear" w:color="auto" w:fill="auto"/>
            <w:noWrap/>
            <w:vAlign w:val="center"/>
            <w:hideMark/>
          </w:tcPr>
          <w:p w14:paraId="17796A8F" w14:textId="644C91C0" w:rsidR="00D742DA" w:rsidRPr="00A27896" w:rsidRDefault="00F14440" w:rsidP="000B573A">
            <w:pPr>
              <w:spacing w:after="0" w:line="240" w:lineRule="auto"/>
              <w:jc w:val="right"/>
              <w:rPr>
                <w:rFonts w:cs="Times New Roman"/>
                <w:b/>
                <w:color w:val="17365D"/>
                <w:sz w:val="18"/>
                <w:szCs w:val="18"/>
              </w:rPr>
            </w:pPr>
            <w:r w:rsidRPr="00A27896">
              <w:rPr>
                <w:rFonts w:cs="Times New Roman"/>
                <w:b/>
                <w:color w:val="17365D"/>
                <w:sz w:val="18"/>
                <w:szCs w:val="18"/>
              </w:rPr>
              <w:t>32 019 753</w:t>
            </w:r>
          </w:p>
        </w:tc>
        <w:tc>
          <w:tcPr>
            <w:tcW w:w="831" w:type="pct"/>
            <w:tcBorders>
              <w:top w:val="single" w:sz="4" w:space="0" w:color="17365D"/>
              <w:bottom w:val="single" w:sz="4" w:space="0" w:color="17365D"/>
            </w:tcBorders>
            <w:shd w:val="clear" w:color="auto" w:fill="auto"/>
            <w:noWrap/>
            <w:vAlign w:val="center"/>
            <w:hideMark/>
          </w:tcPr>
          <w:p w14:paraId="27F99DF5" w14:textId="54548548" w:rsidR="00D742DA" w:rsidRPr="00A27896" w:rsidRDefault="00F14440" w:rsidP="00D742DA">
            <w:pPr>
              <w:spacing w:after="0" w:line="240" w:lineRule="auto"/>
              <w:jc w:val="right"/>
              <w:rPr>
                <w:rFonts w:cs="Times New Roman"/>
                <w:b/>
                <w:color w:val="17365D"/>
                <w:sz w:val="18"/>
                <w:szCs w:val="18"/>
              </w:rPr>
            </w:pPr>
            <w:r w:rsidRPr="00A27896">
              <w:rPr>
                <w:rFonts w:cs="Times New Roman"/>
                <w:b/>
                <w:color w:val="17365D"/>
                <w:sz w:val="18"/>
                <w:szCs w:val="18"/>
              </w:rPr>
              <w:t>20 995 428</w:t>
            </w:r>
          </w:p>
        </w:tc>
        <w:tc>
          <w:tcPr>
            <w:tcW w:w="647" w:type="pct"/>
            <w:tcBorders>
              <w:top w:val="single" w:sz="4" w:space="0" w:color="17365D"/>
              <w:bottom w:val="single" w:sz="4" w:space="0" w:color="17365D"/>
            </w:tcBorders>
            <w:shd w:val="clear" w:color="auto" w:fill="auto"/>
            <w:noWrap/>
            <w:vAlign w:val="center"/>
            <w:hideMark/>
          </w:tcPr>
          <w:p w14:paraId="2E2D87B6" w14:textId="57EBADC2" w:rsidR="00D742DA" w:rsidRPr="00A27896" w:rsidRDefault="00F14440" w:rsidP="000B573A">
            <w:pPr>
              <w:spacing w:after="0" w:line="240" w:lineRule="auto"/>
              <w:jc w:val="right"/>
              <w:rPr>
                <w:rFonts w:cs="Times New Roman"/>
                <w:b/>
                <w:color w:val="17365D"/>
                <w:sz w:val="18"/>
                <w:szCs w:val="18"/>
              </w:rPr>
            </w:pPr>
            <w:r w:rsidRPr="00A27896">
              <w:rPr>
                <w:rFonts w:cs="Times New Roman"/>
                <w:b/>
                <w:color w:val="17365D"/>
                <w:sz w:val="18"/>
                <w:szCs w:val="18"/>
              </w:rPr>
              <w:t>11 024 325</w:t>
            </w:r>
          </w:p>
        </w:tc>
        <w:tc>
          <w:tcPr>
            <w:tcW w:w="649" w:type="pct"/>
            <w:tcBorders>
              <w:top w:val="single" w:sz="4" w:space="0" w:color="17365D"/>
              <w:bottom w:val="single" w:sz="4" w:space="0" w:color="17365D"/>
              <w:right w:val="nil"/>
            </w:tcBorders>
            <w:shd w:val="clear" w:color="auto" w:fill="auto"/>
            <w:noWrap/>
            <w:vAlign w:val="center"/>
            <w:hideMark/>
          </w:tcPr>
          <w:p w14:paraId="23BC2471" w14:textId="034B5CB2" w:rsidR="00D742DA" w:rsidRPr="00A27896" w:rsidRDefault="00F14440" w:rsidP="00603FE0">
            <w:pPr>
              <w:spacing w:after="0" w:line="240" w:lineRule="auto"/>
              <w:jc w:val="right"/>
              <w:rPr>
                <w:rFonts w:cs="Times New Roman"/>
                <w:b/>
                <w:color w:val="17365D"/>
                <w:sz w:val="18"/>
                <w:szCs w:val="18"/>
              </w:rPr>
            </w:pPr>
            <w:r w:rsidRPr="00A27896">
              <w:rPr>
                <w:rFonts w:cs="Times New Roman"/>
                <w:b/>
                <w:color w:val="17365D"/>
                <w:sz w:val="18"/>
                <w:szCs w:val="18"/>
              </w:rPr>
              <w:t>52</w:t>
            </w:r>
            <w:r w:rsidR="00603FE0" w:rsidRPr="00A27896">
              <w:rPr>
                <w:rFonts w:cs="Times New Roman"/>
                <w:b/>
                <w:color w:val="17365D"/>
                <w:sz w:val="18"/>
                <w:szCs w:val="18"/>
              </w:rPr>
              <w:t>.</w:t>
            </w:r>
            <w:r w:rsidRPr="00A27896">
              <w:rPr>
                <w:rFonts w:cs="Times New Roman"/>
                <w:b/>
                <w:color w:val="17365D"/>
                <w:sz w:val="18"/>
                <w:szCs w:val="18"/>
              </w:rPr>
              <w:t>51</w:t>
            </w:r>
          </w:p>
        </w:tc>
      </w:tr>
      <w:tr w:rsidR="000C1009" w:rsidRPr="00A27896" w14:paraId="2AA01D16" w14:textId="77777777" w:rsidTr="00D742DA">
        <w:trPr>
          <w:trHeight w:val="56"/>
        </w:trPr>
        <w:tc>
          <w:tcPr>
            <w:tcW w:w="1437" w:type="pct"/>
            <w:tcBorders>
              <w:top w:val="single" w:sz="4" w:space="0" w:color="17365D"/>
            </w:tcBorders>
            <w:shd w:val="clear" w:color="auto" w:fill="B9CDE5"/>
            <w:vAlign w:val="center"/>
          </w:tcPr>
          <w:p w14:paraId="57E1251E" w14:textId="77777777" w:rsidR="00A34B48" w:rsidRPr="00A27896" w:rsidRDefault="00A34B48" w:rsidP="00F45393">
            <w:pPr>
              <w:spacing w:after="0"/>
              <w:rPr>
                <w:rFonts w:eastAsia="Times New Roman" w:cs="Times New Roman"/>
                <w:color w:val="17365D"/>
                <w:sz w:val="18"/>
                <w:szCs w:val="18"/>
                <w:lang w:eastAsia="lv-LV"/>
              </w:rPr>
            </w:pPr>
          </w:p>
        </w:tc>
        <w:tc>
          <w:tcPr>
            <w:tcW w:w="679" w:type="pct"/>
            <w:tcBorders>
              <w:top w:val="single" w:sz="4" w:space="0" w:color="17365D"/>
            </w:tcBorders>
            <w:shd w:val="clear" w:color="auto" w:fill="B9CDE5"/>
            <w:noWrap/>
            <w:vAlign w:val="center"/>
          </w:tcPr>
          <w:p w14:paraId="7359E10A" w14:textId="77777777" w:rsidR="00A34B48" w:rsidRPr="00A27896" w:rsidRDefault="00A34B48" w:rsidP="00F45393">
            <w:pPr>
              <w:spacing w:after="0"/>
              <w:jc w:val="center"/>
              <w:rPr>
                <w:rFonts w:eastAsia="Times New Roman" w:cs="Times New Roman"/>
                <w:color w:val="17365D"/>
                <w:sz w:val="18"/>
                <w:szCs w:val="18"/>
                <w:lang w:eastAsia="lv-LV"/>
              </w:rPr>
            </w:pPr>
          </w:p>
        </w:tc>
        <w:tc>
          <w:tcPr>
            <w:tcW w:w="756" w:type="pct"/>
            <w:tcBorders>
              <w:top w:val="single" w:sz="4" w:space="0" w:color="17365D"/>
            </w:tcBorders>
            <w:shd w:val="clear" w:color="auto" w:fill="B9CDE5"/>
            <w:noWrap/>
            <w:vAlign w:val="center"/>
          </w:tcPr>
          <w:p w14:paraId="5A1B211C" w14:textId="77777777" w:rsidR="00A34B48" w:rsidRPr="00A27896" w:rsidRDefault="00A34B48" w:rsidP="00F45393">
            <w:pPr>
              <w:spacing w:after="0"/>
              <w:jc w:val="right"/>
              <w:rPr>
                <w:rFonts w:eastAsia="Times New Roman" w:cs="Times New Roman"/>
                <w:color w:val="17365D"/>
                <w:sz w:val="18"/>
                <w:szCs w:val="18"/>
                <w:lang w:eastAsia="lv-LV"/>
              </w:rPr>
            </w:pPr>
          </w:p>
        </w:tc>
        <w:tc>
          <w:tcPr>
            <w:tcW w:w="831" w:type="pct"/>
            <w:tcBorders>
              <w:top w:val="single" w:sz="4" w:space="0" w:color="17365D"/>
            </w:tcBorders>
            <w:shd w:val="clear" w:color="auto" w:fill="B9CDE5"/>
            <w:noWrap/>
            <w:vAlign w:val="center"/>
          </w:tcPr>
          <w:p w14:paraId="5DD21F57" w14:textId="77777777" w:rsidR="00A34B48" w:rsidRPr="00A27896" w:rsidRDefault="00A34B48" w:rsidP="00F45393">
            <w:pPr>
              <w:spacing w:after="0"/>
              <w:jc w:val="right"/>
              <w:rPr>
                <w:rFonts w:eastAsia="Times New Roman" w:cs="Times New Roman"/>
                <w:color w:val="17365D"/>
                <w:sz w:val="18"/>
                <w:szCs w:val="18"/>
                <w:lang w:eastAsia="lv-LV"/>
              </w:rPr>
            </w:pPr>
          </w:p>
        </w:tc>
        <w:tc>
          <w:tcPr>
            <w:tcW w:w="647" w:type="pct"/>
            <w:tcBorders>
              <w:top w:val="single" w:sz="4" w:space="0" w:color="17365D"/>
            </w:tcBorders>
            <w:shd w:val="clear" w:color="auto" w:fill="B9CDE5"/>
            <w:noWrap/>
            <w:vAlign w:val="center"/>
          </w:tcPr>
          <w:p w14:paraId="61092339" w14:textId="77777777" w:rsidR="00A34B48" w:rsidRPr="00A27896" w:rsidRDefault="00A34B48" w:rsidP="00F45393">
            <w:pPr>
              <w:spacing w:after="0"/>
              <w:jc w:val="right"/>
              <w:rPr>
                <w:rFonts w:eastAsia="Times New Roman" w:cs="Times New Roman"/>
                <w:color w:val="17365D"/>
                <w:sz w:val="18"/>
                <w:szCs w:val="18"/>
                <w:lang w:eastAsia="lv-LV"/>
              </w:rPr>
            </w:pPr>
          </w:p>
        </w:tc>
        <w:tc>
          <w:tcPr>
            <w:tcW w:w="649" w:type="pct"/>
            <w:tcBorders>
              <w:top w:val="single" w:sz="4" w:space="0" w:color="17365D"/>
            </w:tcBorders>
            <w:shd w:val="clear" w:color="auto" w:fill="B9CDE5"/>
            <w:noWrap/>
            <w:vAlign w:val="center"/>
          </w:tcPr>
          <w:p w14:paraId="36991AA6" w14:textId="77777777" w:rsidR="00A34B48" w:rsidRPr="00A27896" w:rsidRDefault="00A34B48" w:rsidP="00F45393">
            <w:pPr>
              <w:spacing w:after="0"/>
              <w:jc w:val="right"/>
              <w:rPr>
                <w:rFonts w:eastAsia="Times New Roman" w:cs="Times New Roman"/>
                <w:color w:val="17365D"/>
                <w:sz w:val="18"/>
                <w:szCs w:val="18"/>
                <w:lang w:eastAsia="lv-LV"/>
              </w:rPr>
            </w:pPr>
          </w:p>
        </w:tc>
      </w:tr>
    </w:tbl>
    <w:p w14:paraId="472BA824" w14:textId="0C0F68C5" w:rsidR="00AA2059" w:rsidRPr="00A27896" w:rsidRDefault="00D82C89" w:rsidP="00D742DA">
      <w:pPr>
        <w:spacing w:before="240" w:after="120" w:line="240" w:lineRule="auto"/>
        <w:ind w:firstLine="284"/>
        <w:jc w:val="both"/>
        <w:rPr>
          <w:rFonts w:cs="Times New Roman"/>
          <w:bCs/>
          <w:color w:val="17365D"/>
        </w:rPr>
      </w:pPr>
      <w:r w:rsidRPr="00A27896">
        <w:rPr>
          <w:rFonts w:cs="Times New Roman"/>
          <w:bCs/>
          <w:color w:val="17365D"/>
        </w:rPr>
        <w:t xml:space="preserve">Būtiskākie atlikumi un lielākās izmaiņas bilances postenī </w:t>
      </w:r>
      <w:r w:rsidR="002C277E" w:rsidRPr="00A27896">
        <w:rPr>
          <w:rFonts w:cs="Times New Roman"/>
          <w:bCs/>
          <w:color w:val="17365D"/>
        </w:rPr>
        <w:t>“</w:t>
      </w:r>
      <w:r w:rsidRPr="00A27896">
        <w:rPr>
          <w:rFonts w:cs="Times New Roman"/>
          <w:bCs/>
          <w:color w:val="17365D"/>
        </w:rPr>
        <w:t xml:space="preserve">Īstermiņa finanšu ieguldījumi” </w:t>
      </w:r>
      <w:r w:rsidR="00AC66BD" w:rsidRPr="00A27896">
        <w:rPr>
          <w:rFonts w:cs="Times New Roman"/>
          <w:bCs/>
          <w:color w:val="17365D"/>
        </w:rPr>
        <w:t xml:space="preserve">veidojušās valsts budžeta finanšu uzskaitē par īstermiņa aizdevumiem un ilgtermiņa aizdevumu īstermiņa daļas </w:t>
      </w:r>
      <w:proofErr w:type="spellStart"/>
      <w:r w:rsidR="00AC66BD" w:rsidRPr="00A27896">
        <w:rPr>
          <w:rFonts w:cs="Times New Roman"/>
          <w:bCs/>
          <w:color w:val="17365D"/>
        </w:rPr>
        <w:t>reklasifikāciju</w:t>
      </w:r>
      <w:proofErr w:type="spellEnd"/>
      <w:r w:rsidR="00D742DA" w:rsidRPr="00A27896">
        <w:rPr>
          <w:rFonts w:cs="Times New Roman"/>
          <w:color w:val="17365D"/>
        </w:rPr>
        <w:t>.</w:t>
      </w:r>
      <w:r w:rsidR="00AA2059" w:rsidRPr="00A27896">
        <w:rPr>
          <w:rFonts w:cs="Times New Roman"/>
          <w:color w:val="17365D"/>
        </w:rPr>
        <w:t xml:space="preserve"> </w:t>
      </w:r>
      <w:r w:rsidR="00964400" w:rsidRPr="00A27896">
        <w:rPr>
          <w:rFonts w:cs="Times New Roman"/>
          <w:color w:val="17365D"/>
        </w:rPr>
        <w:t>Konsolidētās ilgtermiņa aizdevumu īstermiņa daļa</w:t>
      </w:r>
      <w:r w:rsidR="00946399" w:rsidRPr="00A27896">
        <w:rPr>
          <w:rFonts w:cs="Times New Roman"/>
          <w:color w:val="17365D"/>
        </w:rPr>
        <w:t>s</w:t>
      </w:r>
      <w:r w:rsidR="00964400" w:rsidRPr="00A27896">
        <w:rPr>
          <w:rFonts w:cs="Times New Roman"/>
          <w:color w:val="17365D"/>
        </w:rPr>
        <w:t xml:space="preserve"> </w:t>
      </w:r>
      <w:proofErr w:type="spellStart"/>
      <w:r w:rsidR="00946399" w:rsidRPr="00A27896">
        <w:rPr>
          <w:rFonts w:cs="Times New Roman"/>
          <w:color w:val="17365D"/>
        </w:rPr>
        <w:t>reklasifikācijas</w:t>
      </w:r>
      <w:proofErr w:type="spellEnd"/>
      <w:r w:rsidR="00964400" w:rsidRPr="00A27896">
        <w:rPr>
          <w:rFonts w:cs="Times New Roman"/>
          <w:color w:val="17365D"/>
        </w:rPr>
        <w:t xml:space="preserve"> izmaiņas ir 1</w:t>
      </w:r>
      <w:r w:rsidR="008F612C" w:rsidRPr="00A27896">
        <w:rPr>
          <w:rFonts w:cs="Times New Roman"/>
          <w:color w:val="17365D"/>
        </w:rPr>
        <w:t>4</w:t>
      </w:r>
      <w:r w:rsidR="00964400" w:rsidRPr="00A27896">
        <w:rPr>
          <w:rFonts w:cs="Times New Roman"/>
          <w:color w:val="17365D"/>
        </w:rPr>
        <w:t> </w:t>
      </w:r>
      <w:r w:rsidR="008F612C" w:rsidRPr="00A27896">
        <w:rPr>
          <w:rFonts w:cs="Times New Roman"/>
          <w:color w:val="17365D"/>
        </w:rPr>
        <w:t>641</w:t>
      </w:r>
      <w:r w:rsidR="00964400" w:rsidRPr="00A27896">
        <w:rPr>
          <w:rFonts w:cs="Times New Roman"/>
          <w:color w:val="17365D"/>
        </w:rPr>
        <w:t> </w:t>
      </w:r>
      <w:r w:rsidR="008F612C" w:rsidRPr="00A27896">
        <w:rPr>
          <w:rFonts w:cs="Times New Roman"/>
          <w:color w:val="17365D"/>
        </w:rPr>
        <w:t>856</w:t>
      </w:r>
      <w:r w:rsidR="00964400" w:rsidRPr="00A27896">
        <w:rPr>
          <w:rFonts w:cs="Times New Roman"/>
          <w:color w:val="17365D"/>
        </w:rPr>
        <w:t xml:space="preserve"> </w:t>
      </w:r>
      <w:proofErr w:type="spellStart"/>
      <w:r w:rsidR="00964400" w:rsidRPr="00A27896">
        <w:rPr>
          <w:rFonts w:cs="Times New Roman"/>
          <w:i/>
          <w:color w:val="17365D"/>
        </w:rPr>
        <w:t>euro</w:t>
      </w:r>
      <w:proofErr w:type="spellEnd"/>
      <w:r w:rsidR="00964400" w:rsidRPr="00A27896">
        <w:rPr>
          <w:rFonts w:cs="Times New Roman"/>
          <w:color w:val="17365D"/>
        </w:rPr>
        <w:t xml:space="preserve"> vērtībā.</w:t>
      </w:r>
    </w:p>
    <w:p w14:paraId="27BDF9F2" w14:textId="44B86860" w:rsidR="00D41F06" w:rsidRPr="00A27896" w:rsidRDefault="00C67DF1" w:rsidP="005A3758">
      <w:pPr>
        <w:pStyle w:val="Heading4"/>
        <w:rPr>
          <w:rFonts w:cs="Times New Roman"/>
        </w:rPr>
      </w:pPr>
      <w:r w:rsidRPr="00A27896">
        <w:rPr>
          <w:rFonts w:cs="Times New Roman"/>
        </w:rPr>
        <w:t xml:space="preserve">Piezīme Nr. </w:t>
      </w:r>
      <w:r w:rsidR="00D41F06" w:rsidRPr="00A27896">
        <w:rPr>
          <w:rFonts w:cs="Times New Roman"/>
        </w:rPr>
        <w:t>KB.</w:t>
      </w:r>
      <w:r w:rsidR="00F73CE6" w:rsidRPr="00A27896">
        <w:rPr>
          <w:rFonts w:cs="Times New Roman"/>
        </w:rPr>
        <w:t>2.6</w:t>
      </w:r>
      <w:r w:rsidR="00D41F06" w:rsidRPr="00A27896">
        <w:rPr>
          <w:rFonts w:cs="Times New Roman"/>
        </w:rPr>
        <w:t>. Naudas līdzekļi</w:t>
      </w:r>
    </w:p>
    <w:p w14:paraId="3E2A827E" w14:textId="4B68EEA8" w:rsidR="00C202C7" w:rsidRPr="00A27896" w:rsidRDefault="00743E0E" w:rsidP="009A23E5">
      <w:pPr>
        <w:pStyle w:val="Tabulasnosaukums1"/>
        <w:spacing w:before="0" w:line="240" w:lineRule="auto"/>
        <w:rPr>
          <w:rFonts w:cs="Times New Roman"/>
          <w:i/>
          <w:color w:val="17365D"/>
        </w:rPr>
      </w:pPr>
      <w:r w:rsidRPr="00A27896">
        <w:rPr>
          <w:rFonts w:cs="Times New Roman"/>
          <w:i/>
          <w:color w:val="17365D"/>
        </w:rPr>
        <w:t>1</w:t>
      </w:r>
      <w:r w:rsidR="004D17AD" w:rsidRPr="00A27896">
        <w:rPr>
          <w:rFonts w:cs="Times New Roman"/>
          <w:i/>
          <w:color w:val="17365D"/>
        </w:rPr>
        <w:t>6</w:t>
      </w:r>
      <w:r w:rsidR="00C202C7" w:rsidRPr="00A27896">
        <w:rPr>
          <w:rFonts w:cs="Times New Roman"/>
          <w:i/>
          <w:color w:val="17365D"/>
        </w:rPr>
        <w:t>. tabula. Naudas līdzekļi (</w:t>
      </w:r>
      <w:proofErr w:type="spellStart"/>
      <w:r w:rsidR="00C202C7" w:rsidRPr="00A27896">
        <w:rPr>
          <w:rFonts w:cs="Times New Roman"/>
          <w:i/>
          <w:color w:val="17365D"/>
        </w:rPr>
        <w:t>euro</w:t>
      </w:r>
      <w:proofErr w:type="spellEnd"/>
      <w:r w:rsidR="00C202C7" w:rsidRPr="00A27896">
        <w:rPr>
          <w:rFonts w:cs="Times New Roman"/>
          <w:i/>
          <w:color w:val="17365D"/>
        </w:rPr>
        <w:t>)</w:t>
      </w:r>
    </w:p>
    <w:tbl>
      <w:tblPr>
        <w:tblW w:w="5001" w:type="pct"/>
        <w:jc w:val="center"/>
        <w:tblLayout w:type="fixed"/>
        <w:tblLook w:val="04A0" w:firstRow="1" w:lastRow="0" w:firstColumn="1" w:lastColumn="0" w:noHBand="0" w:noVBand="1"/>
      </w:tblPr>
      <w:tblGrid>
        <w:gridCol w:w="2551"/>
        <w:gridCol w:w="1137"/>
        <w:gridCol w:w="1417"/>
        <w:gridCol w:w="1559"/>
        <w:gridCol w:w="1274"/>
        <w:gridCol w:w="1418"/>
      </w:tblGrid>
      <w:tr w:rsidR="000C1009" w:rsidRPr="00A27896" w14:paraId="3FEE31ED" w14:textId="77777777" w:rsidTr="004D17AD">
        <w:trPr>
          <w:trHeight w:val="684"/>
          <w:tblHeader/>
          <w:jc w:val="center"/>
        </w:trPr>
        <w:tc>
          <w:tcPr>
            <w:tcW w:w="1363" w:type="pct"/>
            <w:tcBorders>
              <w:bottom w:val="single" w:sz="4" w:space="0" w:color="17365D"/>
            </w:tcBorders>
            <w:shd w:val="clear" w:color="auto" w:fill="B9CDE5"/>
            <w:vAlign w:val="center"/>
            <w:hideMark/>
          </w:tcPr>
          <w:p w14:paraId="7FDD03D8"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607" w:type="pct"/>
            <w:tcBorders>
              <w:bottom w:val="single" w:sz="4" w:space="0" w:color="17365D"/>
            </w:tcBorders>
            <w:shd w:val="clear" w:color="auto" w:fill="B9CDE5"/>
            <w:vAlign w:val="center"/>
            <w:hideMark/>
          </w:tcPr>
          <w:p w14:paraId="5CE98122"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757" w:type="pct"/>
            <w:tcBorders>
              <w:bottom w:val="single" w:sz="4" w:space="0" w:color="17365D"/>
            </w:tcBorders>
            <w:shd w:val="clear" w:color="auto" w:fill="B9CDE5"/>
            <w:vAlign w:val="center"/>
            <w:hideMark/>
          </w:tcPr>
          <w:p w14:paraId="050BE560"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833" w:type="pct"/>
            <w:tcBorders>
              <w:bottom w:val="single" w:sz="4" w:space="0" w:color="17365D"/>
            </w:tcBorders>
            <w:shd w:val="clear" w:color="auto" w:fill="B9CDE5"/>
            <w:vAlign w:val="center"/>
            <w:hideMark/>
          </w:tcPr>
          <w:p w14:paraId="346B3631"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681" w:type="pct"/>
            <w:tcBorders>
              <w:bottom w:val="single" w:sz="4" w:space="0" w:color="17365D"/>
            </w:tcBorders>
            <w:shd w:val="clear" w:color="auto" w:fill="B9CDE5"/>
            <w:vAlign w:val="center"/>
            <w:hideMark/>
          </w:tcPr>
          <w:p w14:paraId="100AD6FC" w14:textId="41B1FC88"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w:t>
            </w:r>
            <w:r w:rsidR="00F21677" w:rsidRPr="00A27896">
              <w:rPr>
                <w:rFonts w:eastAsia="Times New Roman" w:cs="Times New Roman"/>
                <w:b/>
                <w:color w:val="17365D"/>
                <w:sz w:val="18"/>
                <w:szCs w:val="18"/>
                <w:lang w:eastAsia="lv-LV"/>
              </w:rPr>
              <w:t>-</w:t>
            </w:r>
            <w:r w:rsidRPr="00A27896">
              <w:rPr>
                <w:rFonts w:eastAsia="Times New Roman" w:cs="Times New Roman"/>
                <w:b/>
                <w:color w:val="17365D"/>
                <w:sz w:val="18"/>
                <w:szCs w:val="18"/>
                <w:lang w:eastAsia="lv-LV"/>
              </w:rPr>
              <w:t>)</w:t>
            </w:r>
          </w:p>
        </w:tc>
        <w:tc>
          <w:tcPr>
            <w:tcW w:w="758" w:type="pct"/>
            <w:tcBorders>
              <w:bottom w:val="single" w:sz="4" w:space="0" w:color="17365D"/>
            </w:tcBorders>
            <w:shd w:val="clear" w:color="auto" w:fill="B9CDE5"/>
            <w:vAlign w:val="center"/>
            <w:hideMark/>
          </w:tcPr>
          <w:p w14:paraId="0AE64B94"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53DF5E58" w14:textId="77777777" w:rsidTr="004D17AD">
        <w:trPr>
          <w:trHeight w:val="240"/>
          <w:jc w:val="center"/>
        </w:trPr>
        <w:tc>
          <w:tcPr>
            <w:tcW w:w="1363" w:type="pct"/>
            <w:tcBorders>
              <w:top w:val="single" w:sz="4" w:space="0" w:color="17365D"/>
              <w:bottom w:val="single" w:sz="4" w:space="0" w:color="17365D"/>
            </w:tcBorders>
            <w:shd w:val="clear" w:color="auto" w:fill="auto"/>
            <w:vAlign w:val="center"/>
            <w:hideMark/>
          </w:tcPr>
          <w:p w14:paraId="2FFE1DAD"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607" w:type="pct"/>
            <w:tcBorders>
              <w:top w:val="single" w:sz="4" w:space="0" w:color="17365D"/>
              <w:bottom w:val="single" w:sz="4" w:space="0" w:color="17365D"/>
            </w:tcBorders>
            <w:shd w:val="clear" w:color="auto" w:fill="auto"/>
            <w:vAlign w:val="center"/>
            <w:hideMark/>
          </w:tcPr>
          <w:p w14:paraId="42C541C0"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57" w:type="pct"/>
            <w:tcBorders>
              <w:top w:val="single" w:sz="4" w:space="0" w:color="17365D"/>
              <w:bottom w:val="single" w:sz="4" w:space="0" w:color="17365D"/>
            </w:tcBorders>
            <w:shd w:val="clear" w:color="auto" w:fill="auto"/>
            <w:vAlign w:val="center"/>
            <w:hideMark/>
          </w:tcPr>
          <w:p w14:paraId="24783CAA"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833" w:type="pct"/>
            <w:tcBorders>
              <w:top w:val="single" w:sz="4" w:space="0" w:color="17365D"/>
              <w:bottom w:val="single" w:sz="4" w:space="0" w:color="17365D"/>
            </w:tcBorders>
            <w:shd w:val="clear" w:color="auto" w:fill="auto"/>
            <w:vAlign w:val="center"/>
            <w:hideMark/>
          </w:tcPr>
          <w:p w14:paraId="33BC1E66"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681" w:type="pct"/>
            <w:tcBorders>
              <w:top w:val="single" w:sz="4" w:space="0" w:color="17365D"/>
              <w:bottom w:val="single" w:sz="4" w:space="0" w:color="17365D"/>
            </w:tcBorders>
            <w:shd w:val="clear" w:color="auto" w:fill="auto"/>
            <w:vAlign w:val="center"/>
            <w:hideMark/>
          </w:tcPr>
          <w:p w14:paraId="52E70452"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758" w:type="pct"/>
            <w:tcBorders>
              <w:top w:val="single" w:sz="4" w:space="0" w:color="17365D"/>
              <w:bottom w:val="single" w:sz="4" w:space="0" w:color="17365D"/>
            </w:tcBorders>
            <w:shd w:val="clear" w:color="auto" w:fill="auto"/>
            <w:vAlign w:val="center"/>
            <w:hideMark/>
          </w:tcPr>
          <w:p w14:paraId="039DB2C2"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4D17AD" w:rsidRPr="00A27896" w14:paraId="556CEB7E" w14:textId="77777777" w:rsidTr="004D17AD">
        <w:trPr>
          <w:trHeight w:val="163"/>
          <w:jc w:val="center"/>
        </w:trPr>
        <w:tc>
          <w:tcPr>
            <w:tcW w:w="1363" w:type="pct"/>
            <w:tcBorders>
              <w:top w:val="single" w:sz="4" w:space="0" w:color="17365D"/>
              <w:bottom w:val="single" w:sz="4" w:space="0" w:color="17365D"/>
            </w:tcBorders>
            <w:shd w:val="clear" w:color="auto" w:fill="auto"/>
            <w:vAlign w:val="center"/>
            <w:hideMark/>
          </w:tcPr>
          <w:p w14:paraId="3B3333B4" w14:textId="66D857C9" w:rsidR="004D17AD" w:rsidRPr="00A27896" w:rsidRDefault="004D17AD" w:rsidP="004D17AD">
            <w:pPr>
              <w:spacing w:after="0"/>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Naudas līdzekļi</w:t>
            </w:r>
          </w:p>
        </w:tc>
        <w:tc>
          <w:tcPr>
            <w:tcW w:w="607" w:type="pct"/>
            <w:tcBorders>
              <w:top w:val="single" w:sz="4" w:space="0" w:color="17365D"/>
              <w:bottom w:val="single" w:sz="4" w:space="0" w:color="17365D"/>
            </w:tcBorders>
            <w:shd w:val="clear" w:color="auto" w:fill="auto"/>
            <w:vAlign w:val="center"/>
            <w:hideMark/>
          </w:tcPr>
          <w:p w14:paraId="36536326" w14:textId="4AE6CCD1" w:rsidR="004D17AD" w:rsidRPr="00A27896" w:rsidRDefault="004D17AD" w:rsidP="000E511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KB.2.6.</w:t>
            </w:r>
          </w:p>
        </w:tc>
        <w:tc>
          <w:tcPr>
            <w:tcW w:w="757" w:type="pct"/>
            <w:tcBorders>
              <w:top w:val="nil"/>
              <w:left w:val="nil"/>
              <w:bottom w:val="nil"/>
              <w:right w:val="nil"/>
            </w:tcBorders>
            <w:shd w:val="clear" w:color="auto" w:fill="auto"/>
            <w:noWrap/>
            <w:vAlign w:val="center"/>
            <w:hideMark/>
          </w:tcPr>
          <w:p w14:paraId="380F6BB7" w14:textId="6900F5BF" w:rsidR="004D17AD" w:rsidRPr="00A27896" w:rsidRDefault="004D17AD" w:rsidP="004D17AD">
            <w:pPr>
              <w:spacing w:after="0"/>
              <w:jc w:val="right"/>
              <w:rPr>
                <w:rFonts w:cs="Times New Roman"/>
                <w:b/>
                <w:color w:val="17365D"/>
                <w:sz w:val="18"/>
                <w:szCs w:val="18"/>
              </w:rPr>
            </w:pPr>
            <w:r w:rsidRPr="00A27896">
              <w:rPr>
                <w:rFonts w:cs="Times New Roman"/>
                <w:b/>
                <w:color w:val="17365D"/>
                <w:sz w:val="18"/>
                <w:szCs w:val="18"/>
              </w:rPr>
              <w:t>2 409 087 827</w:t>
            </w:r>
          </w:p>
        </w:tc>
        <w:tc>
          <w:tcPr>
            <w:tcW w:w="833" w:type="pct"/>
            <w:tcBorders>
              <w:top w:val="nil"/>
              <w:left w:val="nil"/>
              <w:bottom w:val="nil"/>
              <w:right w:val="nil"/>
            </w:tcBorders>
            <w:shd w:val="clear" w:color="auto" w:fill="auto"/>
            <w:noWrap/>
            <w:vAlign w:val="center"/>
            <w:hideMark/>
          </w:tcPr>
          <w:p w14:paraId="42A42D30" w14:textId="13E75766" w:rsidR="004D17AD" w:rsidRPr="00A27896" w:rsidRDefault="004D17AD" w:rsidP="004D17AD">
            <w:pPr>
              <w:spacing w:after="0"/>
              <w:jc w:val="right"/>
              <w:rPr>
                <w:rFonts w:cs="Times New Roman"/>
                <w:b/>
                <w:color w:val="17365D"/>
                <w:sz w:val="18"/>
                <w:szCs w:val="18"/>
              </w:rPr>
            </w:pPr>
            <w:r w:rsidRPr="00A27896">
              <w:rPr>
                <w:rFonts w:cs="Times New Roman"/>
                <w:b/>
                <w:color w:val="17365D"/>
                <w:sz w:val="18"/>
                <w:szCs w:val="18"/>
              </w:rPr>
              <w:t>2 549 569 508</w:t>
            </w:r>
          </w:p>
        </w:tc>
        <w:tc>
          <w:tcPr>
            <w:tcW w:w="681" w:type="pct"/>
            <w:tcBorders>
              <w:top w:val="nil"/>
              <w:left w:val="nil"/>
              <w:bottom w:val="nil"/>
              <w:right w:val="nil"/>
            </w:tcBorders>
            <w:shd w:val="clear" w:color="auto" w:fill="auto"/>
            <w:noWrap/>
            <w:vAlign w:val="center"/>
            <w:hideMark/>
          </w:tcPr>
          <w:p w14:paraId="2F665EE2" w14:textId="705890A9" w:rsidR="004D17AD" w:rsidRPr="00A27896" w:rsidRDefault="004D17AD" w:rsidP="004D17AD">
            <w:pPr>
              <w:spacing w:after="0"/>
              <w:jc w:val="right"/>
              <w:rPr>
                <w:rFonts w:cs="Times New Roman"/>
                <w:b/>
                <w:color w:val="17365D"/>
                <w:sz w:val="18"/>
                <w:szCs w:val="18"/>
              </w:rPr>
            </w:pPr>
            <w:r w:rsidRPr="00A27896">
              <w:rPr>
                <w:rFonts w:cs="Times New Roman"/>
                <w:b/>
                <w:color w:val="17365D"/>
                <w:sz w:val="18"/>
                <w:szCs w:val="18"/>
              </w:rPr>
              <w:t>-140 481 681</w:t>
            </w:r>
          </w:p>
        </w:tc>
        <w:tc>
          <w:tcPr>
            <w:tcW w:w="758" w:type="pct"/>
            <w:tcBorders>
              <w:top w:val="nil"/>
              <w:left w:val="nil"/>
              <w:bottom w:val="nil"/>
              <w:right w:val="nil"/>
            </w:tcBorders>
            <w:shd w:val="clear" w:color="auto" w:fill="auto"/>
            <w:noWrap/>
            <w:vAlign w:val="center"/>
            <w:hideMark/>
          </w:tcPr>
          <w:p w14:paraId="0552D2C8" w14:textId="31042D47" w:rsidR="004D17AD" w:rsidRPr="00A27896" w:rsidRDefault="004D17AD" w:rsidP="004D17AD">
            <w:pPr>
              <w:spacing w:after="0"/>
              <w:jc w:val="right"/>
              <w:rPr>
                <w:rFonts w:cs="Times New Roman"/>
                <w:b/>
                <w:color w:val="17365D"/>
                <w:sz w:val="18"/>
                <w:szCs w:val="18"/>
              </w:rPr>
            </w:pPr>
            <w:r w:rsidRPr="00A27896">
              <w:rPr>
                <w:rFonts w:cs="Times New Roman"/>
                <w:b/>
                <w:color w:val="17365D"/>
                <w:sz w:val="18"/>
                <w:szCs w:val="18"/>
              </w:rPr>
              <w:t>-5.51</w:t>
            </w:r>
          </w:p>
        </w:tc>
      </w:tr>
      <w:tr w:rsidR="000C1009" w:rsidRPr="00A27896" w14:paraId="62BB9185" w14:textId="77777777" w:rsidTr="004D17AD">
        <w:trPr>
          <w:trHeight w:val="56"/>
          <w:jc w:val="center"/>
        </w:trPr>
        <w:tc>
          <w:tcPr>
            <w:tcW w:w="1363" w:type="pct"/>
            <w:tcBorders>
              <w:top w:val="single" w:sz="4" w:space="0" w:color="17365D"/>
            </w:tcBorders>
            <w:shd w:val="clear" w:color="auto" w:fill="B9CDE5"/>
            <w:vAlign w:val="center"/>
          </w:tcPr>
          <w:p w14:paraId="4E931A63" w14:textId="77777777" w:rsidR="00C202C7" w:rsidRPr="00A27896" w:rsidRDefault="00C202C7" w:rsidP="00E02665">
            <w:pPr>
              <w:spacing w:after="0"/>
              <w:rPr>
                <w:rFonts w:eastAsia="Times New Roman" w:cs="Times New Roman"/>
                <w:color w:val="17365D"/>
                <w:sz w:val="16"/>
                <w:szCs w:val="18"/>
                <w:lang w:eastAsia="lv-LV"/>
              </w:rPr>
            </w:pPr>
          </w:p>
        </w:tc>
        <w:tc>
          <w:tcPr>
            <w:tcW w:w="607" w:type="pct"/>
            <w:tcBorders>
              <w:top w:val="single" w:sz="4" w:space="0" w:color="17365D"/>
            </w:tcBorders>
            <w:shd w:val="clear" w:color="auto" w:fill="B9CDE5"/>
            <w:noWrap/>
            <w:vAlign w:val="center"/>
          </w:tcPr>
          <w:p w14:paraId="7C682B17" w14:textId="77777777" w:rsidR="00C202C7" w:rsidRPr="00A27896" w:rsidRDefault="00C202C7" w:rsidP="00E02665">
            <w:pPr>
              <w:spacing w:after="0"/>
              <w:jc w:val="center"/>
              <w:rPr>
                <w:rFonts w:eastAsia="Times New Roman" w:cs="Times New Roman"/>
                <w:color w:val="17365D"/>
                <w:sz w:val="18"/>
                <w:szCs w:val="18"/>
                <w:lang w:eastAsia="lv-LV"/>
              </w:rPr>
            </w:pPr>
          </w:p>
        </w:tc>
        <w:tc>
          <w:tcPr>
            <w:tcW w:w="757" w:type="pct"/>
            <w:tcBorders>
              <w:top w:val="single" w:sz="4" w:space="0" w:color="17365D"/>
            </w:tcBorders>
            <w:shd w:val="clear" w:color="auto" w:fill="B9CDE5"/>
            <w:noWrap/>
            <w:vAlign w:val="center"/>
          </w:tcPr>
          <w:p w14:paraId="434A1D79" w14:textId="77777777" w:rsidR="00C202C7" w:rsidRPr="00A27896" w:rsidRDefault="00C202C7" w:rsidP="00E02665">
            <w:pPr>
              <w:spacing w:after="0"/>
              <w:jc w:val="right"/>
              <w:rPr>
                <w:rFonts w:eastAsia="Times New Roman" w:cs="Times New Roman"/>
                <w:color w:val="17365D"/>
                <w:sz w:val="18"/>
                <w:szCs w:val="18"/>
                <w:lang w:eastAsia="lv-LV"/>
              </w:rPr>
            </w:pPr>
          </w:p>
        </w:tc>
        <w:tc>
          <w:tcPr>
            <w:tcW w:w="833" w:type="pct"/>
            <w:tcBorders>
              <w:top w:val="single" w:sz="4" w:space="0" w:color="17365D"/>
            </w:tcBorders>
            <w:shd w:val="clear" w:color="auto" w:fill="B9CDE5"/>
            <w:noWrap/>
            <w:vAlign w:val="center"/>
          </w:tcPr>
          <w:p w14:paraId="0D597836" w14:textId="77777777" w:rsidR="00C202C7" w:rsidRPr="00A27896" w:rsidRDefault="00C202C7" w:rsidP="00E02665">
            <w:pPr>
              <w:spacing w:after="0"/>
              <w:jc w:val="right"/>
              <w:rPr>
                <w:rFonts w:eastAsia="Times New Roman" w:cs="Times New Roman"/>
                <w:color w:val="17365D"/>
                <w:sz w:val="18"/>
                <w:szCs w:val="18"/>
                <w:lang w:eastAsia="lv-LV"/>
              </w:rPr>
            </w:pPr>
          </w:p>
        </w:tc>
        <w:tc>
          <w:tcPr>
            <w:tcW w:w="681" w:type="pct"/>
            <w:tcBorders>
              <w:top w:val="single" w:sz="4" w:space="0" w:color="17365D"/>
            </w:tcBorders>
            <w:shd w:val="clear" w:color="auto" w:fill="B9CDE5"/>
            <w:noWrap/>
            <w:vAlign w:val="center"/>
          </w:tcPr>
          <w:p w14:paraId="3C656D82" w14:textId="77777777" w:rsidR="00C202C7" w:rsidRPr="00A27896" w:rsidRDefault="00C202C7" w:rsidP="00E02665">
            <w:pPr>
              <w:spacing w:after="0"/>
              <w:jc w:val="right"/>
              <w:rPr>
                <w:rFonts w:eastAsia="Times New Roman" w:cs="Times New Roman"/>
                <w:color w:val="17365D"/>
                <w:sz w:val="18"/>
                <w:szCs w:val="18"/>
                <w:lang w:eastAsia="lv-LV"/>
              </w:rPr>
            </w:pPr>
          </w:p>
        </w:tc>
        <w:tc>
          <w:tcPr>
            <w:tcW w:w="758" w:type="pct"/>
            <w:tcBorders>
              <w:top w:val="single" w:sz="4" w:space="0" w:color="17365D"/>
            </w:tcBorders>
            <w:shd w:val="clear" w:color="auto" w:fill="B9CDE5"/>
            <w:noWrap/>
            <w:vAlign w:val="center"/>
          </w:tcPr>
          <w:p w14:paraId="1A26EF6B" w14:textId="77777777" w:rsidR="00C202C7" w:rsidRPr="00A27896" w:rsidRDefault="00C202C7" w:rsidP="00E02665">
            <w:pPr>
              <w:spacing w:after="0"/>
              <w:jc w:val="right"/>
              <w:rPr>
                <w:rFonts w:eastAsia="Times New Roman" w:cs="Times New Roman"/>
                <w:color w:val="17365D"/>
                <w:sz w:val="18"/>
                <w:szCs w:val="18"/>
                <w:lang w:eastAsia="lv-LV"/>
              </w:rPr>
            </w:pPr>
          </w:p>
        </w:tc>
      </w:tr>
    </w:tbl>
    <w:p w14:paraId="6EAEF21D" w14:textId="7BE5F0EF" w:rsidR="00D5795D" w:rsidRPr="00A27896" w:rsidRDefault="00D5795D" w:rsidP="00C93A9C">
      <w:pPr>
        <w:spacing w:before="240" w:after="120" w:line="240" w:lineRule="auto"/>
        <w:ind w:firstLine="284"/>
        <w:jc w:val="both"/>
        <w:rPr>
          <w:rFonts w:cs="Times New Roman"/>
          <w:color w:val="17365D"/>
          <w:szCs w:val="24"/>
        </w:rPr>
      </w:pPr>
      <w:r w:rsidRPr="00A27896">
        <w:rPr>
          <w:rFonts w:cs="Times New Roman"/>
          <w:color w:val="17365D"/>
          <w:szCs w:val="24"/>
        </w:rPr>
        <w:t>Kopēj</w:t>
      </w:r>
      <w:r w:rsidR="009662A8" w:rsidRPr="00A27896">
        <w:rPr>
          <w:rFonts w:cs="Times New Roman"/>
          <w:color w:val="17365D"/>
          <w:szCs w:val="24"/>
        </w:rPr>
        <w:t>o</w:t>
      </w:r>
      <w:r w:rsidRPr="00A27896">
        <w:rPr>
          <w:rFonts w:cs="Times New Roman"/>
          <w:color w:val="17365D"/>
          <w:szCs w:val="24"/>
        </w:rPr>
        <w:t xml:space="preserve"> naudas līdzekļu atlikum</w:t>
      </w:r>
      <w:r w:rsidR="009662A8" w:rsidRPr="00A27896">
        <w:rPr>
          <w:rFonts w:cs="Times New Roman"/>
          <w:color w:val="17365D"/>
          <w:szCs w:val="24"/>
        </w:rPr>
        <w:t>u</w:t>
      </w:r>
      <w:r w:rsidRPr="00A27896">
        <w:rPr>
          <w:rFonts w:cs="Times New Roman"/>
          <w:color w:val="17365D"/>
          <w:szCs w:val="24"/>
        </w:rPr>
        <w:t xml:space="preserve"> pārskata gada beigās</w:t>
      </w:r>
      <w:r w:rsidR="009662A8" w:rsidRPr="00A27896">
        <w:rPr>
          <w:rFonts w:cs="Times New Roman"/>
          <w:color w:val="17365D"/>
          <w:szCs w:val="24"/>
        </w:rPr>
        <w:t xml:space="preserve"> galvenokārt veido</w:t>
      </w:r>
      <w:r w:rsidRPr="00A27896">
        <w:rPr>
          <w:rFonts w:cs="Times New Roman"/>
          <w:color w:val="17365D"/>
          <w:szCs w:val="24"/>
        </w:rPr>
        <w:t xml:space="preserve"> Valsts kases naudas līdzekļu atlikumi finanšu sabiedrībās</w:t>
      </w:r>
      <w:r w:rsidRPr="00A27896" w:rsidDel="003C7887">
        <w:rPr>
          <w:rFonts w:cs="Times New Roman"/>
          <w:color w:val="17365D"/>
          <w:szCs w:val="24"/>
        </w:rPr>
        <w:t xml:space="preserve"> </w:t>
      </w:r>
      <w:r w:rsidR="004D17AD" w:rsidRPr="00A27896">
        <w:rPr>
          <w:rFonts w:cs="Times New Roman"/>
          <w:color w:val="17365D"/>
          <w:szCs w:val="24"/>
        </w:rPr>
        <w:t xml:space="preserve">2 097 073 314 </w:t>
      </w:r>
      <w:proofErr w:type="spellStart"/>
      <w:r w:rsidRPr="00A27896">
        <w:rPr>
          <w:rFonts w:cs="Times New Roman"/>
          <w:i/>
          <w:color w:val="17365D"/>
          <w:szCs w:val="24"/>
        </w:rPr>
        <w:t>euro</w:t>
      </w:r>
      <w:proofErr w:type="spellEnd"/>
      <w:r w:rsidRPr="00A27896">
        <w:rPr>
          <w:rFonts w:cs="Times New Roman"/>
          <w:i/>
          <w:color w:val="17365D"/>
          <w:szCs w:val="24"/>
        </w:rPr>
        <w:t xml:space="preserve"> </w:t>
      </w:r>
      <w:r w:rsidRPr="00A27896">
        <w:rPr>
          <w:rFonts w:cs="Times New Roman"/>
          <w:color w:val="17365D"/>
          <w:szCs w:val="24"/>
        </w:rPr>
        <w:t xml:space="preserve">vērtībā un pašvaldību budžeta līdzekļu atlikumi kredītiestādēs </w:t>
      </w:r>
      <w:r w:rsidR="004D17AD" w:rsidRPr="00A27896">
        <w:rPr>
          <w:rFonts w:cs="Times New Roman"/>
          <w:color w:val="17365D"/>
          <w:szCs w:val="24"/>
        </w:rPr>
        <w:t xml:space="preserve">269 375 950 </w:t>
      </w:r>
      <w:proofErr w:type="spellStart"/>
      <w:r w:rsidRPr="00A27896">
        <w:rPr>
          <w:rFonts w:cs="Times New Roman"/>
          <w:i/>
          <w:color w:val="17365D"/>
          <w:szCs w:val="24"/>
        </w:rPr>
        <w:t>euro</w:t>
      </w:r>
      <w:proofErr w:type="spellEnd"/>
      <w:r w:rsidRPr="00A27896">
        <w:rPr>
          <w:rFonts w:cs="Times New Roman"/>
          <w:i/>
          <w:color w:val="17365D"/>
          <w:szCs w:val="24"/>
        </w:rPr>
        <w:t xml:space="preserve"> </w:t>
      </w:r>
      <w:r w:rsidRPr="00A27896">
        <w:rPr>
          <w:rFonts w:cs="Times New Roman"/>
          <w:color w:val="17365D"/>
          <w:szCs w:val="24"/>
        </w:rPr>
        <w:t xml:space="preserve">vērtībā. </w:t>
      </w:r>
    </w:p>
    <w:p w14:paraId="2959D67F" w14:textId="0D4218CE" w:rsidR="002709BA" w:rsidRPr="00A27896" w:rsidRDefault="002709BA" w:rsidP="002709BA">
      <w:pPr>
        <w:spacing w:after="120" w:line="240" w:lineRule="auto"/>
        <w:ind w:firstLine="284"/>
        <w:jc w:val="both"/>
        <w:rPr>
          <w:rFonts w:cs="Times New Roman"/>
          <w:color w:val="17365D"/>
          <w:szCs w:val="24"/>
        </w:rPr>
      </w:pPr>
      <w:r w:rsidRPr="00A27896">
        <w:rPr>
          <w:rFonts w:cs="Times New Roman"/>
          <w:color w:val="17365D"/>
          <w:szCs w:val="24"/>
        </w:rPr>
        <w:t xml:space="preserve">Lielākie budžeta iestāžu naudas līdzekļu atlikumi ārpus Valsts kases izvietoti </w:t>
      </w:r>
      <w:r w:rsidR="004D17AD" w:rsidRPr="00A27896">
        <w:rPr>
          <w:rFonts w:cs="Times New Roman"/>
          <w:color w:val="17365D"/>
          <w:szCs w:val="24"/>
        </w:rPr>
        <w:t>AS “</w:t>
      </w:r>
      <w:proofErr w:type="spellStart"/>
      <w:r w:rsidR="004D17AD" w:rsidRPr="00A27896">
        <w:rPr>
          <w:rFonts w:cs="Times New Roman"/>
          <w:color w:val="17365D"/>
          <w:szCs w:val="24"/>
        </w:rPr>
        <w:t>Luminor</w:t>
      </w:r>
      <w:proofErr w:type="spellEnd"/>
      <w:r w:rsidR="004D17AD" w:rsidRPr="00A27896">
        <w:rPr>
          <w:rFonts w:cs="Times New Roman"/>
          <w:color w:val="17365D"/>
          <w:szCs w:val="24"/>
        </w:rPr>
        <w:t xml:space="preserve"> </w:t>
      </w:r>
      <w:proofErr w:type="spellStart"/>
      <w:r w:rsidR="004D17AD" w:rsidRPr="00A27896">
        <w:rPr>
          <w:rFonts w:cs="Times New Roman"/>
          <w:color w:val="17365D"/>
          <w:szCs w:val="24"/>
        </w:rPr>
        <w:t>Bank</w:t>
      </w:r>
      <w:proofErr w:type="spellEnd"/>
      <w:r w:rsidR="004D17AD" w:rsidRPr="00A27896">
        <w:rPr>
          <w:rFonts w:cs="Times New Roman"/>
          <w:color w:val="17365D"/>
          <w:szCs w:val="24"/>
        </w:rPr>
        <w:t xml:space="preserve">” 155 553 255 </w:t>
      </w:r>
      <w:proofErr w:type="spellStart"/>
      <w:r w:rsidR="004D17AD" w:rsidRPr="00A27896">
        <w:rPr>
          <w:rFonts w:cs="Times New Roman"/>
          <w:i/>
          <w:color w:val="17365D"/>
          <w:szCs w:val="24"/>
        </w:rPr>
        <w:t>euro</w:t>
      </w:r>
      <w:proofErr w:type="spellEnd"/>
      <w:r w:rsidR="004D17AD" w:rsidRPr="00A27896">
        <w:rPr>
          <w:rFonts w:cs="Times New Roman"/>
          <w:color w:val="17365D"/>
          <w:szCs w:val="24"/>
        </w:rPr>
        <w:t xml:space="preserve"> apmērā </w:t>
      </w:r>
      <w:r w:rsidRPr="00A27896">
        <w:rPr>
          <w:rFonts w:cs="Times New Roman"/>
          <w:color w:val="17365D"/>
          <w:szCs w:val="24"/>
        </w:rPr>
        <w:t>un</w:t>
      </w:r>
      <w:r w:rsidR="004D17AD" w:rsidRPr="00A27896">
        <w:rPr>
          <w:rFonts w:cs="Times New Roman"/>
          <w:color w:val="17365D"/>
          <w:szCs w:val="24"/>
        </w:rPr>
        <w:t xml:space="preserve"> AS “SEB banka” 94 205 516 </w:t>
      </w:r>
      <w:proofErr w:type="spellStart"/>
      <w:r w:rsidR="004D17AD" w:rsidRPr="00A27896">
        <w:rPr>
          <w:rFonts w:cs="Times New Roman"/>
          <w:i/>
          <w:color w:val="17365D"/>
          <w:szCs w:val="24"/>
        </w:rPr>
        <w:t>euro</w:t>
      </w:r>
      <w:proofErr w:type="spellEnd"/>
      <w:r w:rsidR="004D17AD" w:rsidRPr="00A27896">
        <w:rPr>
          <w:rFonts w:cs="Times New Roman"/>
          <w:color w:val="17365D"/>
          <w:szCs w:val="24"/>
        </w:rPr>
        <w:t xml:space="preserve"> apmērā</w:t>
      </w:r>
      <w:r w:rsidR="006A2415" w:rsidRPr="00A27896">
        <w:rPr>
          <w:rFonts w:cs="Times New Roman"/>
          <w:color w:val="17365D"/>
          <w:szCs w:val="24"/>
        </w:rPr>
        <w:t>.</w:t>
      </w:r>
    </w:p>
    <w:p w14:paraId="488B29F0" w14:textId="04AFC3D6" w:rsidR="00D5795D" w:rsidRPr="00A27896" w:rsidRDefault="00D5795D" w:rsidP="00D5795D">
      <w:pPr>
        <w:spacing w:after="120" w:line="240" w:lineRule="auto"/>
        <w:ind w:firstLine="284"/>
        <w:jc w:val="both"/>
        <w:rPr>
          <w:rFonts w:cs="Times New Roman"/>
          <w:color w:val="17365D"/>
          <w:szCs w:val="24"/>
        </w:rPr>
      </w:pPr>
      <w:r w:rsidRPr="00A27896">
        <w:rPr>
          <w:rFonts w:cs="Times New Roman"/>
          <w:color w:val="17365D"/>
          <w:szCs w:val="24"/>
        </w:rPr>
        <w:t xml:space="preserve">Kopējās naudas līdzekļu izmaiņas pārskata gadā </w:t>
      </w:r>
      <w:r w:rsidR="00EB6C05" w:rsidRPr="00A27896">
        <w:rPr>
          <w:rFonts w:cs="Times New Roman"/>
          <w:color w:val="17365D"/>
          <w:szCs w:val="24"/>
        </w:rPr>
        <w:t>veido</w:t>
      </w:r>
      <w:r w:rsidR="008C6009" w:rsidRPr="00A27896">
        <w:rPr>
          <w:rFonts w:cs="Times New Roman"/>
          <w:color w:val="17365D"/>
          <w:szCs w:val="24"/>
        </w:rPr>
        <w:t xml:space="preserve"> valsts budžeta finanšu uzskaitē</w:t>
      </w:r>
      <w:r w:rsidRPr="00A27896">
        <w:rPr>
          <w:rFonts w:cs="Times New Roman"/>
          <w:color w:val="17365D"/>
          <w:szCs w:val="24"/>
        </w:rPr>
        <w:t>:</w:t>
      </w:r>
    </w:p>
    <w:p w14:paraId="7CF933C0" w14:textId="77777777" w:rsidR="007E4FF0" w:rsidRPr="00A27896" w:rsidRDefault="007E4FF0" w:rsidP="007E4FF0">
      <w:pPr>
        <w:pStyle w:val="ListParagraph"/>
        <w:numPr>
          <w:ilvl w:val="0"/>
          <w:numId w:val="6"/>
        </w:numPr>
        <w:spacing w:after="120" w:line="240" w:lineRule="auto"/>
        <w:ind w:left="851"/>
        <w:jc w:val="both"/>
        <w:rPr>
          <w:rFonts w:cs="Times New Roman"/>
          <w:color w:val="17365D"/>
          <w:szCs w:val="24"/>
        </w:rPr>
      </w:pPr>
      <w:r w:rsidRPr="00A27896">
        <w:rPr>
          <w:rFonts w:cs="Times New Roman"/>
          <w:color w:val="17365D"/>
          <w:szCs w:val="24"/>
        </w:rPr>
        <w:t xml:space="preserve">saņemtie līdzekļi no valsts parāda vērtspapīru emisijām ārvalstu finanšu tirgos </w:t>
      </w:r>
      <w:r w:rsidRPr="00A27896">
        <w:rPr>
          <w:rFonts w:cs="Times New Roman"/>
          <w:iCs/>
          <w:color w:val="17365D"/>
          <w:szCs w:val="24"/>
        </w:rPr>
        <w:t xml:space="preserve">2 045 000 000 </w:t>
      </w:r>
      <w:proofErr w:type="spellStart"/>
      <w:r w:rsidRPr="00A27896">
        <w:rPr>
          <w:rFonts w:cs="Times New Roman"/>
          <w:i/>
          <w:color w:val="17365D"/>
          <w:szCs w:val="24"/>
        </w:rPr>
        <w:t>euro</w:t>
      </w:r>
      <w:proofErr w:type="spellEnd"/>
      <w:r w:rsidRPr="00A27896">
        <w:rPr>
          <w:rFonts w:cs="Times New Roman"/>
          <w:color w:val="17365D"/>
          <w:szCs w:val="24"/>
        </w:rPr>
        <w:t xml:space="preserve"> vērtībā;</w:t>
      </w:r>
    </w:p>
    <w:p w14:paraId="1E55AB26" w14:textId="5D15FF7C" w:rsidR="004D620E" w:rsidRPr="00A27896" w:rsidRDefault="004D620E" w:rsidP="0008423E">
      <w:pPr>
        <w:pStyle w:val="ListParagraph"/>
        <w:numPr>
          <w:ilvl w:val="0"/>
          <w:numId w:val="6"/>
        </w:numPr>
        <w:spacing w:after="120" w:line="240" w:lineRule="auto"/>
        <w:ind w:left="851"/>
        <w:jc w:val="both"/>
        <w:rPr>
          <w:rFonts w:cs="Times New Roman"/>
          <w:color w:val="17365D"/>
          <w:szCs w:val="24"/>
        </w:rPr>
      </w:pPr>
      <w:r w:rsidRPr="00A27896">
        <w:rPr>
          <w:rFonts w:cs="Times New Roman"/>
          <w:color w:val="17365D"/>
          <w:szCs w:val="24"/>
        </w:rPr>
        <w:t xml:space="preserve">saņemtā </w:t>
      </w:r>
      <w:r w:rsidR="008C6009" w:rsidRPr="00A27896">
        <w:rPr>
          <w:rFonts w:cs="Times New Roman"/>
          <w:color w:val="17365D"/>
          <w:szCs w:val="24"/>
        </w:rPr>
        <w:t xml:space="preserve">ilgtermiņa aizņēmuma izmaksa no </w:t>
      </w:r>
      <w:r w:rsidR="007E4FF0" w:rsidRPr="00A27896">
        <w:rPr>
          <w:rFonts w:cs="Times New Roman"/>
          <w:iCs/>
          <w:color w:val="17365D"/>
          <w:szCs w:val="24"/>
        </w:rPr>
        <w:t>EK</w:t>
      </w:r>
      <w:r w:rsidR="007E4FF0" w:rsidRPr="00A27896">
        <w:rPr>
          <w:rFonts w:eastAsia="Calibri" w:cs="Times New Roman"/>
          <w:color w:val="17365D"/>
          <w:szCs w:val="24"/>
        </w:rPr>
        <w:t xml:space="preserve"> </w:t>
      </w:r>
      <w:r w:rsidR="00EA6AFF" w:rsidRPr="00A27896">
        <w:rPr>
          <w:rFonts w:cs="Times New Roman"/>
          <w:iCs/>
          <w:color w:val="17365D"/>
          <w:szCs w:val="24"/>
        </w:rPr>
        <w:t>167 </w:t>
      </w:r>
      <w:r w:rsidR="00427CF2" w:rsidRPr="00A27896">
        <w:rPr>
          <w:rFonts w:cs="Times New Roman"/>
          <w:iCs/>
          <w:color w:val="17365D"/>
          <w:szCs w:val="24"/>
        </w:rPr>
        <w:t>000 000</w:t>
      </w:r>
      <w:r w:rsidR="00427CF2" w:rsidRPr="00A27896">
        <w:rPr>
          <w:rFonts w:cs="Times New Roman"/>
          <w:i/>
          <w:iCs/>
          <w:color w:val="17365D"/>
          <w:szCs w:val="24"/>
        </w:rPr>
        <w:t xml:space="preserve"> </w:t>
      </w:r>
      <w:proofErr w:type="spellStart"/>
      <w:r w:rsidR="00427CF2" w:rsidRPr="00A27896">
        <w:rPr>
          <w:rFonts w:cs="Times New Roman"/>
          <w:i/>
          <w:color w:val="17365D"/>
          <w:szCs w:val="24"/>
        </w:rPr>
        <w:t>euro</w:t>
      </w:r>
      <w:proofErr w:type="spellEnd"/>
      <w:r w:rsidR="00427CF2" w:rsidRPr="00A27896">
        <w:rPr>
          <w:rFonts w:cs="Times New Roman"/>
          <w:i/>
          <w:color w:val="17365D"/>
          <w:szCs w:val="24"/>
        </w:rPr>
        <w:t xml:space="preserve"> </w:t>
      </w:r>
      <w:r w:rsidR="00427CF2" w:rsidRPr="00A27896">
        <w:rPr>
          <w:rFonts w:cs="Times New Roman"/>
          <w:color w:val="17365D"/>
          <w:szCs w:val="24"/>
        </w:rPr>
        <w:t>vērtībā</w:t>
      </w:r>
      <w:r w:rsidR="00427CF2" w:rsidRPr="00A27896">
        <w:rPr>
          <w:rFonts w:cs="Times New Roman"/>
          <w:iCs/>
          <w:color w:val="17365D"/>
          <w:szCs w:val="24"/>
        </w:rPr>
        <w:t xml:space="preserve"> </w:t>
      </w:r>
      <w:r w:rsidR="007E4FF0" w:rsidRPr="00A27896">
        <w:rPr>
          <w:rFonts w:cs="Times New Roman"/>
          <w:iCs/>
          <w:color w:val="17365D"/>
          <w:szCs w:val="24"/>
        </w:rPr>
        <w:t>finansēšanas instrumenta SURE ietvaros</w:t>
      </w:r>
      <w:r w:rsidRPr="00A27896">
        <w:rPr>
          <w:rFonts w:cs="Times New Roman"/>
          <w:color w:val="17365D"/>
          <w:szCs w:val="24"/>
        </w:rPr>
        <w:t>;</w:t>
      </w:r>
    </w:p>
    <w:p w14:paraId="115DB92A" w14:textId="0889ED55" w:rsidR="007E4FF0" w:rsidRPr="00A27896" w:rsidRDefault="007E4FF0" w:rsidP="007E4FF0">
      <w:pPr>
        <w:pStyle w:val="ListParagraph"/>
        <w:numPr>
          <w:ilvl w:val="0"/>
          <w:numId w:val="6"/>
        </w:numPr>
        <w:spacing w:after="120" w:line="240" w:lineRule="auto"/>
        <w:ind w:left="851"/>
        <w:jc w:val="both"/>
        <w:rPr>
          <w:rFonts w:cs="Times New Roman"/>
          <w:color w:val="17365D"/>
          <w:szCs w:val="24"/>
        </w:rPr>
      </w:pPr>
      <w:r w:rsidRPr="00A27896">
        <w:rPr>
          <w:rFonts w:cs="Times New Roman"/>
          <w:color w:val="17365D"/>
          <w:szCs w:val="24"/>
        </w:rPr>
        <w:t xml:space="preserve">pārskaitītie līdzekļi vidēja un ilgtermiņa parāda vērtspapīru dzēšanai (622 221 465) </w:t>
      </w:r>
      <w:proofErr w:type="spellStart"/>
      <w:r w:rsidRPr="00A27896">
        <w:rPr>
          <w:rFonts w:cs="Times New Roman"/>
          <w:i/>
          <w:color w:val="17365D"/>
          <w:szCs w:val="24"/>
        </w:rPr>
        <w:t>euro</w:t>
      </w:r>
      <w:proofErr w:type="spellEnd"/>
      <w:r w:rsidRPr="00A27896">
        <w:rPr>
          <w:rFonts w:cs="Times New Roman"/>
          <w:color w:val="17365D"/>
          <w:szCs w:val="24"/>
        </w:rPr>
        <w:t xml:space="preserve"> vērtībā;</w:t>
      </w:r>
    </w:p>
    <w:p w14:paraId="6055E74D" w14:textId="23453534" w:rsidR="00884E37" w:rsidRPr="00A27896" w:rsidRDefault="007E4FF0" w:rsidP="007E3222">
      <w:pPr>
        <w:pStyle w:val="ListParagraph"/>
        <w:numPr>
          <w:ilvl w:val="0"/>
          <w:numId w:val="6"/>
        </w:numPr>
        <w:spacing w:after="120" w:line="240" w:lineRule="auto"/>
        <w:ind w:left="851"/>
        <w:jc w:val="both"/>
        <w:rPr>
          <w:rFonts w:cs="Times New Roman"/>
          <w:color w:val="17365D"/>
          <w:szCs w:val="24"/>
        </w:rPr>
      </w:pPr>
      <w:r w:rsidRPr="00A27896">
        <w:rPr>
          <w:rFonts w:cs="Times New Roman"/>
          <w:iCs/>
          <w:color w:val="17365D"/>
          <w:szCs w:val="24"/>
        </w:rPr>
        <w:t>ilgtermiņa aizņēmuma atmaksa Eiropas Investīciju bankai</w:t>
      </w:r>
      <w:r w:rsidRPr="00A27896">
        <w:rPr>
          <w:rFonts w:cs="Times New Roman"/>
          <w:color w:val="17365D"/>
          <w:szCs w:val="24"/>
        </w:rPr>
        <w:t xml:space="preserve"> (</w:t>
      </w:r>
      <w:r w:rsidR="00EA6AFF" w:rsidRPr="00A27896">
        <w:rPr>
          <w:rFonts w:cs="Times New Roman"/>
          <w:iCs/>
          <w:color w:val="17365D"/>
          <w:szCs w:val="24"/>
        </w:rPr>
        <w:t>79 </w:t>
      </w:r>
      <w:r w:rsidRPr="00A27896">
        <w:rPr>
          <w:rFonts w:cs="Times New Roman"/>
          <w:iCs/>
          <w:color w:val="17365D"/>
          <w:szCs w:val="24"/>
        </w:rPr>
        <w:t>066 115)</w:t>
      </w:r>
      <w:r w:rsidRPr="00A27896">
        <w:rPr>
          <w:rFonts w:cs="Times New Roman"/>
          <w:i/>
          <w:iCs/>
          <w:color w:val="17365D"/>
          <w:szCs w:val="24"/>
        </w:rPr>
        <w:t xml:space="preserve"> </w:t>
      </w:r>
      <w:proofErr w:type="spellStart"/>
      <w:r w:rsidRPr="00A27896">
        <w:rPr>
          <w:rFonts w:cs="Times New Roman"/>
          <w:i/>
          <w:color w:val="17365D"/>
          <w:szCs w:val="24"/>
        </w:rPr>
        <w:t>euro</w:t>
      </w:r>
      <w:proofErr w:type="spellEnd"/>
      <w:r w:rsidRPr="00A27896">
        <w:rPr>
          <w:rFonts w:cs="Times New Roman"/>
          <w:i/>
          <w:color w:val="17365D"/>
          <w:szCs w:val="24"/>
        </w:rPr>
        <w:t xml:space="preserve"> </w:t>
      </w:r>
      <w:r w:rsidR="007E3222" w:rsidRPr="00A27896">
        <w:rPr>
          <w:rFonts w:cs="Times New Roman"/>
          <w:color w:val="17365D"/>
          <w:szCs w:val="24"/>
        </w:rPr>
        <w:t>vērtībā.</w:t>
      </w:r>
    </w:p>
    <w:p w14:paraId="02699277" w14:textId="6A541227" w:rsidR="00D5795D" w:rsidRPr="00A27896" w:rsidRDefault="00F17527" w:rsidP="00F67328">
      <w:pPr>
        <w:spacing w:after="120" w:line="240" w:lineRule="auto"/>
        <w:ind w:firstLine="284"/>
        <w:jc w:val="both"/>
        <w:rPr>
          <w:rFonts w:cs="Times New Roman"/>
          <w:color w:val="17365D"/>
          <w:szCs w:val="24"/>
        </w:rPr>
      </w:pPr>
      <w:r w:rsidRPr="00A27896">
        <w:rPr>
          <w:rFonts w:cs="Times New Roman"/>
          <w:color w:val="17365D"/>
        </w:rPr>
        <w:t xml:space="preserve">Pārskata gadā </w:t>
      </w:r>
      <w:r w:rsidRPr="00A27896">
        <w:rPr>
          <w:rFonts w:cs="Times New Roman"/>
          <w:color w:val="17365D"/>
          <w:szCs w:val="24"/>
        </w:rPr>
        <w:t xml:space="preserve">pašvaldību līdzekļu kredītiestādēs atlikums </w:t>
      </w:r>
      <w:r w:rsidR="00C14B97" w:rsidRPr="00A27896">
        <w:rPr>
          <w:rFonts w:cs="Times New Roman"/>
          <w:color w:val="17365D"/>
          <w:szCs w:val="24"/>
        </w:rPr>
        <w:t>palielinājies</w:t>
      </w:r>
      <w:r w:rsidR="00F10012" w:rsidRPr="00A27896">
        <w:rPr>
          <w:rFonts w:cs="Times New Roman"/>
          <w:color w:val="17365D"/>
          <w:szCs w:val="24"/>
        </w:rPr>
        <w:t xml:space="preserve"> par</w:t>
      </w:r>
      <w:r w:rsidR="00D50D19" w:rsidRPr="00A27896">
        <w:rPr>
          <w:rFonts w:cs="Times New Roman"/>
          <w:color w:val="17365D"/>
          <w:szCs w:val="24"/>
        </w:rPr>
        <w:t xml:space="preserve"> </w:t>
      </w:r>
      <w:r w:rsidR="00C14B97" w:rsidRPr="00A27896">
        <w:rPr>
          <w:rFonts w:cs="Times New Roman"/>
          <w:color w:val="17365D"/>
          <w:szCs w:val="24"/>
        </w:rPr>
        <w:t>117 401 160</w:t>
      </w:r>
      <w:r w:rsidR="004D17AD" w:rsidRPr="00A27896">
        <w:rPr>
          <w:rFonts w:cs="Times New Roman"/>
          <w:color w:val="17365D"/>
          <w:szCs w:val="24"/>
        </w:rPr>
        <w:t xml:space="preserve"> </w:t>
      </w:r>
      <w:proofErr w:type="spellStart"/>
      <w:r w:rsidR="007062E3" w:rsidRPr="00A27896">
        <w:rPr>
          <w:rFonts w:cs="Times New Roman"/>
          <w:i/>
          <w:color w:val="17365D"/>
          <w:szCs w:val="24"/>
        </w:rPr>
        <w:t>euro</w:t>
      </w:r>
      <w:proofErr w:type="spellEnd"/>
      <w:r w:rsidR="007062E3" w:rsidRPr="00A27896">
        <w:rPr>
          <w:rFonts w:cs="Times New Roman"/>
          <w:color w:val="17365D"/>
          <w:szCs w:val="24"/>
        </w:rPr>
        <w:t>.</w:t>
      </w:r>
    </w:p>
    <w:p w14:paraId="7DD4A637" w14:textId="60A2DCE1" w:rsidR="00DB7431" w:rsidRPr="00A27896" w:rsidRDefault="00DB7431" w:rsidP="002D240F">
      <w:pPr>
        <w:spacing w:after="120" w:line="240" w:lineRule="auto"/>
        <w:ind w:firstLine="284"/>
        <w:jc w:val="both"/>
        <w:rPr>
          <w:rFonts w:cs="Times New Roman"/>
          <w:color w:val="17365D"/>
        </w:rPr>
      </w:pPr>
      <w:r w:rsidRPr="00A27896">
        <w:rPr>
          <w:rFonts w:cs="Times New Roman"/>
          <w:color w:val="17365D"/>
        </w:rPr>
        <w:t>Bilances postenī “Naudas līdzekļi” konsolidēti valsts un pašvaldību budžeta iestāžu naudas līdzekļi Valsts kases kontos.</w:t>
      </w:r>
    </w:p>
    <w:p w14:paraId="630087FE" w14:textId="77777777" w:rsidR="007E3222" w:rsidRPr="00A27896" w:rsidRDefault="007E3222" w:rsidP="002D240F">
      <w:pPr>
        <w:spacing w:after="120" w:line="240" w:lineRule="auto"/>
        <w:ind w:firstLine="284"/>
        <w:jc w:val="both"/>
        <w:rPr>
          <w:rFonts w:cs="Times New Roman"/>
          <w:color w:val="17365D"/>
        </w:rPr>
      </w:pPr>
    </w:p>
    <w:p w14:paraId="61F98B0F" w14:textId="77777777" w:rsidR="00FD2C7A" w:rsidRPr="00A27896" w:rsidRDefault="00FD2C7A" w:rsidP="00FD10CC">
      <w:pPr>
        <w:pStyle w:val="Heading3"/>
      </w:pPr>
      <w:r w:rsidRPr="00A27896">
        <w:lastRenderedPageBreak/>
        <w:t>Pašu kapitāls</w:t>
      </w:r>
    </w:p>
    <w:p w14:paraId="3D58B1C4" w14:textId="19B59547" w:rsidR="00FD2C7A" w:rsidRPr="00A27896" w:rsidRDefault="00FD2C7A" w:rsidP="002D240F">
      <w:pPr>
        <w:spacing w:after="120" w:line="240" w:lineRule="auto"/>
        <w:ind w:firstLine="284"/>
        <w:jc w:val="both"/>
        <w:rPr>
          <w:rFonts w:cs="Times New Roman"/>
          <w:color w:val="17365D"/>
        </w:rPr>
      </w:pPr>
      <w:r w:rsidRPr="00A27896">
        <w:rPr>
          <w:rFonts w:cs="Times New Roman"/>
          <w:color w:val="17365D"/>
        </w:rPr>
        <w:t xml:space="preserve">Pašu kapitāla </w:t>
      </w:r>
      <w:r w:rsidR="006F4B05" w:rsidRPr="00A27896">
        <w:rPr>
          <w:rFonts w:cs="Times New Roman"/>
          <w:color w:val="17365D"/>
        </w:rPr>
        <w:t xml:space="preserve">bilances posteņu atlikumi </w:t>
      </w:r>
      <w:r w:rsidRPr="00A27896">
        <w:rPr>
          <w:rFonts w:cs="Times New Roman"/>
          <w:color w:val="17365D"/>
        </w:rPr>
        <w:t>uzrādīt</w:t>
      </w:r>
      <w:r w:rsidR="008151F4" w:rsidRPr="00A27896">
        <w:rPr>
          <w:rFonts w:cs="Times New Roman"/>
          <w:color w:val="17365D"/>
        </w:rPr>
        <w:t>i</w:t>
      </w:r>
      <w:r w:rsidRPr="00A27896">
        <w:rPr>
          <w:rFonts w:cs="Times New Roman"/>
          <w:color w:val="17365D"/>
        </w:rPr>
        <w:t xml:space="preserve"> konsolidētajā pašu kapitāla pārskatā.</w:t>
      </w:r>
    </w:p>
    <w:p w14:paraId="29913679" w14:textId="25028E49" w:rsidR="009121A4" w:rsidRPr="00A27896" w:rsidRDefault="00C67DF1" w:rsidP="00B16A51">
      <w:pPr>
        <w:pStyle w:val="Heading4"/>
        <w:spacing w:after="0"/>
        <w:rPr>
          <w:rFonts w:cs="Times New Roman"/>
          <w:i w:val="0"/>
        </w:rPr>
      </w:pPr>
      <w:r w:rsidRPr="00A27896">
        <w:rPr>
          <w:rFonts w:cs="Times New Roman"/>
        </w:rPr>
        <w:t xml:space="preserve">Piezīme Nr. </w:t>
      </w:r>
      <w:r w:rsidR="005F1199" w:rsidRPr="00A27896">
        <w:rPr>
          <w:rFonts w:cs="Times New Roman"/>
        </w:rPr>
        <w:t>KB.</w:t>
      </w:r>
      <w:r w:rsidR="00F73CE6" w:rsidRPr="00A27896">
        <w:rPr>
          <w:rFonts w:cs="Times New Roman"/>
        </w:rPr>
        <w:t>3.3.</w:t>
      </w:r>
      <w:r w:rsidR="00FD2C7A" w:rsidRPr="00A27896">
        <w:rPr>
          <w:rFonts w:cs="Times New Roman"/>
        </w:rPr>
        <w:t xml:space="preserve"> Rezerves</w:t>
      </w:r>
    </w:p>
    <w:p w14:paraId="6F8D63CC" w14:textId="62EAD971" w:rsidR="00006251" w:rsidRPr="00A27896" w:rsidRDefault="00F9248E" w:rsidP="00B16A51">
      <w:pPr>
        <w:pStyle w:val="Tabulasnosaukums1"/>
        <w:spacing w:before="0" w:line="240" w:lineRule="auto"/>
        <w:rPr>
          <w:rFonts w:cs="Times New Roman"/>
          <w:i/>
          <w:color w:val="17365D"/>
        </w:rPr>
      </w:pPr>
      <w:r w:rsidRPr="00A27896">
        <w:rPr>
          <w:rFonts w:cs="Times New Roman"/>
          <w:i/>
          <w:color w:val="17365D"/>
        </w:rPr>
        <w:t>1</w:t>
      </w:r>
      <w:r w:rsidR="00B84501" w:rsidRPr="00A27896">
        <w:rPr>
          <w:rFonts w:cs="Times New Roman"/>
          <w:i/>
          <w:color w:val="17365D"/>
        </w:rPr>
        <w:t>7</w:t>
      </w:r>
      <w:r w:rsidR="00006251" w:rsidRPr="00A27896">
        <w:rPr>
          <w:rFonts w:cs="Times New Roman"/>
          <w:i/>
          <w:color w:val="17365D"/>
        </w:rPr>
        <w:t>. tabula. Rezerves (</w:t>
      </w:r>
      <w:proofErr w:type="spellStart"/>
      <w:r w:rsidR="00006251" w:rsidRPr="00A27896">
        <w:rPr>
          <w:rFonts w:cs="Times New Roman"/>
          <w:i/>
          <w:color w:val="17365D"/>
        </w:rPr>
        <w:t>euro</w:t>
      </w:r>
      <w:proofErr w:type="spellEnd"/>
      <w:r w:rsidR="00006251" w:rsidRPr="00A27896">
        <w:rPr>
          <w:rFonts w:cs="Times New Roman"/>
          <w:i/>
          <w:color w:val="17365D"/>
        </w:rPr>
        <w:t>)</w:t>
      </w:r>
    </w:p>
    <w:tbl>
      <w:tblPr>
        <w:tblW w:w="4998" w:type="pct"/>
        <w:tblLayout w:type="fixed"/>
        <w:tblLook w:val="04A0" w:firstRow="1" w:lastRow="0" w:firstColumn="1" w:lastColumn="0" w:noHBand="0" w:noVBand="1"/>
      </w:tblPr>
      <w:tblGrid>
        <w:gridCol w:w="2409"/>
        <w:gridCol w:w="1275"/>
        <w:gridCol w:w="1561"/>
        <w:gridCol w:w="1560"/>
        <w:gridCol w:w="1133"/>
        <w:gridCol w:w="1412"/>
      </w:tblGrid>
      <w:tr w:rsidR="000C1009" w:rsidRPr="00A27896" w14:paraId="19663273" w14:textId="77777777" w:rsidTr="007524B1">
        <w:trPr>
          <w:trHeight w:val="818"/>
          <w:tblHeader/>
        </w:trPr>
        <w:tc>
          <w:tcPr>
            <w:tcW w:w="1288" w:type="pct"/>
            <w:tcBorders>
              <w:bottom w:val="single" w:sz="4" w:space="0" w:color="17365D"/>
            </w:tcBorders>
            <w:shd w:val="clear" w:color="auto" w:fill="B9CDE5"/>
            <w:vAlign w:val="center"/>
            <w:hideMark/>
          </w:tcPr>
          <w:p w14:paraId="1E3A89FD"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682" w:type="pct"/>
            <w:tcBorders>
              <w:bottom w:val="single" w:sz="4" w:space="0" w:color="17365D"/>
            </w:tcBorders>
            <w:shd w:val="clear" w:color="auto" w:fill="B9CDE5"/>
            <w:vAlign w:val="center"/>
            <w:hideMark/>
          </w:tcPr>
          <w:p w14:paraId="46CC7292"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835" w:type="pct"/>
            <w:tcBorders>
              <w:bottom w:val="single" w:sz="4" w:space="0" w:color="17365D"/>
            </w:tcBorders>
            <w:shd w:val="clear" w:color="auto" w:fill="B9CDE5"/>
            <w:vAlign w:val="center"/>
            <w:hideMark/>
          </w:tcPr>
          <w:p w14:paraId="2C5425B4"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834" w:type="pct"/>
            <w:tcBorders>
              <w:bottom w:val="single" w:sz="4" w:space="0" w:color="17365D"/>
            </w:tcBorders>
            <w:shd w:val="clear" w:color="auto" w:fill="B9CDE5"/>
            <w:vAlign w:val="center"/>
            <w:hideMark/>
          </w:tcPr>
          <w:p w14:paraId="33373BFD"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606" w:type="pct"/>
            <w:tcBorders>
              <w:bottom w:val="single" w:sz="4" w:space="0" w:color="17365D"/>
            </w:tcBorders>
            <w:shd w:val="clear" w:color="auto" w:fill="B9CDE5"/>
            <w:vAlign w:val="center"/>
            <w:hideMark/>
          </w:tcPr>
          <w:p w14:paraId="69052B54" w14:textId="786C7E8B"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w:t>
            </w:r>
            <w:r w:rsidR="00F21677" w:rsidRPr="00A27896">
              <w:rPr>
                <w:rFonts w:eastAsia="Times New Roman" w:cs="Times New Roman"/>
                <w:b/>
                <w:color w:val="17365D"/>
                <w:sz w:val="18"/>
                <w:szCs w:val="18"/>
                <w:lang w:eastAsia="lv-LV"/>
              </w:rPr>
              <w:t>-</w:t>
            </w:r>
            <w:r w:rsidRPr="00A27896">
              <w:rPr>
                <w:rFonts w:eastAsia="Times New Roman" w:cs="Times New Roman"/>
                <w:b/>
                <w:color w:val="17365D"/>
                <w:sz w:val="18"/>
                <w:szCs w:val="18"/>
                <w:lang w:eastAsia="lv-LV"/>
              </w:rPr>
              <w:t>)</w:t>
            </w:r>
          </w:p>
        </w:tc>
        <w:tc>
          <w:tcPr>
            <w:tcW w:w="755" w:type="pct"/>
            <w:tcBorders>
              <w:bottom w:val="single" w:sz="4" w:space="0" w:color="17365D"/>
            </w:tcBorders>
            <w:shd w:val="clear" w:color="auto" w:fill="B9CDE5"/>
            <w:vAlign w:val="center"/>
            <w:hideMark/>
          </w:tcPr>
          <w:p w14:paraId="065C2E3B"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6650704A" w14:textId="77777777" w:rsidTr="007524B1">
        <w:trPr>
          <w:trHeight w:val="266"/>
        </w:trPr>
        <w:tc>
          <w:tcPr>
            <w:tcW w:w="1288" w:type="pct"/>
            <w:tcBorders>
              <w:top w:val="single" w:sz="4" w:space="0" w:color="17365D"/>
              <w:bottom w:val="single" w:sz="4" w:space="0" w:color="17365D"/>
            </w:tcBorders>
            <w:shd w:val="clear" w:color="auto" w:fill="auto"/>
            <w:vAlign w:val="center"/>
            <w:hideMark/>
          </w:tcPr>
          <w:p w14:paraId="00AA3548"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682" w:type="pct"/>
            <w:tcBorders>
              <w:top w:val="single" w:sz="4" w:space="0" w:color="17365D"/>
              <w:bottom w:val="single" w:sz="4" w:space="0" w:color="17365D"/>
            </w:tcBorders>
            <w:shd w:val="clear" w:color="auto" w:fill="auto"/>
            <w:vAlign w:val="center"/>
            <w:hideMark/>
          </w:tcPr>
          <w:p w14:paraId="1CCAB3EB"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835" w:type="pct"/>
            <w:tcBorders>
              <w:top w:val="single" w:sz="4" w:space="0" w:color="17365D"/>
              <w:bottom w:val="single" w:sz="4" w:space="0" w:color="17365D"/>
            </w:tcBorders>
            <w:shd w:val="clear" w:color="auto" w:fill="auto"/>
            <w:vAlign w:val="center"/>
            <w:hideMark/>
          </w:tcPr>
          <w:p w14:paraId="27651105"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834" w:type="pct"/>
            <w:tcBorders>
              <w:top w:val="single" w:sz="4" w:space="0" w:color="17365D"/>
              <w:bottom w:val="single" w:sz="4" w:space="0" w:color="17365D"/>
            </w:tcBorders>
            <w:shd w:val="clear" w:color="auto" w:fill="auto"/>
            <w:vAlign w:val="center"/>
            <w:hideMark/>
          </w:tcPr>
          <w:p w14:paraId="6B4AB934"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606" w:type="pct"/>
            <w:tcBorders>
              <w:top w:val="single" w:sz="4" w:space="0" w:color="17365D"/>
              <w:bottom w:val="single" w:sz="4" w:space="0" w:color="17365D"/>
            </w:tcBorders>
            <w:shd w:val="clear" w:color="auto" w:fill="auto"/>
            <w:vAlign w:val="center"/>
            <w:hideMark/>
          </w:tcPr>
          <w:p w14:paraId="2CAFF3EB"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755" w:type="pct"/>
            <w:tcBorders>
              <w:top w:val="single" w:sz="4" w:space="0" w:color="17365D"/>
              <w:bottom w:val="single" w:sz="4" w:space="0" w:color="17365D"/>
            </w:tcBorders>
            <w:shd w:val="clear" w:color="auto" w:fill="auto"/>
            <w:vAlign w:val="center"/>
            <w:hideMark/>
          </w:tcPr>
          <w:p w14:paraId="752D4F84"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681C0E" w:rsidRPr="00A27896" w14:paraId="02D42E26" w14:textId="77777777" w:rsidTr="00595B48">
        <w:trPr>
          <w:trHeight w:val="266"/>
        </w:trPr>
        <w:tc>
          <w:tcPr>
            <w:tcW w:w="1288" w:type="pct"/>
            <w:tcBorders>
              <w:top w:val="single" w:sz="4" w:space="0" w:color="17365D"/>
              <w:bottom w:val="single" w:sz="4" w:space="0" w:color="17365D"/>
            </w:tcBorders>
            <w:shd w:val="clear" w:color="auto" w:fill="auto"/>
            <w:vAlign w:val="center"/>
            <w:hideMark/>
          </w:tcPr>
          <w:p w14:paraId="36F0B21B" w14:textId="2AA6449C" w:rsidR="00681C0E" w:rsidRPr="00A27896" w:rsidRDefault="00681C0E" w:rsidP="00681C0E">
            <w:pPr>
              <w:spacing w:after="0"/>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Rezerves</w:t>
            </w:r>
          </w:p>
        </w:tc>
        <w:tc>
          <w:tcPr>
            <w:tcW w:w="682" w:type="pct"/>
            <w:tcBorders>
              <w:top w:val="single" w:sz="4" w:space="0" w:color="17365D"/>
              <w:bottom w:val="single" w:sz="4" w:space="0" w:color="17365D"/>
            </w:tcBorders>
            <w:shd w:val="clear" w:color="auto" w:fill="auto"/>
            <w:vAlign w:val="center"/>
            <w:hideMark/>
          </w:tcPr>
          <w:p w14:paraId="4AED8CE0" w14:textId="0E7A38D1" w:rsidR="00681C0E" w:rsidRPr="00A27896" w:rsidRDefault="00681C0E" w:rsidP="00681C0E">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KB.3.3.</w:t>
            </w:r>
          </w:p>
        </w:tc>
        <w:tc>
          <w:tcPr>
            <w:tcW w:w="835" w:type="pct"/>
            <w:tcBorders>
              <w:top w:val="single" w:sz="4" w:space="0" w:color="17365D"/>
              <w:bottom w:val="single" w:sz="4" w:space="0" w:color="17365D"/>
            </w:tcBorders>
            <w:shd w:val="clear" w:color="FFFFCC" w:fill="FFFFFF"/>
            <w:noWrap/>
            <w:vAlign w:val="center"/>
            <w:hideMark/>
          </w:tcPr>
          <w:p w14:paraId="164249C4" w14:textId="3CC97091" w:rsidR="00681C0E" w:rsidRPr="00A27896" w:rsidRDefault="00681C0E" w:rsidP="00681C0E">
            <w:pPr>
              <w:spacing w:after="0" w:line="240" w:lineRule="auto"/>
              <w:jc w:val="right"/>
              <w:rPr>
                <w:rFonts w:cs="Times New Roman"/>
                <w:b/>
                <w:color w:val="17365D"/>
                <w:sz w:val="18"/>
                <w:szCs w:val="18"/>
              </w:rPr>
            </w:pPr>
            <w:r w:rsidRPr="00595B48">
              <w:rPr>
                <w:rFonts w:cs="Times New Roman"/>
                <w:b/>
                <w:color w:val="17365D"/>
                <w:sz w:val="18"/>
                <w:szCs w:val="18"/>
              </w:rPr>
              <w:t>1 870 058 362</w:t>
            </w:r>
          </w:p>
        </w:tc>
        <w:tc>
          <w:tcPr>
            <w:tcW w:w="834" w:type="pct"/>
            <w:tcBorders>
              <w:top w:val="single" w:sz="4" w:space="0" w:color="17365D"/>
              <w:bottom w:val="single" w:sz="4" w:space="0" w:color="17365D"/>
            </w:tcBorders>
            <w:shd w:val="clear" w:color="FFFFCC" w:fill="FFFFFF"/>
            <w:noWrap/>
            <w:vAlign w:val="center"/>
            <w:hideMark/>
          </w:tcPr>
          <w:p w14:paraId="08149642" w14:textId="16F042DF" w:rsidR="00681C0E" w:rsidRPr="00A27896" w:rsidRDefault="00681C0E" w:rsidP="00681C0E">
            <w:pPr>
              <w:spacing w:after="0" w:line="240" w:lineRule="auto"/>
              <w:jc w:val="right"/>
              <w:rPr>
                <w:rFonts w:cs="Times New Roman"/>
                <w:b/>
                <w:color w:val="17365D"/>
                <w:sz w:val="18"/>
                <w:szCs w:val="18"/>
              </w:rPr>
            </w:pPr>
            <w:r w:rsidRPr="00595B48">
              <w:rPr>
                <w:rFonts w:cs="Times New Roman"/>
                <w:b/>
                <w:color w:val="17365D"/>
                <w:sz w:val="18"/>
                <w:szCs w:val="18"/>
              </w:rPr>
              <w:t>1 818 686 742</w:t>
            </w:r>
          </w:p>
        </w:tc>
        <w:tc>
          <w:tcPr>
            <w:tcW w:w="606" w:type="pct"/>
            <w:tcBorders>
              <w:top w:val="single" w:sz="4" w:space="0" w:color="17365D"/>
              <w:bottom w:val="single" w:sz="4" w:space="0" w:color="17365D"/>
            </w:tcBorders>
            <w:shd w:val="clear" w:color="FFFFCC" w:fill="FFFFFF"/>
            <w:noWrap/>
            <w:vAlign w:val="center"/>
            <w:hideMark/>
          </w:tcPr>
          <w:p w14:paraId="18D52258" w14:textId="737EB2EB" w:rsidR="00681C0E" w:rsidRPr="00A27896" w:rsidRDefault="00681C0E" w:rsidP="00681C0E">
            <w:pPr>
              <w:spacing w:after="0" w:line="240" w:lineRule="auto"/>
              <w:jc w:val="right"/>
              <w:rPr>
                <w:rFonts w:cs="Times New Roman"/>
                <w:b/>
                <w:color w:val="17365D"/>
                <w:sz w:val="18"/>
                <w:szCs w:val="18"/>
              </w:rPr>
            </w:pPr>
            <w:r w:rsidRPr="00595B48">
              <w:rPr>
                <w:rFonts w:cs="Times New Roman"/>
                <w:b/>
                <w:color w:val="17365D"/>
                <w:sz w:val="18"/>
                <w:szCs w:val="18"/>
              </w:rPr>
              <w:t>51</w:t>
            </w:r>
            <w:r>
              <w:rPr>
                <w:rFonts w:cs="Times New Roman"/>
                <w:b/>
                <w:color w:val="17365D"/>
                <w:sz w:val="18"/>
                <w:szCs w:val="18"/>
              </w:rPr>
              <w:t> </w:t>
            </w:r>
            <w:r w:rsidRPr="00595B48">
              <w:rPr>
                <w:rFonts w:cs="Times New Roman"/>
                <w:b/>
                <w:color w:val="17365D"/>
                <w:sz w:val="18"/>
                <w:szCs w:val="18"/>
              </w:rPr>
              <w:t>371</w:t>
            </w:r>
            <w:r>
              <w:rPr>
                <w:rFonts w:cs="Times New Roman"/>
                <w:b/>
                <w:color w:val="17365D"/>
                <w:sz w:val="18"/>
                <w:szCs w:val="18"/>
              </w:rPr>
              <w:t> </w:t>
            </w:r>
            <w:r w:rsidRPr="00595B48">
              <w:rPr>
                <w:rFonts w:cs="Times New Roman"/>
                <w:b/>
                <w:color w:val="17365D"/>
                <w:sz w:val="18"/>
                <w:szCs w:val="18"/>
              </w:rPr>
              <w:t>620</w:t>
            </w:r>
          </w:p>
        </w:tc>
        <w:tc>
          <w:tcPr>
            <w:tcW w:w="755" w:type="pct"/>
            <w:tcBorders>
              <w:top w:val="single" w:sz="4" w:space="0" w:color="17365D"/>
              <w:bottom w:val="single" w:sz="4" w:space="0" w:color="17365D"/>
            </w:tcBorders>
            <w:shd w:val="clear" w:color="FFFFCC" w:fill="FFFFFF"/>
            <w:noWrap/>
            <w:vAlign w:val="center"/>
            <w:hideMark/>
          </w:tcPr>
          <w:p w14:paraId="43933E92" w14:textId="5EA2CDB7" w:rsidR="00681C0E" w:rsidRPr="00A27896" w:rsidRDefault="00681C0E" w:rsidP="00595B48">
            <w:pPr>
              <w:spacing w:after="0" w:line="240" w:lineRule="auto"/>
              <w:jc w:val="center"/>
              <w:rPr>
                <w:rFonts w:cs="Times New Roman"/>
                <w:b/>
                <w:color w:val="17365D"/>
                <w:sz w:val="18"/>
                <w:szCs w:val="18"/>
              </w:rPr>
            </w:pPr>
            <w:r w:rsidRPr="00595B48">
              <w:rPr>
                <w:rFonts w:cs="Times New Roman"/>
                <w:b/>
                <w:color w:val="17365D"/>
                <w:sz w:val="18"/>
                <w:szCs w:val="18"/>
              </w:rPr>
              <w:t>2.82</w:t>
            </w:r>
          </w:p>
        </w:tc>
      </w:tr>
      <w:tr w:rsidR="000C1009" w:rsidRPr="00A27896" w14:paraId="3472565F" w14:textId="77777777" w:rsidTr="007524B1">
        <w:trPr>
          <w:trHeight w:val="67"/>
        </w:trPr>
        <w:tc>
          <w:tcPr>
            <w:tcW w:w="1288" w:type="pct"/>
            <w:tcBorders>
              <w:top w:val="single" w:sz="4" w:space="0" w:color="17365D"/>
            </w:tcBorders>
            <w:shd w:val="clear" w:color="auto" w:fill="B9CDE5"/>
            <w:vAlign w:val="center"/>
          </w:tcPr>
          <w:p w14:paraId="20FB29BE" w14:textId="77777777" w:rsidR="00006251" w:rsidRPr="00A27896" w:rsidRDefault="00006251" w:rsidP="00E02665">
            <w:pPr>
              <w:spacing w:after="0"/>
              <w:rPr>
                <w:rFonts w:eastAsia="Times New Roman" w:cs="Times New Roman"/>
                <w:color w:val="17365D"/>
                <w:sz w:val="16"/>
                <w:szCs w:val="18"/>
                <w:lang w:eastAsia="lv-LV"/>
              </w:rPr>
            </w:pPr>
          </w:p>
        </w:tc>
        <w:tc>
          <w:tcPr>
            <w:tcW w:w="682" w:type="pct"/>
            <w:tcBorders>
              <w:top w:val="single" w:sz="4" w:space="0" w:color="17365D"/>
            </w:tcBorders>
            <w:shd w:val="clear" w:color="auto" w:fill="B9CDE5"/>
            <w:noWrap/>
            <w:vAlign w:val="center"/>
          </w:tcPr>
          <w:p w14:paraId="5E7D31DE" w14:textId="77777777" w:rsidR="00006251" w:rsidRPr="00A27896" w:rsidRDefault="00006251" w:rsidP="00E02665">
            <w:pPr>
              <w:spacing w:after="0"/>
              <w:jc w:val="center"/>
              <w:rPr>
                <w:rFonts w:eastAsia="Times New Roman" w:cs="Times New Roman"/>
                <w:color w:val="17365D"/>
                <w:sz w:val="18"/>
                <w:szCs w:val="18"/>
                <w:lang w:eastAsia="lv-LV"/>
              </w:rPr>
            </w:pPr>
          </w:p>
        </w:tc>
        <w:tc>
          <w:tcPr>
            <w:tcW w:w="835" w:type="pct"/>
            <w:tcBorders>
              <w:top w:val="single" w:sz="4" w:space="0" w:color="17365D"/>
            </w:tcBorders>
            <w:shd w:val="clear" w:color="auto" w:fill="B9CDE5"/>
            <w:noWrap/>
            <w:vAlign w:val="center"/>
          </w:tcPr>
          <w:p w14:paraId="03EF0C4F" w14:textId="77777777" w:rsidR="00006251" w:rsidRPr="00A27896" w:rsidRDefault="00006251" w:rsidP="00E02665">
            <w:pPr>
              <w:spacing w:after="0"/>
              <w:jc w:val="right"/>
              <w:rPr>
                <w:rFonts w:eastAsia="Times New Roman" w:cs="Times New Roman"/>
                <w:color w:val="17365D"/>
                <w:sz w:val="18"/>
                <w:szCs w:val="18"/>
                <w:lang w:eastAsia="lv-LV"/>
              </w:rPr>
            </w:pPr>
          </w:p>
        </w:tc>
        <w:tc>
          <w:tcPr>
            <w:tcW w:w="834" w:type="pct"/>
            <w:tcBorders>
              <w:top w:val="single" w:sz="4" w:space="0" w:color="17365D"/>
            </w:tcBorders>
            <w:shd w:val="clear" w:color="auto" w:fill="B9CDE5"/>
            <w:noWrap/>
            <w:vAlign w:val="center"/>
          </w:tcPr>
          <w:p w14:paraId="04B7F371" w14:textId="77777777" w:rsidR="00006251" w:rsidRPr="00A27896" w:rsidRDefault="00006251" w:rsidP="00E02665">
            <w:pPr>
              <w:spacing w:after="0"/>
              <w:jc w:val="right"/>
              <w:rPr>
                <w:rFonts w:eastAsia="Times New Roman" w:cs="Times New Roman"/>
                <w:color w:val="17365D"/>
                <w:sz w:val="18"/>
                <w:szCs w:val="18"/>
                <w:lang w:eastAsia="lv-LV"/>
              </w:rPr>
            </w:pPr>
          </w:p>
        </w:tc>
        <w:tc>
          <w:tcPr>
            <w:tcW w:w="606" w:type="pct"/>
            <w:tcBorders>
              <w:top w:val="single" w:sz="4" w:space="0" w:color="17365D"/>
            </w:tcBorders>
            <w:shd w:val="clear" w:color="auto" w:fill="B9CDE5"/>
            <w:noWrap/>
            <w:vAlign w:val="center"/>
          </w:tcPr>
          <w:p w14:paraId="2002E722" w14:textId="77777777" w:rsidR="00006251" w:rsidRPr="00A27896" w:rsidRDefault="00006251" w:rsidP="00E02665">
            <w:pPr>
              <w:spacing w:after="0"/>
              <w:jc w:val="right"/>
              <w:rPr>
                <w:rFonts w:eastAsia="Times New Roman" w:cs="Times New Roman"/>
                <w:color w:val="17365D"/>
                <w:sz w:val="18"/>
                <w:szCs w:val="18"/>
                <w:lang w:eastAsia="lv-LV"/>
              </w:rPr>
            </w:pPr>
          </w:p>
        </w:tc>
        <w:tc>
          <w:tcPr>
            <w:tcW w:w="755" w:type="pct"/>
            <w:tcBorders>
              <w:top w:val="single" w:sz="4" w:space="0" w:color="17365D"/>
            </w:tcBorders>
            <w:shd w:val="clear" w:color="auto" w:fill="B9CDE5"/>
            <w:noWrap/>
            <w:vAlign w:val="center"/>
          </w:tcPr>
          <w:p w14:paraId="2A69B5DB" w14:textId="77777777" w:rsidR="00006251" w:rsidRPr="00A27896" w:rsidRDefault="00006251" w:rsidP="00E02665">
            <w:pPr>
              <w:spacing w:after="0"/>
              <w:jc w:val="right"/>
              <w:rPr>
                <w:rFonts w:eastAsia="Times New Roman" w:cs="Times New Roman"/>
                <w:color w:val="17365D"/>
                <w:sz w:val="18"/>
                <w:szCs w:val="18"/>
                <w:lang w:eastAsia="lv-LV"/>
              </w:rPr>
            </w:pPr>
          </w:p>
        </w:tc>
      </w:tr>
    </w:tbl>
    <w:p w14:paraId="31435CCF" w14:textId="69C4F551" w:rsidR="00526E83" w:rsidRPr="00A27896" w:rsidRDefault="00526E83" w:rsidP="0001537A">
      <w:pPr>
        <w:spacing w:before="240" w:after="120" w:line="240" w:lineRule="auto"/>
        <w:ind w:firstLine="284"/>
        <w:jc w:val="both"/>
        <w:rPr>
          <w:rFonts w:cs="Times New Roman"/>
          <w:color w:val="17365D"/>
        </w:rPr>
      </w:pPr>
      <w:r w:rsidRPr="00A27896">
        <w:rPr>
          <w:rFonts w:cs="Times New Roman"/>
          <w:color w:val="17365D"/>
        </w:rPr>
        <w:t xml:space="preserve">Būtiskākās šī posteņa izmaiņas veido līdzdalības radniecīgās un asociētās kapitālsabiedrībās pārvērtēšanas </w:t>
      </w:r>
      <w:r w:rsidR="00AD345F" w:rsidRPr="00A27896">
        <w:rPr>
          <w:rFonts w:cs="Times New Roman"/>
          <w:color w:val="17365D"/>
        </w:rPr>
        <w:t xml:space="preserve">pēc pašu kapitāla metodes </w:t>
      </w:r>
      <w:r w:rsidRPr="00A27896">
        <w:rPr>
          <w:rFonts w:cs="Times New Roman"/>
          <w:color w:val="17365D"/>
        </w:rPr>
        <w:t>rezultātā atzītā kapitālsabiedrību rezervju izmaiņu</w:t>
      </w:r>
      <w:r w:rsidR="006B0607" w:rsidRPr="00A27896">
        <w:rPr>
          <w:rFonts w:cs="Times New Roman"/>
          <w:color w:val="17365D"/>
        </w:rPr>
        <w:t xml:space="preserve"> proporcionālā daļa</w:t>
      </w:r>
      <w:r w:rsidR="002D51CB" w:rsidRPr="00A27896">
        <w:rPr>
          <w:rFonts w:cs="Times New Roman"/>
          <w:color w:val="17365D"/>
        </w:rPr>
        <w:t>.</w:t>
      </w:r>
    </w:p>
    <w:p w14:paraId="36EF5B1B" w14:textId="208F42F0" w:rsidR="00FD2C7A" w:rsidRPr="00A27896" w:rsidRDefault="00C67DF1" w:rsidP="005A3758">
      <w:pPr>
        <w:pStyle w:val="Heading4"/>
        <w:rPr>
          <w:rFonts w:cs="Times New Roman"/>
        </w:rPr>
      </w:pPr>
      <w:r w:rsidRPr="00A27896">
        <w:rPr>
          <w:rFonts w:cs="Times New Roman"/>
        </w:rPr>
        <w:t>Piezīme Nr.</w:t>
      </w:r>
      <w:r w:rsidR="005F1199" w:rsidRPr="00A27896">
        <w:rPr>
          <w:rFonts w:cs="Times New Roman"/>
        </w:rPr>
        <w:t>KB.3</w:t>
      </w:r>
      <w:r w:rsidR="00F73CE6" w:rsidRPr="00A27896">
        <w:rPr>
          <w:rFonts w:cs="Times New Roman"/>
        </w:rPr>
        <w:t>.5</w:t>
      </w:r>
      <w:r w:rsidR="00FD2C7A" w:rsidRPr="00A27896">
        <w:rPr>
          <w:rFonts w:cs="Times New Roman"/>
        </w:rPr>
        <w:t>. Budžeta izpildes rezultāti</w:t>
      </w:r>
    </w:p>
    <w:p w14:paraId="1786EDFB" w14:textId="65BCB651" w:rsidR="00FD2C7A" w:rsidRPr="00A27896" w:rsidRDefault="008F612C" w:rsidP="003245E6">
      <w:pPr>
        <w:pStyle w:val="Tabulasnosaukums1"/>
        <w:spacing w:before="120"/>
        <w:rPr>
          <w:rFonts w:eastAsia="Times New Roman" w:cs="Times New Roman"/>
          <w:color w:val="17365D"/>
          <w:szCs w:val="20"/>
          <w:lang w:eastAsia="lv-LV"/>
        </w:rPr>
      </w:pPr>
      <w:r w:rsidRPr="00A27896">
        <w:rPr>
          <w:rFonts w:cs="Times New Roman"/>
          <w:i/>
          <w:color w:val="17365D"/>
        </w:rPr>
        <w:t>18</w:t>
      </w:r>
      <w:r w:rsidR="00FD2C7A" w:rsidRPr="00A27896">
        <w:rPr>
          <w:rFonts w:cs="Times New Roman"/>
          <w:i/>
          <w:color w:val="17365D"/>
        </w:rPr>
        <w:t>. tabula</w:t>
      </w:r>
      <w:r w:rsidR="00990A72" w:rsidRPr="00A27896">
        <w:rPr>
          <w:rFonts w:cs="Times New Roman"/>
          <w:i/>
          <w:color w:val="17365D"/>
        </w:rPr>
        <w:t>. Budžeta izpildes rezultāti</w:t>
      </w:r>
      <w:r w:rsidR="00990A72" w:rsidRPr="00A27896" w:rsidDel="00990A72">
        <w:rPr>
          <w:rFonts w:cs="Times New Roman"/>
          <w:i/>
          <w:color w:val="17365D"/>
        </w:rPr>
        <w:t xml:space="preserve"> </w:t>
      </w:r>
      <w:r w:rsidR="00990A72" w:rsidRPr="00A27896">
        <w:rPr>
          <w:rFonts w:eastAsia="Times New Roman" w:cs="Times New Roman"/>
          <w:i/>
          <w:color w:val="17365D"/>
          <w:szCs w:val="20"/>
          <w:lang w:eastAsia="lv-LV"/>
        </w:rPr>
        <w:t>(</w:t>
      </w:r>
      <w:proofErr w:type="spellStart"/>
      <w:r w:rsidR="00E60599" w:rsidRPr="00A27896">
        <w:rPr>
          <w:rFonts w:eastAsia="Times New Roman" w:cs="Times New Roman"/>
          <w:i/>
          <w:color w:val="17365D"/>
          <w:szCs w:val="20"/>
          <w:lang w:eastAsia="lv-LV"/>
        </w:rPr>
        <w:t>euro</w:t>
      </w:r>
      <w:proofErr w:type="spellEnd"/>
      <w:r w:rsidR="00990A72" w:rsidRPr="00A27896">
        <w:rPr>
          <w:rFonts w:eastAsia="Times New Roman" w:cs="Times New Roman"/>
          <w:i/>
          <w:color w:val="17365D"/>
          <w:szCs w:val="20"/>
          <w:lang w:eastAsia="lv-LV"/>
        </w:rPr>
        <w:t>)</w:t>
      </w:r>
    </w:p>
    <w:tbl>
      <w:tblPr>
        <w:tblW w:w="5000" w:type="pct"/>
        <w:tblBorders>
          <w:insideH w:val="single" w:sz="4" w:space="0" w:color="012169"/>
        </w:tblBorders>
        <w:tblLayout w:type="fixed"/>
        <w:tblLook w:val="04A0" w:firstRow="1" w:lastRow="0" w:firstColumn="1" w:lastColumn="0" w:noHBand="0" w:noVBand="1"/>
      </w:tblPr>
      <w:tblGrid>
        <w:gridCol w:w="2835"/>
        <w:gridCol w:w="993"/>
        <w:gridCol w:w="1354"/>
        <w:gridCol w:w="924"/>
        <w:gridCol w:w="511"/>
        <w:gridCol w:w="1435"/>
        <w:gridCol w:w="1302"/>
      </w:tblGrid>
      <w:tr w:rsidR="000C1009" w:rsidRPr="00A27896" w14:paraId="4180D32A" w14:textId="77777777" w:rsidTr="00821FBA">
        <w:trPr>
          <w:trHeight w:val="684"/>
          <w:tblHeader/>
        </w:trPr>
        <w:tc>
          <w:tcPr>
            <w:tcW w:w="1515" w:type="pct"/>
            <w:tcBorders>
              <w:bottom w:val="single" w:sz="4" w:space="0" w:color="17365D"/>
            </w:tcBorders>
            <w:shd w:val="clear" w:color="auto" w:fill="B9CDE5"/>
            <w:vAlign w:val="center"/>
            <w:hideMark/>
          </w:tcPr>
          <w:p w14:paraId="2E64817D"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531" w:type="pct"/>
            <w:tcBorders>
              <w:bottom w:val="single" w:sz="4" w:space="0" w:color="17365D"/>
            </w:tcBorders>
            <w:shd w:val="clear" w:color="auto" w:fill="B9CDE5"/>
            <w:vAlign w:val="center"/>
            <w:hideMark/>
          </w:tcPr>
          <w:p w14:paraId="60C860F0"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724" w:type="pct"/>
            <w:tcBorders>
              <w:bottom w:val="single" w:sz="4" w:space="0" w:color="17365D"/>
            </w:tcBorders>
            <w:shd w:val="clear" w:color="auto" w:fill="B9CDE5"/>
            <w:vAlign w:val="center"/>
            <w:hideMark/>
          </w:tcPr>
          <w:p w14:paraId="023BD0CD"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767" w:type="pct"/>
            <w:gridSpan w:val="2"/>
            <w:tcBorders>
              <w:bottom w:val="single" w:sz="4" w:space="0" w:color="17365D"/>
            </w:tcBorders>
            <w:shd w:val="clear" w:color="auto" w:fill="B9CDE5"/>
            <w:vAlign w:val="center"/>
            <w:hideMark/>
          </w:tcPr>
          <w:p w14:paraId="4BC5F461"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767" w:type="pct"/>
            <w:tcBorders>
              <w:bottom w:val="single" w:sz="4" w:space="0" w:color="17365D"/>
            </w:tcBorders>
            <w:shd w:val="clear" w:color="auto" w:fill="B9CDE5"/>
            <w:vAlign w:val="center"/>
            <w:hideMark/>
          </w:tcPr>
          <w:p w14:paraId="043D1804" w14:textId="4AA8C1FF"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 </w:t>
            </w:r>
            <w:r w:rsidRPr="00A27896">
              <w:rPr>
                <w:rFonts w:eastAsia="Times New Roman" w:cs="Times New Roman"/>
                <w:b/>
                <w:color w:val="17365D"/>
                <w:sz w:val="18"/>
                <w:szCs w:val="18"/>
                <w:lang w:eastAsia="lv-LV"/>
              </w:rPr>
              <w:t>)</w:t>
            </w:r>
          </w:p>
        </w:tc>
        <w:tc>
          <w:tcPr>
            <w:tcW w:w="696" w:type="pct"/>
            <w:tcBorders>
              <w:bottom w:val="single" w:sz="4" w:space="0" w:color="17365D"/>
            </w:tcBorders>
            <w:shd w:val="clear" w:color="auto" w:fill="B9CDE5"/>
            <w:vAlign w:val="center"/>
            <w:hideMark/>
          </w:tcPr>
          <w:p w14:paraId="36CF15B7"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6C6CC0D1" w14:textId="77777777" w:rsidTr="00586499">
        <w:trPr>
          <w:trHeight w:val="240"/>
          <w:tblHeader/>
        </w:trPr>
        <w:tc>
          <w:tcPr>
            <w:tcW w:w="1515" w:type="pct"/>
            <w:tcBorders>
              <w:top w:val="single" w:sz="4" w:space="0" w:color="17365D"/>
              <w:bottom w:val="single" w:sz="4" w:space="0" w:color="17365D"/>
            </w:tcBorders>
            <w:shd w:val="clear" w:color="auto" w:fill="auto"/>
            <w:vAlign w:val="center"/>
            <w:hideMark/>
          </w:tcPr>
          <w:p w14:paraId="0631C941"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531" w:type="pct"/>
            <w:tcBorders>
              <w:top w:val="single" w:sz="4" w:space="0" w:color="17365D"/>
              <w:bottom w:val="single" w:sz="4" w:space="0" w:color="17365D"/>
            </w:tcBorders>
            <w:shd w:val="clear" w:color="auto" w:fill="auto"/>
            <w:vAlign w:val="center"/>
            <w:hideMark/>
          </w:tcPr>
          <w:p w14:paraId="3F0271AB"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24" w:type="pct"/>
            <w:tcBorders>
              <w:top w:val="single" w:sz="4" w:space="0" w:color="17365D"/>
              <w:bottom w:val="single" w:sz="4" w:space="0" w:color="17365D"/>
            </w:tcBorders>
            <w:shd w:val="clear" w:color="auto" w:fill="auto"/>
            <w:vAlign w:val="center"/>
            <w:hideMark/>
          </w:tcPr>
          <w:p w14:paraId="5BCF89A8"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767" w:type="pct"/>
            <w:gridSpan w:val="2"/>
            <w:tcBorders>
              <w:top w:val="single" w:sz="4" w:space="0" w:color="17365D"/>
              <w:bottom w:val="single" w:sz="4" w:space="0" w:color="17365D"/>
            </w:tcBorders>
            <w:shd w:val="clear" w:color="auto" w:fill="auto"/>
            <w:vAlign w:val="center"/>
            <w:hideMark/>
          </w:tcPr>
          <w:p w14:paraId="43E0D862"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767" w:type="pct"/>
            <w:tcBorders>
              <w:top w:val="single" w:sz="4" w:space="0" w:color="17365D"/>
              <w:bottom w:val="single" w:sz="4" w:space="0" w:color="17365D"/>
            </w:tcBorders>
            <w:shd w:val="clear" w:color="auto" w:fill="auto"/>
            <w:vAlign w:val="center"/>
            <w:hideMark/>
          </w:tcPr>
          <w:p w14:paraId="23DA0617"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96" w:type="pct"/>
            <w:tcBorders>
              <w:top w:val="single" w:sz="4" w:space="0" w:color="17365D"/>
              <w:bottom w:val="single" w:sz="4" w:space="0" w:color="17365D"/>
            </w:tcBorders>
            <w:shd w:val="clear" w:color="auto" w:fill="auto"/>
            <w:vAlign w:val="center"/>
            <w:hideMark/>
          </w:tcPr>
          <w:p w14:paraId="7E2855B3"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681C0E" w:rsidRPr="00A27896" w14:paraId="60BDA963" w14:textId="77777777" w:rsidTr="00595B48">
        <w:trPr>
          <w:trHeight w:val="240"/>
        </w:trPr>
        <w:tc>
          <w:tcPr>
            <w:tcW w:w="1515" w:type="pct"/>
            <w:tcBorders>
              <w:top w:val="single" w:sz="4" w:space="0" w:color="17365D"/>
              <w:bottom w:val="single" w:sz="4" w:space="0" w:color="17365D"/>
            </w:tcBorders>
            <w:shd w:val="clear" w:color="auto" w:fill="auto"/>
            <w:vAlign w:val="center"/>
            <w:hideMark/>
          </w:tcPr>
          <w:p w14:paraId="232DF775" w14:textId="11D9DA27" w:rsidR="00681C0E" w:rsidRPr="00A27896" w:rsidRDefault="00681C0E" w:rsidP="00681C0E">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Budžeta izpildes rezultāti</w:t>
            </w:r>
          </w:p>
        </w:tc>
        <w:tc>
          <w:tcPr>
            <w:tcW w:w="531" w:type="pct"/>
            <w:tcBorders>
              <w:top w:val="single" w:sz="4" w:space="0" w:color="17365D"/>
              <w:bottom w:val="single" w:sz="4" w:space="0" w:color="17365D"/>
            </w:tcBorders>
            <w:shd w:val="clear" w:color="auto" w:fill="auto"/>
            <w:vAlign w:val="center"/>
            <w:hideMark/>
          </w:tcPr>
          <w:p w14:paraId="357AFBC7" w14:textId="6723CF40" w:rsidR="00681C0E" w:rsidRPr="00A27896" w:rsidRDefault="00681C0E" w:rsidP="00681C0E">
            <w:pPr>
              <w:spacing w:after="0" w:line="240" w:lineRule="auto"/>
              <w:jc w:val="center"/>
              <w:rPr>
                <w:rFonts w:eastAsia="Times New Roman" w:cs="Times New Roman"/>
                <w:b/>
                <w:color w:val="17365D"/>
                <w:sz w:val="18"/>
                <w:szCs w:val="18"/>
                <w:lang w:eastAsia="lv-LV"/>
              </w:rPr>
            </w:pPr>
            <w:r w:rsidRPr="00A27896">
              <w:rPr>
                <w:rFonts w:cs="Times New Roman"/>
                <w:b/>
                <w:color w:val="17365D"/>
                <w:sz w:val="18"/>
                <w:szCs w:val="18"/>
              </w:rPr>
              <w:t>KB.3.5.</w:t>
            </w:r>
          </w:p>
        </w:tc>
        <w:tc>
          <w:tcPr>
            <w:tcW w:w="724" w:type="pct"/>
            <w:tcBorders>
              <w:top w:val="single" w:sz="4" w:space="0" w:color="17365D"/>
              <w:left w:val="nil"/>
              <w:bottom w:val="single" w:sz="4" w:space="0" w:color="17365D"/>
              <w:right w:val="nil"/>
            </w:tcBorders>
            <w:shd w:val="clear" w:color="auto" w:fill="auto"/>
            <w:noWrap/>
            <w:vAlign w:val="center"/>
          </w:tcPr>
          <w:p w14:paraId="4A19C494" w14:textId="77BA7720" w:rsidR="00681C0E" w:rsidRPr="00A27896" w:rsidRDefault="00681C0E" w:rsidP="00681C0E">
            <w:pPr>
              <w:spacing w:after="0" w:line="240" w:lineRule="auto"/>
              <w:jc w:val="right"/>
              <w:rPr>
                <w:rFonts w:cs="Times New Roman"/>
                <w:b/>
                <w:color w:val="17365D"/>
                <w:sz w:val="18"/>
                <w:szCs w:val="18"/>
              </w:rPr>
            </w:pPr>
            <w:r w:rsidRPr="00595B48">
              <w:rPr>
                <w:rFonts w:cs="Times New Roman"/>
                <w:b/>
                <w:color w:val="17365D"/>
                <w:sz w:val="18"/>
                <w:szCs w:val="18"/>
              </w:rPr>
              <w:t>6 432 631 063</w:t>
            </w:r>
          </w:p>
        </w:tc>
        <w:tc>
          <w:tcPr>
            <w:tcW w:w="767" w:type="pct"/>
            <w:gridSpan w:val="2"/>
            <w:tcBorders>
              <w:top w:val="single" w:sz="4" w:space="0" w:color="17365D"/>
              <w:left w:val="nil"/>
              <w:bottom w:val="single" w:sz="4" w:space="0" w:color="17365D"/>
              <w:right w:val="nil"/>
            </w:tcBorders>
            <w:shd w:val="clear" w:color="auto" w:fill="auto"/>
            <w:noWrap/>
            <w:vAlign w:val="center"/>
          </w:tcPr>
          <w:p w14:paraId="59973FF3" w14:textId="4778F13F" w:rsidR="00681C0E" w:rsidRPr="00A27896" w:rsidRDefault="00681C0E" w:rsidP="00681C0E">
            <w:pPr>
              <w:spacing w:after="0" w:line="240" w:lineRule="auto"/>
              <w:jc w:val="right"/>
              <w:rPr>
                <w:rFonts w:cs="Times New Roman"/>
                <w:b/>
                <w:color w:val="17365D"/>
                <w:sz w:val="18"/>
                <w:szCs w:val="18"/>
              </w:rPr>
            </w:pPr>
            <w:r w:rsidRPr="00595B48">
              <w:rPr>
                <w:rFonts w:cs="Times New Roman"/>
                <w:b/>
                <w:color w:val="17365D"/>
                <w:sz w:val="18"/>
                <w:szCs w:val="18"/>
              </w:rPr>
              <w:t>5 909 028 353</w:t>
            </w:r>
          </w:p>
        </w:tc>
        <w:tc>
          <w:tcPr>
            <w:tcW w:w="767" w:type="pct"/>
            <w:tcBorders>
              <w:top w:val="single" w:sz="4" w:space="0" w:color="17365D"/>
              <w:left w:val="nil"/>
              <w:bottom w:val="single" w:sz="4" w:space="0" w:color="17365D"/>
              <w:right w:val="nil"/>
            </w:tcBorders>
            <w:shd w:val="clear" w:color="auto" w:fill="auto"/>
            <w:noWrap/>
            <w:vAlign w:val="center"/>
          </w:tcPr>
          <w:p w14:paraId="1A7D337B" w14:textId="05CBEA03" w:rsidR="00681C0E" w:rsidRPr="00A27896" w:rsidRDefault="00681C0E" w:rsidP="00681C0E">
            <w:pPr>
              <w:spacing w:after="0" w:line="240" w:lineRule="auto"/>
              <w:jc w:val="right"/>
              <w:rPr>
                <w:rFonts w:cs="Times New Roman"/>
                <w:b/>
                <w:color w:val="17365D"/>
                <w:sz w:val="18"/>
                <w:szCs w:val="18"/>
              </w:rPr>
            </w:pPr>
            <w:r w:rsidRPr="00595B48">
              <w:rPr>
                <w:rFonts w:cs="Times New Roman"/>
                <w:b/>
                <w:color w:val="17365D"/>
                <w:sz w:val="18"/>
                <w:szCs w:val="18"/>
              </w:rPr>
              <w:t>523</w:t>
            </w:r>
            <w:r>
              <w:rPr>
                <w:rFonts w:cs="Times New Roman"/>
                <w:b/>
                <w:color w:val="17365D"/>
                <w:sz w:val="18"/>
                <w:szCs w:val="18"/>
              </w:rPr>
              <w:t> </w:t>
            </w:r>
            <w:r w:rsidRPr="00595B48">
              <w:rPr>
                <w:rFonts w:cs="Times New Roman"/>
                <w:b/>
                <w:color w:val="17365D"/>
                <w:sz w:val="18"/>
                <w:szCs w:val="18"/>
              </w:rPr>
              <w:t>602</w:t>
            </w:r>
            <w:r>
              <w:rPr>
                <w:rFonts w:cs="Times New Roman"/>
                <w:b/>
                <w:color w:val="17365D"/>
                <w:sz w:val="18"/>
                <w:szCs w:val="18"/>
              </w:rPr>
              <w:t> </w:t>
            </w:r>
            <w:r w:rsidRPr="00595B48">
              <w:rPr>
                <w:rFonts w:cs="Times New Roman"/>
                <w:b/>
                <w:color w:val="17365D"/>
                <w:sz w:val="18"/>
                <w:szCs w:val="18"/>
              </w:rPr>
              <w:t>710</w:t>
            </w:r>
          </w:p>
        </w:tc>
        <w:tc>
          <w:tcPr>
            <w:tcW w:w="696" w:type="pct"/>
            <w:tcBorders>
              <w:top w:val="single" w:sz="4" w:space="0" w:color="17365D"/>
              <w:left w:val="nil"/>
              <w:bottom w:val="single" w:sz="4" w:space="0" w:color="17365D"/>
              <w:right w:val="nil"/>
            </w:tcBorders>
            <w:shd w:val="clear" w:color="auto" w:fill="auto"/>
            <w:noWrap/>
            <w:vAlign w:val="center"/>
          </w:tcPr>
          <w:p w14:paraId="502CC63B" w14:textId="7ADD2CAF" w:rsidR="00681C0E" w:rsidRPr="00A27896" w:rsidRDefault="00681C0E" w:rsidP="00595B48">
            <w:pPr>
              <w:spacing w:after="0" w:line="240" w:lineRule="auto"/>
              <w:jc w:val="center"/>
              <w:rPr>
                <w:rFonts w:cs="Times New Roman"/>
                <w:b/>
                <w:color w:val="17365D"/>
                <w:sz w:val="18"/>
                <w:szCs w:val="18"/>
              </w:rPr>
            </w:pPr>
            <w:r w:rsidRPr="00595B48">
              <w:rPr>
                <w:rFonts w:cs="Times New Roman"/>
                <w:b/>
                <w:color w:val="17365D"/>
                <w:sz w:val="18"/>
                <w:szCs w:val="18"/>
              </w:rPr>
              <w:t>8.86</w:t>
            </w:r>
          </w:p>
        </w:tc>
      </w:tr>
      <w:tr w:rsidR="00681C0E" w:rsidRPr="00A27896" w14:paraId="3BE9143B" w14:textId="77777777" w:rsidTr="00595B48">
        <w:trPr>
          <w:trHeight w:val="54"/>
        </w:trPr>
        <w:tc>
          <w:tcPr>
            <w:tcW w:w="1515" w:type="pct"/>
            <w:tcBorders>
              <w:top w:val="single" w:sz="4" w:space="0" w:color="17365D"/>
              <w:bottom w:val="single" w:sz="4" w:space="0" w:color="17365D"/>
            </w:tcBorders>
            <w:shd w:val="clear" w:color="auto" w:fill="auto"/>
            <w:vAlign w:val="center"/>
            <w:hideMark/>
          </w:tcPr>
          <w:p w14:paraId="671820A4" w14:textId="77777777" w:rsidR="00681C0E" w:rsidRPr="00A27896" w:rsidRDefault="00681C0E" w:rsidP="00681C0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Iepriekšējo pārskata gadu budžeta izpildes rezultāts</w:t>
            </w:r>
          </w:p>
        </w:tc>
        <w:tc>
          <w:tcPr>
            <w:tcW w:w="531" w:type="pct"/>
            <w:tcBorders>
              <w:top w:val="single" w:sz="4" w:space="0" w:color="17365D"/>
              <w:bottom w:val="single" w:sz="4" w:space="0" w:color="17365D"/>
            </w:tcBorders>
            <w:shd w:val="clear" w:color="auto" w:fill="auto"/>
            <w:noWrap/>
            <w:vAlign w:val="center"/>
            <w:hideMark/>
          </w:tcPr>
          <w:p w14:paraId="23A92014" w14:textId="0487D142" w:rsidR="00681C0E" w:rsidRPr="00A27896" w:rsidRDefault="00681C0E" w:rsidP="00681C0E">
            <w:pPr>
              <w:spacing w:after="0" w:line="240" w:lineRule="auto"/>
              <w:ind w:right="-63"/>
              <w:jc w:val="center"/>
              <w:rPr>
                <w:rFonts w:eastAsia="Times New Roman" w:cs="Times New Roman"/>
                <w:color w:val="17365D"/>
                <w:sz w:val="18"/>
                <w:szCs w:val="18"/>
                <w:lang w:eastAsia="lv-LV"/>
              </w:rPr>
            </w:pPr>
            <w:r w:rsidRPr="00A27896">
              <w:rPr>
                <w:rFonts w:cs="Times New Roman"/>
                <w:color w:val="17365D"/>
                <w:sz w:val="18"/>
                <w:szCs w:val="18"/>
              </w:rPr>
              <w:t>KB.3.5.1.</w:t>
            </w:r>
          </w:p>
        </w:tc>
        <w:tc>
          <w:tcPr>
            <w:tcW w:w="724" w:type="pct"/>
            <w:tcBorders>
              <w:top w:val="single" w:sz="4" w:space="0" w:color="17365D"/>
              <w:left w:val="nil"/>
              <w:bottom w:val="single" w:sz="4" w:space="0" w:color="17365D"/>
              <w:right w:val="nil"/>
            </w:tcBorders>
            <w:shd w:val="clear" w:color="auto" w:fill="auto"/>
            <w:noWrap/>
            <w:vAlign w:val="center"/>
          </w:tcPr>
          <w:p w14:paraId="2A405358" w14:textId="12082D3D" w:rsidR="00681C0E" w:rsidRPr="00681C0E" w:rsidRDefault="00681C0E" w:rsidP="00681C0E">
            <w:pPr>
              <w:spacing w:after="0" w:line="240" w:lineRule="auto"/>
              <w:jc w:val="right"/>
              <w:rPr>
                <w:rFonts w:cs="Times New Roman"/>
                <w:color w:val="17365D"/>
                <w:sz w:val="18"/>
                <w:szCs w:val="18"/>
              </w:rPr>
            </w:pPr>
            <w:r w:rsidRPr="00595B48">
              <w:rPr>
                <w:rFonts w:cs="Times New Roman"/>
                <w:color w:val="17365D"/>
                <w:sz w:val="18"/>
                <w:szCs w:val="18"/>
              </w:rPr>
              <w:t>5 909 028 353</w:t>
            </w:r>
          </w:p>
        </w:tc>
        <w:tc>
          <w:tcPr>
            <w:tcW w:w="767" w:type="pct"/>
            <w:gridSpan w:val="2"/>
            <w:tcBorders>
              <w:top w:val="single" w:sz="4" w:space="0" w:color="17365D"/>
              <w:left w:val="nil"/>
              <w:bottom w:val="single" w:sz="4" w:space="0" w:color="17365D"/>
              <w:right w:val="nil"/>
            </w:tcBorders>
            <w:shd w:val="clear" w:color="auto" w:fill="auto"/>
            <w:noWrap/>
            <w:vAlign w:val="center"/>
          </w:tcPr>
          <w:p w14:paraId="00CA13AA" w14:textId="5EBC33C8" w:rsidR="00681C0E" w:rsidRPr="00681C0E" w:rsidRDefault="00681C0E" w:rsidP="00681C0E">
            <w:pPr>
              <w:spacing w:after="0" w:line="240" w:lineRule="auto"/>
              <w:jc w:val="right"/>
              <w:rPr>
                <w:rFonts w:cs="Times New Roman"/>
                <w:color w:val="17365D"/>
                <w:sz w:val="18"/>
                <w:szCs w:val="18"/>
              </w:rPr>
            </w:pPr>
            <w:r w:rsidRPr="00595B48">
              <w:rPr>
                <w:rFonts w:cs="Times New Roman"/>
                <w:color w:val="17365D"/>
                <w:sz w:val="18"/>
                <w:szCs w:val="18"/>
              </w:rPr>
              <w:t>7 200 096 193</w:t>
            </w:r>
          </w:p>
        </w:tc>
        <w:tc>
          <w:tcPr>
            <w:tcW w:w="767" w:type="pct"/>
            <w:tcBorders>
              <w:top w:val="single" w:sz="4" w:space="0" w:color="17365D"/>
              <w:left w:val="nil"/>
              <w:bottom w:val="single" w:sz="4" w:space="0" w:color="17365D"/>
              <w:right w:val="nil"/>
            </w:tcBorders>
            <w:shd w:val="clear" w:color="auto" w:fill="auto"/>
            <w:noWrap/>
            <w:vAlign w:val="center"/>
          </w:tcPr>
          <w:p w14:paraId="6361192D" w14:textId="751B6974" w:rsidR="00681C0E" w:rsidRPr="00681C0E" w:rsidRDefault="00681C0E" w:rsidP="00681C0E">
            <w:pPr>
              <w:spacing w:after="0" w:line="240" w:lineRule="auto"/>
              <w:jc w:val="right"/>
              <w:rPr>
                <w:rFonts w:cs="Times New Roman"/>
                <w:color w:val="17365D"/>
                <w:sz w:val="18"/>
                <w:szCs w:val="18"/>
              </w:rPr>
            </w:pPr>
            <w:r w:rsidRPr="00595B48">
              <w:rPr>
                <w:rFonts w:cs="Times New Roman"/>
                <w:color w:val="17365D"/>
                <w:sz w:val="18"/>
                <w:szCs w:val="18"/>
              </w:rPr>
              <w:t>-1</w:t>
            </w:r>
            <w:r>
              <w:rPr>
                <w:rFonts w:cs="Times New Roman"/>
                <w:color w:val="17365D"/>
                <w:sz w:val="18"/>
                <w:szCs w:val="18"/>
              </w:rPr>
              <w:t> </w:t>
            </w:r>
            <w:r w:rsidRPr="00595B48">
              <w:rPr>
                <w:rFonts w:cs="Times New Roman"/>
                <w:color w:val="17365D"/>
                <w:sz w:val="18"/>
                <w:szCs w:val="18"/>
              </w:rPr>
              <w:t>291</w:t>
            </w:r>
            <w:r>
              <w:rPr>
                <w:rFonts w:cs="Times New Roman"/>
                <w:color w:val="17365D"/>
                <w:sz w:val="18"/>
                <w:szCs w:val="18"/>
              </w:rPr>
              <w:t> </w:t>
            </w:r>
            <w:r w:rsidRPr="00595B48">
              <w:rPr>
                <w:rFonts w:cs="Times New Roman"/>
                <w:color w:val="17365D"/>
                <w:sz w:val="18"/>
                <w:szCs w:val="18"/>
              </w:rPr>
              <w:t>067</w:t>
            </w:r>
            <w:r>
              <w:rPr>
                <w:rFonts w:cs="Times New Roman"/>
                <w:color w:val="17365D"/>
                <w:sz w:val="18"/>
                <w:szCs w:val="18"/>
              </w:rPr>
              <w:t> </w:t>
            </w:r>
            <w:r w:rsidRPr="00595B48">
              <w:rPr>
                <w:rFonts w:cs="Times New Roman"/>
                <w:color w:val="17365D"/>
                <w:sz w:val="18"/>
                <w:szCs w:val="18"/>
              </w:rPr>
              <w:t>840</w:t>
            </w:r>
          </w:p>
        </w:tc>
        <w:tc>
          <w:tcPr>
            <w:tcW w:w="696" w:type="pct"/>
            <w:tcBorders>
              <w:top w:val="single" w:sz="4" w:space="0" w:color="17365D"/>
              <w:left w:val="nil"/>
              <w:bottom w:val="single" w:sz="4" w:space="0" w:color="17365D"/>
              <w:right w:val="nil"/>
            </w:tcBorders>
            <w:shd w:val="clear" w:color="auto" w:fill="auto"/>
            <w:noWrap/>
            <w:vAlign w:val="center"/>
          </w:tcPr>
          <w:p w14:paraId="1F0FCAF0" w14:textId="37A97343" w:rsidR="00681C0E" w:rsidRPr="00681C0E" w:rsidRDefault="00681C0E" w:rsidP="00595B48">
            <w:pPr>
              <w:spacing w:after="0" w:line="240" w:lineRule="auto"/>
              <w:jc w:val="center"/>
              <w:rPr>
                <w:rFonts w:cs="Times New Roman"/>
                <w:color w:val="17365D"/>
                <w:sz w:val="18"/>
                <w:szCs w:val="18"/>
              </w:rPr>
            </w:pPr>
            <w:r w:rsidRPr="00595B48">
              <w:rPr>
                <w:rFonts w:cs="Times New Roman"/>
                <w:color w:val="17365D"/>
                <w:sz w:val="18"/>
                <w:szCs w:val="18"/>
              </w:rPr>
              <w:t>-17.93</w:t>
            </w:r>
          </w:p>
        </w:tc>
      </w:tr>
      <w:tr w:rsidR="00681C0E" w:rsidRPr="00A27896" w14:paraId="68679552" w14:textId="77777777" w:rsidTr="00595B48">
        <w:trPr>
          <w:trHeight w:val="54"/>
        </w:trPr>
        <w:tc>
          <w:tcPr>
            <w:tcW w:w="1515" w:type="pct"/>
            <w:tcBorders>
              <w:top w:val="single" w:sz="4" w:space="0" w:color="17365D"/>
              <w:bottom w:val="single" w:sz="4" w:space="0" w:color="17365D"/>
            </w:tcBorders>
            <w:shd w:val="clear" w:color="auto" w:fill="auto"/>
            <w:vAlign w:val="center"/>
            <w:hideMark/>
          </w:tcPr>
          <w:p w14:paraId="77B9FA5D" w14:textId="77777777" w:rsidR="00681C0E" w:rsidRPr="00A27896" w:rsidRDefault="00681C0E" w:rsidP="00681C0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Pārskata gada budžeta izpildes rezultāts</w:t>
            </w:r>
          </w:p>
        </w:tc>
        <w:tc>
          <w:tcPr>
            <w:tcW w:w="531" w:type="pct"/>
            <w:tcBorders>
              <w:top w:val="single" w:sz="4" w:space="0" w:color="17365D"/>
              <w:bottom w:val="single" w:sz="4" w:space="0" w:color="17365D"/>
            </w:tcBorders>
            <w:shd w:val="clear" w:color="auto" w:fill="auto"/>
            <w:noWrap/>
            <w:vAlign w:val="center"/>
            <w:hideMark/>
          </w:tcPr>
          <w:p w14:paraId="34C6C74F" w14:textId="48182AC2" w:rsidR="00681C0E" w:rsidRPr="00A27896" w:rsidRDefault="00681C0E" w:rsidP="00681C0E">
            <w:pPr>
              <w:spacing w:after="0" w:line="240" w:lineRule="auto"/>
              <w:ind w:right="-63"/>
              <w:jc w:val="center"/>
              <w:rPr>
                <w:rFonts w:eastAsia="Times New Roman" w:cs="Times New Roman"/>
                <w:color w:val="17365D"/>
                <w:sz w:val="18"/>
                <w:szCs w:val="18"/>
                <w:lang w:eastAsia="lv-LV"/>
              </w:rPr>
            </w:pPr>
            <w:r w:rsidRPr="00A27896">
              <w:rPr>
                <w:rFonts w:cs="Times New Roman"/>
                <w:color w:val="17365D"/>
                <w:sz w:val="18"/>
                <w:szCs w:val="18"/>
              </w:rPr>
              <w:t>KB.3.5.2.</w:t>
            </w:r>
          </w:p>
        </w:tc>
        <w:tc>
          <w:tcPr>
            <w:tcW w:w="724" w:type="pct"/>
            <w:tcBorders>
              <w:top w:val="single" w:sz="4" w:space="0" w:color="17365D"/>
              <w:left w:val="nil"/>
              <w:bottom w:val="single" w:sz="4" w:space="0" w:color="17365D"/>
              <w:right w:val="nil"/>
            </w:tcBorders>
            <w:shd w:val="clear" w:color="auto" w:fill="auto"/>
            <w:noWrap/>
            <w:vAlign w:val="center"/>
          </w:tcPr>
          <w:p w14:paraId="48D8EF8D" w14:textId="7AB7AF5F" w:rsidR="00681C0E" w:rsidRPr="00681C0E" w:rsidRDefault="00681C0E" w:rsidP="00681C0E">
            <w:pPr>
              <w:spacing w:after="0" w:line="240" w:lineRule="auto"/>
              <w:jc w:val="right"/>
              <w:rPr>
                <w:rFonts w:cs="Times New Roman"/>
                <w:color w:val="17365D"/>
                <w:sz w:val="18"/>
                <w:szCs w:val="18"/>
              </w:rPr>
            </w:pPr>
            <w:r w:rsidRPr="00595B48">
              <w:rPr>
                <w:rFonts w:cs="Times New Roman"/>
                <w:color w:val="17365D"/>
                <w:sz w:val="18"/>
                <w:szCs w:val="18"/>
              </w:rPr>
              <w:t>523 602 710</w:t>
            </w:r>
          </w:p>
        </w:tc>
        <w:tc>
          <w:tcPr>
            <w:tcW w:w="767" w:type="pct"/>
            <w:gridSpan w:val="2"/>
            <w:tcBorders>
              <w:top w:val="single" w:sz="4" w:space="0" w:color="17365D"/>
              <w:left w:val="nil"/>
              <w:bottom w:val="single" w:sz="4" w:space="0" w:color="17365D"/>
              <w:right w:val="nil"/>
            </w:tcBorders>
            <w:shd w:val="clear" w:color="auto" w:fill="auto"/>
            <w:noWrap/>
            <w:vAlign w:val="center"/>
          </w:tcPr>
          <w:p w14:paraId="456AC37F" w14:textId="73CFCE23" w:rsidR="00681C0E" w:rsidRPr="00681C0E" w:rsidRDefault="00681C0E" w:rsidP="00681C0E">
            <w:pPr>
              <w:spacing w:after="0" w:line="240" w:lineRule="auto"/>
              <w:jc w:val="right"/>
              <w:rPr>
                <w:rFonts w:cs="Times New Roman"/>
                <w:color w:val="17365D"/>
                <w:sz w:val="18"/>
                <w:szCs w:val="18"/>
              </w:rPr>
            </w:pPr>
            <w:r w:rsidRPr="00595B48">
              <w:rPr>
                <w:rFonts w:cs="Times New Roman"/>
                <w:color w:val="17365D"/>
                <w:sz w:val="18"/>
                <w:szCs w:val="18"/>
              </w:rPr>
              <w:t>-1 291 067 840</w:t>
            </w:r>
          </w:p>
        </w:tc>
        <w:tc>
          <w:tcPr>
            <w:tcW w:w="767" w:type="pct"/>
            <w:tcBorders>
              <w:top w:val="single" w:sz="4" w:space="0" w:color="17365D"/>
              <w:left w:val="nil"/>
              <w:bottom w:val="single" w:sz="4" w:space="0" w:color="17365D"/>
              <w:right w:val="nil"/>
            </w:tcBorders>
            <w:shd w:val="clear" w:color="auto" w:fill="auto"/>
            <w:noWrap/>
            <w:vAlign w:val="center"/>
          </w:tcPr>
          <w:p w14:paraId="2BDABFB9" w14:textId="06241406" w:rsidR="00681C0E" w:rsidRPr="00681C0E" w:rsidRDefault="00681C0E" w:rsidP="00681C0E">
            <w:pPr>
              <w:spacing w:after="0" w:line="240" w:lineRule="auto"/>
              <w:jc w:val="right"/>
              <w:rPr>
                <w:rFonts w:cs="Times New Roman"/>
                <w:color w:val="17365D"/>
                <w:sz w:val="18"/>
                <w:szCs w:val="18"/>
              </w:rPr>
            </w:pPr>
            <w:r w:rsidRPr="00595B48">
              <w:rPr>
                <w:rFonts w:cs="Times New Roman"/>
                <w:color w:val="17365D"/>
                <w:sz w:val="18"/>
                <w:szCs w:val="18"/>
              </w:rPr>
              <w:t>1</w:t>
            </w:r>
            <w:r>
              <w:rPr>
                <w:rFonts w:cs="Times New Roman"/>
                <w:color w:val="17365D"/>
                <w:sz w:val="18"/>
                <w:szCs w:val="18"/>
              </w:rPr>
              <w:t> </w:t>
            </w:r>
            <w:r w:rsidRPr="00595B48">
              <w:rPr>
                <w:rFonts w:cs="Times New Roman"/>
                <w:color w:val="17365D"/>
                <w:sz w:val="18"/>
                <w:szCs w:val="18"/>
              </w:rPr>
              <w:t>814</w:t>
            </w:r>
            <w:r>
              <w:rPr>
                <w:rFonts w:cs="Times New Roman"/>
                <w:color w:val="17365D"/>
                <w:sz w:val="18"/>
                <w:szCs w:val="18"/>
              </w:rPr>
              <w:t> </w:t>
            </w:r>
            <w:r w:rsidRPr="00595B48">
              <w:rPr>
                <w:rFonts w:cs="Times New Roman"/>
                <w:color w:val="17365D"/>
                <w:sz w:val="18"/>
                <w:szCs w:val="18"/>
              </w:rPr>
              <w:t>670</w:t>
            </w:r>
            <w:r>
              <w:rPr>
                <w:rFonts w:cs="Times New Roman"/>
                <w:color w:val="17365D"/>
                <w:sz w:val="18"/>
                <w:szCs w:val="18"/>
              </w:rPr>
              <w:t> </w:t>
            </w:r>
            <w:r w:rsidRPr="00595B48">
              <w:rPr>
                <w:rFonts w:cs="Times New Roman"/>
                <w:color w:val="17365D"/>
                <w:sz w:val="18"/>
                <w:szCs w:val="18"/>
              </w:rPr>
              <w:t>550</w:t>
            </w:r>
          </w:p>
        </w:tc>
        <w:tc>
          <w:tcPr>
            <w:tcW w:w="696" w:type="pct"/>
            <w:tcBorders>
              <w:top w:val="single" w:sz="4" w:space="0" w:color="17365D"/>
              <w:left w:val="nil"/>
              <w:bottom w:val="single" w:sz="4" w:space="0" w:color="17365D"/>
              <w:right w:val="nil"/>
            </w:tcBorders>
            <w:shd w:val="clear" w:color="auto" w:fill="auto"/>
            <w:noWrap/>
            <w:vAlign w:val="center"/>
          </w:tcPr>
          <w:p w14:paraId="01F9D4DB" w14:textId="3120CEAC" w:rsidR="00681C0E" w:rsidRPr="00681C0E" w:rsidRDefault="00681C0E" w:rsidP="00595B48">
            <w:pPr>
              <w:spacing w:after="0" w:line="240" w:lineRule="auto"/>
              <w:jc w:val="center"/>
              <w:rPr>
                <w:rFonts w:cs="Times New Roman"/>
                <w:color w:val="17365D"/>
                <w:sz w:val="18"/>
                <w:szCs w:val="18"/>
              </w:rPr>
            </w:pPr>
            <w:r w:rsidRPr="00595B48">
              <w:rPr>
                <w:rFonts w:cs="Times New Roman"/>
                <w:color w:val="17365D"/>
                <w:sz w:val="18"/>
                <w:szCs w:val="18"/>
              </w:rPr>
              <w:t>-140.56</w:t>
            </w:r>
          </w:p>
        </w:tc>
      </w:tr>
      <w:tr w:rsidR="000C1009" w:rsidRPr="00A27896" w14:paraId="3BE54373" w14:textId="77777777" w:rsidTr="00821FBA">
        <w:trPr>
          <w:trHeight w:val="176"/>
        </w:trPr>
        <w:tc>
          <w:tcPr>
            <w:tcW w:w="1515" w:type="pct"/>
            <w:tcBorders>
              <w:top w:val="single" w:sz="4" w:space="0" w:color="17365D"/>
            </w:tcBorders>
            <w:shd w:val="clear" w:color="auto" w:fill="B9CDE5"/>
            <w:vAlign w:val="bottom"/>
          </w:tcPr>
          <w:p w14:paraId="68D85ABB" w14:textId="77777777" w:rsidR="007269C2" w:rsidRPr="00A27896" w:rsidRDefault="007269C2" w:rsidP="001A3C50">
            <w:pPr>
              <w:spacing w:after="0"/>
              <w:rPr>
                <w:rFonts w:eastAsia="Times New Roman" w:cs="Times New Roman"/>
                <w:color w:val="17365D"/>
                <w:sz w:val="18"/>
                <w:szCs w:val="18"/>
                <w:lang w:eastAsia="lv-LV"/>
              </w:rPr>
            </w:pPr>
          </w:p>
        </w:tc>
        <w:tc>
          <w:tcPr>
            <w:tcW w:w="1255" w:type="pct"/>
            <w:gridSpan w:val="2"/>
            <w:tcBorders>
              <w:top w:val="single" w:sz="4" w:space="0" w:color="17365D"/>
            </w:tcBorders>
            <w:shd w:val="clear" w:color="auto" w:fill="B9CDE5"/>
            <w:noWrap/>
            <w:vAlign w:val="bottom"/>
          </w:tcPr>
          <w:p w14:paraId="4202CA54" w14:textId="77777777" w:rsidR="007269C2" w:rsidRPr="00A27896" w:rsidRDefault="007269C2" w:rsidP="001A3C50">
            <w:pPr>
              <w:spacing w:after="0"/>
              <w:jc w:val="right"/>
              <w:rPr>
                <w:rFonts w:cs="Times New Roman"/>
                <w:color w:val="17365D"/>
                <w:sz w:val="18"/>
                <w:szCs w:val="18"/>
              </w:rPr>
            </w:pPr>
          </w:p>
        </w:tc>
        <w:tc>
          <w:tcPr>
            <w:tcW w:w="494" w:type="pct"/>
            <w:tcBorders>
              <w:top w:val="single" w:sz="4" w:space="0" w:color="17365D"/>
            </w:tcBorders>
            <w:shd w:val="clear" w:color="auto" w:fill="B9CDE5"/>
            <w:noWrap/>
            <w:vAlign w:val="bottom"/>
          </w:tcPr>
          <w:p w14:paraId="0018C300" w14:textId="77777777" w:rsidR="007269C2" w:rsidRPr="00A27896" w:rsidRDefault="007269C2" w:rsidP="001A3C50">
            <w:pPr>
              <w:spacing w:after="0"/>
              <w:jc w:val="right"/>
              <w:rPr>
                <w:rFonts w:cs="Times New Roman"/>
                <w:color w:val="17365D"/>
                <w:sz w:val="18"/>
                <w:szCs w:val="18"/>
              </w:rPr>
            </w:pPr>
          </w:p>
        </w:tc>
        <w:tc>
          <w:tcPr>
            <w:tcW w:w="1040" w:type="pct"/>
            <w:gridSpan w:val="2"/>
            <w:tcBorders>
              <w:top w:val="single" w:sz="4" w:space="0" w:color="17365D"/>
            </w:tcBorders>
            <w:shd w:val="clear" w:color="auto" w:fill="B9CDE5"/>
            <w:noWrap/>
            <w:vAlign w:val="bottom"/>
          </w:tcPr>
          <w:p w14:paraId="50FD793E" w14:textId="77777777" w:rsidR="007269C2" w:rsidRPr="00A27896" w:rsidRDefault="007269C2" w:rsidP="001A3C50">
            <w:pPr>
              <w:spacing w:after="0"/>
              <w:jc w:val="right"/>
              <w:rPr>
                <w:rFonts w:cs="Times New Roman"/>
                <w:color w:val="17365D"/>
                <w:sz w:val="18"/>
                <w:szCs w:val="18"/>
              </w:rPr>
            </w:pPr>
          </w:p>
        </w:tc>
        <w:tc>
          <w:tcPr>
            <w:tcW w:w="696" w:type="pct"/>
            <w:tcBorders>
              <w:top w:val="single" w:sz="4" w:space="0" w:color="17365D"/>
            </w:tcBorders>
            <w:shd w:val="clear" w:color="auto" w:fill="B9CDE5"/>
            <w:noWrap/>
            <w:vAlign w:val="bottom"/>
          </w:tcPr>
          <w:p w14:paraId="272119BE" w14:textId="77777777" w:rsidR="007269C2" w:rsidRPr="00A27896" w:rsidRDefault="007269C2" w:rsidP="001A3C50">
            <w:pPr>
              <w:spacing w:after="0"/>
              <w:jc w:val="right"/>
              <w:rPr>
                <w:rFonts w:cs="Times New Roman"/>
                <w:color w:val="17365D"/>
                <w:sz w:val="18"/>
                <w:szCs w:val="18"/>
              </w:rPr>
            </w:pPr>
          </w:p>
        </w:tc>
      </w:tr>
    </w:tbl>
    <w:p w14:paraId="309B060F" w14:textId="61E61D42" w:rsidR="00F71D94" w:rsidRPr="00A27896" w:rsidRDefault="00F71D94" w:rsidP="00F71D94">
      <w:pPr>
        <w:pStyle w:val="Heading5"/>
        <w:rPr>
          <w:rFonts w:cs="Times New Roman"/>
        </w:rPr>
      </w:pPr>
      <w:r w:rsidRPr="00A27896">
        <w:rPr>
          <w:rFonts w:cs="Times New Roman"/>
        </w:rPr>
        <w:t>Piezīme Nr. KB.3.5.1. Iepriekšējo pārskata gadu budžeta izpildes rezultāts</w:t>
      </w:r>
    </w:p>
    <w:p w14:paraId="5ADD2648" w14:textId="76A3E035" w:rsidR="00F71D94" w:rsidRPr="00A27896" w:rsidRDefault="00F71D94" w:rsidP="00F71D94">
      <w:pPr>
        <w:pStyle w:val="Pamatteksts"/>
        <w:ind w:firstLine="284"/>
        <w:rPr>
          <w:rFonts w:eastAsiaTheme="minorHAnsi"/>
          <w:noProof w:val="0"/>
          <w:color w:val="17365D"/>
          <w:szCs w:val="22"/>
          <w:lang w:eastAsia="en-US"/>
        </w:rPr>
      </w:pPr>
      <w:r w:rsidRPr="00A27896">
        <w:rPr>
          <w:rFonts w:eastAsiaTheme="minorHAnsi"/>
          <w:noProof w:val="0"/>
          <w:color w:val="17365D"/>
          <w:szCs w:val="22"/>
          <w:lang w:eastAsia="en-US"/>
        </w:rPr>
        <w:t>Iepriekšējo pārskata gadu budžeta izpildes rezultāta izmaiņas ietekmē samazinājums valsts budžeta finanšu uzskaitē (2 475 405 521)</w:t>
      </w:r>
      <w:r w:rsidRPr="00A27896">
        <w:rPr>
          <w:rFonts w:eastAsiaTheme="minorHAnsi"/>
          <w:i/>
          <w:noProof w:val="0"/>
          <w:color w:val="17365D"/>
          <w:szCs w:val="22"/>
          <w:lang w:eastAsia="en-US"/>
        </w:rPr>
        <w:t xml:space="preserve"> </w:t>
      </w:r>
      <w:proofErr w:type="spellStart"/>
      <w:r w:rsidRPr="00A27896">
        <w:rPr>
          <w:rFonts w:eastAsiaTheme="minorHAnsi"/>
          <w:i/>
          <w:noProof w:val="0"/>
          <w:color w:val="17365D"/>
          <w:szCs w:val="22"/>
          <w:lang w:eastAsia="en-US"/>
        </w:rPr>
        <w:t>euro</w:t>
      </w:r>
      <w:proofErr w:type="spellEnd"/>
      <w:r w:rsidRPr="00A27896">
        <w:rPr>
          <w:rFonts w:eastAsiaTheme="minorHAnsi"/>
          <w:i/>
          <w:noProof w:val="0"/>
          <w:color w:val="17365D"/>
          <w:szCs w:val="22"/>
          <w:lang w:eastAsia="en-US"/>
        </w:rPr>
        <w:t>,</w:t>
      </w:r>
      <w:r w:rsidRPr="00A27896">
        <w:rPr>
          <w:rFonts w:eastAsiaTheme="minorHAnsi"/>
          <w:noProof w:val="0"/>
          <w:color w:val="17365D"/>
          <w:szCs w:val="22"/>
          <w:lang w:eastAsia="en-US"/>
        </w:rPr>
        <w:t xml:space="preserve"> pārnesot 2021. gada budžeta izpildes rezultātu uz iepriekšējā pārskata gada budžeta izpildes rezultātu.</w:t>
      </w:r>
    </w:p>
    <w:p w14:paraId="0E546666" w14:textId="3B3CDD6C" w:rsidR="004F4916" w:rsidRPr="00A27896" w:rsidRDefault="00BB2FAA" w:rsidP="004F4916">
      <w:pPr>
        <w:pStyle w:val="Heading5"/>
        <w:rPr>
          <w:rFonts w:cs="Times New Roman"/>
        </w:rPr>
      </w:pPr>
      <w:r w:rsidRPr="00A27896">
        <w:rPr>
          <w:rFonts w:cs="Times New Roman"/>
        </w:rPr>
        <w:t>Piezīme Nr. KB.</w:t>
      </w:r>
      <w:r w:rsidR="005F1199" w:rsidRPr="00A27896">
        <w:rPr>
          <w:rFonts w:cs="Times New Roman"/>
        </w:rPr>
        <w:t>3</w:t>
      </w:r>
      <w:r w:rsidRPr="00A27896">
        <w:rPr>
          <w:rFonts w:cs="Times New Roman"/>
        </w:rPr>
        <w:t>.</w:t>
      </w:r>
      <w:r w:rsidR="00F73CE6" w:rsidRPr="00A27896">
        <w:rPr>
          <w:rFonts w:cs="Times New Roman"/>
        </w:rPr>
        <w:t>5.</w:t>
      </w:r>
      <w:r w:rsidR="00F71D94" w:rsidRPr="00A27896">
        <w:rPr>
          <w:rFonts w:cs="Times New Roman"/>
        </w:rPr>
        <w:t>2</w:t>
      </w:r>
      <w:r w:rsidRPr="00A27896">
        <w:rPr>
          <w:rFonts w:cs="Times New Roman"/>
        </w:rPr>
        <w:t xml:space="preserve">. </w:t>
      </w:r>
      <w:r w:rsidR="004F4916" w:rsidRPr="00A27896">
        <w:rPr>
          <w:rFonts w:cs="Times New Roman"/>
        </w:rPr>
        <w:t>Pārskata gada budžeta izpildes rezultāts</w:t>
      </w:r>
    </w:p>
    <w:p w14:paraId="317E9F28" w14:textId="17E9FB5C" w:rsidR="0016204A" w:rsidRPr="00A27896" w:rsidRDefault="00A32977" w:rsidP="00AD345F">
      <w:pPr>
        <w:spacing w:after="120" w:line="240" w:lineRule="auto"/>
        <w:ind w:firstLine="284"/>
        <w:jc w:val="both"/>
        <w:rPr>
          <w:rFonts w:cs="Times New Roman"/>
          <w:color w:val="17365D"/>
        </w:rPr>
      </w:pPr>
      <w:r w:rsidRPr="00A27896">
        <w:rPr>
          <w:rFonts w:cs="Times New Roman"/>
          <w:color w:val="17365D"/>
        </w:rPr>
        <w:t xml:space="preserve">Pārskata gada budžeta izpildes rezultāta izmaiņas </w:t>
      </w:r>
      <w:r w:rsidR="00FE7572" w:rsidRPr="00A27896">
        <w:rPr>
          <w:rFonts w:cs="Times New Roman"/>
          <w:color w:val="17365D"/>
        </w:rPr>
        <w:t xml:space="preserve">saskaņā ar ministriju un pašvaldību sniegto informāciju </w:t>
      </w:r>
      <w:r w:rsidR="00586499" w:rsidRPr="00A27896">
        <w:rPr>
          <w:rFonts w:cs="Times New Roman"/>
          <w:color w:val="17365D"/>
        </w:rPr>
        <w:t xml:space="preserve">galvenokārt </w:t>
      </w:r>
      <w:r w:rsidRPr="00A27896">
        <w:rPr>
          <w:rFonts w:cs="Times New Roman"/>
          <w:color w:val="17365D"/>
        </w:rPr>
        <w:t xml:space="preserve">ietekmēja </w:t>
      </w:r>
      <w:r w:rsidR="00B57117" w:rsidRPr="00A27896">
        <w:rPr>
          <w:rFonts w:cs="Times New Roman"/>
          <w:color w:val="17365D"/>
        </w:rPr>
        <w:t>palielinājums Aizsardzības ministrijai par atzītiem ieņēmumiem no uzkrājumu samazināšanas izdienas pensijām, pabalstiem un nākotnes saistībām</w:t>
      </w:r>
      <w:r w:rsidR="00B57117" w:rsidRPr="00A27896">
        <w:rPr>
          <w:rFonts w:cs="Times New Roman"/>
          <w:i/>
          <w:color w:val="17365D"/>
        </w:rPr>
        <w:t xml:space="preserve"> </w:t>
      </w:r>
      <w:r w:rsidR="00B57117" w:rsidRPr="00A27896">
        <w:rPr>
          <w:rFonts w:cs="Times New Roman"/>
          <w:color w:val="17365D"/>
        </w:rPr>
        <w:t>632 736 324</w:t>
      </w:r>
      <w:r w:rsidR="00B57117" w:rsidRPr="00A27896">
        <w:rPr>
          <w:rFonts w:cs="Times New Roman"/>
          <w:i/>
          <w:color w:val="17365D"/>
        </w:rPr>
        <w:t xml:space="preserve"> </w:t>
      </w:r>
      <w:proofErr w:type="spellStart"/>
      <w:r w:rsidR="00586499" w:rsidRPr="00A27896">
        <w:rPr>
          <w:rFonts w:cs="Times New Roman"/>
          <w:i/>
          <w:color w:val="17365D"/>
        </w:rPr>
        <w:t>euro</w:t>
      </w:r>
      <w:proofErr w:type="spellEnd"/>
      <w:r w:rsidR="00586499" w:rsidRPr="00A27896">
        <w:rPr>
          <w:rFonts w:cs="Times New Roman"/>
          <w:color w:val="17365D"/>
        </w:rPr>
        <w:t xml:space="preserve">, </w:t>
      </w:r>
      <w:proofErr w:type="spellStart"/>
      <w:r w:rsidR="003D13B0" w:rsidRPr="00A27896">
        <w:rPr>
          <w:rFonts w:cs="Times New Roman"/>
          <w:color w:val="17365D"/>
        </w:rPr>
        <w:t>Iekšlietu</w:t>
      </w:r>
      <w:proofErr w:type="spellEnd"/>
      <w:r w:rsidR="003D13B0" w:rsidRPr="00A27896">
        <w:rPr>
          <w:rFonts w:cs="Times New Roman"/>
          <w:color w:val="17365D"/>
        </w:rPr>
        <w:t xml:space="preserve"> ministrijai </w:t>
      </w:r>
      <w:r w:rsidR="00B57117" w:rsidRPr="00A27896">
        <w:rPr>
          <w:rFonts w:cs="Times New Roman"/>
          <w:color w:val="17365D"/>
        </w:rPr>
        <w:t>323 479 023</w:t>
      </w:r>
      <w:r w:rsidR="00B57117" w:rsidRPr="00A27896">
        <w:rPr>
          <w:rFonts w:cs="Times New Roman"/>
          <w:color w:val="17365D"/>
        </w:rPr>
        <w:tab/>
      </w:r>
      <w:proofErr w:type="spellStart"/>
      <w:r w:rsidR="003D13B0" w:rsidRPr="00A27896">
        <w:rPr>
          <w:rFonts w:cs="Times New Roman"/>
          <w:i/>
          <w:color w:val="17365D"/>
        </w:rPr>
        <w:t>euro</w:t>
      </w:r>
      <w:proofErr w:type="spellEnd"/>
      <w:r w:rsidR="00B57117" w:rsidRPr="00A27896">
        <w:rPr>
          <w:rFonts w:cs="Times New Roman"/>
          <w:i/>
          <w:color w:val="17365D"/>
        </w:rPr>
        <w:t xml:space="preserve"> </w:t>
      </w:r>
      <w:r w:rsidR="00B57117" w:rsidRPr="00A27896">
        <w:rPr>
          <w:rFonts w:cs="Times New Roman"/>
          <w:color w:val="17365D"/>
        </w:rPr>
        <w:t xml:space="preserve">par atzītiem ieņēmumiem no uzkrājumiem izdienas pensijām, izdienas pabalstiem un bijušajiem nodarbinātajiem par kaitējuma atlīdzību un samazinājums Satiksmes ministrijai par ilgtermiņa finanšu ieguldījumu pārvērtēšanu un vērtības samazinājumu, kā arī </w:t>
      </w:r>
      <w:proofErr w:type="spellStart"/>
      <w:r w:rsidR="00B57117" w:rsidRPr="00A27896">
        <w:rPr>
          <w:rFonts w:cs="Times New Roman"/>
          <w:color w:val="17365D"/>
        </w:rPr>
        <w:t>RailBaltica</w:t>
      </w:r>
      <w:proofErr w:type="spellEnd"/>
      <w:r w:rsidR="00B57117" w:rsidRPr="00A27896">
        <w:rPr>
          <w:rFonts w:cs="Times New Roman"/>
          <w:color w:val="17365D"/>
        </w:rPr>
        <w:t xml:space="preserve"> projekta īstenošanu</w:t>
      </w:r>
      <w:r w:rsidR="00A211EF" w:rsidRPr="00A27896">
        <w:rPr>
          <w:rFonts w:cs="Times New Roman"/>
          <w:color w:val="17365D"/>
        </w:rPr>
        <w:t xml:space="preserve"> (</w:t>
      </w:r>
      <w:r w:rsidR="00B57117" w:rsidRPr="00A27896">
        <w:rPr>
          <w:rFonts w:cs="Times New Roman"/>
          <w:color w:val="17365D"/>
        </w:rPr>
        <w:t>458 608 531</w:t>
      </w:r>
      <w:r w:rsidR="00A211EF" w:rsidRPr="00A27896">
        <w:rPr>
          <w:rFonts w:cs="Times New Roman"/>
          <w:color w:val="17365D"/>
        </w:rPr>
        <w:t>)</w:t>
      </w:r>
      <w:r w:rsidR="00B57117" w:rsidRPr="00A27896">
        <w:rPr>
          <w:rFonts w:cs="Times New Roman"/>
          <w:i/>
          <w:color w:val="17365D"/>
        </w:rPr>
        <w:t xml:space="preserve"> </w:t>
      </w:r>
      <w:proofErr w:type="spellStart"/>
      <w:r w:rsidR="00B57117" w:rsidRPr="00A27896">
        <w:rPr>
          <w:rFonts w:cs="Times New Roman"/>
          <w:i/>
          <w:color w:val="17365D"/>
        </w:rPr>
        <w:t>euro</w:t>
      </w:r>
      <w:proofErr w:type="spellEnd"/>
      <w:r w:rsidR="00A211EF" w:rsidRPr="00A27896">
        <w:rPr>
          <w:rFonts w:cs="Times New Roman"/>
          <w:color w:val="17365D"/>
        </w:rPr>
        <w:t>.</w:t>
      </w:r>
    </w:p>
    <w:p w14:paraId="55769D69" w14:textId="68CA2E20" w:rsidR="00B57117" w:rsidRPr="00A27896" w:rsidRDefault="00B57117" w:rsidP="00AD345F">
      <w:pPr>
        <w:spacing w:after="120" w:line="240" w:lineRule="auto"/>
        <w:ind w:firstLine="284"/>
        <w:jc w:val="both"/>
        <w:rPr>
          <w:rFonts w:cs="Times New Roman"/>
          <w:color w:val="17365D"/>
          <w:highlight w:val="yellow"/>
        </w:rPr>
      </w:pPr>
      <w:r w:rsidRPr="00A27896">
        <w:rPr>
          <w:rFonts w:cs="Times New Roman"/>
          <w:color w:val="17365D"/>
        </w:rPr>
        <w:t xml:space="preserve">VID administrēto valsts budžeta ieņēmumu uzskaitē lielāko palielinājumu veido ieņēmumu pieaugums par pievienotās vērtības nodokli </w:t>
      </w:r>
      <w:r w:rsidR="00507311" w:rsidRPr="00507311">
        <w:rPr>
          <w:rFonts w:cs="Times New Roman"/>
          <w:color w:val="17365D"/>
        </w:rPr>
        <w:t>904</w:t>
      </w:r>
      <w:r w:rsidR="00507311">
        <w:rPr>
          <w:rFonts w:cs="Times New Roman"/>
          <w:color w:val="17365D"/>
        </w:rPr>
        <w:t> </w:t>
      </w:r>
      <w:r w:rsidR="00507311" w:rsidRPr="00507311">
        <w:rPr>
          <w:rFonts w:cs="Times New Roman"/>
          <w:color w:val="17365D"/>
        </w:rPr>
        <w:t>967</w:t>
      </w:r>
      <w:r w:rsidR="00507311">
        <w:rPr>
          <w:rFonts w:cs="Times New Roman"/>
          <w:color w:val="17365D"/>
        </w:rPr>
        <w:t> </w:t>
      </w:r>
      <w:r w:rsidR="00507311" w:rsidRPr="00507311">
        <w:rPr>
          <w:rFonts w:cs="Times New Roman"/>
          <w:color w:val="17365D"/>
        </w:rPr>
        <w:t>169</w:t>
      </w:r>
      <w:r w:rsidR="00507311">
        <w:rPr>
          <w:rFonts w:cs="Times New Roman"/>
          <w:color w:val="17365D"/>
        </w:rPr>
        <w:t xml:space="preserve"> </w:t>
      </w:r>
      <w:proofErr w:type="spellStart"/>
      <w:r w:rsidRPr="00A27896">
        <w:rPr>
          <w:rFonts w:cs="Times New Roman"/>
          <w:i/>
          <w:color w:val="17365D"/>
        </w:rPr>
        <w:t>euro</w:t>
      </w:r>
      <w:proofErr w:type="spellEnd"/>
      <w:r w:rsidRPr="00A27896">
        <w:rPr>
          <w:rFonts w:cs="Times New Roman"/>
          <w:i/>
          <w:color w:val="17365D"/>
        </w:rPr>
        <w:t>.</w:t>
      </w:r>
    </w:p>
    <w:p w14:paraId="22570E99" w14:textId="5DF89193" w:rsidR="00AD345F" w:rsidRPr="00A27896" w:rsidRDefault="00AD345F" w:rsidP="00AD345F">
      <w:pPr>
        <w:spacing w:after="120" w:line="240" w:lineRule="auto"/>
        <w:ind w:firstLine="284"/>
        <w:jc w:val="both"/>
        <w:rPr>
          <w:rFonts w:cs="Times New Roman"/>
          <w:color w:val="17365D"/>
        </w:rPr>
      </w:pPr>
      <w:r w:rsidRPr="00A27896">
        <w:rPr>
          <w:rFonts w:cs="Times New Roman"/>
          <w:color w:val="17365D"/>
        </w:rPr>
        <w:t>Detalizēta informācija par bilances posteni “Pārskata gada budže</w:t>
      </w:r>
      <w:r w:rsidR="00EC0844" w:rsidRPr="00A27896">
        <w:rPr>
          <w:rFonts w:cs="Times New Roman"/>
          <w:color w:val="17365D"/>
        </w:rPr>
        <w:t>ta izpildes rezultāts” sniegta K</w:t>
      </w:r>
      <w:r w:rsidRPr="00A27896">
        <w:rPr>
          <w:rFonts w:cs="Times New Roman"/>
          <w:color w:val="17365D"/>
        </w:rPr>
        <w:t xml:space="preserve">onsolidētajā </w:t>
      </w:r>
      <w:r w:rsidR="00CD31A8" w:rsidRPr="00A27896">
        <w:rPr>
          <w:rFonts w:cs="Times New Roman"/>
          <w:color w:val="17365D"/>
        </w:rPr>
        <w:t>pārskatā par darb</w:t>
      </w:r>
      <w:r w:rsidR="00876FDF" w:rsidRPr="00A27896">
        <w:rPr>
          <w:rFonts w:cs="Times New Roman"/>
          <w:color w:val="17365D"/>
        </w:rPr>
        <w:t>ības finansiālajiem rezultātiem.</w:t>
      </w:r>
    </w:p>
    <w:p w14:paraId="23F5AB04" w14:textId="5C63D994" w:rsidR="00934C2E" w:rsidRDefault="00934C2E" w:rsidP="00AD345F">
      <w:pPr>
        <w:spacing w:after="120" w:line="240" w:lineRule="auto"/>
        <w:ind w:firstLine="284"/>
        <w:jc w:val="both"/>
        <w:rPr>
          <w:rFonts w:cs="Times New Roman"/>
          <w:color w:val="17365D"/>
        </w:rPr>
      </w:pPr>
    </w:p>
    <w:p w14:paraId="7D9EE0A6" w14:textId="77777777" w:rsidR="00000E17" w:rsidRPr="00A27896" w:rsidRDefault="00000E17" w:rsidP="00AD345F">
      <w:pPr>
        <w:spacing w:after="120" w:line="240" w:lineRule="auto"/>
        <w:ind w:firstLine="284"/>
        <w:jc w:val="both"/>
        <w:rPr>
          <w:rFonts w:cs="Times New Roman"/>
          <w:color w:val="17365D"/>
        </w:rPr>
      </w:pPr>
    </w:p>
    <w:p w14:paraId="602F27CA" w14:textId="76BC58FB" w:rsidR="0099128A" w:rsidRPr="00A27896" w:rsidRDefault="00F9244C" w:rsidP="005A3758">
      <w:pPr>
        <w:pStyle w:val="Heading4"/>
        <w:rPr>
          <w:rFonts w:cs="Times New Roman"/>
        </w:rPr>
      </w:pPr>
      <w:r w:rsidRPr="00A27896">
        <w:rPr>
          <w:rFonts w:cs="Times New Roman"/>
        </w:rPr>
        <w:lastRenderedPageBreak/>
        <w:t>Piezīme Nr. KB.</w:t>
      </w:r>
      <w:r w:rsidR="005F1199" w:rsidRPr="00A27896">
        <w:rPr>
          <w:rFonts w:cs="Times New Roman"/>
        </w:rPr>
        <w:t>4</w:t>
      </w:r>
      <w:r w:rsidRPr="00A27896">
        <w:rPr>
          <w:rFonts w:cs="Times New Roman"/>
        </w:rPr>
        <w:t>. Uzkrājumi</w:t>
      </w:r>
    </w:p>
    <w:p w14:paraId="0C166427" w14:textId="173BBDFD" w:rsidR="0026661F" w:rsidRPr="00A27896" w:rsidRDefault="00A50625" w:rsidP="00987D7D">
      <w:pPr>
        <w:pStyle w:val="Tabulasnosaukums1"/>
        <w:spacing w:before="120" w:line="240" w:lineRule="auto"/>
        <w:rPr>
          <w:rFonts w:cs="Times New Roman"/>
          <w:i/>
          <w:color w:val="17365D"/>
          <w:szCs w:val="20"/>
        </w:rPr>
      </w:pPr>
      <w:r w:rsidRPr="00A27896">
        <w:rPr>
          <w:rFonts w:cs="Times New Roman"/>
          <w:bCs/>
          <w:color w:val="17365D"/>
          <w:sz w:val="24"/>
          <w:szCs w:val="22"/>
        </w:rPr>
        <w:tab/>
      </w:r>
      <w:r w:rsidR="00B57117" w:rsidRPr="00A27896">
        <w:rPr>
          <w:rFonts w:cs="Times New Roman"/>
          <w:i/>
          <w:color w:val="17365D"/>
          <w:szCs w:val="20"/>
        </w:rPr>
        <w:t>19</w:t>
      </w:r>
      <w:r w:rsidR="0026661F" w:rsidRPr="00A27896">
        <w:rPr>
          <w:rFonts w:cs="Times New Roman"/>
          <w:i/>
          <w:color w:val="17365D"/>
          <w:szCs w:val="20"/>
        </w:rPr>
        <w:t xml:space="preserve">. tabula. </w:t>
      </w:r>
      <w:r w:rsidR="0070137D" w:rsidRPr="00A27896">
        <w:rPr>
          <w:rFonts w:cs="Times New Roman"/>
          <w:i/>
          <w:color w:val="17365D"/>
          <w:szCs w:val="20"/>
        </w:rPr>
        <w:t>Uzkrājumi</w:t>
      </w:r>
      <w:r w:rsidR="0026661F" w:rsidRPr="00A27896">
        <w:rPr>
          <w:rFonts w:cs="Times New Roman"/>
          <w:i/>
          <w:color w:val="17365D"/>
          <w:szCs w:val="20"/>
        </w:rPr>
        <w:t xml:space="preserve"> (</w:t>
      </w:r>
      <w:proofErr w:type="spellStart"/>
      <w:r w:rsidR="0026661F" w:rsidRPr="00A27896">
        <w:rPr>
          <w:rFonts w:cs="Times New Roman"/>
          <w:i/>
          <w:color w:val="17365D"/>
          <w:szCs w:val="20"/>
        </w:rPr>
        <w:t>euro</w:t>
      </w:r>
      <w:proofErr w:type="spellEnd"/>
      <w:r w:rsidR="0026661F" w:rsidRPr="00A27896">
        <w:rPr>
          <w:rFonts w:cs="Times New Roman"/>
          <w:i/>
          <w:color w:val="17365D"/>
          <w:szCs w:val="20"/>
        </w:rPr>
        <w:t>)</w:t>
      </w:r>
    </w:p>
    <w:tbl>
      <w:tblPr>
        <w:tblW w:w="4962" w:type="pct"/>
        <w:jc w:val="center"/>
        <w:tblLayout w:type="fixed"/>
        <w:tblLook w:val="04A0" w:firstRow="1" w:lastRow="0" w:firstColumn="1" w:lastColumn="0" w:noHBand="0" w:noVBand="1"/>
      </w:tblPr>
      <w:tblGrid>
        <w:gridCol w:w="1843"/>
        <w:gridCol w:w="1134"/>
        <w:gridCol w:w="1560"/>
        <w:gridCol w:w="1703"/>
        <w:gridCol w:w="1417"/>
        <w:gridCol w:w="1626"/>
      </w:tblGrid>
      <w:tr w:rsidR="000C1009" w:rsidRPr="00A27896" w14:paraId="695B9279" w14:textId="77777777" w:rsidTr="00B57117">
        <w:trPr>
          <w:trHeight w:val="684"/>
          <w:tblHeader/>
          <w:jc w:val="center"/>
        </w:trPr>
        <w:tc>
          <w:tcPr>
            <w:tcW w:w="993" w:type="pct"/>
            <w:tcBorders>
              <w:bottom w:val="single" w:sz="4" w:space="0" w:color="17365D"/>
            </w:tcBorders>
            <w:shd w:val="clear" w:color="auto" w:fill="B9CDE5"/>
            <w:vAlign w:val="center"/>
            <w:hideMark/>
          </w:tcPr>
          <w:p w14:paraId="520CD1A2"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611" w:type="pct"/>
            <w:tcBorders>
              <w:bottom w:val="single" w:sz="4" w:space="0" w:color="17365D"/>
            </w:tcBorders>
            <w:shd w:val="clear" w:color="auto" w:fill="B9CDE5"/>
            <w:vAlign w:val="center"/>
            <w:hideMark/>
          </w:tcPr>
          <w:p w14:paraId="50D306CC"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840" w:type="pct"/>
            <w:tcBorders>
              <w:bottom w:val="single" w:sz="4" w:space="0" w:color="17365D"/>
            </w:tcBorders>
            <w:shd w:val="clear" w:color="auto" w:fill="B9CDE5"/>
            <w:vAlign w:val="center"/>
            <w:hideMark/>
          </w:tcPr>
          <w:p w14:paraId="4AB89CDF"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917" w:type="pct"/>
            <w:tcBorders>
              <w:bottom w:val="single" w:sz="4" w:space="0" w:color="17365D"/>
            </w:tcBorders>
            <w:shd w:val="clear" w:color="auto" w:fill="B9CDE5"/>
            <w:vAlign w:val="center"/>
            <w:hideMark/>
          </w:tcPr>
          <w:p w14:paraId="2766EBE8"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763" w:type="pct"/>
            <w:tcBorders>
              <w:bottom w:val="single" w:sz="4" w:space="0" w:color="17365D"/>
            </w:tcBorders>
            <w:shd w:val="clear" w:color="auto" w:fill="B9CDE5"/>
            <w:vAlign w:val="center"/>
            <w:hideMark/>
          </w:tcPr>
          <w:p w14:paraId="3274F567" w14:textId="45ABA28B"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 </w:t>
            </w:r>
            <w:r w:rsidRPr="00A27896">
              <w:rPr>
                <w:rFonts w:eastAsia="Times New Roman" w:cs="Times New Roman"/>
                <w:b/>
                <w:color w:val="17365D"/>
                <w:sz w:val="18"/>
                <w:szCs w:val="18"/>
                <w:lang w:eastAsia="lv-LV"/>
              </w:rPr>
              <w:t>)</w:t>
            </w:r>
          </w:p>
        </w:tc>
        <w:tc>
          <w:tcPr>
            <w:tcW w:w="877" w:type="pct"/>
            <w:tcBorders>
              <w:bottom w:val="single" w:sz="4" w:space="0" w:color="17365D"/>
            </w:tcBorders>
            <w:shd w:val="clear" w:color="auto" w:fill="B9CDE5"/>
            <w:vAlign w:val="center"/>
            <w:hideMark/>
          </w:tcPr>
          <w:p w14:paraId="4BF74D41"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78AE0FD8" w14:textId="77777777" w:rsidTr="00B57117">
        <w:trPr>
          <w:trHeight w:val="240"/>
          <w:jc w:val="center"/>
        </w:trPr>
        <w:tc>
          <w:tcPr>
            <w:tcW w:w="993" w:type="pct"/>
            <w:tcBorders>
              <w:top w:val="single" w:sz="4" w:space="0" w:color="17365D"/>
              <w:bottom w:val="single" w:sz="4" w:space="0" w:color="17365D"/>
            </w:tcBorders>
            <w:shd w:val="clear" w:color="auto" w:fill="auto"/>
            <w:vAlign w:val="center"/>
            <w:hideMark/>
          </w:tcPr>
          <w:p w14:paraId="790F2051"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611" w:type="pct"/>
            <w:tcBorders>
              <w:top w:val="single" w:sz="4" w:space="0" w:color="17365D"/>
              <w:bottom w:val="single" w:sz="4" w:space="0" w:color="17365D"/>
            </w:tcBorders>
            <w:shd w:val="clear" w:color="auto" w:fill="auto"/>
            <w:vAlign w:val="center"/>
            <w:hideMark/>
          </w:tcPr>
          <w:p w14:paraId="5457C700"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840" w:type="pct"/>
            <w:tcBorders>
              <w:top w:val="single" w:sz="4" w:space="0" w:color="17365D"/>
              <w:bottom w:val="single" w:sz="4" w:space="0" w:color="17365D"/>
            </w:tcBorders>
            <w:shd w:val="clear" w:color="auto" w:fill="auto"/>
            <w:vAlign w:val="center"/>
            <w:hideMark/>
          </w:tcPr>
          <w:p w14:paraId="467A2357"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917" w:type="pct"/>
            <w:tcBorders>
              <w:top w:val="single" w:sz="4" w:space="0" w:color="17365D"/>
              <w:bottom w:val="single" w:sz="4" w:space="0" w:color="17365D"/>
            </w:tcBorders>
            <w:shd w:val="clear" w:color="auto" w:fill="auto"/>
            <w:vAlign w:val="center"/>
            <w:hideMark/>
          </w:tcPr>
          <w:p w14:paraId="56AAA05D"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763" w:type="pct"/>
            <w:tcBorders>
              <w:top w:val="single" w:sz="4" w:space="0" w:color="17365D"/>
              <w:bottom w:val="single" w:sz="4" w:space="0" w:color="17365D"/>
            </w:tcBorders>
            <w:shd w:val="clear" w:color="auto" w:fill="auto"/>
            <w:vAlign w:val="center"/>
            <w:hideMark/>
          </w:tcPr>
          <w:p w14:paraId="6AD6EEDE"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877" w:type="pct"/>
            <w:tcBorders>
              <w:top w:val="single" w:sz="4" w:space="0" w:color="17365D"/>
              <w:bottom w:val="single" w:sz="4" w:space="0" w:color="17365D"/>
            </w:tcBorders>
            <w:shd w:val="clear" w:color="auto" w:fill="auto"/>
            <w:vAlign w:val="center"/>
            <w:hideMark/>
          </w:tcPr>
          <w:p w14:paraId="5296A7BE"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0C1009" w:rsidRPr="00A27896" w14:paraId="348BD6F8" w14:textId="77777777" w:rsidTr="00B57117">
        <w:trPr>
          <w:trHeight w:val="179"/>
          <w:jc w:val="center"/>
        </w:trPr>
        <w:tc>
          <w:tcPr>
            <w:tcW w:w="993" w:type="pct"/>
            <w:tcBorders>
              <w:top w:val="single" w:sz="4" w:space="0" w:color="17365D"/>
              <w:bottom w:val="single" w:sz="4" w:space="0" w:color="17365D"/>
            </w:tcBorders>
            <w:shd w:val="clear" w:color="auto" w:fill="auto"/>
            <w:vAlign w:val="center"/>
            <w:hideMark/>
          </w:tcPr>
          <w:p w14:paraId="48A2B9EB" w14:textId="3929CF78" w:rsidR="00B76A82" w:rsidRPr="00A27896" w:rsidRDefault="00B76A82" w:rsidP="00B76A82">
            <w:pPr>
              <w:spacing w:after="0"/>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Uzkrājumi</w:t>
            </w:r>
          </w:p>
        </w:tc>
        <w:tc>
          <w:tcPr>
            <w:tcW w:w="611" w:type="pct"/>
            <w:tcBorders>
              <w:top w:val="single" w:sz="4" w:space="0" w:color="17365D"/>
              <w:bottom w:val="single" w:sz="4" w:space="0" w:color="17365D"/>
            </w:tcBorders>
            <w:shd w:val="clear" w:color="auto" w:fill="auto"/>
            <w:vAlign w:val="center"/>
            <w:hideMark/>
          </w:tcPr>
          <w:p w14:paraId="25C34E4E" w14:textId="746A1907" w:rsidR="00B76A82" w:rsidRPr="00A27896" w:rsidRDefault="00B76A82" w:rsidP="000E5114">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KB.4.</w:t>
            </w:r>
          </w:p>
        </w:tc>
        <w:tc>
          <w:tcPr>
            <w:tcW w:w="840" w:type="pct"/>
            <w:tcBorders>
              <w:top w:val="single" w:sz="4" w:space="0" w:color="17365D"/>
              <w:bottom w:val="single" w:sz="4" w:space="0" w:color="17365D"/>
            </w:tcBorders>
            <w:shd w:val="clear" w:color="auto" w:fill="auto"/>
            <w:noWrap/>
            <w:vAlign w:val="center"/>
            <w:hideMark/>
          </w:tcPr>
          <w:p w14:paraId="509FC952" w14:textId="60753AED" w:rsidR="00B76A82" w:rsidRPr="00A27896" w:rsidRDefault="006B63F5" w:rsidP="00B76A82">
            <w:pPr>
              <w:spacing w:after="0" w:line="240" w:lineRule="auto"/>
              <w:jc w:val="right"/>
              <w:rPr>
                <w:rFonts w:eastAsia="Times New Roman" w:cs="Times New Roman"/>
                <w:b/>
                <w:color w:val="17365D"/>
                <w:sz w:val="18"/>
                <w:szCs w:val="18"/>
                <w:lang w:eastAsia="lv-LV"/>
              </w:rPr>
            </w:pPr>
            <w:r w:rsidRPr="006B63F5">
              <w:rPr>
                <w:rFonts w:eastAsia="Times New Roman" w:cs="Times New Roman"/>
                <w:b/>
                <w:color w:val="17365D"/>
                <w:sz w:val="18"/>
                <w:szCs w:val="18"/>
                <w:lang w:eastAsia="lv-LV"/>
              </w:rPr>
              <w:t>2</w:t>
            </w:r>
            <w:r>
              <w:rPr>
                <w:rFonts w:eastAsia="Times New Roman" w:cs="Times New Roman"/>
                <w:b/>
                <w:color w:val="17365D"/>
                <w:sz w:val="18"/>
                <w:szCs w:val="18"/>
                <w:lang w:eastAsia="lv-LV"/>
              </w:rPr>
              <w:t> </w:t>
            </w:r>
            <w:r w:rsidRPr="006B63F5">
              <w:rPr>
                <w:rFonts w:eastAsia="Times New Roman" w:cs="Times New Roman"/>
                <w:b/>
                <w:color w:val="17365D"/>
                <w:sz w:val="18"/>
                <w:szCs w:val="18"/>
                <w:lang w:eastAsia="lv-LV"/>
              </w:rPr>
              <w:t>802</w:t>
            </w:r>
            <w:r>
              <w:rPr>
                <w:rFonts w:eastAsia="Times New Roman" w:cs="Times New Roman"/>
                <w:b/>
                <w:color w:val="17365D"/>
                <w:sz w:val="18"/>
                <w:szCs w:val="18"/>
                <w:lang w:eastAsia="lv-LV"/>
              </w:rPr>
              <w:t> </w:t>
            </w:r>
            <w:r w:rsidRPr="006B63F5">
              <w:rPr>
                <w:rFonts w:eastAsia="Times New Roman" w:cs="Times New Roman"/>
                <w:b/>
                <w:color w:val="17365D"/>
                <w:sz w:val="18"/>
                <w:szCs w:val="18"/>
                <w:lang w:eastAsia="lv-LV"/>
              </w:rPr>
              <w:t>529</w:t>
            </w:r>
            <w:r>
              <w:rPr>
                <w:rFonts w:eastAsia="Times New Roman" w:cs="Times New Roman"/>
                <w:b/>
                <w:color w:val="17365D"/>
                <w:sz w:val="18"/>
                <w:szCs w:val="18"/>
                <w:lang w:eastAsia="lv-LV"/>
              </w:rPr>
              <w:t> </w:t>
            </w:r>
            <w:r w:rsidRPr="006B63F5">
              <w:rPr>
                <w:rFonts w:eastAsia="Times New Roman" w:cs="Times New Roman"/>
                <w:b/>
                <w:color w:val="17365D"/>
                <w:sz w:val="18"/>
                <w:szCs w:val="18"/>
                <w:lang w:eastAsia="lv-LV"/>
              </w:rPr>
              <w:t>325</w:t>
            </w:r>
          </w:p>
        </w:tc>
        <w:tc>
          <w:tcPr>
            <w:tcW w:w="917" w:type="pct"/>
            <w:tcBorders>
              <w:top w:val="single" w:sz="4" w:space="0" w:color="17365D"/>
              <w:bottom w:val="single" w:sz="4" w:space="0" w:color="17365D"/>
            </w:tcBorders>
            <w:shd w:val="clear" w:color="auto" w:fill="auto"/>
            <w:noWrap/>
            <w:vAlign w:val="center"/>
            <w:hideMark/>
          </w:tcPr>
          <w:p w14:paraId="1CFB3777" w14:textId="3DF67A1E" w:rsidR="00B76A82" w:rsidRPr="00A27896" w:rsidRDefault="00B57117" w:rsidP="00B76A82">
            <w:pPr>
              <w:spacing w:after="0" w:line="240" w:lineRule="auto"/>
              <w:jc w:val="right"/>
              <w:rPr>
                <w:rFonts w:eastAsia="Times New Roman" w:cs="Times New Roman"/>
                <w:b/>
                <w:color w:val="17365D"/>
                <w:sz w:val="18"/>
                <w:szCs w:val="18"/>
                <w:lang w:eastAsia="lv-LV"/>
              </w:rPr>
            </w:pPr>
            <w:r w:rsidRPr="00A27896">
              <w:rPr>
                <w:rFonts w:cs="Times New Roman"/>
                <w:b/>
                <w:color w:val="17365D"/>
                <w:sz w:val="18"/>
                <w:szCs w:val="18"/>
              </w:rPr>
              <w:t>3 809 806 023</w:t>
            </w:r>
          </w:p>
        </w:tc>
        <w:tc>
          <w:tcPr>
            <w:tcW w:w="763" w:type="pct"/>
            <w:tcBorders>
              <w:top w:val="single" w:sz="4" w:space="0" w:color="17365D"/>
              <w:bottom w:val="single" w:sz="4" w:space="0" w:color="17365D"/>
            </w:tcBorders>
            <w:shd w:val="clear" w:color="auto" w:fill="auto"/>
            <w:noWrap/>
            <w:vAlign w:val="center"/>
            <w:hideMark/>
          </w:tcPr>
          <w:p w14:paraId="6C8BA08D" w14:textId="16ACFFAD" w:rsidR="00B76A82" w:rsidRPr="00A27896" w:rsidRDefault="00B57117" w:rsidP="006B63F5">
            <w:pPr>
              <w:spacing w:after="0" w:line="240" w:lineRule="auto"/>
              <w:jc w:val="right"/>
              <w:rPr>
                <w:rFonts w:eastAsia="Times New Roman" w:cs="Times New Roman"/>
                <w:b/>
                <w:color w:val="17365D"/>
                <w:sz w:val="18"/>
                <w:szCs w:val="18"/>
                <w:lang w:eastAsia="lv-LV"/>
              </w:rPr>
            </w:pPr>
            <w:r w:rsidRPr="00A27896">
              <w:rPr>
                <w:rFonts w:cs="Times New Roman"/>
                <w:b/>
                <w:color w:val="17365D"/>
                <w:sz w:val="18"/>
                <w:szCs w:val="18"/>
              </w:rPr>
              <w:t>-1</w:t>
            </w:r>
            <w:r w:rsidR="006B63F5">
              <w:rPr>
                <w:rFonts w:cs="Times New Roman"/>
                <w:b/>
                <w:color w:val="17365D"/>
                <w:sz w:val="18"/>
                <w:szCs w:val="18"/>
              </w:rPr>
              <w:t> </w:t>
            </w:r>
            <w:r w:rsidRPr="00A27896">
              <w:rPr>
                <w:rFonts w:cs="Times New Roman"/>
                <w:b/>
                <w:color w:val="17365D"/>
                <w:sz w:val="18"/>
                <w:szCs w:val="18"/>
              </w:rPr>
              <w:t>0</w:t>
            </w:r>
            <w:r w:rsidR="006B63F5">
              <w:rPr>
                <w:rFonts w:cs="Times New Roman"/>
                <w:b/>
                <w:color w:val="17365D"/>
                <w:sz w:val="18"/>
                <w:szCs w:val="18"/>
              </w:rPr>
              <w:t>0</w:t>
            </w:r>
            <w:r w:rsidR="006B63F5" w:rsidRPr="006B63F5">
              <w:rPr>
                <w:rFonts w:cs="Times New Roman"/>
                <w:b/>
                <w:color w:val="17365D"/>
                <w:sz w:val="18"/>
                <w:szCs w:val="18"/>
              </w:rPr>
              <w:t>7</w:t>
            </w:r>
            <w:r w:rsidR="006B63F5">
              <w:rPr>
                <w:rFonts w:cs="Times New Roman"/>
                <w:b/>
                <w:color w:val="17365D"/>
                <w:sz w:val="18"/>
                <w:szCs w:val="18"/>
              </w:rPr>
              <w:t> </w:t>
            </w:r>
            <w:r w:rsidR="006B63F5" w:rsidRPr="006B63F5">
              <w:rPr>
                <w:rFonts w:cs="Times New Roman"/>
                <w:b/>
                <w:color w:val="17365D"/>
                <w:sz w:val="18"/>
                <w:szCs w:val="18"/>
              </w:rPr>
              <w:t>276</w:t>
            </w:r>
            <w:r w:rsidR="006B63F5">
              <w:rPr>
                <w:rFonts w:cs="Times New Roman"/>
                <w:b/>
                <w:color w:val="17365D"/>
                <w:sz w:val="18"/>
                <w:szCs w:val="18"/>
              </w:rPr>
              <w:t> </w:t>
            </w:r>
            <w:r w:rsidR="006B63F5" w:rsidRPr="006B63F5">
              <w:rPr>
                <w:rFonts w:cs="Times New Roman"/>
                <w:b/>
                <w:color w:val="17365D"/>
                <w:sz w:val="18"/>
                <w:szCs w:val="18"/>
              </w:rPr>
              <w:t>698</w:t>
            </w:r>
          </w:p>
        </w:tc>
        <w:tc>
          <w:tcPr>
            <w:tcW w:w="877" w:type="pct"/>
            <w:tcBorders>
              <w:top w:val="single" w:sz="4" w:space="0" w:color="17365D"/>
              <w:bottom w:val="single" w:sz="4" w:space="0" w:color="17365D"/>
              <w:right w:val="nil"/>
            </w:tcBorders>
            <w:shd w:val="clear" w:color="auto" w:fill="auto"/>
            <w:noWrap/>
            <w:vAlign w:val="center"/>
            <w:hideMark/>
          </w:tcPr>
          <w:p w14:paraId="439B36A3" w14:textId="6BF999D3" w:rsidR="00B76A82" w:rsidRPr="00A27896" w:rsidRDefault="000E5114" w:rsidP="006B63F5">
            <w:pPr>
              <w:spacing w:after="0" w:line="240" w:lineRule="auto"/>
              <w:jc w:val="right"/>
              <w:rPr>
                <w:rFonts w:cs="Times New Roman"/>
                <w:b/>
                <w:color w:val="17365D"/>
                <w:sz w:val="18"/>
                <w:szCs w:val="18"/>
              </w:rPr>
            </w:pPr>
            <w:r w:rsidRPr="00A27896">
              <w:rPr>
                <w:rFonts w:cs="Times New Roman"/>
                <w:b/>
                <w:color w:val="17365D"/>
                <w:sz w:val="18"/>
                <w:szCs w:val="18"/>
              </w:rPr>
              <w:t>-26.</w:t>
            </w:r>
            <w:r w:rsidR="006B63F5">
              <w:rPr>
                <w:rFonts w:cs="Times New Roman"/>
                <w:b/>
                <w:color w:val="17365D"/>
                <w:sz w:val="18"/>
                <w:szCs w:val="18"/>
              </w:rPr>
              <w:t>44</w:t>
            </w:r>
          </w:p>
        </w:tc>
      </w:tr>
      <w:tr w:rsidR="000C1009" w:rsidRPr="00A27896" w14:paraId="01372362" w14:textId="77777777" w:rsidTr="00B57117">
        <w:trPr>
          <w:trHeight w:val="56"/>
          <w:jc w:val="center"/>
        </w:trPr>
        <w:tc>
          <w:tcPr>
            <w:tcW w:w="993" w:type="pct"/>
            <w:tcBorders>
              <w:top w:val="single" w:sz="4" w:space="0" w:color="17365D"/>
            </w:tcBorders>
            <w:shd w:val="clear" w:color="auto" w:fill="B9CDE5"/>
            <w:vAlign w:val="center"/>
          </w:tcPr>
          <w:p w14:paraId="73C2B411" w14:textId="77777777" w:rsidR="005F2FCB" w:rsidRPr="00A27896" w:rsidRDefault="005F2FCB" w:rsidP="005F2FCB">
            <w:pPr>
              <w:spacing w:after="0"/>
              <w:rPr>
                <w:rFonts w:eastAsia="Times New Roman" w:cs="Times New Roman"/>
                <w:color w:val="17365D"/>
                <w:sz w:val="18"/>
                <w:szCs w:val="18"/>
                <w:lang w:eastAsia="lv-LV"/>
              </w:rPr>
            </w:pPr>
          </w:p>
        </w:tc>
        <w:tc>
          <w:tcPr>
            <w:tcW w:w="611" w:type="pct"/>
            <w:tcBorders>
              <w:top w:val="single" w:sz="4" w:space="0" w:color="17365D"/>
            </w:tcBorders>
            <w:shd w:val="clear" w:color="auto" w:fill="B9CDE5"/>
            <w:noWrap/>
            <w:vAlign w:val="center"/>
          </w:tcPr>
          <w:p w14:paraId="0F82F76D" w14:textId="77777777" w:rsidR="005F2FCB" w:rsidRPr="00A27896" w:rsidRDefault="005F2FCB" w:rsidP="005F2FCB">
            <w:pPr>
              <w:spacing w:after="0"/>
              <w:jc w:val="center"/>
              <w:rPr>
                <w:rFonts w:eastAsia="Times New Roman" w:cs="Times New Roman"/>
                <w:color w:val="17365D"/>
                <w:sz w:val="18"/>
                <w:szCs w:val="18"/>
                <w:lang w:eastAsia="lv-LV"/>
              </w:rPr>
            </w:pPr>
          </w:p>
        </w:tc>
        <w:tc>
          <w:tcPr>
            <w:tcW w:w="840" w:type="pct"/>
            <w:tcBorders>
              <w:top w:val="single" w:sz="4" w:space="0" w:color="17365D"/>
            </w:tcBorders>
            <w:shd w:val="clear" w:color="auto" w:fill="B9CDE5"/>
            <w:noWrap/>
            <w:vAlign w:val="center"/>
          </w:tcPr>
          <w:p w14:paraId="2E5ABED4" w14:textId="77777777" w:rsidR="005F2FCB" w:rsidRPr="00A27896" w:rsidRDefault="005F2FCB" w:rsidP="005F2FCB">
            <w:pPr>
              <w:spacing w:after="0"/>
              <w:jc w:val="right"/>
              <w:rPr>
                <w:rFonts w:eastAsia="Times New Roman" w:cs="Times New Roman"/>
                <w:color w:val="17365D"/>
                <w:sz w:val="18"/>
                <w:szCs w:val="18"/>
                <w:lang w:eastAsia="lv-LV"/>
              </w:rPr>
            </w:pPr>
          </w:p>
        </w:tc>
        <w:tc>
          <w:tcPr>
            <w:tcW w:w="917" w:type="pct"/>
            <w:tcBorders>
              <w:top w:val="single" w:sz="4" w:space="0" w:color="17365D"/>
            </w:tcBorders>
            <w:shd w:val="clear" w:color="auto" w:fill="B9CDE5"/>
            <w:noWrap/>
            <w:vAlign w:val="center"/>
          </w:tcPr>
          <w:p w14:paraId="6A57A7A0" w14:textId="77777777" w:rsidR="005F2FCB" w:rsidRPr="00A27896" w:rsidRDefault="005F2FCB" w:rsidP="005F2FCB">
            <w:pPr>
              <w:spacing w:after="0"/>
              <w:jc w:val="right"/>
              <w:rPr>
                <w:rFonts w:eastAsia="Times New Roman" w:cs="Times New Roman"/>
                <w:color w:val="17365D"/>
                <w:sz w:val="18"/>
                <w:szCs w:val="18"/>
                <w:lang w:eastAsia="lv-LV"/>
              </w:rPr>
            </w:pPr>
          </w:p>
        </w:tc>
        <w:tc>
          <w:tcPr>
            <w:tcW w:w="763" w:type="pct"/>
            <w:tcBorders>
              <w:top w:val="single" w:sz="4" w:space="0" w:color="17365D"/>
            </w:tcBorders>
            <w:shd w:val="clear" w:color="auto" w:fill="B9CDE5"/>
            <w:noWrap/>
            <w:vAlign w:val="center"/>
          </w:tcPr>
          <w:p w14:paraId="3FC69272" w14:textId="77777777" w:rsidR="005F2FCB" w:rsidRPr="00A27896" w:rsidRDefault="005F2FCB" w:rsidP="005F2FCB">
            <w:pPr>
              <w:spacing w:after="0"/>
              <w:jc w:val="right"/>
              <w:rPr>
                <w:rFonts w:eastAsia="Times New Roman" w:cs="Times New Roman"/>
                <w:color w:val="17365D"/>
                <w:sz w:val="18"/>
                <w:szCs w:val="18"/>
                <w:lang w:eastAsia="lv-LV"/>
              </w:rPr>
            </w:pPr>
          </w:p>
        </w:tc>
        <w:tc>
          <w:tcPr>
            <w:tcW w:w="877" w:type="pct"/>
            <w:tcBorders>
              <w:top w:val="single" w:sz="4" w:space="0" w:color="17365D"/>
            </w:tcBorders>
            <w:shd w:val="clear" w:color="auto" w:fill="B9CDE5"/>
            <w:noWrap/>
            <w:vAlign w:val="center"/>
          </w:tcPr>
          <w:p w14:paraId="3FECF9C7" w14:textId="77777777" w:rsidR="005F2FCB" w:rsidRPr="00A27896" w:rsidRDefault="005F2FCB" w:rsidP="005F2FCB">
            <w:pPr>
              <w:spacing w:after="0"/>
              <w:jc w:val="right"/>
              <w:rPr>
                <w:rFonts w:eastAsia="Times New Roman" w:cs="Times New Roman"/>
                <w:color w:val="17365D"/>
                <w:sz w:val="18"/>
                <w:szCs w:val="18"/>
                <w:lang w:eastAsia="lv-LV"/>
              </w:rPr>
            </w:pPr>
          </w:p>
        </w:tc>
      </w:tr>
    </w:tbl>
    <w:p w14:paraId="1586E696" w14:textId="71B460F1" w:rsidR="00026438" w:rsidRPr="00A27896" w:rsidRDefault="004F5C5A" w:rsidP="005E7172">
      <w:pPr>
        <w:spacing w:before="240" w:after="120" w:line="240" w:lineRule="auto"/>
        <w:ind w:firstLine="284"/>
        <w:jc w:val="both"/>
        <w:rPr>
          <w:rFonts w:cs="Times New Roman"/>
          <w:bCs/>
          <w:color w:val="17365D"/>
        </w:rPr>
      </w:pPr>
      <w:r w:rsidRPr="00A27896">
        <w:rPr>
          <w:rFonts w:cs="Times New Roman"/>
          <w:bCs/>
          <w:color w:val="17365D"/>
        </w:rPr>
        <w:t xml:space="preserve">Būtiskākās šī posteņa izmaiņas </w:t>
      </w:r>
      <w:r w:rsidR="00EB005D" w:rsidRPr="00A27896">
        <w:rPr>
          <w:rFonts w:cs="Times New Roman"/>
          <w:bCs/>
          <w:color w:val="17365D"/>
        </w:rPr>
        <w:t xml:space="preserve">attiecināmas uz </w:t>
      </w:r>
      <w:r w:rsidR="001C0C3D" w:rsidRPr="00A27896">
        <w:rPr>
          <w:rFonts w:cs="Times New Roman"/>
          <w:bCs/>
          <w:color w:val="17365D"/>
        </w:rPr>
        <w:t>uzkrājum</w:t>
      </w:r>
      <w:r w:rsidRPr="00A27896">
        <w:rPr>
          <w:rFonts w:cs="Times New Roman"/>
          <w:bCs/>
          <w:color w:val="17365D"/>
        </w:rPr>
        <w:t>i</w:t>
      </w:r>
      <w:r w:rsidR="00EB005D" w:rsidRPr="00A27896">
        <w:rPr>
          <w:rFonts w:cs="Times New Roman"/>
          <w:bCs/>
          <w:color w:val="17365D"/>
        </w:rPr>
        <w:t>em</w:t>
      </w:r>
      <w:r w:rsidR="001C0C3D" w:rsidRPr="00A27896">
        <w:rPr>
          <w:rFonts w:cs="Times New Roman"/>
          <w:bCs/>
          <w:color w:val="17365D"/>
        </w:rPr>
        <w:t xml:space="preserve"> izdienas pensij</w:t>
      </w:r>
      <w:r w:rsidR="00B57117" w:rsidRPr="00A27896">
        <w:rPr>
          <w:rFonts w:cs="Times New Roman"/>
          <w:bCs/>
          <w:color w:val="17365D"/>
        </w:rPr>
        <w:t xml:space="preserve">ām, pabalstiem un kompensācijām, no tām lielākas izmaiņas bijušas Aizsardzības ministrijai </w:t>
      </w:r>
      <w:r w:rsidR="003C02FE" w:rsidRPr="00A27896">
        <w:rPr>
          <w:rFonts w:cs="Times New Roman"/>
          <w:bCs/>
          <w:color w:val="17365D"/>
        </w:rPr>
        <w:t>(656 </w:t>
      </w:r>
      <w:r w:rsidR="00B57117" w:rsidRPr="00A27896">
        <w:rPr>
          <w:rFonts w:cs="Times New Roman"/>
          <w:bCs/>
          <w:color w:val="17365D"/>
        </w:rPr>
        <w:t xml:space="preserve">850 931) </w:t>
      </w:r>
      <w:proofErr w:type="spellStart"/>
      <w:r w:rsidR="00B57117" w:rsidRPr="00A27896">
        <w:rPr>
          <w:rFonts w:cs="Times New Roman"/>
          <w:bCs/>
          <w:i/>
          <w:color w:val="17365D"/>
        </w:rPr>
        <w:t>euro</w:t>
      </w:r>
      <w:proofErr w:type="spellEnd"/>
      <w:r w:rsidR="00B57117" w:rsidRPr="00A27896">
        <w:rPr>
          <w:rFonts w:cs="Times New Roman"/>
          <w:bCs/>
          <w:color w:val="17365D"/>
        </w:rPr>
        <w:t xml:space="preserve"> vērtībā, </w:t>
      </w:r>
      <w:proofErr w:type="spellStart"/>
      <w:r w:rsidR="00B57117" w:rsidRPr="00A27896">
        <w:rPr>
          <w:rFonts w:cs="Times New Roman"/>
          <w:bCs/>
          <w:color w:val="17365D"/>
        </w:rPr>
        <w:t>Iekšlietu</w:t>
      </w:r>
      <w:proofErr w:type="spellEnd"/>
      <w:r w:rsidR="00B57117" w:rsidRPr="00A27896">
        <w:rPr>
          <w:rFonts w:cs="Times New Roman"/>
          <w:bCs/>
          <w:color w:val="17365D"/>
        </w:rPr>
        <w:t xml:space="preserve"> ministrijai</w:t>
      </w:r>
      <w:r w:rsidR="00B57117" w:rsidRPr="00A27896">
        <w:rPr>
          <w:rFonts w:cs="Times New Roman"/>
          <w:color w:val="17365D"/>
          <w:sz w:val="20"/>
          <w:szCs w:val="20"/>
        </w:rPr>
        <w:t xml:space="preserve"> </w:t>
      </w:r>
      <w:r w:rsidR="00B57117" w:rsidRPr="00A27896">
        <w:rPr>
          <w:rFonts w:cs="Times New Roman"/>
          <w:bCs/>
          <w:color w:val="17365D"/>
        </w:rPr>
        <w:t>(328</w:t>
      </w:r>
      <w:r w:rsidR="003C02FE" w:rsidRPr="00A27896">
        <w:rPr>
          <w:rFonts w:cs="Times New Roman"/>
          <w:bCs/>
          <w:color w:val="17365D"/>
        </w:rPr>
        <w:t> </w:t>
      </w:r>
      <w:r w:rsidR="00B57117" w:rsidRPr="00A27896">
        <w:rPr>
          <w:rFonts w:cs="Times New Roman"/>
          <w:bCs/>
          <w:color w:val="17365D"/>
        </w:rPr>
        <w:t xml:space="preserve">610 478) </w:t>
      </w:r>
      <w:proofErr w:type="spellStart"/>
      <w:r w:rsidR="00B57117" w:rsidRPr="00A27896">
        <w:rPr>
          <w:rFonts w:cs="Times New Roman"/>
          <w:bCs/>
          <w:i/>
          <w:color w:val="17365D"/>
        </w:rPr>
        <w:t>euro</w:t>
      </w:r>
      <w:proofErr w:type="spellEnd"/>
      <w:r w:rsidR="00B57117" w:rsidRPr="00A27896">
        <w:rPr>
          <w:rFonts w:cs="Times New Roman"/>
          <w:bCs/>
          <w:color w:val="17365D"/>
        </w:rPr>
        <w:t xml:space="preserve"> vērtībā</w:t>
      </w:r>
      <w:r w:rsidR="002F4DD8" w:rsidRPr="00A27896">
        <w:rPr>
          <w:rFonts w:cs="Times New Roman"/>
          <w:bCs/>
          <w:color w:val="17365D"/>
        </w:rPr>
        <w:t>, Tieslietu min</w:t>
      </w:r>
      <w:r w:rsidR="003C02FE" w:rsidRPr="00A27896">
        <w:rPr>
          <w:rFonts w:cs="Times New Roman"/>
          <w:bCs/>
          <w:color w:val="17365D"/>
        </w:rPr>
        <w:t>istrijai (39 607 </w:t>
      </w:r>
      <w:r w:rsidR="002F4DD8" w:rsidRPr="00A27896">
        <w:rPr>
          <w:rFonts w:cs="Times New Roman"/>
          <w:bCs/>
          <w:color w:val="17365D"/>
        </w:rPr>
        <w:t xml:space="preserve">394) </w:t>
      </w:r>
      <w:proofErr w:type="spellStart"/>
      <w:r w:rsidR="002F4DD8" w:rsidRPr="00A27896">
        <w:rPr>
          <w:rFonts w:cs="Times New Roman"/>
          <w:bCs/>
          <w:i/>
          <w:color w:val="17365D"/>
        </w:rPr>
        <w:t>euro</w:t>
      </w:r>
      <w:proofErr w:type="spellEnd"/>
      <w:r w:rsidR="002F4DD8" w:rsidRPr="00A27896">
        <w:rPr>
          <w:rFonts w:cs="Times New Roman"/>
          <w:bCs/>
          <w:color w:val="17365D"/>
        </w:rPr>
        <w:t xml:space="preserve"> vērtībā un Veselības ministrijai (25</w:t>
      </w:r>
      <w:r w:rsidR="003C02FE" w:rsidRPr="00A27896">
        <w:rPr>
          <w:rFonts w:cs="Times New Roman"/>
          <w:bCs/>
          <w:color w:val="17365D"/>
        </w:rPr>
        <w:t> </w:t>
      </w:r>
      <w:r w:rsidR="002F4DD8" w:rsidRPr="00A27896">
        <w:rPr>
          <w:rFonts w:cs="Times New Roman"/>
          <w:bCs/>
          <w:color w:val="17365D"/>
        </w:rPr>
        <w:t xml:space="preserve">118 136) </w:t>
      </w:r>
      <w:proofErr w:type="spellStart"/>
      <w:r w:rsidR="002F4DD8" w:rsidRPr="00A27896">
        <w:rPr>
          <w:rFonts w:cs="Times New Roman"/>
          <w:bCs/>
          <w:i/>
          <w:color w:val="17365D"/>
        </w:rPr>
        <w:t>euro</w:t>
      </w:r>
      <w:proofErr w:type="spellEnd"/>
      <w:r w:rsidR="002F4DD8" w:rsidRPr="00A27896">
        <w:rPr>
          <w:rFonts w:cs="Times New Roman"/>
          <w:bCs/>
          <w:color w:val="17365D"/>
        </w:rPr>
        <w:t xml:space="preserve"> vērtībā.</w:t>
      </w:r>
    </w:p>
    <w:p w14:paraId="715BCB76" w14:textId="365E2957" w:rsidR="00FD21C0" w:rsidRPr="00A27896" w:rsidRDefault="00FD21C0" w:rsidP="00C5239F">
      <w:pPr>
        <w:spacing w:after="120" w:line="240" w:lineRule="auto"/>
        <w:ind w:firstLine="284"/>
        <w:jc w:val="both"/>
        <w:rPr>
          <w:rFonts w:cs="Times New Roman"/>
          <w:bCs/>
          <w:color w:val="17365D"/>
        </w:rPr>
      </w:pPr>
      <w:r w:rsidRPr="00A27896">
        <w:rPr>
          <w:rFonts w:cs="Times New Roman"/>
          <w:bCs/>
          <w:color w:val="17365D"/>
        </w:rPr>
        <w:t xml:space="preserve">Pārskata gadā </w:t>
      </w:r>
      <w:r w:rsidR="009121A4" w:rsidRPr="00A27896">
        <w:rPr>
          <w:rFonts w:cs="Times New Roman"/>
          <w:bCs/>
          <w:color w:val="17365D"/>
        </w:rPr>
        <w:t xml:space="preserve">izveidoti uzkrājumi </w:t>
      </w:r>
      <w:r w:rsidR="002F4DD8" w:rsidRPr="00A27896">
        <w:rPr>
          <w:rFonts w:cs="Times New Roman"/>
          <w:bCs/>
          <w:color w:val="17365D"/>
        </w:rPr>
        <w:t>184</w:t>
      </w:r>
      <w:r w:rsidR="008930E9" w:rsidRPr="00A27896">
        <w:rPr>
          <w:rFonts w:cs="Times New Roman"/>
          <w:bCs/>
          <w:color w:val="17365D"/>
        </w:rPr>
        <w:t> </w:t>
      </w:r>
      <w:r w:rsidR="002F4DD8" w:rsidRPr="00A27896">
        <w:rPr>
          <w:rFonts w:cs="Times New Roman"/>
          <w:bCs/>
          <w:color w:val="17365D"/>
        </w:rPr>
        <w:t>355</w:t>
      </w:r>
      <w:r w:rsidR="00310B3B" w:rsidRPr="00A27896">
        <w:rPr>
          <w:rFonts w:cs="Times New Roman"/>
          <w:bCs/>
          <w:color w:val="17365D"/>
        </w:rPr>
        <w:t> </w:t>
      </w:r>
      <w:r w:rsidR="002F4DD8" w:rsidRPr="00A27896">
        <w:rPr>
          <w:rFonts w:cs="Times New Roman"/>
          <w:bCs/>
          <w:color w:val="17365D"/>
        </w:rPr>
        <w:t>609</w:t>
      </w:r>
      <w:r w:rsidR="00310B3B" w:rsidRPr="00A27896">
        <w:rPr>
          <w:rFonts w:cs="Times New Roman"/>
          <w:bCs/>
          <w:color w:val="17365D"/>
        </w:rPr>
        <w:t> </w:t>
      </w:r>
      <w:proofErr w:type="spellStart"/>
      <w:r w:rsidR="009121A4" w:rsidRPr="00A27896">
        <w:rPr>
          <w:rFonts w:cs="Times New Roman"/>
          <w:bCs/>
          <w:i/>
          <w:color w:val="17365D"/>
        </w:rPr>
        <w:t>euro</w:t>
      </w:r>
      <w:proofErr w:type="spellEnd"/>
      <w:r w:rsidR="009121A4" w:rsidRPr="00A27896">
        <w:rPr>
          <w:rFonts w:cs="Times New Roman"/>
          <w:bCs/>
          <w:color w:val="17365D"/>
        </w:rPr>
        <w:t xml:space="preserve"> vērtībā, tai skaitā tiesvedībām –</w:t>
      </w:r>
      <w:r w:rsidR="008930E9" w:rsidRPr="00A27896">
        <w:rPr>
          <w:rFonts w:cs="Times New Roman"/>
          <w:color w:val="17365D"/>
        </w:rPr>
        <w:t xml:space="preserve"> </w:t>
      </w:r>
      <w:r w:rsidR="008930E9" w:rsidRPr="00A27896">
        <w:rPr>
          <w:rFonts w:cs="Times New Roman"/>
          <w:bCs/>
          <w:color w:val="17365D"/>
        </w:rPr>
        <w:t xml:space="preserve">13 956 503 </w:t>
      </w:r>
      <w:proofErr w:type="spellStart"/>
      <w:r w:rsidR="009121A4" w:rsidRPr="00A27896">
        <w:rPr>
          <w:rFonts w:cs="Times New Roman"/>
          <w:bCs/>
          <w:i/>
          <w:color w:val="17365D"/>
        </w:rPr>
        <w:t>euro</w:t>
      </w:r>
      <w:proofErr w:type="spellEnd"/>
      <w:r w:rsidR="009121A4" w:rsidRPr="00A27896">
        <w:rPr>
          <w:rFonts w:cs="Times New Roman"/>
          <w:bCs/>
          <w:color w:val="17365D"/>
        </w:rPr>
        <w:t xml:space="preserve"> vērtībā, </w:t>
      </w:r>
      <w:r w:rsidRPr="00A27896">
        <w:rPr>
          <w:rFonts w:cs="Times New Roman"/>
          <w:bCs/>
          <w:color w:val="17365D"/>
        </w:rPr>
        <w:t xml:space="preserve">norakstīti </w:t>
      </w:r>
      <w:r w:rsidR="00085CCE" w:rsidRPr="00A27896">
        <w:rPr>
          <w:rFonts w:cs="Times New Roman"/>
          <w:bCs/>
          <w:color w:val="17365D"/>
        </w:rPr>
        <w:t xml:space="preserve">un diskontēšanas rezultātā samazināti </w:t>
      </w:r>
      <w:r w:rsidRPr="00A27896">
        <w:rPr>
          <w:rFonts w:cs="Times New Roman"/>
          <w:bCs/>
          <w:color w:val="17365D"/>
        </w:rPr>
        <w:t>iepriekšējos pārskata gados atzītie uzkrājumi (</w:t>
      </w:r>
      <w:r w:rsidR="003C02FE" w:rsidRPr="00A27896">
        <w:rPr>
          <w:rFonts w:cs="Times New Roman"/>
          <w:bCs/>
          <w:color w:val="17365D"/>
        </w:rPr>
        <w:t>1 085 576</w:t>
      </w:r>
      <w:r w:rsidR="00E36131" w:rsidRPr="00A27896">
        <w:rPr>
          <w:rFonts w:cs="Times New Roman"/>
          <w:bCs/>
          <w:color w:val="17365D"/>
        </w:rPr>
        <w:t> </w:t>
      </w:r>
      <w:r w:rsidR="003C02FE" w:rsidRPr="00A27896">
        <w:rPr>
          <w:rFonts w:cs="Times New Roman"/>
          <w:bCs/>
          <w:color w:val="17365D"/>
        </w:rPr>
        <w:t>287</w:t>
      </w:r>
      <w:r w:rsidRPr="00A27896">
        <w:rPr>
          <w:rFonts w:cs="Times New Roman"/>
          <w:bCs/>
          <w:color w:val="17365D"/>
        </w:rPr>
        <w:t xml:space="preserve">) </w:t>
      </w:r>
      <w:proofErr w:type="spellStart"/>
      <w:r w:rsidRPr="00A27896">
        <w:rPr>
          <w:rFonts w:cs="Times New Roman"/>
          <w:bCs/>
          <w:i/>
          <w:color w:val="17365D"/>
        </w:rPr>
        <w:t>euro</w:t>
      </w:r>
      <w:proofErr w:type="spellEnd"/>
      <w:r w:rsidRPr="00A27896">
        <w:rPr>
          <w:rFonts w:cs="Times New Roman"/>
          <w:bCs/>
          <w:color w:val="17365D"/>
        </w:rPr>
        <w:t xml:space="preserve"> vērtībā, tai skaitā tiesvedībām – (</w:t>
      </w:r>
      <w:r w:rsidR="003C02FE" w:rsidRPr="00A27896">
        <w:rPr>
          <w:rFonts w:cs="Times New Roman"/>
          <w:bCs/>
          <w:color w:val="17365D"/>
        </w:rPr>
        <w:t>13 087 637</w:t>
      </w:r>
      <w:r w:rsidRPr="00A27896">
        <w:rPr>
          <w:rFonts w:cs="Times New Roman"/>
          <w:bCs/>
          <w:color w:val="17365D"/>
        </w:rPr>
        <w:t xml:space="preserve">) </w:t>
      </w:r>
      <w:proofErr w:type="spellStart"/>
      <w:r w:rsidRPr="00A27896">
        <w:rPr>
          <w:rFonts w:cs="Times New Roman"/>
          <w:bCs/>
          <w:i/>
          <w:color w:val="17365D"/>
        </w:rPr>
        <w:t>euro</w:t>
      </w:r>
      <w:proofErr w:type="spellEnd"/>
      <w:r w:rsidR="00C054D4" w:rsidRPr="00A27896">
        <w:rPr>
          <w:rFonts w:cs="Times New Roman"/>
          <w:bCs/>
          <w:color w:val="17365D"/>
        </w:rPr>
        <w:t>, uzkrājumu summa, kas izmantota saistību atzīšanai</w:t>
      </w:r>
      <w:r w:rsidRPr="00A27896">
        <w:rPr>
          <w:rFonts w:cs="Times New Roman"/>
          <w:bCs/>
          <w:color w:val="17365D"/>
        </w:rPr>
        <w:t xml:space="preserve"> </w:t>
      </w:r>
      <w:r w:rsidR="00C054D4" w:rsidRPr="00A27896">
        <w:rPr>
          <w:rFonts w:cs="Times New Roman"/>
          <w:bCs/>
          <w:color w:val="17365D"/>
        </w:rPr>
        <w:t>pārskata gadā, ir (1</w:t>
      </w:r>
      <w:r w:rsidR="003C02FE" w:rsidRPr="00A27896">
        <w:rPr>
          <w:rFonts w:cs="Times New Roman"/>
          <w:bCs/>
          <w:color w:val="17365D"/>
        </w:rPr>
        <w:t>1</w:t>
      </w:r>
      <w:r w:rsidR="00C054D4" w:rsidRPr="00A27896">
        <w:rPr>
          <w:rFonts w:cs="Times New Roman"/>
          <w:bCs/>
          <w:color w:val="17365D"/>
        </w:rPr>
        <w:t>0 </w:t>
      </w:r>
      <w:r w:rsidR="003C02FE" w:rsidRPr="00A27896">
        <w:rPr>
          <w:rFonts w:cs="Times New Roman"/>
          <w:bCs/>
          <w:color w:val="17365D"/>
        </w:rPr>
        <w:t>962</w:t>
      </w:r>
      <w:r w:rsidR="00C054D4" w:rsidRPr="00A27896">
        <w:rPr>
          <w:rFonts w:cs="Times New Roman"/>
          <w:bCs/>
          <w:color w:val="17365D"/>
        </w:rPr>
        <w:t> </w:t>
      </w:r>
      <w:r w:rsidR="003C02FE" w:rsidRPr="00A27896">
        <w:rPr>
          <w:rFonts w:cs="Times New Roman"/>
          <w:bCs/>
          <w:color w:val="17365D"/>
        </w:rPr>
        <w:t>501</w:t>
      </w:r>
      <w:r w:rsidR="00C054D4" w:rsidRPr="00A27896">
        <w:rPr>
          <w:rFonts w:cs="Times New Roman"/>
          <w:bCs/>
          <w:color w:val="17365D"/>
        </w:rPr>
        <w:t xml:space="preserve">) </w:t>
      </w:r>
      <w:proofErr w:type="spellStart"/>
      <w:r w:rsidR="00C054D4" w:rsidRPr="00A27896">
        <w:rPr>
          <w:rFonts w:cs="Times New Roman"/>
          <w:bCs/>
          <w:i/>
          <w:color w:val="17365D"/>
        </w:rPr>
        <w:t>euro</w:t>
      </w:r>
      <w:proofErr w:type="spellEnd"/>
      <w:r w:rsidR="00C054D4" w:rsidRPr="00A27896">
        <w:rPr>
          <w:rFonts w:cs="Times New Roman"/>
          <w:bCs/>
          <w:color w:val="17365D"/>
        </w:rPr>
        <w:t xml:space="preserve">. </w:t>
      </w:r>
      <w:r w:rsidRPr="00A27896">
        <w:rPr>
          <w:rFonts w:cs="Times New Roman"/>
          <w:bCs/>
          <w:color w:val="17365D"/>
        </w:rPr>
        <w:t xml:space="preserve">Aktīvi paredzamo zaudējumu atlīdzināšanai atzīti </w:t>
      </w:r>
      <w:r w:rsidR="003C02FE" w:rsidRPr="00A27896">
        <w:rPr>
          <w:rFonts w:cs="Times New Roman"/>
          <w:bCs/>
          <w:color w:val="17365D"/>
        </w:rPr>
        <w:t>1 063</w:t>
      </w:r>
      <w:r w:rsidR="00EF4E4C" w:rsidRPr="00A27896">
        <w:rPr>
          <w:rFonts w:cs="Times New Roman"/>
          <w:bCs/>
          <w:color w:val="17365D"/>
        </w:rPr>
        <w:t> </w:t>
      </w:r>
      <w:r w:rsidR="003C02FE" w:rsidRPr="00A27896">
        <w:rPr>
          <w:rFonts w:cs="Times New Roman"/>
          <w:bCs/>
          <w:color w:val="17365D"/>
        </w:rPr>
        <w:t>012</w:t>
      </w:r>
      <w:r w:rsidR="008930E9" w:rsidRPr="00A27896" w:rsidDel="008930E9">
        <w:rPr>
          <w:rFonts w:cs="Times New Roman"/>
          <w:bCs/>
          <w:color w:val="17365D"/>
        </w:rPr>
        <w:t xml:space="preserve"> </w:t>
      </w:r>
      <w:proofErr w:type="spellStart"/>
      <w:r w:rsidRPr="00A27896">
        <w:rPr>
          <w:rFonts w:cs="Times New Roman"/>
          <w:bCs/>
          <w:i/>
          <w:color w:val="17365D"/>
        </w:rPr>
        <w:t>euro</w:t>
      </w:r>
      <w:proofErr w:type="spellEnd"/>
      <w:r w:rsidRPr="00A27896">
        <w:rPr>
          <w:rFonts w:cs="Times New Roman"/>
          <w:bCs/>
          <w:color w:val="17365D"/>
        </w:rPr>
        <w:t xml:space="preserve"> vērtībā tiesvedīb</w:t>
      </w:r>
      <w:r w:rsidR="009300CB" w:rsidRPr="00A27896">
        <w:rPr>
          <w:rFonts w:cs="Times New Roman"/>
          <w:bCs/>
          <w:color w:val="17365D"/>
        </w:rPr>
        <w:t>as procesu ietvaros</w:t>
      </w:r>
      <w:r w:rsidRPr="00A27896">
        <w:rPr>
          <w:rFonts w:cs="Times New Roman"/>
          <w:bCs/>
          <w:color w:val="17365D"/>
        </w:rPr>
        <w:t>.</w:t>
      </w:r>
    </w:p>
    <w:p w14:paraId="381AE2D0" w14:textId="3D376C93" w:rsidR="00FD2C7A" w:rsidRPr="00A27896" w:rsidRDefault="00377B9A" w:rsidP="00FD10CC">
      <w:pPr>
        <w:pStyle w:val="Heading3"/>
      </w:pPr>
      <w:r w:rsidRPr="00A27896">
        <w:t>Saistības</w:t>
      </w:r>
    </w:p>
    <w:p w14:paraId="7A7C12BC" w14:textId="563356C4" w:rsidR="00F30758" w:rsidRPr="00A27896" w:rsidRDefault="00377B9A" w:rsidP="00A27766">
      <w:pPr>
        <w:spacing w:after="120" w:line="240" w:lineRule="auto"/>
        <w:ind w:firstLine="284"/>
        <w:jc w:val="both"/>
        <w:rPr>
          <w:rFonts w:cs="Times New Roman"/>
          <w:color w:val="17365D"/>
        </w:rPr>
      </w:pPr>
      <w:r w:rsidRPr="00A27896">
        <w:rPr>
          <w:rFonts w:cs="Times New Roman"/>
          <w:color w:val="17365D"/>
        </w:rPr>
        <w:t>Saistības</w:t>
      </w:r>
      <w:r w:rsidR="00616585" w:rsidRPr="00A27896">
        <w:rPr>
          <w:rFonts w:cs="Times New Roman"/>
          <w:color w:val="17365D"/>
        </w:rPr>
        <w:t xml:space="preserve"> konsolidēt</w:t>
      </w:r>
      <w:r w:rsidRPr="00A27896">
        <w:rPr>
          <w:rFonts w:cs="Times New Roman"/>
          <w:color w:val="17365D"/>
        </w:rPr>
        <w:t>as</w:t>
      </w:r>
      <w:r w:rsidR="00616585" w:rsidRPr="00A27896">
        <w:rPr>
          <w:rFonts w:cs="Times New Roman"/>
          <w:color w:val="17365D"/>
        </w:rPr>
        <w:t xml:space="preserve"> par valsts iestāžu, kā arī valsts un pašvaldību budžeta iestāžu savstarpējiem un valsts budžeta finanšu uzskaites savstarpējiem </w:t>
      </w:r>
      <w:r w:rsidRPr="00A27896">
        <w:rPr>
          <w:rFonts w:cs="Times New Roman"/>
          <w:color w:val="17365D"/>
        </w:rPr>
        <w:t>prasību</w:t>
      </w:r>
      <w:r w:rsidR="00100A4B" w:rsidRPr="00A27896">
        <w:rPr>
          <w:rFonts w:cs="Times New Roman"/>
          <w:color w:val="17365D"/>
        </w:rPr>
        <w:t>, avansa maksājumu</w:t>
      </w:r>
      <w:r w:rsidR="00D360B4" w:rsidRPr="00A27896">
        <w:rPr>
          <w:rFonts w:cs="Times New Roman"/>
          <w:color w:val="17365D"/>
        </w:rPr>
        <w:t xml:space="preserve"> un </w:t>
      </w:r>
      <w:r w:rsidRPr="00A27896">
        <w:rPr>
          <w:rFonts w:cs="Times New Roman"/>
          <w:color w:val="17365D"/>
        </w:rPr>
        <w:t>saistību</w:t>
      </w:r>
      <w:r w:rsidR="00D360B4" w:rsidRPr="00A27896">
        <w:rPr>
          <w:rFonts w:cs="Times New Roman"/>
          <w:color w:val="17365D"/>
        </w:rPr>
        <w:t xml:space="preserve"> </w:t>
      </w:r>
      <w:r w:rsidR="00616585" w:rsidRPr="00A27896">
        <w:rPr>
          <w:rFonts w:cs="Times New Roman"/>
          <w:color w:val="17365D"/>
        </w:rPr>
        <w:t>atlikumiem.</w:t>
      </w:r>
    </w:p>
    <w:p w14:paraId="04E7B9F3" w14:textId="1E7DF834" w:rsidR="004214E1" w:rsidRPr="00A27896" w:rsidRDefault="00C67DF1" w:rsidP="005A3758">
      <w:pPr>
        <w:pStyle w:val="Heading4"/>
        <w:rPr>
          <w:rFonts w:cs="Times New Roman"/>
        </w:rPr>
      </w:pPr>
      <w:r w:rsidRPr="00A27896">
        <w:rPr>
          <w:rFonts w:cs="Times New Roman"/>
        </w:rPr>
        <w:t xml:space="preserve">Piezīme Nr. </w:t>
      </w:r>
      <w:r w:rsidR="00FD2C7A" w:rsidRPr="00A27896">
        <w:rPr>
          <w:rFonts w:cs="Times New Roman"/>
        </w:rPr>
        <w:t>KB.</w:t>
      </w:r>
      <w:r w:rsidR="005F1199" w:rsidRPr="00A27896">
        <w:rPr>
          <w:rFonts w:cs="Times New Roman"/>
        </w:rPr>
        <w:t>5</w:t>
      </w:r>
      <w:r w:rsidR="00FB303F" w:rsidRPr="00A27896">
        <w:rPr>
          <w:rFonts w:cs="Times New Roman"/>
        </w:rPr>
        <w:t>.1</w:t>
      </w:r>
      <w:r w:rsidR="00FD2C7A" w:rsidRPr="00A27896">
        <w:rPr>
          <w:rFonts w:cs="Times New Roman"/>
        </w:rPr>
        <w:t>. Ilgtermiņa saistības</w:t>
      </w:r>
    </w:p>
    <w:p w14:paraId="48D5584C" w14:textId="1C8236F7" w:rsidR="003E7A47" w:rsidRPr="00A27896" w:rsidRDefault="009D6A00" w:rsidP="00D511B3">
      <w:pPr>
        <w:pStyle w:val="Tabulasnosaukums1"/>
        <w:spacing w:before="100"/>
        <w:rPr>
          <w:rFonts w:cs="Times New Roman"/>
          <w:i/>
          <w:color w:val="17365D"/>
        </w:rPr>
      </w:pPr>
      <w:r w:rsidRPr="00A27896">
        <w:rPr>
          <w:rFonts w:cs="Times New Roman"/>
          <w:i/>
          <w:color w:val="17365D"/>
        </w:rPr>
        <w:t>2</w:t>
      </w:r>
      <w:r w:rsidR="002813ED" w:rsidRPr="00A27896">
        <w:rPr>
          <w:rFonts w:cs="Times New Roman"/>
          <w:i/>
          <w:color w:val="17365D"/>
        </w:rPr>
        <w:t>0</w:t>
      </w:r>
      <w:r w:rsidR="003E7A47" w:rsidRPr="00A27896">
        <w:rPr>
          <w:rFonts w:cs="Times New Roman"/>
          <w:i/>
          <w:color w:val="17365D"/>
        </w:rPr>
        <w:t>. tabula</w:t>
      </w:r>
      <w:r w:rsidR="00BF3156" w:rsidRPr="00A27896">
        <w:rPr>
          <w:rFonts w:cs="Times New Roman"/>
          <w:i/>
          <w:color w:val="17365D"/>
        </w:rPr>
        <w:t xml:space="preserve">. Ilgtermiņa saistības </w:t>
      </w:r>
      <w:r w:rsidR="00BF3156" w:rsidRPr="00A27896">
        <w:rPr>
          <w:rFonts w:eastAsia="Times New Roman" w:cs="Times New Roman"/>
          <w:i/>
          <w:color w:val="17365D"/>
          <w:szCs w:val="20"/>
          <w:lang w:eastAsia="lv-LV"/>
        </w:rPr>
        <w:t>(</w:t>
      </w:r>
      <w:proofErr w:type="spellStart"/>
      <w:r w:rsidR="002B2B21" w:rsidRPr="00A27896">
        <w:rPr>
          <w:rFonts w:eastAsia="Times New Roman" w:cs="Times New Roman"/>
          <w:i/>
          <w:color w:val="17365D"/>
          <w:szCs w:val="20"/>
          <w:lang w:eastAsia="lv-LV"/>
        </w:rPr>
        <w:t>euro</w:t>
      </w:r>
      <w:proofErr w:type="spellEnd"/>
      <w:r w:rsidR="00BF3156" w:rsidRPr="00A27896">
        <w:rPr>
          <w:rFonts w:eastAsia="Times New Roman" w:cs="Times New Roman"/>
          <w:i/>
          <w:color w:val="17365D"/>
          <w:szCs w:val="20"/>
          <w:lang w:eastAsia="lv-LV"/>
        </w:rPr>
        <w:t>)</w:t>
      </w:r>
    </w:p>
    <w:tbl>
      <w:tblPr>
        <w:tblW w:w="5001" w:type="pct"/>
        <w:tblBorders>
          <w:bottom w:val="single" w:sz="4" w:space="0" w:color="012169"/>
          <w:insideH w:val="single" w:sz="4" w:space="0" w:color="012169"/>
        </w:tblBorders>
        <w:tblLayout w:type="fixed"/>
        <w:tblLook w:val="04A0" w:firstRow="1" w:lastRow="0" w:firstColumn="1" w:lastColumn="0" w:noHBand="0" w:noVBand="1"/>
      </w:tblPr>
      <w:tblGrid>
        <w:gridCol w:w="2635"/>
        <w:gridCol w:w="969"/>
        <w:gridCol w:w="1519"/>
        <w:gridCol w:w="1519"/>
        <w:gridCol w:w="1531"/>
        <w:gridCol w:w="1183"/>
      </w:tblGrid>
      <w:tr w:rsidR="000C1009" w:rsidRPr="00A27896" w14:paraId="2401828D" w14:textId="77777777" w:rsidTr="002813ED">
        <w:trPr>
          <w:trHeight w:val="684"/>
          <w:tblHeader/>
        </w:trPr>
        <w:tc>
          <w:tcPr>
            <w:tcW w:w="1408" w:type="pct"/>
            <w:tcBorders>
              <w:top w:val="nil"/>
              <w:bottom w:val="single" w:sz="4" w:space="0" w:color="17365D"/>
            </w:tcBorders>
            <w:shd w:val="clear" w:color="auto" w:fill="B9CDE5"/>
            <w:vAlign w:val="center"/>
            <w:hideMark/>
          </w:tcPr>
          <w:p w14:paraId="3BA93E37"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518" w:type="pct"/>
            <w:tcBorders>
              <w:top w:val="nil"/>
              <w:bottom w:val="single" w:sz="4" w:space="0" w:color="17365D"/>
            </w:tcBorders>
            <w:shd w:val="clear" w:color="auto" w:fill="B9CDE5"/>
            <w:vAlign w:val="center"/>
            <w:hideMark/>
          </w:tcPr>
          <w:p w14:paraId="2A1B67D1" w14:textId="77777777" w:rsidR="00CE67E9" w:rsidRPr="00A27896" w:rsidRDefault="000D713A" w:rsidP="00CE67E9">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p>
          <w:p w14:paraId="66C49F51" w14:textId="69CE4AE0" w:rsidR="000D713A" w:rsidRPr="00A27896" w:rsidRDefault="000D713A" w:rsidP="00CE67E9">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Nr.</w:t>
            </w:r>
          </w:p>
        </w:tc>
        <w:tc>
          <w:tcPr>
            <w:tcW w:w="812" w:type="pct"/>
            <w:tcBorders>
              <w:top w:val="nil"/>
              <w:bottom w:val="single" w:sz="4" w:space="0" w:color="17365D"/>
            </w:tcBorders>
            <w:shd w:val="clear" w:color="auto" w:fill="B9CDE5"/>
            <w:vAlign w:val="center"/>
            <w:hideMark/>
          </w:tcPr>
          <w:p w14:paraId="2020D060"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812" w:type="pct"/>
            <w:tcBorders>
              <w:top w:val="nil"/>
              <w:bottom w:val="single" w:sz="4" w:space="0" w:color="17365D"/>
            </w:tcBorders>
            <w:shd w:val="clear" w:color="auto" w:fill="B9CDE5"/>
            <w:vAlign w:val="center"/>
            <w:hideMark/>
          </w:tcPr>
          <w:p w14:paraId="25E6C692"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818" w:type="pct"/>
            <w:tcBorders>
              <w:top w:val="nil"/>
              <w:bottom w:val="single" w:sz="4" w:space="0" w:color="17365D"/>
            </w:tcBorders>
            <w:shd w:val="clear" w:color="auto" w:fill="B9CDE5"/>
            <w:vAlign w:val="center"/>
            <w:hideMark/>
          </w:tcPr>
          <w:p w14:paraId="3040BAF8" w14:textId="77777777" w:rsidR="00CE67E9" w:rsidRPr="00A27896" w:rsidRDefault="000D713A" w:rsidP="00CE67E9">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p>
          <w:p w14:paraId="215CA4C2" w14:textId="1C98E2C7" w:rsidR="000D713A" w:rsidRPr="00A27896" w:rsidRDefault="000D713A" w:rsidP="00CE67E9">
            <w:pPr>
              <w:spacing w:after="0"/>
              <w:jc w:val="center"/>
              <w:rPr>
                <w:rFonts w:eastAsia="Times New Roman" w:cs="Times New Roman"/>
                <w:b/>
                <w:color w:val="17365D"/>
                <w:sz w:val="18"/>
                <w:szCs w:val="18"/>
                <w:lang w:eastAsia="lv-LV"/>
              </w:rPr>
            </w:pP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 </w:t>
            </w:r>
            <w:r w:rsidRPr="00A27896">
              <w:rPr>
                <w:rFonts w:eastAsia="Times New Roman" w:cs="Times New Roman"/>
                <w:b/>
                <w:color w:val="17365D"/>
                <w:sz w:val="18"/>
                <w:szCs w:val="18"/>
                <w:lang w:eastAsia="lv-LV"/>
              </w:rPr>
              <w:t>)</w:t>
            </w:r>
          </w:p>
        </w:tc>
        <w:tc>
          <w:tcPr>
            <w:tcW w:w="632" w:type="pct"/>
            <w:tcBorders>
              <w:top w:val="nil"/>
              <w:bottom w:val="single" w:sz="4" w:space="0" w:color="17365D"/>
            </w:tcBorders>
            <w:shd w:val="clear" w:color="auto" w:fill="B9CDE5"/>
            <w:vAlign w:val="center"/>
            <w:hideMark/>
          </w:tcPr>
          <w:p w14:paraId="7A297885" w14:textId="77777777" w:rsidR="000D713A" w:rsidRPr="00A27896" w:rsidRDefault="000D713A" w:rsidP="00946D05">
            <w:pPr>
              <w:spacing w:after="0"/>
              <w:ind w:right="-102"/>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41FDF4B3" w14:textId="77777777" w:rsidTr="002813ED">
        <w:trPr>
          <w:trHeight w:val="56"/>
          <w:tblHeader/>
        </w:trPr>
        <w:tc>
          <w:tcPr>
            <w:tcW w:w="1408" w:type="pct"/>
            <w:tcBorders>
              <w:top w:val="single" w:sz="4" w:space="0" w:color="17365D"/>
              <w:bottom w:val="single" w:sz="4" w:space="0" w:color="17365D"/>
            </w:tcBorders>
            <w:shd w:val="clear" w:color="auto" w:fill="auto"/>
            <w:vAlign w:val="center"/>
            <w:hideMark/>
          </w:tcPr>
          <w:p w14:paraId="68FA14FD" w14:textId="77777777" w:rsidR="000D713A" w:rsidRPr="00A27896" w:rsidRDefault="000D713A" w:rsidP="000D713A">
            <w:pPr>
              <w:spacing w:after="0"/>
              <w:jc w:val="center"/>
              <w:rPr>
                <w:rFonts w:eastAsia="Times New Roman" w:cs="Times New Roman"/>
                <w:b/>
                <w:color w:val="17365D"/>
                <w:sz w:val="18"/>
                <w:szCs w:val="18"/>
                <w:highlight w:val="yellow"/>
                <w:lang w:eastAsia="lv-LV"/>
              </w:rPr>
            </w:pPr>
            <w:r w:rsidRPr="00A27896">
              <w:rPr>
                <w:rFonts w:eastAsia="Times New Roman" w:cs="Times New Roman"/>
                <w:b/>
                <w:color w:val="17365D"/>
                <w:sz w:val="18"/>
                <w:szCs w:val="18"/>
                <w:lang w:eastAsia="lv-LV"/>
              </w:rPr>
              <w:t>A</w:t>
            </w:r>
          </w:p>
        </w:tc>
        <w:tc>
          <w:tcPr>
            <w:tcW w:w="518" w:type="pct"/>
            <w:tcBorders>
              <w:top w:val="single" w:sz="4" w:space="0" w:color="17365D"/>
              <w:bottom w:val="single" w:sz="4" w:space="0" w:color="17365D"/>
            </w:tcBorders>
            <w:shd w:val="clear" w:color="auto" w:fill="auto"/>
            <w:vAlign w:val="center"/>
            <w:hideMark/>
          </w:tcPr>
          <w:p w14:paraId="5D042FD6"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812" w:type="pct"/>
            <w:tcBorders>
              <w:top w:val="single" w:sz="4" w:space="0" w:color="17365D"/>
              <w:bottom w:val="single" w:sz="4" w:space="0" w:color="17365D"/>
            </w:tcBorders>
            <w:shd w:val="clear" w:color="auto" w:fill="auto"/>
            <w:vAlign w:val="center"/>
            <w:hideMark/>
          </w:tcPr>
          <w:p w14:paraId="04ABFD3D"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812" w:type="pct"/>
            <w:tcBorders>
              <w:top w:val="single" w:sz="4" w:space="0" w:color="17365D"/>
              <w:bottom w:val="single" w:sz="4" w:space="0" w:color="17365D"/>
            </w:tcBorders>
            <w:shd w:val="clear" w:color="auto" w:fill="auto"/>
            <w:vAlign w:val="center"/>
            <w:hideMark/>
          </w:tcPr>
          <w:p w14:paraId="551EAE21"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818" w:type="pct"/>
            <w:tcBorders>
              <w:top w:val="single" w:sz="4" w:space="0" w:color="17365D"/>
              <w:bottom w:val="single" w:sz="4" w:space="0" w:color="17365D"/>
            </w:tcBorders>
            <w:shd w:val="clear" w:color="auto" w:fill="auto"/>
            <w:vAlign w:val="center"/>
            <w:hideMark/>
          </w:tcPr>
          <w:p w14:paraId="150AFED5"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32" w:type="pct"/>
            <w:tcBorders>
              <w:top w:val="single" w:sz="4" w:space="0" w:color="17365D"/>
              <w:bottom w:val="single" w:sz="4" w:space="0" w:color="17365D"/>
            </w:tcBorders>
            <w:shd w:val="clear" w:color="auto" w:fill="auto"/>
            <w:vAlign w:val="center"/>
            <w:hideMark/>
          </w:tcPr>
          <w:p w14:paraId="61DEF8DC"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2813ED" w:rsidRPr="00A27896" w14:paraId="0A58262E" w14:textId="77777777" w:rsidTr="002813ED">
        <w:trPr>
          <w:trHeight w:val="240"/>
        </w:trPr>
        <w:tc>
          <w:tcPr>
            <w:tcW w:w="1408" w:type="pct"/>
            <w:tcBorders>
              <w:top w:val="single" w:sz="4" w:space="0" w:color="17365D"/>
              <w:bottom w:val="single" w:sz="4" w:space="0" w:color="17365D"/>
            </w:tcBorders>
            <w:shd w:val="clear" w:color="auto" w:fill="auto"/>
            <w:vAlign w:val="center"/>
            <w:hideMark/>
          </w:tcPr>
          <w:p w14:paraId="46A15CA1" w14:textId="44B90C01" w:rsidR="002813ED" w:rsidRPr="00A27896" w:rsidRDefault="002813ED" w:rsidP="002813ED">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Ilgtermiņa saistības </w:t>
            </w:r>
          </w:p>
        </w:tc>
        <w:tc>
          <w:tcPr>
            <w:tcW w:w="518" w:type="pct"/>
            <w:tcBorders>
              <w:top w:val="single" w:sz="4" w:space="0" w:color="17365D"/>
              <w:bottom w:val="single" w:sz="4" w:space="0" w:color="17365D"/>
            </w:tcBorders>
            <w:shd w:val="clear" w:color="auto" w:fill="auto"/>
            <w:vAlign w:val="center"/>
            <w:hideMark/>
          </w:tcPr>
          <w:p w14:paraId="376B7204" w14:textId="777927C5" w:rsidR="002813ED" w:rsidRPr="00A27896" w:rsidRDefault="002813ED" w:rsidP="000E5114">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KB.5.1.</w:t>
            </w:r>
          </w:p>
        </w:tc>
        <w:tc>
          <w:tcPr>
            <w:tcW w:w="812" w:type="pct"/>
            <w:tcBorders>
              <w:top w:val="single" w:sz="4" w:space="0" w:color="17365D"/>
              <w:left w:val="nil"/>
              <w:bottom w:val="single" w:sz="4" w:space="0" w:color="17365D"/>
              <w:right w:val="nil"/>
            </w:tcBorders>
            <w:shd w:val="clear" w:color="auto" w:fill="auto"/>
            <w:vAlign w:val="center"/>
          </w:tcPr>
          <w:p w14:paraId="3001E204" w14:textId="3A809F3D" w:rsidR="002813ED" w:rsidRPr="00A27896" w:rsidRDefault="002813ED" w:rsidP="002813ED">
            <w:pPr>
              <w:spacing w:after="0" w:line="240" w:lineRule="auto"/>
              <w:jc w:val="right"/>
              <w:rPr>
                <w:rFonts w:cs="Times New Roman"/>
                <w:b/>
                <w:color w:val="17365D"/>
                <w:sz w:val="18"/>
                <w:szCs w:val="18"/>
              </w:rPr>
            </w:pPr>
            <w:r w:rsidRPr="00A27896">
              <w:rPr>
                <w:rFonts w:cs="Times New Roman"/>
                <w:b/>
                <w:color w:val="17365D"/>
                <w:sz w:val="18"/>
                <w:szCs w:val="18"/>
              </w:rPr>
              <w:t>20 512 445 078</w:t>
            </w:r>
          </w:p>
        </w:tc>
        <w:tc>
          <w:tcPr>
            <w:tcW w:w="812" w:type="pct"/>
            <w:tcBorders>
              <w:top w:val="single" w:sz="4" w:space="0" w:color="17365D"/>
              <w:left w:val="nil"/>
              <w:bottom w:val="single" w:sz="4" w:space="0" w:color="17365D"/>
              <w:right w:val="nil"/>
            </w:tcBorders>
            <w:shd w:val="clear" w:color="auto" w:fill="auto"/>
            <w:vAlign w:val="center"/>
          </w:tcPr>
          <w:p w14:paraId="53486FC5" w14:textId="377A9893" w:rsidR="002813ED" w:rsidRPr="00A27896" w:rsidRDefault="002813ED" w:rsidP="002813ED">
            <w:pPr>
              <w:spacing w:after="0" w:line="240" w:lineRule="auto"/>
              <w:jc w:val="right"/>
              <w:rPr>
                <w:rFonts w:cs="Times New Roman"/>
                <w:b/>
                <w:color w:val="17365D"/>
                <w:sz w:val="18"/>
                <w:szCs w:val="18"/>
              </w:rPr>
            </w:pPr>
            <w:r w:rsidRPr="00A27896">
              <w:rPr>
                <w:rFonts w:cs="Times New Roman"/>
                <w:b/>
                <w:color w:val="17365D"/>
                <w:sz w:val="18"/>
                <w:szCs w:val="18"/>
              </w:rPr>
              <w:t>20 261 942 187</w:t>
            </w:r>
          </w:p>
        </w:tc>
        <w:tc>
          <w:tcPr>
            <w:tcW w:w="818" w:type="pct"/>
            <w:tcBorders>
              <w:top w:val="single" w:sz="4" w:space="0" w:color="17365D"/>
              <w:left w:val="nil"/>
              <w:bottom w:val="single" w:sz="4" w:space="0" w:color="17365D"/>
              <w:right w:val="nil"/>
            </w:tcBorders>
            <w:shd w:val="clear" w:color="auto" w:fill="auto"/>
            <w:noWrap/>
            <w:vAlign w:val="center"/>
          </w:tcPr>
          <w:p w14:paraId="1CF4BAE0" w14:textId="1C763EA6" w:rsidR="002813ED" w:rsidRPr="00A27896" w:rsidRDefault="002813ED" w:rsidP="002813ED">
            <w:pPr>
              <w:spacing w:after="0" w:line="240" w:lineRule="auto"/>
              <w:jc w:val="right"/>
              <w:rPr>
                <w:rFonts w:cs="Times New Roman"/>
                <w:b/>
                <w:color w:val="17365D"/>
                <w:sz w:val="18"/>
                <w:szCs w:val="18"/>
              </w:rPr>
            </w:pPr>
            <w:r w:rsidRPr="00A27896">
              <w:rPr>
                <w:rFonts w:cs="Times New Roman"/>
                <w:b/>
                <w:color w:val="17365D"/>
                <w:sz w:val="18"/>
                <w:szCs w:val="18"/>
              </w:rPr>
              <w:t>250 502 891</w:t>
            </w:r>
          </w:p>
        </w:tc>
        <w:tc>
          <w:tcPr>
            <w:tcW w:w="632" w:type="pct"/>
            <w:tcBorders>
              <w:top w:val="single" w:sz="4" w:space="0" w:color="17365D"/>
              <w:left w:val="nil"/>
              <w:bottom w:val="single" w:sz="4" w:space="0" w:color="17365D"/>
              <w:right w:val="nil"/>
            </w:tcBorders>
            <w:shd w:val="clear" w:color="auto" w:fill="auto"/>
            <w:noWrap/>
            <w:vAlign w:val="center"/>
          </w:tcPr>
          <w:p w14:paraId="73B1E2D6" w14:textId="73315476" w:rsidR="002813ED" w:rsidRPr="00A27896" w:rsidRDefault="002813ED" w:rsidP="002813ED">
            <w:pPr>
              <w:spacing w:after="0" w:line="240" w:lineRule="auto"/>
              <w:jc w:val="right"/>
              <w:rPr>
                <w:rFonts w:cs="Times New Roman"/>
                <w:b/>
                <w:color w:val="17365D"/>
                <w:sz w:val="18"/>
                <w:szCs w:val="18"/>
              </w:rPr>
            </w:pPr>
            <w:r w:rsidRPr="00A27896">
              <w:rPr>
                <w:rFonts w:cs="Times New Roman"/>
                <w:b/>
                <w:color w:val="17365D"/>
                <w:sz w:val="18"/>
                <w:szCs w:val="18"/>
              </w:rPr>
              <w:t>1.24</w:t>
            </w:r>
          </w:p>
        </w:tc>
      </w:tr>
      <w:tr w:rsidR="002813ED" w:rsidRPr="00A27896" w14:paraId="136FA23A" w14:textId="77777777" w:rsidTr="002813ED">
        <w:trPr>
          <w:trHeight w:val="240"/>
        </w:trPr>
        <w:tc>
          <w:tcPr>
            <w:tcW w:w="1408" w:type="pct"/>
            <w:tcBorders>
              <w:top w:val="single" w:sz="4" w:space="0" w:color="17365D"/>
              <w:bottom w:val="single" w:sz="4" w:space="0" w:color="17365D"/>
            </w:tcBorders>
            <w:shd w:val="clear" w:color="auto" w:fill="auto"/>
            <w:vAlign w:val="center"/>
            <w:hideMark/>
          </w:tcPr>
          <w:p w14:paraId="72BD5EB1" w14:textId="77777777" w:rsidR="002813ED" w:rsidRPr="00A27896" w:rsidRDefault="002813ED" w:rsidP="002813ED">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aizņēmumi</w:t>
            </w:r>
          </w:p>
        </w:tc>
        <w:tc>
          <w:tcPr>
            <w:tcW w:w="518" w:type="pct"/>
            <w:tcBorders>
              <w:top w:val="single" w:sz="4" w:space="0" w:color="17365D"/>
              <w:bottom w:val="single" w:sz="4" w:space="0" w:color="17365D"/>
            </w:tcBorders>
            <w:shd w:val="clear" w:color="auto" w:fill="auto"/>
            <w:noWrap/>
            <w:vAlign w:val="center"/>
            <w:hideMark/>
          </w:tcPr>
          <w:p w14:paraId="65E69E0A" w14:textId="666B0B91" w:rsidR="002813ED" w:rsidRPr="00A27896" w:rsidRDefault="002813ED" w:rsidP="002813ED">
            <w:pPr>
              <w:spacing w:after="0" w:line="240" w:lineRule="auto"/>
              <w:jc w:val="right"/>
              <w:rPr>
                <w:rFonts w:eastAsia="Times New Roman" w:cs="Times New Roman"/>
                <w:color w:val="17365D"/>
                <w:sz w:val="18"/>
                <w:szCs w:val="18"/>
                <w:lang w:eastAsia="lv-LV"/>
              </w:rPr>
            </w:pPr>
          </w:p>
        </w:tc>
        <w:tc>
          <w:tcPr>
            <w:tcW w:w="812" w:type="pct"/>
            <w:tcBorders>
              <w:top w:val="single" w:sz="4" w:space="0" w:color="17365D"/>
              <w:left w:val="nil"/>
              <w:bottom w:val="single" w:sz="4" w:space="0" w:color="17365D"/>
              <w:right w:val="nil"/>
            </w:tcBorders>
            <w:shd w:val="clear" w:color="auto" w:fill="auto"/>
            <w:vAlign w:val="center"/>
          </w:tcPr>
          <w:p w14:paraId="5B49DBA5" w14:textId="66995AFB"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2 148 035 486</w:t>
            </w:r>
          </w:p>
        </w:tc>
        <w:tc>
          <w:tcPr>
            <w:tcW w:w="812" w:type="pct"/>
            <w:tcBorders>
              <w:top w:val="single" w:sz="4" w:space="0" w:color="17365D"/>
              <w:left w:val="nil"/>
              <w:bottom w:val="single" w:sz="4" w:space="0" w:color="17365D"/>
              <w:right w:val="nil"/>
            </w:tcBorders>
            <w:shd w:val="clear" w:color="auto" w:fill="auto"/>
            <w:vAlign w:val="center"/>
          </w:tcPr>
          <w:p w14:paraId="3B7C2601" w14:textId="66485874"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2 102 538 169</w:t>
            </w:r>
          </w:p>
        </w:tc>
        <w:tc>
          <w:tcPr>
            <w:tcW w:w="818" w:type="pct"/>
            <w:tcBorders>
              <w:top w:val="single" w:sz="4" w:space="0" w:color="17365D"/>
              <w:left w:val="nil"/>
              <w:bottom w:val="single" w:sz="4" w:space="0" w:color="17365D"/>
              <w:right w:val="nil"/>
            </w:tcBorders>
            <w:shd w:val="clear" w:color="auto" w:fill="auto"/>
            <w:noWrap/>
            <w:vAlign w:val="center"/>
          </w:tcPr>
          <w:p w14:paraId="24CABEC5" w14:textId="53A35F9C"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45 497 317</w:t>
            </w:r>
          </w:p>
        </w:tc>
        <w:tc>
          <w:tcPr>
            <w:tcW w:w="632" w:type="pct"/>
            <w:tcBorders>
              <w:top w:val="single" w:sz="4" w:space="0" w:color="17365D"/>
              <w:left w:val="nil"/>
              <w:bottom w:val="single" w:sz="4" w:space="0" w:color="17365D"/>
              <w:right w:val="nil"/>
            </w:tcBorders>
            <w:shd w:val="clear" w:color="auto" w:fill="auto"/>
            <w:noWrap/>
            <w:vAlign w:val="center"/>
          </w:tcPr>
          <w:p w14:paraId="11054D35" w14:textId="043F45D9"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2.16</w:t>
            </w:r>
          </w:p>
        </w:tc>
      </w:tr>
      <w:tr w:rsidR="002813ED" w:rsidRPr="00A27896" w14:paraId="725A2ED0" w14:textId="77777777" w:rsidTr="002813ED">
        <w:trPr>
          <w:trHeight w:val="240"/>
        </w:trPr>
        <w:tc>
          <w:tcPr>
            <w:tcW w:w="1408" w:type="pct"/>
            <w:tcBorders>
              <w:top w:val="single" w:sz="4" w:space="0" w:color="17365D"/>
              <w:bottom w:val="single" w:sz="4" w:space="0" w:color="17365D"/>
              <w:right w:val="nil"/>
            </w:tcBorders>
            <w:shd w:val="clear" w:color="auto" w:fill="auto"/>
            <w:vAlign w:val="center"/>
            <w:hideMark/>
          </w:tcPr>
          <w:p w14:paraId="6387FFE6" w14:textId="110885A9" w:rsidR="002813ED" w:rsidRPr="00A27896" w:rsidRDefault="002813ED" w:rsidP="002813ED">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saistības pret piegādātājiem un darbuzņēmējiem</w:t>
            </w:r>
          </w:p>
        </w:tc>
        <w:tc>
          <w:tcPr>
            <w:tcW w:w="518" w:type="pct"/>
            <w:tcBorders>
              <w:top w:val="single" w:sz="4" w:space="0" w:color="17365D"/>
              <w:left w:val="nil"/>
              <w:bottom w:val="single" w:sz="4" w:space="0" w:color="17365D"/>
              <w:right w:val="nil"/>
            </w:tcBorders>
            <w:shd w:val="clear" w:color="auto" w:fill="auto"/>
            <w:noWrap/>
            <w:vAlign w:val="center"/>
            <w:hideMark/>
          </w:tcPr>
          <w:p w14:paraId="73711057" w14:textId="3D4BDA33" w:rsidR="002813ED" w:rsidRPr="00A27896" w:rsidRDefault="002813ED" w:rsidP="002813ED">
            <w:pPr>
              <w:spacing w:after="0" w:line="240" w:lineRule="auto"/>
              <w:jc w:val="right"/>
              <w:rPr>
                <w:rFonts w:eastAsia="Times New Roman" w:cs="Times New Roman"/>
                <w:color w:val="17365D"/>
                <w:sz w:val="18"/>
                <w:szCs w:val="18"/>
                <w:lang w:eastAsia="lv-LV"/>
              </w:rPr>
            </w:pPr>
          </w:p>
        </w:tc>
        <w:tc>
          <w:tcPr>
            <w:tcW w:w="812" w:type="pct"/>
            <w:tcBorders>
              <w:top w:val="single" w:sz="4" w:space="0" w:color="17365D"/>
              <w:left w:val="nil"/>
              <w:bottom w:val="single" w:sz="4" w:space="0" w:color="17365D"/>
              <w:right w:val="nil"/>
            </w:tcBorders>
            <w:shd w:val="clear" w:color="auto" w:fill="auto"/>
            <w:vAlign w:val="center"/>
          </w:tcPr>
          <w:p w14:paraId="538CC820" w14:textId="355AA58E"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18 099 864</w:t>
            </w:r>
          </w:p>
        </w:tc>
        <w:tc>
          <w:tcPr>
            <w:tcW w:w="812" w:type="pct"/>
            <w:tcBorders>
              <w:top w:val="single" w:sz="4" w:space="0" w:color="17365D"/>
              <w:left w:val="nil"/>
              <w:bottom w:val="single" w:sz="4" w:space="0" w:color="17365D"/>
              <w:right w:val="nil"/>
            </w:tcBorders>
            <w:shd w:val="clear" w:color="auto" w:fill="auto"/>
            <w:vAlign w:val="center"/>
          </w:tcPr>
          <w:p w14:paraId="5AE64A77" w14:textId="72D5CC39"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21 310 994</w:t>
            </w:r>
          </w:p>
        </w:tc>
        <w:tc>
          <w:tcPr>
            <w:tcW w:w="818" w:type="pct"/>
            <w:tcBorders>
              <w:top w:val="single" w:sz="4" w:space="0" w:color="17365D"/>
              <w:left w:val="nil"/>
              <w:bottom w:val="single" w:sz="4" w:space="0" w:color="17365D"/>
              <w:right w:val="nil"/>
            </w:tcBorders>
            <w:shd w:val="clear" w:color="auto" w:fill="auto"/>
            <w:noWrap/>
            <w:vAlign w:val="center"/>
          </w:tcPr>
          <w:p w14:paraId="4FC3A513" w14:textId="58D2D795"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-3 211 130</w:t>
            </w:r>
          </w:p>
        </w:tc>
        <w:tc>
          <w:tcPr>
            <w:tcW w:w="632" w:type="pct"/>
            <w:tcBorders>
              <w:top w:val="single" w:sz="4" w:space="0" w:color="17365D"/>
              <w:left w:val="nil"/>
              <w:bottom w:val="single" w:sz="4" w:space="0" w:color="17365D"/>
              <w:right w:val="nil"/>
            </w:tcBorders>
            <w:shd w:val="clear" w:color="auto" w:fill="auto"/>
            <w:noWrap/>
            <w:vAlign w:val="center"/>
          </w:tcPr>
          <w:p w14:paraId="1FA0AEAF" w14:textId="7FA7FB5B"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-15.07</w:t>
            </w:r>
          </w:p>
        </w:tc>
      </w:tr>
      <w:tr w:rsidR="002813ED" w:rsidRPr="00A27896" w14:paraId="42D2ABF2" w14:textId="77777777" w:rsidTr="002813ED">
        <w:trPr>
          <w:trHeight w:val="54"/>
        </w:trPr>
        <w:tc>
          <w:tcPr>
            <w:tcW w:w="1408" w:type="pct"/>
            <w:tcBorders>
              <w:top w:val="single" w:sz="4" w:space="0" w:color="17365D"/>
              <w:bottom w:val="single" w:sz="4" w:space="0" w:color="17365D"/>
            </w:tcBorders>
            <w:shd w:val="clear" w:color="auto" w:fill="auto"/>
            <w:vAlign w:val="center"/>
            <w:hideMark/>
          </w:tcPr>
          <w:p w14:paraId="3AB52690" w14:textId="77777777" w:rsidR="002813ED" w:rsidRPr="00A27896" w:rsidRDefault="002813ED" w:rsidP="002813ED">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uzkrātās saistības</w:t>
            </w:r>
          </w:p>
        </w:tc>
        <w:tc>
          <w:tcPr>
            <w:tcW w:w="518" w:type="pct"/>
            <w:tcBorders>
              <w:top w:val="single" w:sz="4" w:space="0" w:color="17365D"/>
              <w:bottom w:val="single" w:sz="4" w:space="0" w:color="17365D"/>
            </w:tcBorders>
            <w:shd w:val="clear" w:color="auto" w:fill="auto"/>
            <w:noWrap/>
            <w:vAlign w:val="center"/>
          </w:tcPr>
          <w:p w14:paraId="52953A94" w14:textId="41EF2728" w:rsidR="002813ED" w:rsidRPr="00A27896" w:rsidRDefault="002813ED" w:rsidP="002813ED">
            <w:pPr>
              <w:spacing w:after="0" w:line="240" w:lineRule="auto"/>
              <w:jc w:val="right"/>
              <w:rPr>
                <w:rFonts w:eastAsia="Times New Roman" w:cs="Times New Roman"/>
                <w:color w:val="17365D"/>
                <w:sz w:val="18"/>
                <w:szCs w:val="18"/>
                <w:lang w:eastAsia="lv-LV"/>
              </w:rPr>
            </w:pPr>
          </w:p>
        </w:tc>
        <w:tc>
          <w:tcPr>
            <w:tcW w:w="812" w:type="pct"/>
            <w:tcBorders>
              <w:top w:val="single" w:sz="4" w:space="0" w:color="17365D"/>
              <w:left w:val="nil"/>
              <w:bottom w:val="single" w:sz="4" w:space="0" w:color="17365D"/>
              <w:right w:val="nil"/>
            </w:tcBorders>
            <w:shd w:val="clear" w:color="auto" w:fill="auto"/>
            <w:vAlign w:val="center"/>
          </w:tcPr>
          <w:p w14:paraId="41F5188E" w14:textId="6C31C5C5"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65 522 476</w:t>
            </w:r>
          </w:p>
        </w:tc>
        <w:tc>
          <w:tcPr>
            <w:tcW w:w="812" w:type="pct"/>
            <w:tcBorders>
              <w:top w:val="single" w:sz="4" w:space="0" w:color="17365D"/>
              <w:left w:val="nil"/>
              <w:bottom w:val="single" w:sz="4" w:space="0" w:color="17365D"/>
              <w:right w:val="nil"/>
            </w:tcBorders>
            <w:shd w:val="clear" w:color="auto" w:fill="auto"/>
            <w:vAlign w:val="center"/>
          </w:tcPr>
          <w:p w14:paraId="72BBE2CA" w14:textId="760A7372"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91 703 563</w:t>
            </w:r>
          </w:p>
        </w:tc>
        <w:tc>
          <w:tcPr>
            <w:tcW w:w="818" w:type="pct"/>
            <w:tcBorders>
              <w:top w:val="single" w:sz="4" w:space="0" w:color="17365D"/>
              <w:left w:val="nil"/>
              <w:bottom w:val="single" w:sz="4" w:space="0" w:color="17365D"/>
              <w:right w:val="nil"/>
            </w:tcBorders>
            <w:shd w:val="clear" w:color="auto" w:fill="auto"/>
            <w:noWrap/>
            <w:vAlign w:val="center"/>
          </w:tcPr>
          <w:p w14:paraId="2CF84C1B" w14:textId="1CCD1C6C"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-26 181 087</w:t>
            </w:r>
          </w:p>
        </w:tc>
        <w:tc>
          <w:tcPr>
            <w:tcW w:w="632" w:type="pct"/>
            <w:tcBorders>
              <w:top w:val="single" w:sz="4" w:space="0" w:color="17365D"/>
              <w:left w:val="nil"/>
              <w:bottom w:val="single" w:sz="4" w:space="0" w:color="17365D"/>
              <w:right w:val="nil"/>
            </w:tcBorders>
            <w:shd w:val="clear" w:color="auto" w:fill="auto"/>
            <w:noWrap/>
            <w:vAlign w:val="center"/>
          </w:tcPr>
          <w:p w14:paraId="4C8C70DD" w14:textId="30952380"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-28.55</w:t>
            </w:r>
          </w:p>
        </w:tc>
      </w:tr>
      <w:tr w:rsidR="002813ED" w:rsidRPr="00A27896" w14:paraId="57C61EE4" w14:textId="77777777" w:rsidTr="002813ED">
        <w:trPr>
          <w:trHeight w:val="113"/>
        </w:trPr>
        <w:tc>
          <w:tcPr>
            <w:tcW w:w="1408" w:type="pct"/>
            <w:tcBorders>
              <w:top w:val="single" w:sz="4" w:space="0" w:color="17365D"/>
              <w:bottom w:val="single" w:sz="4" w:space="0" w:color="17365D"/>
            </w:tcBorders>
            <w:shd w:val="clear" w:color="auto" w:fill="auto"/>
            <w:vAlign w:val="center"/>
            <w:hideMark/>
          </w:tcPr>
          <w:p w14:paraId="271B3EB4" w14:textId="77777777" w:rsidR="002813ED" w:rsidRPr="00A27896" w:rsidRDefault="002813ED" w:rsidP="002813ED">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nākamo periodu ieņēmumi un saņemtie avansi</w:t>
            </w:r>
          </w:p>
        </w:tc>
        <w:tc>
          <w:tcPr>
            <w:tcW w:w="518" w:type="pct"/>
            <w:tcBorders>
              <w:top w:val="single" w:sz="4" w:space="0" w:color="17365D"/>
              <w:bottom w:val="single" w:sz="4" w:space="0" w:color="17365D"/>
            </w:tcBorders>
            <w:shd w:val="clear" w:color="auto" w:fill="auto"/>
            <w:noWrap/>
            <w:vAlign w:val="center"/>
          </w:tcPr>
          <w:p w14:paraId="5B41466C" w14:textId="5A82DC38" w:rsidR="002813ED" w:rsidRPr="00A27896" w:rsidRDefault="002813ED" w:rsidP="002813ED">
            <w:pPr>
              <w:spacing w:after="0" w:line="240" w:lineRule="auto"/>
              <w:jc w:val="right"/>
              <w:rPr>
                <w:rFonts w:eastAsia="Times New Roman" w:cs="Times New Roman"/>
                <w:color w:val="17365D"/>
                <w:sz w:val="18"/>
                <w:szCs w:val="18"/>
                <w:lang w:eastAsia="lv-LV"/>
              </w:rPr>
            </w:pPr>
          </w:p>
        </w:tc>
        <w:tc>
          <w:tcPr>
            <w:tcW w:w="812" w:type="pct"/>
            <w:tcBorders>
              <w:top w:val="single" w:sz="4" w:space="0" w:color="17365D"/>
              <w:left w:val="nil"/>
              <w:bottom w:val="single" w:sz="4" w:space="0" w:color="17365D"/>
              <w:right w:val="nil"/>
            </w:tcBorders>
            <w:shd w:val="clear" w:color="auto" w:fill="auto"/>
            <w:vAlign w:val="center"/>
          </w:tcPr>
          <w:p w14:paraId="72377E90" w14:textId="13102776"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274 616 060</w:t>
            </w:r>
          </w:p>
        </w:tc>
        <w:tc>
          <w:tcPr>
            <w:tcW w:w="812" w:type="pct"/>
            <w:tcBorders>
              <w:top w:val="single" w:sz="4" w:space="0" w:color="17365D"/>
              <w:left w:val="nil"/>
              <w:bottom w:val="single" w:sz="4" w:space="0" w:color="17365D"/>
              <w:right w:val="nil"/>
            </w:tcBorders>
            <w:shd w:val="clear" w:color="auto" w:fill="auto"/>
            <w:vAlign w:val="center"/>
          </w:tcPr>
          <w:p w14:paraId="55FF58A4" w14:textId="78B2B1E6"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205 863 589</w:t>
            </w:r>
          </w:p>
        </w:tc>
        <w:tc>
          <w:tcPr>
            <w:tcW w:w="818" w:type="pct"/>
            <w:tcBorders>
              <w:top w:val="single" w:sz="4" w:space="0" w:color="17365D"/>
              <w:left w:val="nil"/>
              <w:bottom w:val="single" w:sz="4" w:space="0" w:color="17365D"/>
              <w:right w:val="nil"/>
            </w:tcBorders>
            <w:shd w:val="clear" w:color="auto" w:fill="auto"/>
            <w:noWrap/>
            <w:vAlign w:val="center"/>
          </w:tcPr>
          <w:p w14:paraId="3FF86F02" w14:textId="47EC4E23"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68 752 471</w:t>
            </w:r>
          </w:p>
        </w:tc>
        <w:tc>
          <w:tcPr>
            <w:tcW w:w="632" w:type="pct"/>
            <w:tcBorders>
              <w:top w:val="single" w:sz="4" w:space="0" w:color="17365D"/>
              <w:left w:val="nil"/>
              <w:bottom w:val="single" w:sz="4" w:space="0" w:color="17365D"/>
              <w:right w:val="nil"/>
            </w:tcBorders>
            <w:shd w:val="clear" w:color="auto" w:fill="auto"/>
            <w:noWrap/>
            <w:vAlign w:val="center"/>
          </w:tcPr>
          <w:p w14:paraId="38C77AFD" w14:textId="3F335CF7"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33.40</w:t>
            </w:r>
          </w:p>
        </w:tc>
      </w:tr>
      <w:tr w:rsidR="002813ED" w:rsidRPr="00A27896" w14:paraId="0E3AA838" w14:textId="77777777" w:rsidTr="002813ED">
        <w:trPr>
          <w:trHeight w:val="113"/>
        </w:trPr>
        <w:tc>
          <w:tcPr>
            <w:tcW w:w="1408" w:type="pct"/>
            <w:tcBorders>
              <w:top w:val="single" w:sz="4" w:space="0" w:color="17365D"/>
              <w:bottom w:val="single" w:sz="4" w:space="0" w:color="17365D"/>
              <w:right w:val="nil"/>
            </w:tcBorders>
            <w:shd w:val="clear" w:color="auto" w:fill="auto"/>
            <w:vAlign w:val="center"/>
            <w:hideMark/>
          </w:tcPr>
          <w:p w14:paraId="79545FD2" w14:textId="77777777" w:rsidR="002813ED" w:rsidRPr="00A27896" w:rsidRDefault="002813ED" w:rsidP="002813ED">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Emitēto obligāciju un citu parāda vērtspapīru ilgtermiņa daļa</w:t>
            </w:r>
          </w:p>
        </w:tc>
        <w:tc>
          <w:tcPr>
            <w:tcW w:w="518" w:type="pct"/>
            <w:tcBorders>
              <w:top w:val="single" w:sz="4" w:space="0" w:color="17365D"/>
              <w:left w:val="nil"/>
              <w:bottom w:val="single" w:sz="4" w:space="0" w:color="17365D"/>
              <w:right w:val="nil"/>
            </w:tcBorders>
            <w:shd w:val="clear" w:color="auto" w:fill="auto"/>
            <w:noWrap/>
            <w:vAlign w:val="center"/>
          </w:tcPr>
          <w:p w14:paraId="34ECE83C" w14:textId="0EBDF3CA" w:rsidR="002813ED" w:rsidRPr="00A27896" w:rsidRDefault="002813ED" w:rsidP="002813ED">
            <w:pPr>
              <w:spacing w:after="0" w:line="240" w:lineRule="auto"/>
              <w:jc w:val="right"/>
              <w:rPr>
                <w:rFonts w:cs="Times New Roman"/>
                <w:color w:val="17365D"/>
                <w:sz w:val="18"/>
                <w:szCs w:val="18"/>
              </w:rPr>
            </w:pPr>
          </w:p>
        </w:tc>
        <w:tc>
          <w:tcPr>
            <w:tcW w:w="812" w:type="pct"/>
            <w:tcBorders>
              <w:top w:val="single" w:sz="4" w:space="0" w:color="17365D"/>
              <w:left w:val="nil"/>
              <w:bottom w:val="single" w:sz="4" w:space="0" w:color="17365D"/>
              <w:right w:val="nil"/>
            </w:tcBorders>
            <w:shd w:val="clear" w:color="auto" w:fill="auto"/>
            <w:vAlign w:val="center"/>
          </w:tcPr>
          <w:p w14:paraId="7F9623D4" w14:textId="13751EE2"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11 885 848 574</w:t>
            </w:r>
          </w:p>
        </w:tc>
        <w:tc>
          <w:tcPr>
            <w:tcW w:w="812" w:type="pct"/>
            <w:tcBorders>
              <w:top w:val="single" w:sz="4" w:space="0" w:color="17365D"/>
              <w:left w:val="nil"/>
              <w:bottom w:val="single" w:sz="4" w:space="0" w:color="17365D"/>
              <w:right w:val="nil"/>
            </w:tcBorders>
            <w:shd w:val="clear" w:color="auto" w:fill="auto"/>
            <w:vAlign w:val="center"/>
          </w:tcPr>
          <w:p w14:paraId="3DE97AA5" w14:textId="06C4E263"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11 372 225 460</w:t>
            </w:r>
          </w:p>
        </w:tc>
        <w:tc>
          <w:tcPr>
            <w:tcW w:w="818" w:type="pct"/>
            <w:tcBorders>
              <w:top w:val="single" w:sz="4" w:space="0" w:color="17365D"/>
              <w:left w:val="nil"/>
              <w:bottom w:val="single" w:sz="4" w:space="0" w:color="17365D"/>
              <w:right w:val="nil"/>
            </w:tcBorders>
            <w:shd w:val="clear" w:color="auto" w:fill="auto"/>
            <w:noWrap/>
            <w:vAlign w:val="center"/>
          </w:tcPr>
          <w:p w14:paraId="4112E4E2" w14:textId="53EF7734"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513 623 114</w:t>
            </w:r>
          </w:p>
        </w:tc>
        <w:tc>
          <w:tcPr>
            <w:tcW w:w="632" w:type="pct"/>
            <w:tcBorders>
              <w:top w:val="single" w:sz="4" w:space="0" w:color="17365D"/>
              <w:left w:val="nil"/>
              <w:bottom w:val="single" w:sz="4" w:space="0" w:color="17365D"/>
              <w:right w:val="nil"/>
            </w:tcBorders>
            <w:shd w:val="clear" w:color="auto" w:fill="auto"/>
            <w:noWrap/>
            <w:vAlign w:val="center"/>
          </w:tcPr>
          <w:p w14:paraId="0CE37CE2" w14:textId="0015F59F"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4.52</w:t>
            </w:r>
          </w:p>
        </w:tc>
      </w:tr>
      <w:tr w:rsidR="002813ED" w:rsidRPr="00A27896" w14:paraId="135E9EC7" w14:textId="77777777" w:rsidTr="002813ED">
        <w:trPr>
          <w:trHeight w:val="240"/>
        </w:trPr>
        <w:tc>
          <w:tcPr>
            <w:tcW w:w="1408" w:type="pct"/>
            <w:tcBorders>
              <w:top w:val="single" w:sz="4" w:space="0" w:color="17365D"/>
              <w:bottom w:val="single" w:sz="4" w:space="0" w:color="17365D"/>
            </w:tcBorders>
            <w:shd w:val="clear" w:color="auto" w:fill="auto"/>
            <w:vAlign w:val="center"/>
            <w:hideMark/>
          </w:tcPr>
          <w:p w14:paraId="669BE8A4" w14:textId="77777777" w:rsidR="002813ED" w:rsidRPr="00A27896" w:rsidRDefault="002813ED" w:rsidP="002813ED">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Pārējās ilgtermiņa saistības</w:t>
            </w:r>
          </w:p>
        </w:tc>
        <w:tc>
          <w:tcPr>
            <w:tcW w:w="518" w:type="pct"/>
            <w:tcBorders>
              <w:top w:val="single" w:sz="4" w:space="0" w:color="17365D"/>
              <w:bottom w:val="single" w:sz="4" w:space="0" w:color="17365D"/>
            </w:tcBorders>
            <w:shd w:val="clear" w:color="auto" w:fill="auto"/>
            <w:noWrap/>
            <w:vAlign w:val="center"/>
          </w:tcPr>
          <w:p w14:paraId="0638D74A" w14:textId="283E4016" w:rsidR="002813ED" w:rsidRPr="00A27896" w:rsidRDefault="002813ED" w:rsidP="002813ED">
            <w:pPr>
              <w:spacing w:after="0" w:line="240" w:lineRule="auto"/>
              <w:jc w:val="right"/>
              <w:rPr>
                <w:rFonts w:eastAsia="Times New Roman" w:cs="Times New Roman"/>
                <w:color w:val="17365D"/>
                <w:sz w:val="18"/>
                <w:szCs w:val="18"/>
                <w:lang w:eastAsia="lv-LV"/>
              </w:rPr>
            </w:pPr>
          </w:p>
        </w:tc>
        <w:tc>
          <w:tcPr>
            <w:tcW w:w="812" w:type="pct"/>
            <w:tcBorders>
              <w:top w:val="single" w:sz="4" w:space="0" w:color="17365D"/>
              <w:left w:val="nil"/>
              <w:bottom w:val="single" w:sz="4" w:space="0" w:color="17365D"/>
              <w:right w:val="nil"/>
            </w:tcBorders>
            <w:shd w:val="clear" w:color="auto" w:fill="auto"/>
            <w:vAlign w:val="center"/>
          </w:tcPr>
          <w:p w14:paraId="4DA7E116" w14:textId="770A4C3E"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6 120 322 618</w:t>
            </w:r>
          </w:p>
        </w:tc>
        <w:tc>
          <w:tcPr>
            <w:tcW w:w="812" w:type="pct"/>
            <w:tcBorders>
              <w:top w:val="single" w:sz="4" w:space="0" w:color="17365D"/>
              <w:left w:val="nil"/>
              <w:bottom w:val="single" w:sz="4" w:space="0" w:color="17365D"/>
              <w:right w:val="nil"/>
            </w:tcBorders>
            <w:shd w:val="clear" w:color="auto" w:fill="auto"/>
            <w:vAlign w:val="center"/>
          </w:tcPr>
          <w:p w14:paraId="3C72F377" w14:textId="04E850E9"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6 468 300 412</w:t>
            </w:r>
          </w:p>
        </w:tc>
        <w:tc>
          <w:tcPr>
            <w:tcW w:w="818" w:type="pct"/>
            <w:tcBorders>
              <w:top w:val="single" w:sz="4" w:space="0" w:color="17365D"/>
              <w:left w:val="nil"/>
              <w:bottom w:val="single" w:sz="4" w:space="0" w:color="17365D"/>
              <w:right w:val="nil"/>
            </w:tcBorders>
            <w:shd w:val="clear" w:color="auto" w:fill="auto"/>
            <w:noWrap/>
            <w:vAlign w:val="center"/>
          </w:tcPr>
          <w:p w14:paraId="20F2FA58" w14:textId="1903DB8D"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-347 977 794</w:t>
            </w:r>
          </w:p>
        </w:tc>
        <w:tc>
          <w:tcPr>
            <w:tcW w:w="632" w:type="pct"/>
            <w:tcBorders>
              <w:top w:val="single" w:sz="4" w:space="0" w:color="17365D"/>
              <w:left w:val="nil"/>
              <w:bottom w:val="single" w:sz="4" w:space="0" w:color="17365D"/>
              <w:right w:val="nil"/>
            </w:tcBorders>
            <w:shd w:val="clear" w:color="auto" w:fill="auto"/>
            <w:noWrap/>
            <w:vAlign w:val="center"/>
          </w:tcPr>
          <w:p w14:paraId="247ABAD7" w14:textId="5E5A734B" w:rsidR="002813ED" w:rsidRPr="00A27896" w:rsidRDefault="002813ED" w:rsidP="002813ED">
            <w:pPr>
              <w:spacing w:after="0" w:line="240" w:lineRule="auto"/>
              <w:jc w:val="right"/>
              <w:rPr>
                <w:rFonts w:cs="Times New Roman"/>
                <w:color w:val="17365D"/>
                <w:sz w:val="18"/>
                <w:szCs w:val="18"/>
              </w:rPr>
            </w:pPr>
            <w:r w:rsidRPr="00A27896">
              <w:rPr>
                <w:rFonts w:cs="Times New Roman"/>
                <w:color w:val="17365D"/>
                <w:sz w:val="18"/>
                <w:szCs w:val="18"/>
              </w:rPr>
              <w:t>-5.38</w:t>
            </w:r>
          </w:p>
        </w:tc>
      </w:tr>
      <w:tr w:rsidR="000C1009" w:rsidRPr="00A27896" w14:paraId="2511B291" w14:textId="77777777" w:rsidTr="002813ED">
        <w:trPr>
          <w:trHeight w:val="56"/>
        </w:trPr>
        <w:tc>
          <w:tcPr>
            <w:tcW w:w="1408" w:type="pct"/>
            <w:tcBorders>
              <w:top w:val="single" w:sz="4" w:space="0" w:color="17365D"/>
              <w:bottom w:val="nil"/>
            </w:tcBorders>
            <w:shd w:val="clear" w:color="auto" w:fill="B9CDE5"/>
            <w:vAlign w:val="center"/>
          </w:tcPr>
          <w:p w14:paraId="2FFDF583" w14:textId="77777777" w:rsidR="00282143" w:rsidRPr="00A27896" w:rsidRDefault="00282143" w:rsidP="00282143">
            <w:pPr>
              <w:spacing w:after="0"/>
              <w:rPr>
                <w:rFonts w:eastAsia="Times New Roman" w:cs="Times New Roman"/>
                <w:color w:val="17365D"/>
                <w:sz w:val="18"/>
                <w:szCs w:val="18"/>
                <w:lang w:eastAsia="lv-LV"/>
              </w:rPr>
            </w:pPr>
          </w:p>
        </w:tc>
        <w:tc>
          <w:tcPr>
            <w:tcW w:w="518" w:type="pct"/>
            <w:tcBorders>
              <w:top w:val="single" w:sz="4" w:space="0" w:color="17365D"/>
              <w:bottom w:val="nil"/>
            </w:tcBorders>
            <w:shd w:val="clear" w:color="auto" w:fill="B9CDE5"/>
            <w:noWrap/>
            <w:vAlign w:val="center"/>
          </w:tcPr>
          <w:p w14:paraId="3CC0656D" w14:textId="77777777" w:rsidR="00282143" w:rsidRPr="00A27896" w:rsidRDefault="00282143" w:rsidP="00282143">
            <w:pPr>
              <w:spacing w:after="0"/>
              <w:jc w:val="center"/>
              <w:rPr>
                <w:rFonts w:eastAsia="Times New Roman" w:cs="Times New Roman"/>
                <w:color w:val="17365D"/>
                <w:sz w:val="18"/>
                <w:szCs w:val="18"/>
                <w:lang w:eastAsia="lv-LV"/>
              </w:rPr>
            </w:pPr>
          </w:p>
        </w:tc>
        <w:tc>
          <w:tcPr>
            <w:tcW w:w="812" w:type="pct"/>
            <w:tcBorders>
              <w:top w:val="single" w:sz="4" w:space="0" w:color="17365D"/>
              <w:bottom w:val="nil"/>
            </w:tcBorders>
            <w:shd w:val="clear" w:color="auto" w:fill="B9CDE5"/>
            <w:vAlign w:val="center"/>
          </w:tcPr>
          <w:p w14:paraId="3BFFE156" w14:textId="77777777" w:rsidR="00282143" w:rsidRPr="00A27896" w:rsidRDefault="00282143" w:rsidP="00282143">
            <w:pPr>
              <w:spacing w:after="0"/>
              <w:jc w:val="right"/>
              <w:rPr>
                <w:rFonts w:eastAsia="Times New Roman" w:cs="Times New Roman"/>
                <w:color w:val="17365D"/>
                <w:sz w:val="18"/>
                <w:szCs w:val="18"/>
                <w:lang w:eastAsia="lv-LV"/>
              </w:rPr>
            </w:pPr>
          </w:p>
        </w:tc>
        <w:tc>
          <w:tcPr>
            <w:tcW w:w="812" w:type="pct"/>
            <w:tcBorders>
              <w:top w:val="single" w:sz="4" w:space="0" w:color="17365D"/>
              <w:bottom w:val="nil"/>
            </w:tcBorders>
            <w:shd w:val="clear" w:color="auto" w:fill="B9CDE5"/>
            <w:vAlign w:val="center"/>
          </w:tcPr>
          <w:p w14:paraId="627478CE" w14:textId="77777777" w:rsidR="00282143" w:rsidRPr="00A27896" w:rsidRDefault="00282143" w:rsidP="00282143">
            <w:pPr>
              <w:spacing w:after="0"/>
              <w:jc w:val="right"/>
              <w:rPr>
                <w:rFonts w:eastAsia="Times New Roman" w:cs="Times New Roman"/>
                <w:color w:val="17365D"/>
                <w:sz w:val="18"/>
                <w:szCs w:val="18"/>
                <w:lang w:eastAsia="lv-LV"/>
              </w:rPr>
            </w:pPr>
          </w:p>
        </w:tc>
        <w:tc>
          <w:tcPr>
            <w:tcW w:w="818" w:type="pct"/>
            <w:tcBorders>
              <w:top w:val="single" w:sz="4" w:space="0" w:color="17365D"/>
              <w:bottom w:val="nil"/>
            </w:tcBorders>
            <w:shd w:val="clear" w:color="auto" w:fill="B9CDE5"/>
            <w:noWrap/>
            <w:vAlign w:val="center"/>
          </w:tcPr>
          <w:p w14:paraId="294B6B80" w14:textId="77777777" w:rsidR="00282143" w:rsidRPr="00A27896" w:rsidRDefault="00282143" w:rsidP="00282143">
            <w:pPr>
              <w:spacing w:after="0"/>
              <w:jc w:val="right"/>
              <w:rPr>
                <w:rFonts w:eastAsia="Times New Roman" w:cs="Times New Roman"/>
                <w:color w:val="17365D"/>
                <w:sz w:val="18"/>
                <w:szCs w:val="18"/>
                <w:lang w:eastAsia="lv-LV"/>
              </w:rPr>
            </w:pPr>
          </w:p>
        </w:tc>
        <w:tc>
          <w:tcPr>
            <w:tcW w:w="632" w:type="pct"/>
            <w:tcBorders>
              <w:top w:val="single" w:sz="4" w:space="0" w:color="17365D"/>
              <w:bottom w:val="nil"/>
            </w:tcBorders>
            <w:shd w:val="clear" w:color="auto" w:fill="B9CDE5"/>
            <w:noWrap/>
            <w:vAlign w:val="center"/>
          </w:tcPr>
          <w:p w14:paraId="4D67E038" w14:textId="77777777" w:rsidR="00282143" w:rsidRPr="00A27896" w:rsidRDefault="00282143" w:rsidP="00282143">
            <w:pPr>
              <w:spacing w:after="0"/>
              <w:jc w:val="right"/>
              <w:rPr>
                <w:rFonts w:eastAsia="Times New Roman" w:cs="Times New Roman"/>
                <w:color w:val="17365D"/>
                <w:sz w:val="18"/>
                <w:szCs w:val="18"/>
                <w:lang w:eastAsia="lv-LV"/>
              </w:rPr>
            </w:pPr>
          </w:p>
        </w:tc>
      </w:tr>
    </w:tbl>
    <w:p w14:paraId="6AC1FD0B" w14:textId="261AC28B" w:rsidR="003927D8" w:rsidRPr="00A27896" w:rsidRDefault="003927D8" w:rsidP="003927D8">
      <w:pPr>
        <w:pStyle w:val="Pamatteksts"/>
        <w:rPr>
          <w:color w:val="17365D"/>
        </w:rPr>
      </w:pPr>
    </w:p>
    <w:p w14:paraId="6BA615AD" w14:textId="64FB355C" w:rsidR="003927D8" w:rsidRPr="00A27896" w:rsidRDefault="00951178" w:rsidP="003927D8">
      <w:pPr>
        <w:pStyle w:val="Pamatteksts"/>
        <w:rPr>
          <w:rFonts w:eastAsiaTheme="minorHAnsi"/>
          <w:bCs/>
          <w:noProof w:val="0"/>
          <w:color w:val="17365D"/>
          <w:szCs w:val="22"/>
          <w:lang w:eastAsia="en-US"/>
        </w:rPr>
      </w:pPr>
      <w:r w:rsidRPr="00A27896">
        <w:rPr>
          <w:rFonts w:eastAsiaTheme="minorHAnsi"/>
          <w:bCs/>
          <w:noProof w:val="0"/>
          <w:color w:val="17365D"/>
          <w:szCs w:val="22"/>
          <w:lang w:eastAsia="en-US"/>
        </w:rPr>
        <w:t xml:space="preserve">Ilgtermiņa saistību bilances postenī būtiskas izmaiņas pārskata gadā nav bijušas. Lielākās izmaiņas saistītas ar eiroobligāciju emisiju 850 000 000 </w:t>
      </w:r>
      <w:proofErr w:type="spellStart"/>
      <w:r w:rsidRPr="00A27896">
        <w:rPr>
          <w:rFonts w:eastAsiaTheme="minorHAnsi"/>
          <w:bCs/>
          <w:i/>
          <w:noProof w:val="0"/>
          <w:color w:val="17365D"/>
          <w:szCs w:val="22"/>
          <w:lang w:eastAsia="en-US"/>
        </w:rPr>
        <w:t>euro</w:t>
      </w:r>
      <w:proofErr w:type="spellEnd"/>
      <w:r w:rsidRPr="00A27896">
        <w:rPr>
          <w:rFonts w:eastAsiaTheme="minorHAnsi"/>
          <w:bCs/>
          <w:noProof w:val="0"/>
          <w:color w:val="17365D"/>
          <w:szCs w:val="22"/>
          <w:lang w:eastAsia="en-US"/>
        </w:rPr>
        <w:t xml:space="preserve"> apmērā un apgrozībā esošo eiroobligāciju papildu laidieniem 1 195 000 000 </w:t>
      </w:r>
      <w:proofErr w:type="spellStart"/>
      <w:r w:rsidRPr="00A27896">
        <w:rPr>
          <w:rFonts w:eastAsiaTheme="minorHAnsi"/>
          <w:bCs/>
          <w:i/>
          <w:noProof w:val="0"/>
          <w:color w:val="17365D"/>
          <w:szCs w:val="22"/>
          <w:lang w:eastAsia="en-US"/>
        </w:rPr>
        <w:t>euro</w:t>
      </w:r>
      <w:proofErr w:type="spellEnd"/>
      <w:r w:rsidRPr="00A27896">
        <w:rPr>
          <w:rFonts w:eastAsiaTheme="minorHAnsi"/>
          <w:bCs/>
          <w:noProof w:val="0"/>
          <w:color w:val="17365D"/>
          <w:szCs w:val="22"/>
          <w:lang w:eastAsia="en-US"/>
        </w:rPr>
        <w:t xml:space="preserve"> apmērā, kā arī </w:t>
      </w:r>
      <w:r w:rsidR="00C133E2" w:rsidRPr="00A27896">
        <w:rPr>
          <w:rFonts w:eastAsiaTheme="minorHAnsi"/>
          <w:bCs/>
          <w:noProof w:val="0"/>
          <w:color w:val="17365D"/>
          <w:szCs w:val="22"/>
          <w:lang w:eastAsia="en-US"/>
        </w:rPr>
        <w:t xml:space="preserve">šo vērtspapīru </w:t>
      </w:r>
      <w:r w:rsidRPr="00A27896">
        <w:rPr>
          <w:rFonts w:eastAsiaTheme="minorHAnsi"/>
          <w:bCs/>
          <w:noProof w:val="0"/>
          <w:color w:val="17365D"/>
          <w:szCs w:val="22"/>
          <w:lang w:eastAsia="en-US"/>
        </w:rPr>
        <w:t>īste</w:t>
      </w:r>
      <w:r w:rsidR="00E173A7" w:rsidRPr="00A27896">
        <w:rPr>
          <w:rFonts w:eastAsiaTheme="minorHAnsi"/>
          <w:bCs/>
          <w:noProof w:val="0"/>
          <w:color w:val="17365D"/>
          <w:szCs w:val="22"/>
          <w:lang w:eastAsia="en-US"/>
        </w:rPr>
        <w:t>r</w:t>
      </w:r>
      <w:r w:rsidRPr="00A27896">
        <w:rPr>
          <w:rFonts w:eastAsiaTheme="minorHAnsi"/>
          <w:bCs/>
          <w:noProof w:val="0"/>
          <w:color w:val="17365D"/>
          <w:szCs w:val="22"/>
          <w:lang w:eastAsia="en-US"/>
        </w:rPr>
        <w:t xml:space="preserve">miņa daļas </w:t>
      </w:r>
      <w:proofErr w:type="spellStart"/>
      <w:r w:rsidRPr="00A27896">
        <w:rPr>
          <w:rFonts w:eastAsiaTheme="minorHAnsi"/>
          <w:bCs/>
          <w:noProof w:val="0"/>
          <w:color w:val="17365D"/>
          <w:szCs w:val="22"/>
          <w:lang w:eastAsia="en-US"/>
        </w:rPr>
        <w:t>pārklasifikāciju</w:t>
      </w:r>
      <w:proofErr w:type="spellEnd"/>
      <w:r w:rsidRPr="00A27896">
        <w:rPr>
          <w:rFonts w:eastAsiaTheme="minorHAnsi"/>
          <w:bCs/>
          <w:noProof w:val="0"/>
          <w:color w:val="17365D"/>
          <w:szCs w:val="22"/>
          <w:lang w:eastAsia="en-US"/>
        </w:rPr>
        <w:t xml:space="preserve"> (1 52 000 000) </w:t>
      </w:r>
      <w:proofErr w:type="spellStart"/>
      <w:r w:rsidRPr="00A27896">
        <w:rPr>
          <w:rFonts w:eastAsiaTheme="minorHAnsi"/>
          <w:bCs/>
          <w:i/>
          <w:noProof w:val="0"/>
          <w:color w:val="17365D"/>
          <w:szCs w:val="22"/>
          <w:lang w:eastAsia="en-US"/>
        </w:rPr>
        <w:t>euro</w:t>
      </w:r>
      <w:proofErr w:type="spellEnd"/>
      <w:r w:rsidRPr="00A27896">
        <w:rPr>
          <w:rFonts w:eastAsiaTheme="minorHAnsi"/>
          <w:bCs/>
          <w:noProof w:val="0"/>
          <w:color w:val="17365D"/>
          <w:szCs w:val="22"/>
          <w:lang w:eastAsia="en-US"/>
        </w:rPr>
        <w:t xml:space="preserve"> apmērā. </w:t>
      </w:r>
    </w:p>
    <w:p w14:paraId="0A1000B7" w14:textId="26B86711" w:rsidR="00951178" w:rsidRPr="00A27896" w:rsidRDefault="00951178" w:rsidP="00C133E2">
      <w:pPr>
        <w:pStyle w:val="Pamatteksts"/>
        <w:rPr>
          <w:rFonts w:eastAsiaTheme="minorHAnsi"/>
          <w:bCs/>
          <w:noProof w:val="0"/>
          <w:color w:val="17365D"/>
          <w:szCs w:val="22"/>
          <w:lang w:eastAsia="en-US"/>
        </w:rPr>
      </w:pPr>
      <w:r w:rsidRPr="00A27896">
        <w:rPr>
          <w:rFonts w:eastAsiaTheme="minorHAnsi"/>
          <w:bCs/>
          <w:noProof w:val="0"/>
          <w:color w:val="17365D"/>
          <w:szCs w:val="22"/>
          <w:lang w:eastAsia="en-US"/>
        </w:rPr>
        <w:t xml:space="preserve">Pārējās ilgtermiņa saistības samazinājušās </w:t>
      </w:r>
      <w:r w:rsidR="00C133E2" w:rsidRPr="00A27896">
        <w:rPr>
          <w:rFonts w:eastAsiaTheme="minorHAnsi"/>
          <w:bCs/>
          <w:noProof w:val="0"/>
          <w:color w:val="17365D"/>
          <w:szCs w:val="22"/>
          <w:lang w:eastAsia="en-US"/>
        </w:rPr>
        <w:t xml:space="preserve">Labklājības ministrijai (329 301 611) </w:t>
      </w:r>
      <w:proofErr w:type="spellStart"/>
      <w:r w:rsidR="00C133E2" w:rsidRPr="00A27896">
        <w:rPr>
          <w:rFonts w:eastAsiaTheme="minorHAnsi"/>
          <w:bCs/>
          <w:i/>
          <w:noProof w:val="0"/>
          <w:color w:val="17365D"/>
          <w:szCs w:val="22"/>
          <w:lang w:eastAsia="en-US"/>
        </w:rPr>
        <w:t>euro</w:t>
      </w:r>
      <w:proofErr w:type="spellEnd"/>
      <w:r w:rsidR="00C133E2" w:rsidRPr="00A27896">
        <w:rPr>
          <w:rFonts w:eastAsiaTheme="minorHAnsi"/>
          <w:bCs/>
          <w:noProof w:val="0"/>
          <w:color w:val="17365D"/>
          <w:szCs w:val="22"/>
          <w:lang w:eastAsia="en-US"/>
        </w:rPr>
        <w:t xml:space="preserve"> apmērā </w:t>
      </w:r>
      <w:r w:rsidRPr="00A27896">
        <w:rPr>
          <w:rFonts w:eastAsiaTheme="minorHAnsi"/>
          <w:bCs/>
          <w:noProof w:val="0"/>
          <w:color w:val="17365D"/>
          <w:szCs w:val="22"/>
          <w:lang w:eastAsia="en-US"/>
        </w:rPr>
        <w:t xml:space="preserve">pret valsts </w:t>
      </w:r>
      <w:proofErr w:type="spellStart"/>
      <w:r w:rsidRPr="00A27896">
        <w:rPr>
          <w:rFonts w:eastAsiaTheme="minorHAnsi"/>
          <w:bCs/>
          <w:noProof w:val="0"/>
          <w:color w:val="17365D"/>
          <w:szCs w:val="22"/>
          <w:lang w:eastAsia="en-US"/>
        </w:rPr>
        <w:t>fondēto</w:t>
      </w:r>
      <w:proofErr w:type="spellEnd"/>
      <w:r w:rsidRPr="00A27896">
        <w:rPr>
          <w:rFonts w:eastAsiaTheme="minorHAnsi"/>
          <w:bCs/>
          <w:noProof w:val="0"/>
          <w:color w:val="17365D"/>
          <w:szCs w:val="22"/>
          <w:lang w:eastAsia="en-US"/>
        </w:rPr>
        <w:t xml:space="preserve"> pensiju shēmas dalībniekiem par reģistrētajām iemaksām shēmas dalībnieku kontos</w:t>
      </w:r>
      <w:r w:rsidR="00C133E2" w:rsidRPr="00A27896">
        <w:rPr>
          <w:rFonts w:eastAsiaTheme="minorHAnsi"/>
          <w:bCs/>
          <w:noProof w:val="0"/>
          <w:color w:val="17365D"/>
          <w:szCs w:val="22"/>
          <w:lang w:eastAsia="en-US"/>
        </w:rPr>
        <w:t>.</w:t>
      </w:r>
    </w:p>
    <w:p w14:paraId="3DCEAC4D" w14:textId="462D1B9B" w:rsidR="003A6E5B" w:rsidRPr="00A27896" w:rsidRDefault="003A6E5B" w:rsidP="003A6E5B">
      <w:pPr>
        <w:spacing w:after="120" w:line="240" w:lineRule="auto"/>
        <w:ind w:firstLine="284"/>
        <w:jc w:val="both"/>
        <w:rPr>
          <w:rFonts w:cs="Times New Roman"/>
          <w:bCs/>
          <w:color w:val="17365D"/>
        </w:rPr>
      </w:pPr>
      <w:r w:rsidRPr="00A27896">
        <w:rPr>
          <w:rFonts w:cs="Times New Roman"/>
          <w:bCs/>
          <w:color w:val="17365D"/>
        </w:rPr>
        <w:t xml:space="preserve"> </w:t>
      </w:r>
    </w:p>
    <w:p w14:paraId="026DCA73" w14:textId="6FFB8661" w:rsidR="00FD2C7A" w:rsidRPr="00A27896" w:rsidRDefault="007E4B5E" w:rsidP="005A3758">
      <w:pPr>
        <w:pStyle w:val="Heading4"/>
        <w:rPr>
          <w:rFonts w:cs="Times New Roman"/>
        </w:rPr>
      </w:pPr>
      <w:r w:rsidRPr="00A27896">
        <w:rPr>
          <w:rFonts w:cs="Times New Roman"/>
        </w:rPr>
        <w:lastRenderedPageBreak/>
        <w:t xml:space="preserve">Piezīme Nr. </w:t>
      </w:r>
      <w:r w:rsidR="00FD2C7A" w:rsidRPr="00A27896">
        <w:rPr>
          <w:rFonts w:cs="Times New Roman"/>
        </w:rPr>
        <w:t>KB.</w:t>
      </w:r>
      <w:r w:rsidR="00FB303F" w:rsidRPr="00A27896">
        <w:rPr>
          <w:rFonts w:cs="Times New Roman"/>
        </w:rPr>
        <w:t>5.2.-5.9.</w:t>
      </w:r>
      <w:r w:rsidR="00FD2C7A" w:rsidRPr="00A27896">
        <w:rPr>
          <w:rFonts w:cs="Times New Roman"/>
        </w:rPr>
        <w:t xml:space="preserve"> Īstermiņa saistības</w:t>
      </w:r>
    </w:p>
    <w:p w14:paraId="48FC40C5" w14:textId="44C3EB54" w:rsidR="0019588C" w:rsidRPr="00A27896" w:rsidRDefault="00BF7AE9" w:rsidP="001749DD">
      <w:pPr>
        <w:pStyle w:val="Tabulasnosaukums1"/>
        <w:spacing w:before="0"/>
        <w:rPr>
          <w:rFonts w:cs="Times New Roman"/>
          <w:i/>
          <w:color w:val="17365D"/>
        </w:rPr>
      </w:pPr>
      <w:r w:rsidRPr="00A27896">
        <w:rPr>
          <w:rFonts w:cs="Times New Roman"/>
          <w:i/>
          <w:color w:val="17365D"/>
        </w:rPr>
        <w:t>2</w:t>
      </w:r>
      <w:r w:rsidR="00D95E24" w:rsidRPr="00A27896">
        <w:rPr>
          <w:rFonts w:cs="Times New Roman"/>
          <w:i/>
          <w:color w:val="17365D"/>
        </w:rPr>
        <w:t>1</w:t>
      </w:r>
      <w:r w:rsidR="0019588C" w:rsidRPr="00A27896">
        <w:rPr>
          <w:rFonts w:cs="Times New Roman"/>
          <w:i/>
          <w:color w:val="17365D"/>
        </w:rPr>
        <w:t>. tabula</w:t>
      </w:r>
      <w:r w:rsidR="00BF3156" w:rsidRPr="00A27896">
        <w:rPr>
          <w:rFonts w:cs="Times New Roman"/>
          <w:i/>
          <w:color w:val="17365D"/>
        </w:rPr>
        <w:t>.</w:t>
      </w:r>
      <w:r w:rsidR="0019588C" w:rsidRPr="00A27896">
        <w:rPr>
          <w:rFonts w:cs="Times New Roman"/>
          <w:i/>
          <w:color w:val="17365D"/>
        </w:rPr>
        <w:t xml:space="preserve"> </w:t>
      </w:r>
      <w:r w:rsidR="00BF3156" w:rsidRPr="00A27896">
        <w:rPr>
          <w:rFonts w:cs="Times New Roman"/>
          <w:i/>
          <w:color w:val="17365D"/>
        </w:rPr>
        <w:t xml:space="preserve">Īstermiņa saistības </w:t>
      </w:r>
      <w:r w:rsidR="00BF3156" w:rsidRPr="00A27896">
        <w:rPr>
          <w:rFonts w:eastAsia="Times New Roman" w:cs="Times New Roman"/>
          <w:i/>
          <w:color w:val="17365D"/>
          <w:szCs w:val="20"/>
          <w:lang w:eastAsia="lv-LV"/>
        </w:rPr>
        <w:t>(</w:t>
      </w:r>
      <w:proofErr w:type="spellStart"/>
      <w:r w:rsidR="008944A8" w:rsidRPr="00A27896">
        <w:rPr>
          <w:rFonts w:eastAsia="Times New Roman" w:cs="Times New Roman"/>
          <w:i/>
          <w:color w:val="17365D"/>
          <w:szCs w:val="20"/>
          <w:lang w:eastAsia="lv-LV"/>
        </w:rPr>
        <w:t>euro</w:t>
      </w:r>
      <w:proofErr w:type="spellEnd"/>
      <w:r w:rsidR="00BF3156" w:rsidRPr="00A27896">
        <w:rPr>
          <w:rFonts w:eastAsia="Times New Roman" w:cs="Times New Roman"/>
          <w:i/>
          <w:color w:val="17365D"/>
          <w:szCs w:val="20"/>
          <w:lang w:eastAsia="lv-LV"/>
        </w:rPr>
        <w:t>)</w:t>
      </w:r>
    </w:p>
    <w:tbl>
      <w:tblPr>
        <w:tblW w:w="5000" w:type="pct"/>
        <w:tblLayout w:type="fixed"/>
        <w:tblLook w:val="04A0" w:firstRow="1" w:lastRow="0" w:firstColumn="1" w:lastColumn="0" w:noHBand="0" w:noVBand="1"/>
      </w:tblPr>
      <w:tblGrid>
        <w:gridCol w:w="2970"/>
        <w:gridCol w:w="907"/>
        <w:gridCol w:w="1336"/>
        <w:gridCol w:w="1371"/>
        <w:gridCol w:w="1558"/>
        <w:gridCol w:w="1212"/>
      </w:tblGrid>
      <w:tr w:rsidR="000C1009" w:rsidRPr="00A27896" w14:paraId="0E5F87F0" w14:textId="77777777" w:rsidTr="008515F0">
        <w:trPr>
          <w:trHeight w:val="684"/>
          <w:tblHeader/>
        </w:trPr>
        <w:tc>
          <w:tcPr>
            <w:tcW w:w="1587" w:type="pct"/>
            <w:tcBorders>
              <w:bottom w:val="single" w:sz="4" w:space="0" w:color="17365D"/>
            </w:tcBorders>
            <w:shd w:val="clear" w:color="auto" w:fill="B9CDE5"/>
            <w:vAlign w:val="center"/>
            <w:hideMark/>
          </w:tcPr>
          <w:p w14:paraId="104D98BE" w14:textId="77777777"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Rādītāji</w:t>
            </w:r>
          </w:p>
        </w:tc>
        <w:tc>
          <w:tcPr>
            <w:tcW w:w="485" w:type="pct"/>
            <w:tcBorders>
              <w:bottom w:val="single" w:sz="4" w:space="0" w:color="17365D"/>
            </w:tcBorders>
            <w:shd w:val="clear" w:color="auto" w:fill="B9CDE5"/>
            <w:vAlign w:val="center"/>
            <w:hideMark/>
          </w:tcPr>
          <w:p w14:paraId="0BE96CF8" w14:textId="77777777"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Piezīmes</w:t>
            </w:r>
            <w:r w:rsidRPr="00A27896">
              <w:rPr>
                <w:rFonts w:eastAsia="Times New Roman" w:cs="Times New Roman"/>
                <w:b/>
                <w:bCs/>
                <w:color w:val="17365D"/>
                <w:sz w:val="18"/>
                <w:szCs w:val="18"/>
                <w:lang w:eastAsia="lv-LV"/>
              </w:rPr>
              <w:br/>
              <w:t>Nr.</w:t>
            </w:r>
          </w:p>
        </w:tc>
        <w:tc>
          <w:tcPr>
            <w:tcW w:w="714" w:type="pct"/>
            <w:tcBorders>
              <w:bottom w:val="single" w:sz="4" w:space="0" w:color="17365D"/>
            </w:tcBorders>
            <w:shd w:val="clear" w:color="auto" w:fill="B9CDE5"/>
            <w:vAlign w:val="center"/>
            <w:hideMark/>
          </w:tcPr>
          <w:p w14:paraId="15062590" w14:textId="77777777"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733" w:type="pct"/>
            <w:tcBorders>
              <w:bottom w:val="single" w:sz="4" w:space="0" w:color="17365D"/>
            </w:tcBorders>
            <w:shd w:val="clear" w:color="auto" w:fill="B9CDE5"/>
            <w:vAlign w:val="center"/>
            <w:hideMark/>
          </w:tcPr>
          <w:p w14:paraId="27DBB305" w14:textId="77777777"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c>
          <w:tcPr>
            <w:tcW w:w="833" w:type="pct"/>
            <w:tcBorders>
              <w:bottom w:val="single" w:sz="4" w:space="0" w:color="17365D"/>
            </w:tcBorders>
            <w:shd w:val="clear" w:color="auto" w:fill="B9CDE5"/>
            <w:vAlign w:val="center"/>
            <w:hideMark/>
          </w:tcPr>
          <w:p w14:paraId="326F9904" w14:textId="671AC4DC"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Izmaiņas </w:t>
            </w:r>
            <w:r w:rsidRPr="00A27896">
              <w:rPr>
                <w:rFonts w:eastAsia="Times New Roman" w:cs="Times New Roman"/>
                <w:b/>
                <w:bCs/>
                <w:color w:val="17365D"/>
                <w:sz w:val="18"/>
                <w:szCs w:val="18"/>
                <w:lang w:eastAsia="lv-LV"/>
              </w:rPr>
              <w:br/>
              <w:t>(+,</w:t>
            </w:r>
            <w:r w:rsidR="002B1B27" w:rsidRPr="00A27896">
              <w:rPr>
                <w:rFonts w:eastAsia="Times New Roman" w:cs="Times New Roman"/>
                <w:b/>
                <w:bCs/>
                <w:color w:val="17365D"/>
                <w:sz w:val="18"/>
                <w:szCs w:val="18"/>
                <w:lang w:eastAsia="lv-LV"/>
              </w:rPr>
              <w:t xml:space="preserve"> – </w:t>
            </w:r>
            <w:r w:rsidRPr="00A27896">
              <w:rPr>
                <w:rFonts w:eastAsia="Times New Roman" w:cs="Times New Roman"/>
                <w:b/>
                <w:bCs/>
                <w:color w:val="17365D"/>
                <w:sz w:val="18"/>
                <w:szCs w:val="18"/>
                <w:lang w:eastAsia="lv-LV"/>
              </w:rPr>
              <w:t>)</w:t>
            </w:r>
          </w:p>
        </w:tc>
        <w:tc>
          <w:tcPr>
            <w:tcW w:w="648" w:type="pct"/>
            <w:tcBorders>
              <w:bottom w:val="single" w:sz="4" w:space="0" w:color="17365D"/>
            </w:tcBorders>
            <w:shd w:val="clear" w:color="auto" w:fill="B9CDE5"/>
            <w:vAlign w:val="center"/>
            <w:hideMark/>
          </w:tcPr>
          <w:p w14:paraId="7E4DEBE4" w14:textId="77777777"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Procentuālās izmaiņas (3./2.*100)</w:t>
            </w:r>
          </w:p>
        </w:tc>
      </w:tr>
      <w:tr w:rsidR="000C1009" w:rsidRPr="00A27896" w14:paraId="77876682" w14:textId="77777777" w:rsidTr="008515F0">
        <w:trPr>
          <w:trHeight w:val="240"/>
          <w:tblHeader/>
        </w:trPr>
        <w:tc>
          <w:tcPr>
            <w:tcW w:w="1587" w:type="pct"/>
            <w:tcBorders>
              <w:top w:val="single" w:sz="4" w:space="0" w:color="17365D"/>
              <w:bottom w:val="single" w:sz="4" w:space="0" w:color="17365D"/>
            </w:tcBorders>
            <w:shd w:val="clear" w:color="auto" w:fill="auto"/>
            <w:vAlign w:val="center"/>
            <w:hideMark/>
          </w:tcPr>
          <w:p w14:paraId="01EEAA47"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485" w:type="pct"/>
            <w:tcBorders>
              <w:top w:val="single" w:sz="4" w:space="0" w:color="17365D"/>
              <w:bottom w:val="single" w:sz="4" w:space="0" w:color="17365D"/>
            </w:tcBorders>
            <w:shd w:val="clear" w:color="auto" w:fill="auto"/>
            <w:vAlign w:val="center"/>
            <w:hideMark/>
          </w:tcPr>
          <w:p w14:paraId="3C072016"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14" w:type="pct"/>
            <w:tcBorders>
              <w:top w:val="single" w:sz="4" w:space="0" w:color="17365D"/>
              <w:bottom w:val="single" w:sz="4" w:space="0" w:color="17365D"/>
            </w:tcBorders>
            <w:shd w:val="clear" w:color="auto" w:fill="auto"/>
            <w:vAlign w:val="center"/>
            <w:hideMark/>
          </w:tcPr>
          <w:p w14:paraId="7866D1F8"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733" w:type="pct"/>
            <w:tcBorders>
              <w:top w:val="single" w:sz="4" w:space="0" w:color="17365D"/>
              <w:bottom w:val="single" w:sz="4" w:space="0" w:color="17365D"/>
            </w:tcBorders>
            <w:shd w:val="clear" w:color="auto" w:fill="auto"/>
            <w:vAlign w:val="center"/>
            <w:hideMark/>
          </w:tcPr>
          <w:p w14:paraId="1B92101B"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833" w:type="pct"/>
            <w:tcBorders>
              <w:top w:val="single" w:sz="4" w:space="0" w:color="17365D"/>
              <w:bottom w:val="single" w:sz="4" w:space="0" w:color="17365D"/>
            </w:tcBorders>
            <w:shd w:val="clear" w:color="auto" w:fill="auto"/>
            <w:vAlign w:val="center"/>
            <w:hideMark/>
          </w:tcPr>
          <w:p w14:paraId="4D809CC5"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48" w:type="pct"/>
            <w:tcBorders>
              <w:top w:val="single" w:sz="4" w:space="0" w:color="17365D"/>
              <w:bottom w:val="single" w:sz="4" w:space="0" w:color="17365D"/>
            </w:tcBorders>
            <w:shd w:val="clear" w:color="auto" w:fill="auto"/>
            <w:vAlign w:val="center"/>
            <w:hideMark/>
          </w:tcPr>
          <w:p w14:paraId="5A0B1DE9"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277134" w:rsidRPr="00A27896" w14:paraId="716668F7" w14:textId="77777777" w:rsidTr="008515F0">
        <w:trPr>
          <w:trHeight w:val="240"/>
        </w:trPr>
        <w:tc>
          <w:tcPr>
            <w:tcW w:w="1587" w:type="pct"/>
            <w:tcBorders>
              <w:top w:val="single" w:sz="4" w:space="0" w:color="17365D"/>
              <w:bottom w:val="single" w:sz="4" w:space="0" w:color="17365D"/>
            </w:tcBorders>
            <w:shd w:val="clear" w:color="auto" w:fill="auto"/>
            <w:vAlign w:val="center"/>
            <w:hideMark/>
          </w:tcPr>
          <w:p w14:paraId="20747487" w14:textId="45840F84" w:rsidR="00277134" w:rsidRPr="00A27896" w:rsidRDefault="00277134" w:rsidP="00277134">
            <w:pPr>
              <w:spacing w:after="0" w:line="240" w:lineRule="auto"/>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Īstermiņa saistības </w:t>
            </w:r>
          </w:p>
        </w:tc>
        <w:tc>
          <w:tcPr>
            <w:tcW w:w="485" w:type="pct"/>
            <w:tcBorders>
              <w:top w:val="single" w:sz="4" w:space="0" w:color="17365D"/>
              <w:bottom w:val="single" w:sz="4" w:space="0" w:color="17365D"/>
            </w:tcBorders>
            <w:shd w:val="clear" w:color="auto" w:fill="auto"/>
            <w:vAlign w:val="center"/>
            <w:hideMark/>
          </w:tcPr>
          <w:p w14:paraId="2EA716B7" w14:textId="02EAF6C8" w:rsidR="00277134" w:rsidRPr="00A27896" w:rsidRDefault="00277134" w:rsidP="00277134">
            <w:pPr>
              <w:spacing w:after="0" w:line="240" w:lineRule="auto"/>
              <w:jc w:val="center"/>
              <w:rPr>
                <w:rFonts w:eastAsia="Times New Roman" w:cs="Times New Roman"/>
                <w:b/>
                <w:bCs/>
                <w:color w:val="17365D"/>
                <w:sz w:val="18"/>
                <w:szCs w:val="18"/>
                <w:lang w:eastAsia="lv-LV"/>
              </w:rPr>
            </w:pPr>
            <w:r w:rsidRPr="00A27896">
              <w:rPr>
                <w:rFonts w:cs="Times New Roman"/>
                <w:b/>
                <w:color w:val="17365D"/>
                <w:sz w:val="18"/>
                <w:szCs w:val="18"/>
              </w:rPr>
              <w:t>KB.5.2.-5.9.</w:t>
            </w:r>
          </w:p>
        </w:tc>
        <w:tc>
          <w:tcPr>
            <w:tcW w:w="714" w:type="pct"/>
            <w:tcBorders>
              <w:top w:val="single" w:sz="4" w:space="0" w:color="17365D"/>
              <w:left w:val="nil"/>
              <w:bottom w:val="single" w:sz="4" w:space="0" w:color="17365D"/>
            </w:tcBorders>
            <w:shd w:val="clear" w:color="auto" w:fill="auto"/>
            <w:vAlign w:val="center"/>
          </w:tcPr>
          <w:p w14:paraId="5B1F42BF" w14:textId="048B3D7A" w:rsidR="00277134" w:rsidRPr="00277134" w:rsidRDefault="00277134" w:rsidP="00277134">
            <w:pPr>
              <w:spacing w:after="0" w:line="240" w:lineRule="auto"/>
              <w:jc w:val="right"/>
              <w:rPr>
                <w:rFonts w:cs="Times New Roman"/>
                <w:b/>
                <w:color w:val="17365D"/>
                <w:sz w:val="18"/>
                <w:szCs w:val="18"/>
              </w:rPr>
            </w:pPr>
            <w:r w:rsidRPr="00000E17">
              <w:rPr>
                <w:rFonts w:cs="Times New Roman"/>
                <w:b/>
                <w:color w:val="17365D"/>
                <w:sz w:val="18"/>
                <w:szCs w:val="18"/>
              </w:rPr>
              <w:t>5 593 524 282</w:t>
            </w:r>
          </w:p>
        </w:tc>
        <w:tc>
          <w:tcPr>
            <w:tcW w:w="733" w:type="pct"/>
            <w:tcBorders>
              <w:top w:val="single" w:sz="4" w:space="0" w:color="17365D"/>
              <w:bottom w:val="single" w:sz="4" w:space="0" w:color="17365D"/>
            </w:tcBorders>
            <w:shd w:val="clear" w:color="auto" w:fill="auto"/>
            <w:vAlign w:val="center"/>
          </w:tcPr>
          <w:p w14:paraId="5950722D" w14:textId="6CC21EBA" w:rsidR="00277134" w:rsidRPr="00277134" w:rsidRDefault="00277134" w:rsidP="00277134">
            <w:pPr>
              <w:spacing w:after="0" w:line="240" w:lineRule="auto"/>
              <w:jc w:val="right"/>
              <w:rPr>
                <w:rFonts w:cs="Times New Roman"/>
                <w:b/>
                <w:color w:val="17365D"/>
                <w:sz w:val="18"/>
                <w:szCs w:val="18"/>
              </w:rPr>
            </w:pPr>
            <w:r w:rsidRPr="00000E17">
              <w:rPr>
                <w:rFonts w:cs="Times New Roman"/>
                <w:b/>
                <w:color w:val="17365D"/>
                <w:sz w:val="18"/>
                <w:szCs w:val="18"/>
              </w:rPr>
              <w:t>4 111 152 440</w:t>
            </w:r>
          </w:p>
        </w:tc>
        <w:tc>
          <w:tcPr>
            <w:tcW w:w="833" w:type="pct"/>
            <w:tcBorders>
              <w:top w:val="single" w:sz="4" w:space="0" w:color="17365D"/>
              <w:bottom w:val="single" w:sz="4" w:space="0" w:color="17365D"/>
            </w:tcBorders>
            <w:shd w:val="clear" w:color="auto" w:fill="auto"/>
            <w:noWrap/>
            <w:vAlign w:val="center"/>
          </w:tcPr>
          <w:p w14:paraId="7E390B8D" w14:textId="6E21B93F" w:rsidR="00277134" w:rsidRPr="00277134" w:rsidRDefault="00277134" w:rsidP="00277134">
            <w:pPr>
              <w:spacing w:after="0" w:line="240" w:lineRule="auto"/>
              <w:jc w:val="right"/>
              <w:rPr>
                <w:rFonts w:cs="Times New Roman"/>
                <w:b/>
                <w:color w:val="17365D"/>
                <w:sz w:val="18"/>
                <w:szCs w:val="18"/>
              </w:rPr>
            </w:pPr>
            <w:r w:rsidRPr="00000E17">
              <w:rPr>
                <w:rFonts w:cs="Times New Roman"/>
                <w:b/>
                <w:color w:val="17365D"/>
                <w:sz w:val="18"/>
                <w:szCs w:val="18"/>
              </w:rPr>
              <w:t xml:space="preserve"> 1 482 371 842 </w:t>
            </w:r>
          </w:p>
        </w:tc>
        <w:tc>
          <w:tcPr>
            <w:tcW w:w="648" w:type="pct"/>
            <w:tcBorders>
              <w:top w:val="single" w:sz="4" w:space="0" w:color="17365D"/>
              <w:bottom w:val="single" w:sz="4" w:space="0" w:color="17365D"/>
            </w:tcBorders>
            <w:shd w:val="clear" w:color="auto" w:fill="auto"/>
            <w:noWrap/>
            <w:vAlign w:val="center"/>
          </w:tcPr>
          <w:p w14:paraId="6D7D0CF1" w14:textId="1ECCA857" w:rsidR="00277134" w:rsidRPr="00277134" w:rsidRDefault="00277134" w:rsidP="00277134">
            <w:pPr>
              <w:spacing w:after="0" w:line="240" w:lineRule="auto"/>
              <w:jc w:val="right"/>
              <w:rPr>
                <w:rFonts w:cs="Times New Roman"/>
                <w:b/>
                <w:color w:val="17365D"/>
                <w:sz w:val="18"/>
                <w:szCs w:val="18"/>
              </w:rPr>
            </w:pPr>
            <w:r w:rsidRPr="00000E17">
              <w:rPr>
                <w:rFonts w:cs="Times New Roman"/>
                <w:b/>
                <w:color w:val="17365D"/>
                <w:sz w:val="18"/>
                <w:szCs w:val="18"/>
              </w:rPr>
              <w:t xml:space="preserve"> 36.06 </w:t>
            </w:r>
          </w:p>
        </w:tc>
      </w:tr>
      <w:tr w:rsidR="00D95E24" w:rsidRPr="00A27896" w14:paraId="606F14B6" w14:textId="77777777" w:rsidTr="008515F0">
        <w:trPr>
          <w:trHeight w:val="480"/>
        </w:trPr>
        <w:tc>
          <w:tcPr>
            <w:tcW w:w="1587" w:type="pct"/>
            <w:tcBorders>
              <w:top w:val="single" w:sz="4" w:space="0" w:color="17365D"/>
              <w:bottom w:val="single" w:sz="4" w:space="0" w:color="17365D"/>
            </w:tcBorders>
            <w:shd w:val="clear" w:color="auto" w:fill="auto"/>
            <w:vAlign w:val="center"/>
            <w:hideMark/>
          </w:tcPr>
          <w:p w14:paraId="00D5CFD5" w14:textId="5960654D" w:rsidR="00D95E24" w:rsidRPr="00A27896" w:rsidRDefault="00D95E24" w:rsidP="00D95E2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Īstermiņa aizņēmumi un ilgtermiņa aizņēmumu īstermiņa daļa</w:t>
            </w:r>
          </w:p>
        </w:tc>
        <w:tc>
          <w:tcPr>
            <w:tcW w:w="485" w:type="pct"/>
            <w:tcBorders>
              <w:top w:val="single" w:sz="4" w:space="0" w:color="17365D"/>
              <w:bottom w:val="single" w:sz="4" w:space="0" w:color="17365D"/>
            </w:tcBorders>
            <w:shd w:val="clear" w:color="auto" w:fill="auto"/>
            <w:noWrap/>
            <w:vAlign w:val="center"/>
            <w:hideMark/>
          </w:tcPr>
          <w:p w14:paraId="2592DAD9" w14:textId="3750E2E2" w:rsidR="00D95E24" w:rsidRPr="00A27896" w:rsidRDefault="00D95E24" w:rsidP="00D95E24">
            <w:pPr>
              <w:spacing w:after="0" w:line="240" w:lineRule="auto"/>
              <w:jc w:val="right"/>
              <w:rPr>
                <w:rFonts w:eastAsia="Times New Roman" w:cs="Times New Roman"/>
                <w:color w:val="17365D"/>
                <w:sz w:val="18"/>
                <w:szCs w:val="18"/>
                <w:lang w:eastAsia="lv-LV"/>
              </w:rPr>
            </w:pPr>
          </w:p>
        </w:tc>
        <w:tc>
          <w:tcPr>
            <w:tcW w:w="714" w:type="pct"/>
            <w:tcBorders>
              <w:top w:val="single" w:sz="4" w:space="0" w:color="17365D"/>
              <w:left w:val="nil"/>
              <w:bottom w:val="single" w:sz="4" w:space="0" w:color="17365D"/>
            </w:tcBorders>
            <w:shd w:val="clear" w:color="auto" w:fill="auto"/>
            <w:vAlign w:val="center"/>
          </w:tcPr>
          <w:p w14:paraId="0DE280B7" w14:textId="71955A85"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146 559 760</w:t>
            </w:r>
          </w:p>
        </w:tc>
        <w:tc>
          <w:tcPr>
            <w:tcW w:w="733" w:type="pct"/>
            <w:tcBorders>
              <w:top w:val="single" w:sz="4" w:space="0" w:color="17365D"/>
              <w:bottom w:val="single" w:sz="4" w:space="0" w:color="17365D"/>
            </w:tcBorders>
            <w:shd w:val="clear" w:color="auto" w:fill="auto"/>
            <w:vAlign w:val="center"/>
          </w:tcPr>
          <w:p w14:paraId="4570AF34" w14:textId="71156094"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136 894 525</w:t>
            </w:r>
          </w:p>
        </w:tc>
        <w:tc>
          <w:tcPr>
            <w:tcW w:w="833" w:type="pct"/>
            <w:tcBorders>
              <w:top w:val="single" w:sz="4" w:space="0" w:color="17365D"/>
              <w:bottom w:val="single" w:sz="4" w:space="0" w:color="17365D"/>
            </w:tcBorders>
            <w:shd w:val="clear" w:color="auto" w:fill="auto"/>
            <w:noWrap/>
            <w:vAlign w:val="center"/>
          </w:tcPr>
          <w:p w14:paraId="0EFE415C" w14:textId="5F026F6D"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9 665 235</w:t>
            </w:r>
          </w:p>
        </w:tc>
        <w:tc>
          <w:tcPr>
            <w:tcW w:w="648" w:type="pct"/>
            <w:tcBorders>
              <w:top w:val="single" w:sz="4" w:space="0" w:color="17365D"/>
              <w:bottom w:val="single" w:sz="4" w:space="0" w:color="17365D"/>
            </w:tcBorders>
            <w:shd w:val="clear" w:color="auto" w:fill="auto"/>
            <w:noWrap/>
            <w:vAlign w:val="center"/>
          </w:tcPr>
          <w:p w14:paraId="4B1E31F3" w14:textId="01B2DBAA"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7.06</w:t>
            </w:r>
          </w:p>
        </w:tc>
      </w:tr>
      <w:tr w:rsidR="00D95E24" w:rsidRPr="00A27896" w14:paraId="56135CD8" w14:textId="77777777" w:rsidTr="008515F0">
        <w:trPr>
          <w:trHeight w:val="54"/>
        </w:trPr>
        <w:tc>
          <w:tcPr>
            <w:tcW w:w="1587" w:type="pct"/>
            <w:tcBorders>
              <w:top w:val="single" w:sz="4" w:space="0" w:color="17365D"/>
              <w:bottom w:val="single" w:sz="4" w:space="0" w:color="17365D"/>
            </w:tcBorders>
            <w:shd w:val="clear" w:color="auto" w:fill="auto"/>
            <w:vAlign w:val="center"/>
            <w:hideMark/>
          </w:tcPr>
          <w:p w14:paraId="712EEE96" w14:textId="203D2262" w:rsidR="00D95E24" w:rsidRPr="00A27896" w:rsidRDefault="00D95E24" w:rsidP="00D95E2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Īstermiņa saistības pret piegādātājiem un darbuzņēmējiem</w:t>
            </w:r>
          </w:p>
        </w:tc>
        <w:tc>
          <w:tcPr>
            <w:tcW w:w="485" w:type="pct"/>
            <w:tcBorders>
              <w:top w:val="single" w:sz="4" w:space="0" w:color="17365D"/>
              <w:bottom w:val="single" w:sz="4" w:space="0" w:color="17365D"/>
            </w:tcBorders>
            <w:shd w:val="clear" w:color="auto" w:fill="auto"/>
            <w:noWrap/>
            <w:vAlign w:val="center"/>
          </w:tcPr>
          <w:p w14:paraId="3083D738" w14:textId="4A570ED5" w:rsidR="00D95E24" w:rsidRPr="00A27896" w:rsidRDefault="00D95E24" w:rsidP="000E5114">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KB.5.3.</w:t>
            </w:r>
          </w:p>
        </w:tc>
        <w:tc>
          <w:tcPr>
            <w:tcW w:w="714" w:type="pct"/>
            <w:tcBorders>
              <w:top w:val="single" w:sz="4" w:space="0" w:color="17365D"/>
              <w:left w:val="nil"/>
              <w:bottom w:val="single" w:sz="4" w:space="0" w:color="17365D"/>
            </w:tcBorders>
            <w:shd w:val="clear" w:color="auto" w:fill="auto"/>
            <w:vAlign w:val="center"/>
          </w:tcPr>
          <w:p w14:paraId="4CE45A62" w14:textId="65B6FE63"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259 832 989</w:t>
            </w:r>
          </w:p>
        </w:tc>
        <w:tc>
          <w:tcPr>
            <w:tcW w:w="733" w:type="pct"/>
            <w:tcBorders>
              <w:top w:val="single" w:sz="4" w:space="0" w:color="17365D"/>
              <w:bottom w:val="single" w:sz="4" w:space="0" w:color="17365D"/>
            </w:tcBorders>
            <w:shd w:val="clear" w:color="auto" w:fill="auto"/>
            <w:vAlign w:val="center"/>
          </w:tcPr>
          <w:p w14:paraId="6F6C2FAD" w14:textId="0BCEAA53"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168 950 721</w:t>
            </w:r>
          </w:p>
        </w:tc>
        <w:tc>
          <w:tcPr>
            <w:tcW w:w="833" w:type="pct"/>
            <w:tcBorders>
              <w:top w:val="single" w:sz="4" w:space="0" w:color="17365D"/>
              <w:bottom w:val="single" w:sz="4" w:space="0" w:color="17365D"/>
            </w:tcBorders>
            <w:shd w:val="clear" w:color="auto" w:fill="auto"/>
            <w:noWrap/>
            <w:vAlign w:val="center"/>
          </w:tcPr>
          <w:p w14:paraId="246DE407" w14:textId="5FC4E60F"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90 882 268</w:t>
            </w:r>
          </w:p>
        </w:tc>
        <w:tc>
          <w:tcPr>
            <w:tcW w:w="648" w:type="pct"/>
            <w:tcBorders>
              <w:top w:val="single" w:sz="4" w:space="0" w:color="17365D"/>
              <w:bottom w:val="single" w:sz="4" w:space="0" w:color="17365D"/>
            </w:tcBorders>
            <w:shd w:val="clear" w:color="auto" w:fill="auto"/>
            <w:noWrap/>
            <w:vAlign w:val="center"/>
          </w:tcPr>
          <w:p w14:paraId="26D1B4D7" w14:textId="5B64FD5E"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53.79</w:t>
            </w:r>
          </w:p>
        </w:tc>
      </w:tr>
      <w:tr w:rsidR="00277134" w:rsidRPr="00A27896" w14:paraId="6C6E1EE3" w14:textId="77777777" w:rsidTr="008515F0">
        <w:trPr>
          <w:trHeight w:val="240"/>
        </w:trPr>
        <w:tc>
          <w:tcPr>
            <w:tcW w:w="1587" w:type="pct"/>
            <w:tcBorders>
              <w:top w:val="single" w:sz="4" w:space="0" w:color="17365D"/>
              <w:bottom w:val="single" w:sz="4" w:space="0" w:color="17365D"/>
            </w:tcBorders>
            <w:shd w:val="clear" w:color="auto" w:fill="auto"/>
            <w:vAlign w:val="center"/>
            <w:hideMark/>
          </w:tcPr>
          <w:p w14:paraId="3FDDA1E9" w14:textId="15E8238A" w:rsidR="00277134" w:rsidRPr="00A27896" w:rsidRDefault="00277134" w:rsidP="0027713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Īstermiņa uzkrātās saistības</w:t>
            </w:r>
          </w:p>
        </w:tc>
        <w:tc>
          <w:tcPr>
            <w:tcW w:w="485" w:type="pct"/>
            <w:tcBorders>
              <w:top w:val="single" w:sz="4" w:space="0" w:color="17365D"/>
              <w:bottom w:val="single" w:sz="4" w:space="0" w:color="17365D"/>
            </w:tcBorders>
            <w:shd w:val="clear" w:color="auto" w:fill="auto"/>
            <w:noWrap/>
            <w:vAlign w:val="center"/>
          </w:tcPr>
          <w:p w14:paraId="34994083" w14:textId="5FCE50AC" w:rsidR="00277134" w:rsidRPr="00A27896" w:rsidRDefault="00277134" w:rsidP="00277134">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KB.5.4.</w:t>
            </w:r>
          </w:p>
        </w:tc>
        <w:tc>
          <w:tcPr>
            <w:tcW w:w="714" w:type="pct"/>
            <w:tcBorders>
              <w:top w:val="single" w:sz="4" w:space="0" w:color="17365D"/>
              <w:left w:val="nil"/>
              <w:bottom w:val="single" w:sz="4" w:space="0" w:color="17365D"/>
            </w:tcBorders>
            <w:shd w:val="clear" w:color="auto" w:fill="auto"/>
          </w:tcPr>
          <w:p w14:paraId="764CA566" w14:textId="2C62CE39" w:rsidR="00277134" w:rsidRPr="00A27896" w:rsidRDefault="00277134" w:rsidP="00277134">
            <w:pPr>
              <w:spacing w:after="0" w:line="240" w:lineRule="auto"/>
              <w:jc w:val="right"/>
              <w:rPr>
                <w:rFonts w:cs="Times New Roman"/>
                <w:color w:val="17365D"/>
                <w:sz w:val="18"/>
                <w:szCs w:val="18"/>
              </w:rPr>
            </w:pPr>
            <w:r w:rsidRPr="00000E17">
              <w:rPr>
                <w:rFonts w:cs="Times New Roman"/>
                <w:color w:val="17365D"/>
                <w:sz w:val="18"/>
                <w:szCs w:val="18"/>
              </w:rPr>
              <w:t>1 193 527 228</w:t>
            </w:r>
          </w:p>
        </w:tc>
        <w:tc>
          <w:tcPr>
            <w:tcW w:w="733" w:type="pct"/>
            <w:tcBorders>
              <w:top w:val="single" w:sz="4" w:space="0" w:color="17365D"/>
              <w:bottom w:val="single" w:sz="4" w:space="0" w:color="17365D"/>
            </w:tcBorders>
            <w:shd w:val="clear" w:color="auto" w:fill="auto"/>
          </w:tcPr>
          <w:p w14:paraId="757222A7" w14:textId="658E3885" w:rsidR="00277134" w:rsidRPr="00A27896" w:rsidRDefault="00277134" w:rsidP="00277134">
            <w:pPr>
              <w:spacing w:after="0" w:line="240" w:lineRule="auto"/>
              <w:jc w:val="right"/>
              <w:rPr>
                <w:rFonts w:cs="Times New Roman"/>
                <w:color w:val="17365D"/>
                <w:sz w:val="18"/>
                <w:szCs w:val="18"/>
              </w:rPr>
            </w:pPr>
            <w:r w:rsidRPr="00000E17">
              <w:rPr>
                <w:rFonts w:cs="Times New Roman"/>
                <w:color w:val="17365D"/>
                <w:sz w:val="18"/>
                <w:szCs w:val="18"/>
              </w:rPr>
              <w:t>819 667 817</w:t>
            </w:r>
          </w:p>
        </w:tc>
        <w:tc>
          <w:tcPr>
            <w:tcW w:w="833" w:type="pct"/>
            <w:tcBorders>
              <w:top w:val="single" w:sz="4" w:space="0" w:color="17365D"/>
              <w:bottom w:val="single" w:sz="4" w:space="0" w:color="17365D"/>
            </w:tcBorders>
            <w:shd w:val="clear" w:color="auto" w:fill="auto"/>
            <w:noWrap/>
          </w:tcPr>
          <w:p w14:paraId="36A85063" w14:textId="1C1B4207" w:rsidR="00277134" w:rsidRPr="00A27896" w:rsidRDefault="00277134" w:rsidP="00277134">
            <w:pPr>
              <w:spacing w:after="0" w:line="240" w:lineRule="auto"/>
              <w:jc w:val="right"/>
              <w:rPr>
                <w:rFonts w:cs="Times New Roman"/>
                <w:color w:val="17365D"/>
                <w:sz w:val="18"/>
                <w:szCs w:val="18"/>
              </w:rPr>
            </w:pPr>
            <w:r w:rsidRPr="00000E17">
              <w:rPr>
                <w:rFonts w:cs="Times New Roman"/>
                <w:color w:val="17365D"/>
                <w:sz w:val="18"/>
                <w:szCs w:val="18"/>
              </w:rPr>
              <w:t xml:space="preserve"> 373 859 411 </w:t>
            </w:r>
          </w:p>
        </w:tc>
        <w:tc>
          <w:tcPr>
            <w:tcW w:w="648" w:type="pct"/>
            <w:tcBorders>
              <w:top w:val="single" w:sz="4" w:space="0" w:color="17365D"/>
              <w:bottom w:val="single" w:sz="4" w:space="0" w:color="17365D"/>
            </w:tcBorders>
            <w:shd w:val="clear" w:color="auto" w:fill="auto"/>
            <w:noWrap/>
          </w:tcPr>
          <w:p w14:paraId="7220B935" w14:textId="5CC0B5BF" w:rsidR="00277134" w:rsidRPr="00A27896" w:rsidRDefault="00277134" w:rsidP="00277134">
            <w:pPr>
              <w:spacing w:after="0" w:line="240" w:lineRule="auto"/>
              <w:jc w:val="right"/>
              <w:rPr>
                <w:rFonts w:cs="Times New Roman"/>
                <w:color w:val="17365D"/>
                <w:sz w:val="18"/>
                <w:szCs w:val="18"/>
              </w:rPr>
            </w:pPr>
            <w:r w:rsidRPr="00000E17">
              <w:rPr>
                <w:rFonts w:cs="Times New Roman"/>
                <w:color w:val="17365D"/>
                <w:sz w:val="18"/>
                <w:szCs w:val="18"/>
              </w:rPr>
              <w:t xml:space="preserve"> 45.61 </w:t>
            </w:r>
          </w:p>
        </w:tc>
      </w:tr>
      <w:tr w:rsidR="00D95E24" w:rsidRPr="00A27896" w14:paraId="234D6C0F" w14:textId="77777777" w:rsidTr="008515F0">
        <w:trPr>
          <w:trHeight w:val="54"/>
        </w:trPr>
        <w:tc>
          <w:tcPr>
            <w:tcW w:w="1587" w:type="pct"/>
            <w:tcBorders>
              <w:top w:val="single" w:sz="4" w:space="0" w:color="17365D"/>
              <w:bottom w:val="single" w:sz="4" w:space="0" w:color="17365D"/>
            </w:tcBorders>
            <w:shd w:val="clear" w:color="auto" w:fill="auto"/>
            <w:vAlign w:val="center"/>
            <w:hideMark/>
          </w:tcPr>
          <w:p w14:paraId="0F26340F" w14:textId="38C0682F" w:rsidR="00D95E24" w:rsidRPr="00A27896" w:rsidRDefault="00D95E24" w:rsidP="00D95E2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Valsts budžeta finanšu uzskaites īstermiņa saistības</w:t>
            </w:r>
          </w:p>
        </w:tc>
        <w:tc>
          <w:tcPr>
            <w:tcW w:w="485" w:type="pct"/>
            <w:tcBorders>
              <w:top w:val="single" w:sz="4" w:space="0" w:color="17365D"/>
              <w:bottom w:val="single" w:sz="4" w:space="0" w:color="17365D"/>
            </w:tcBorders>
            <w:shd w:val="clear" w:color="auto" w:fill="auto"/>
            <w:noWrap/>
            <w:vAlign w:val="center"/>
            <w:hideMark/>
          </w:tcPr>
          <w:p w14:paraId="47A7D19B" w14:textId="6F22324D" w:rsidR="00D95E24" w:rsidRPr="00A27896" w:rsidRDefault="00D95E24" w:rsidP="000E5114">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KB.5.5.</w:t>
            </w:r>
          </w:p>
        </w:tc>
        <w:tc>
          <w:tcPr>
            <w:tcW w:w="714" w:type="pct"/>
            <w:tcBorders>
              <w:top w:val="single" w:sz="4" w:space="0" w:color="17365D"/>
              <w:left w:val="nil"/>
              <w:bottom w:val="single" w:sz="4" w:space="0" w:color="17365D"/>
            </w:tcBorders>
            <w:shd w:val="clear" w:color="auto" w:fill="auto"/>
            <w:vAlign w:val="center"/>
          </w:tcPr>
          <w:p w14:paraId="0C20FCF5" w14:textId="59E9F9E3"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1 616 259 555</w:t>
            </w:r>
          </w:p>
        </w:tc>
        <w:tc>
          <w:tcPr>
            <w:tcW w:w="733" w:type="pct"/>
            <w:tcBorders>
              <w:top w:val="single" w:sz="4" w:space="0" w:color="17365D"/>
              <w:bottom w:val="single" w:sz="4" w:space="0" w:color="17365D"/>
            </w:tcBorders>
            <w:shd w:val="clear" w:color="auto" w:fill="auto"/>
            <w:vAlign w:val="center"/>
          </w:tcPr>
          <w:p w14:paraId="6894E7B7" w14:textId="0E51955B"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699 261 684</w:t>
            </w:r>
          </w:p>
        </w:tc>
        <w:tc>
          <w:tcPr>
            <w:tcW w:w="833" w:type="pct"/>
            <w:tcBorders>
              <w:top w:val="single" w:sz="4" w:space="0" w:color="17365D"/>
              <w:bottom w:val="single" w:sz="4" w:space="0" w:color="17365D"/>
            </w:tcBorders>
            <w:shd w:val="clear" w:color="auto" w:fill="auto"/>
            <w:noWrap/>
            <w:vAlign w:val="center"/>
          </w:tcPr>
          <w:p w14:paraId="338A57D5" w14:textId="7E91794F"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916 997 871</w:t>
            </w:r>
          </w:p>
        </w:tc>
        <w:tc>
          <w:tcPr>
            <w:tcW w:w="648" w:type="pct"/>
            <w:tcBorders>
              <w:top w:val="single" w:sz="4" w:space="0" w:color="17365D"/>
              <w:bottom w:val="single" w:sz="4" w:space="0" w:color="17365D"/>
            </w:tcBorders>
            <w:shd w:val="clear" w:color="auto" w:fill="auto"/>
            <w:noWrap/>
            <w:vAlign w:val="center"/>
          </w:tcPr>
          <w:p w14:paraId="5D5865FC" w14:textId="2F277E72"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131.14</w:t>
            </w:r>
          </w:p>
        </w:tc>
      </w:tr>
      <w:tr w:rsidR="00D95E24" w:rsidRPr="00A27896" w14:paraId="55B7FA0F" w14:textId="77777777" w:rsidTr="008515F0">
        <w:trPr>
          <w:trHeight w:val="54"/>
        </w:trPr>
        <w:tc>
          <w:tcPr>
            <w:tcW w:w="1587" w:type="pct"/>
            <w:tcBorders>
              <w:top w:val="single" w:sz="4" w:space="0" w:color="17365D"/>
              <w:bottom w:val="single" w:sz="4" w:space="0" w:color="17365D"/>
            </w:tcBorders>
            <w:shd w:val="clear" w:color="auto" w:fill="auto"/>
            <w:vAlign w:val="center"/>
            <w:hideMark/>
          </w:tcPr>
          <w:p w14:paraId="57A3D563" w14:textId="7C1FA64B" w:rsidR="00D95E24" w:rsidRPr="00A27896" w:rsidRDefault="00D95E24" w:rsidP="00D95E2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Norēķini par darba samaksu un ieturējumiem (izņemot nodokļus)</w:t>
            </w:r>
          </w:p>
        </w:tc>
        <w:tc>
          <w:tcPr>
            <w:tcW w:w="485" w:type="pct"/>
            <w:tcBorders>
              <w:top w:val="single" w:sz="4" w:space="0" w:color="17365D"/>
              <w:bottom w:val="single" w:sz="4" w:space="0" w:color="17365D"/>
            </w:tcBorders>
            <w:shd w:val="clear" w:color="auto" w:fill="auto"/>
            <w:noWrap/>
            <w:vAlign w:val="center"/>
          </w:tcPr>
          <w:p w14:paraId="433E1899" w14:textId="341D0A9E" w:rsidR="00D95E24" w:rsidRPr="00A27896" w:rsidRDefault="00D95E24" w:rsidP="000E5114">
            <w:pPr>
              <w:spacing w:after="0" w:line="240" w:lineRule="auto"/>
              <w:jc w:val="center"/>
              <w:rPr>
                <w:rFonts w:eastAsia="Times New Roman" w:cs="Times New Roman"/>
                <w:color w:val="17365D"/>
                <w:sz w:val="18"/>
                <w:szCs w:val="18"/>
                <w:lang w:eastAsia="lv-LV"/>
              </w:rPr>
            </w:pPr>
          </w:p>
        </w:tc>
        <w:tc>
          <w:tcPr>
            <w:tcW w:w="714" w:type="pct"/>
            <w:tcBorders>
              <w:top w:val="single" w:sz="4" w:space="0" w:color="17365D"/>
              <w:left w:val="nil"/>
              <w:bottom w:val="single" w:sz="4" w:space="0" w:color="17365D"/>
            </w:tcBorders>
            <w:shd w:val="clear" w:color="auto" w:fill="auto"/>
            <w:vAlign w:val="center"/>
          </w:tcPr>
          <w:p w14:paraId="4042730F" w14:textId="124DE045"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60 799 827</w:t>
            </w:r>
          </w:p>
        </w:tc>
        <w:tc>
          <w:tcPr>
            <w:tcW w:w="733" w:type="pct"/>
            <w:tcBorders>
              <w:top w:val="single" w:sz="4" w:space="0" w:color="17365D"/>
              <w:bottom w:val="single" w:sz="4" w:space="0" w:color="17365D"/>
            </w:tcBorders>
            <w:shd w:val="clear" w:color="auto" w:fill="auto"/>
            <w:vAlign w:val="center"/>
          </w:tcPr>
          <w:p w14:paraId="5044D93F" w14:textId="5A9852A4"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55 049 438</w:t>
            </w:r>
          </w:p>
        </w:tc>
        <w:tc>
          <w:tcPr>
            <w:tcW w:w="833" w:type="pct"/>
            <w:tcBorders>
              <w:top w:val="single" w:sz="4" w:space="0" w:color="17365D"/>
              <w:bottom w:val="single" w:sz="4" w:space="0" w:color="17365D"/>
            </w:tcBorders>
            <w:shd w:val="clear" w:color="auto" w:fill="auto"/>
            <w:noWrap/>
            <w:vAlign w:val="center"/>
          </w:tcPr>
          <w:p w14:paraId="7C4F14B5" w14:textId="4DFC87E4"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5 750 389</w:t>
            </w:r>
          </w:p>
        </w:tc>
        <w:tc>
          <w:tcPr>
            <w:tcW w:w="648" w:type="pct"/>
            <w:tcBorders>
              <w:top w:val="single" w:sz="4" w:space="0" w:color="17365D"/>
              <w:bottom w:val="single" w:sz="4" w:space="0" w:color="17365D"/>
            </w:tcBorders>
            <w:shd w:val="clear" w:color="auto" w:fill="auto"/>
            <w:noWrap/>
            <w:vAlign w:val="center"/>
          </w:tcPr>
          <w:p w14:paraId="00DA6742" w14:textId="5A288044"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10.45</w:t>
            </w:r>
          </w:p>
        </w:tc>
      </w:tr>
      <w:tr w:rsidR="00D95E24" w:rsidRPr="00A27896" w14:paraId="670C8238" w14:textId="77777777" w:rsidTr="008515F0">
        <w:trPr>
          <w:trHeight w:val="54"/>
        </w:trPr>
        <w:tc>
          <w:tcPr>
            <w:tcW w:w="1587" w:type="pct"/>
            <w:tcBorders>
              <w:top w:val="single" w:sz="4" w:space="0" w:color="17365D"/>
              <w:bottom w:val="single" w:sz="4" w:space="0" w:color="17365D"/>
            </w:tcBorders>
            <w:shd w:val="clear" w:color="auto" w:fill="auto"/>
            <w:vAlign w:val="center"/>
            <w:hideMark/>
          </w:tcPr>
          <w:p w14:paraId="0E00FC4D" w14:textId="1BB6884A" w:rsidR="00D95E24" w:rsidRPr="00A27896" w:rsidRDefault="00D95E24" w:rsidP="00D95E2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Saistības par nodokļiem, nodevām un citiem maksājumiem</w:t>
            </w:r>
          </w:p>
        </w:tc>
        <w:tc>
          <w:tcPr>
            <w:tcW w:w="485" w:type="pct"/>
            <w:tcBorders>
              <w:top w:val="single" w:sz="4" w:space="0" w:color="17365D"/>
              <w:bottom w:val="single" w:sz="4" w:space="0" w:color="17365D"/>
            </w:tcBorders>
            <w:shd w:val="clear" w:color="auto" w:fill="auto"/>
            <w:noWrap/>
            <w:vAlign w:val="center"/>
          </w:tcPr>
          <w:p w14:paraId="56DBD5A9" w14:textId="61358D3E" w:rsidR="00D95E24" w:rsidRPr="00A27896" w:rsidRDefault="00D95E24" w:rsidP="000E5114">
            <w:pPr>
              <w:spacing w:after="0" w:line="240" w:lineRule="auto"/>
              <w:jc w:val="center"/>
              <w:rPr>
                <w:rFonts w:eastAsia="Times New Roman" w:cs="Times New Roman"/>
                <w:color w:val="17365D"/>
                <w:sz w:val="18"/>
                <w:szCs w:val="18"/>
                <w:lang w:eastAsia="lv-LV"/>
              </w:rPr>
            </w:pPr>
            <w:r w:rsidRPr="00A27896">
              <w:rPr>
                <w:rFonts w:cs="Times New Roman"/>
                <w:color w:val="17365D"/>
                <w:sz w:val="18"/>
                <w:szCs w:val="18"/>
              </w:rPr>
              <w:t>KB.5.7.</w:t>
            </w:r>
          </w:p>
        </w:tc>
        <w:tc>
          <w:tcPr>
            <w:tcW w:w="714" w:type="pct"/>
            <w:tcBorders>
              <w:top w:val="single" w:sz="4" w:space="0" w:color="17365D"/>
              <w:left w:val="nil"/>
              <w:bottom w:val="single" w:sz="4" w:space="0" w:color="17365D"/>
            </w:tcBorders>
            <w:shd w:val="clear" w:color="auto" w:fill="auto"/>
            <w:vAlign w:val="center"/>
          </w:tcPr>
          <w:p w14:paraId="4AA09D5E" w14:textId="0F9BF8E9"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1 215 642 470</w:t>
            </w:r>
          </w:p>
        </w:tc>
        <w:tc>
          <w:tcPr>
            <w:tcW w:w="733" w:type="pct"/>
            <w:tcBorders>
              <w:top w:val="single" w:sz="4" w:space="0" w:color="17365D"/>
              <w:bottom w:val="single" w:sz="4" w:space="0" w:color="17365D"/>
            </w:tcBorders>
            <w:shd w:val="clear" w:color="auto" w:fill="auto"/>
            <w:vAlign w:val="center"/>
          </w:tcPr>
          <w:p w14:paraId="0EC20B59" w14:textId="7E2B803D"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578 150 077</w:t>
            </w:r>
          </w:p>
        </w:tc>
        <w:tc>
          <w:tcPr>
            <w:tcW w:w="833" w:type="pct"/>
            <w:tcBorders>
              <w:top w:val="single" w:sz="4" w:space="0" w:color="17365D"/>
              <w:bottom w:val="single" w:sz="4" w:space="0" w:color="17365D"/>
            </w:tcBorders>
            <w:shd w:val="clear" w:color="auto" w:fill="auto"/>
            <w:noWrap/>
            <w:vAlign w:val="center"/>
          </w:tcPr>
          <w:p w14:paraId="453A13E6" w14:textId="6805E276"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637 492 393</w:t>
            </w:r>
          </w:p>
        </w:tc>
        <w:tc>
          <w:tcPr>
            <w:tcW w:w="648" w:type="pct"/>
            <w:tcBorders>
              <w:top w:val="single" w:sz="4" w:space="0" w:color="17365D"/>
              <w:bottom w:val="single" w:sz="4" w:space="0" w:color="17365D"/>
            </w:tcBorders>
            <w:shd w:val="clear" w:color="auto" w:fill="auto"/>
            <w:noWrap/>
            <w:vAlign w:val="center"/>
          </w:tcPr>
          <w:p w14:paraId="601A2BBB" w14:textId="25262F08"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110.26</w:t>
            </w:r>
          </w:p>
        </w:tc>
      </w:tr>
      <w:tr w:rsidR="00D95E24" w:rsidRPr="00A27896" w14:paraId="2D2D2A01" w14:textId="77777777" w:rsidTr="008515F0">
        <w:trPr>
          <w:trHeight w:val="240"/>
        </w:trPr>
        <w:tc>
          <w:tcPr>
            <w:tcW w:w="1587" w:type="pct"/>
            <w:tcBorders>
              <w:top w:val="single" w:sz="4" w:space="0" w:color="17365D"/>
              <w:bottom w:val="single" w:sz="4" w:space="0" w:color="17365D"/>
            </w:tcBorders>
            <w:shd w:val="clear" w:color="auto" w:fill="auto"/>
            <w:vAlign w:val="center"/>
            <w:hideMark/>
          </w:tcPr>
          <w:p w14:paraId="65EC7DA7" w14:textId="694B2759" w:rsidR="00D95E24" w:rsidRPr="00A27896" w:rsidRDefault="00D95E24" w:rsidP="00D95E2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Pārējās īstermiņa saistības</w:t>
            </w:r>
          </w:p>
        </w:tc>
        <w:tc>
          <w:tcPr>
            <w:tcW w:w="485" w:type="pct"/>
            <w:tcBorders>
              <w:top w:val="single" w:sz="4" w:space="0" w:color="17365D"/>
              <w:bottom w:val="single" w:sz="4" w:space="0" w:color="17365D"/>
            </w:tcBorders>
            <w:shd w:val="clear" w:color="auto" w:fill="auto"/>
            <w:noWrap/>
            <w:vAlign w:val="center"/>
          </w:tcPr>
          <w:p w14:paraId="3C9D4B4E" w14:textId="1F490315" w:rsidR="00D95E24" w:rsidRPr="00A27896" w:rsidRDefault="00D95E24" w:rsidP="00D95E24">
            <w:pPr>
              <w:spacing w:after="0" w:line="240" w:lineRule="auto"/>
              <w:jc w:val="right"/>
              <w:rPr>
                <w:rFonts w:eastAsia="Times New Roman" w:cs="Times New Roman"/>
                <w:color w:val="17365D"/>
                <w:sz w:val="18"/>
                <w:szCs w:val="18"/>
                <w:lang w:eastAsia="lv-LV"/>
              </w:rPr>
            </w:pPr>
          </w:p>
        </w:tc>
        <w:tc>
          <w:tcPr>
            <w:tcW w:w="714" w:type="pct"/>
            <w:tcBorders>
              <w:top w:val="single" w:sz="4" w:space="0" w:color="17365D"/>
              <w:left w:val="nil"/>
              <w:bottom w:val="single" w:sz="4" w:space="0" w:color="17365D"/>
            </w:tcBorders>
            <w:shd w:val="clear" w:color="auto" w:fill="auto"/>
            <w:vAlign w:val="center"/>
          </w:tcPr>
          <w:p w14:paraId="795ECECB" w14:textId="70B41FD3"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1 106 544 729</w:t>
            </w:r>
          </w:p>
        </w:tc>
        <w:tc>
          <w:tcPr>
            <w:tcW w:w="733" w:type="pct"/>
            <w:tcBorders>
              <w:top w:val="single" w:sz="4" w:space="0" w:color="17365D"/>
              <w:bottom w:val="single" w:sz="4" w:space="0" w:color="17365D"/>
            </w:tcBorders>
            <w:shd w:val="clear" w:color="auto" w:fill="auto"/>
            <w:vAlign w:val="center"/>
          </w:tcPr>
          <w:p w14:paraId="45302B52" w14:textId="31CA9008"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1 084 685 526</w:t>
            </w:r>
          </w:p>
        </w:tc>
        <w:tc>
          <w:tcPr>
            <w:tcW w:w="833" w:type="pct"/>
            <w:tcBorders>
              <w:top w:val="single" w:sz="4" w:space="0" w:color="17365D"/>
              <w:bottom w:val="single" w:sz="4" w:space="0" w:color="17365D"/>
            </w:tcBorders>
            <w:shd w:val="clear" w:color="auto" w:fill="auto"/>
            <w:noWrap/>
            <w:vAlign w:val="center"/>
          </w:tcPr>
          <w:p w14:paraId="63FAC014" w14:textId="15A9A821"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21 859 203</w:t>
            </w:r>
          </w:p>
        </w:tc>
        <w:tc>
          <w:tcPr>
            <w:tcW w:w="648" w:type="pct"/>
            <w:tcBorders>
              <w:top w:val="single" w:sz="4" w:space="0" w:color="17365D"/>
              <w:bottom w:val="single" w:sz="4" w:space="0" w:color="17365D"/>
            </w:tcBorders>
            <w:shd w:val="clear" w:color="auto" w:fill="auto"/>
            <w:noWrap/>
            <w:vAlign w:val="center"/>
          </w:tcPr>
          <w:p w14:paraId="25A7B08F" w14:textId="28E0EFD0"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2.02</w:t>
            </w:r>
          </w:p>
        </w:tc>
      </w:tr>
      <w:tr w:rsidR="00D95E24" w:rsidRPr="00A27896" w14:paraId="4E98CD20" w14:textId="77777777" w:rsidTr="008515F0">
        <w:trPr>
          <w:trHeight w:val="435"/>
        </w:trPr>
        <w:tc>
          <w:tcPr>
            <w:tcW w:w="1587" w:type="pct"/>
            <w:tcBorders>
              <w:top w:val="single" w:sz="4" w:space="0" w:color="17365D"/>
              <w:bottom w:val="single" w:sz="4" w:space="0" w:color="17365D"/>
            </w:tcBorders>
            <w:shd w:val="clear" w:color="auto" w:fill="auto"/>
            <w:vAlign w:val="center"/>
            <w:hideMark/>
          </w:tcPr>
          <w:p w14:paraId="38B129DA" w14:textId="2E77E084" w:rsidR="00D95E24" w:rsidRPr="00A27896" w:rsidRDefault="00D95E24" w:rsidP="00D95E2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Nākamo periodu ieņēmumi, saņemtie avansa maksājumi un </w:t>
            </w:r>
            <w:proofErr w:type="spellStart"/>
            <w:r w:rsidRPr="00A27896">
              <w:rPr>
                <w:rFonts w:eastAsia="Times New Roman" w:cs="Times New Roman"/>
                <w:color w:val="17365D"/>
                <w:sz w:val="18"/>
                <w:szCs w:val="18"/>
                <w:lang w:eastAsia="lv-LV"/>
              </w:rPr>
              <w:t>transferti</w:t>
            </w:r>
            <w:proofErr w:type="spellEnd"/>
          </w:p>
        </w:tc>
        <w:tc>
          <w:tcPr>
            <w:tcW w:w="485" w:type="pct"/>
            <w:tcBorders>
              <w:top w:val="single" w:sz="4" w:space="0" w:color="17365D"/>
              <w:bottom w:val="single" w:sz="4" w:space="0" w:color="17365D"/>
            </w:tcBorders>
            <w:shd w:val="clear" w:color="auto" w:fill="auto"/>
            <w:noWrap/>
            <w:vAlign w:val="center"/>
          </w:tcPr>
          <w:p w14:paraId="7F9F6097" w14:textId="4F07FCFE" w:rsidR="00D95E24" w:rsidRPr="00A27896" w:rsidRDefault="00D95E24" w:rsidP="00D95E24">
            <w:pPr>
              <w:spacing w:after="0" w:line="240" w:lineRule="auto"/>
              <w:jc w:val="right"/>
              <w:rPr>
                <w:rFonts w:eastAsia="Times New Roman" w:cs="Times New Roman"/>
                <w:color w:val="17365D"/>
                <w:sz w:val="18"/>
                <w:szCs w:val="18"/>
                <w:lang w:eastAsia="lv-LV"/>
              </w:rPr>
            </w:pPr>
          </w:p>
        </w:tc>
        <w:tc>
          <w:tcPr>
            <w:tcW w:w="714" w:type="pct"/>
            <w:tcBorders>
              <w:top w:val="single" w:sz="4" w:space="0" w:color="17365D"/>
              <w:left w:val="nil"/>
              <w:bottom w:val="single" w:sz="4" w:space="0" w:color="17365D"/>
            </w:tcBorders>
            <w:shd w:val="clear" w:color="auto" w:fill="auto"/>
            <w:vAlign w:val="center"/>
          </w:tcPr>
          <w:p w14:paraId="20497D3D" w14:textId="784F0DFB"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1 037 463 445</w:t>
            </w:r>
          </w:p>
        </w:tc>
        <w:tc>
          <w:tcPr>
            <w:tcW w:w="733" w:type="pct"/>
            <w:tcBorders>
              <w:top w:val="single" w:sz="4" w:space="0" w:color="17365D"/>
              <w:bottom w:val="single" w:sz="4" w:space="0" w:color="17365D"/>
            </w:tcBorders>
            <w:shd w:val="clear" w:color="auto" w:fill="auto"/>
            <w:vAlign w:val="center"/>
          </w:tcPr>
          <w:p w14:paraId="3E5654B8" w14:textId="0506CAAF"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996 566 588</w:t>
            </w:r>
          </w:p>
        </w:tc>
        <w:tc>
          <w:tcPr>
            <w:tcW w:w="833" w:type="pct"/>
            <w:tcBorders>
              <w:top w:val="single" w:sz="4" w:space="0" w:color="17365D"/>
              <w:bottom w:val="single" w:sz="4" w:space="0" w:color="17365D"/>
            </w:tcBorders>
            <w:shd w:val="clear" w:color="auto" w:fill="auto"/>
            <w:noWrap/>
            <w:vAlign w:val="center"/>
          </w:tcPr>
          <w:p w14:paraId="10FCDC3B" w14:textId="6BDD0BA0"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40 896 857</w:t>
            </w:r>
          </w:p>
        </w:tc>
        <w:tc>
          <w:tcPr>
            <w:tcW w:w="648" w:type="pct"/>
            <w:tcBorders>
              <w:top w:val="single" w:sz="4" w:space="0" w:color="17365D"/>
              <w:bottom w:val="single" w:sz="4" w:space="0" w:color="17365D"/>
            </w:tcBorders>
            <w:shd w:val="clear" w:color="auto" w:fill="auto"/>
            <w:noWrap/>
            <w:vAlign w:val="center"/>
          </w:tcPr>
          <w:p w14:paraId="4F997E8D" w14:textId="06CD5141" w:rsidR="00D95E24" w:rsidRPr="00A27896" w:rsidRDefault="00D95E24" w:rsidP="00D95E24">
            <w:pPr>
              <w:spacing w:after="0" w:line="240" w:lineRule="auto"/>
              <w:jc w:val="right"/>
              <w:rPr>
                <w:rFonts w:cs="Times New Roman"/>
                <w:color w:val="17365D"/>
                <w:sz w:val="18"/>
                <w:szCs w:val="18"/>
              </w:rPr>
            </w:pPr>
            <w:r w:rsidRPr="00A27896">
              <w:rPr>
                <w:rFonts w:cs="Times New Roman"/>
                <w:color w:val="17365D"/>
                <w:sz w:val="18"/>
                <w:szCs w:val="18"/>
              </w:rPr>
              <w:t>4.10</w:t>
            </w:r>
          </w:p>
        </w:tc>
      </w:tr>
      <w:tr w:rsidR="000C1009" w:rsidRPr="00A27896" w14:paraId="3CE7B457" w14:textId="77777777" w:rsidTr="008515F0">
        <w:trPr>
          <w:trHeight w:val="162"/>
        </w:trPr>
        <w:tc>
          <w:tcPr>
            <w:tcW w:w="1587" w:type="pct"/>
            <w:tcBorders>
              <w:top w:val="single" w:sz="4" w:space="0" w:color="17365D"/>
            </w:tcBorders>
            <w:shd w:val="clear" w:color="auto" w:fill="B9CDE5"/>
            <w:vAlign w:val="center"/>
          </w:tcPr>
          <w:p w14:paraId="57021FA9" w14:textId="77777777" w:rsidR="008E1DFC" w:rsidRPr="00A27896" w:rsidRDefault="008E1DFC" w:rsidP="008E1DFC">
            <w:pPr>
              <w:spacing w:after="0"/>
              <w:rPr>
                <w:rFonts w:eastAsia="Times New Roman" w:cs="Times New Roman"/>
                <w:color w:val="17365D"/>
                <w:sz w:val="18"/>
                <w:szCs w:val="18"/>
                <w:lang w:eastAsia="lv-LV"/>
              </w:rPr>
            </w:pPr>
          </w:p>
        </w:tc>
        <w:tc>
          <w:tcPr>
            <w:tcW w:w="485" w:type="pct"/>
            <w:tcBorders>
              <w:top w:val="single" w:sz="4" w:space="0" w:color="17365D"/>
            </w:tcBorders>
            <w:shd w:val="clear" w:color="auto" w:fill="B9CDE5"/>
            <w:noWrap/>
            <w:vAlign w:val="center"/>
          </w:tcPr>
          <w:p w14:paraId="07858AD6" w14:textId="77777777" w:rsidR="008E1DFC" w:rsidRPr="00A27896" w:rsidRDefault="008E1DFC" w:rsidP="008E1DFC">
            <w:pPr>
              <w:spacing w:after="0"/>
              <w:jc w:val="center"/>
              <w:rPr>
                <w:rFonts w:eastAsia="Times New Roman" w:cs="Times New Roman"/>
                <w:color w:val="17365D"/>
                <w:sz w:val="18"/>
                <w:szCs w:val="18"/>
                <w:lang w:eastAsia="lv-LV"/>
              </w:rPr>
            </w:pPr>
          </w:p>
        </w:tc>
        <w:tc>
          <w:tcPr>
            <w:tcW w:w="714" w:type="pct"/>
            <w:tcBorders>
              <w:top w:val="single" w:sz="4" w:space="0" w:color="17365D"/>
            </w:tcBorders>
            <w:shd w:val="clear" w:color="auto" w:fill="B9CDE5"/>
            <w:vAlign w:val="center"/>
          </w:tcPr>
          <w:p w14:paraId="292BF18F" w14:textId="77777777" w:rsidR="008E1DFC" w:rsidRPr="00A27896" w:rsidRDefault="008E1DFC" w:rsidP="008E1DFC">
            <w:pPr>
              <w:spacing w:after="0"/>
              <w:jc w:val="right"/>
              <w:rPr>
                <w:rFonts w:eastAsia="Times New Roman" w:cs="Times New Roman"/>
                <w:color w:val="17365D"/>
                <w:sz w:val="18"/>
                <w:szCs w:val="18"/>
                <w:lang w:eastAsia="lv-LV"/>
              </w:rPr>
            </w:pPr>
          </w:p>
        </w:tc>
        <w:tc>
          <w:tcPr>
            <w:tcW w:w="733" w:type="pct"/>
            <w:tcBorders>
              <w:top w:val="single" w:sz="4" w:space="0" w:color="17365D"/>
            </w:tcBorders>
            <w:shd w:val="clear" w:color="auto" w:fill="B9CDE5"/>
            <w:vAlign w:val="center"/>
          </w:tcPr>
          <w:p w14:paraId="15DECF2C" w14:textId="77777777" w:rsidR="008E1DFC" w:rsidRPr="00A27896" w:rsidRDefault="008E1DFC" w:rsidP="008E1DFC">
            <w:pPr>
              <w:spacing w:after="0"/>
              <w:jc w:val="right"/>
              <w:rPr>
                <w:rFonts w:eastAsia="Times New Roman" w:cs="Times New Roman"/>
                <w:color w:val="17365D"/>
                <w:sz w:val="18"/>
                <w:szCs w:val="18"/>
                <w:lang w:eastAsia="lv-LV"/>
              </w:rPr>
            </w:pPr>
          </w:p>
        </w:tc>
        <w:tc>
          <w:tcPr>
            <w:tcW w:w="833" w:type="pct"/>
            <w:tcBorders>
              <w:top w:val="single" w:sz="4" w:space="0" w:color="17365D"/>
            </w:tcBorders>
            <w:shd w:val="clear" w:color="auto" w:fill="B9CDE5"/>
            <w:noWrap/>
            <w:vAlign w:val="center"/>
          </w:tcPr>
          <w:p w14:paraId="1FBE84C2" w14:textId="77777777" w:rsidR="008E1DFC" w:rsidRPr="00A27896" w:rsidRDefault="008E1DFC" w:rsidP="008E1DFC">
            <w:pPr>
              <w:spacing w:after="0"/>
              <w:jc w:val="right"/>
              <w:rPr>
                <w:rFonts w:eastAsia="Times New Roman" w:cs="Times New Roman"/>
                <w:color w:val="17365D"/>
                <w:sz w:val="18"/>
                <w:szCs w:val="18"/>
                <w:lang w:eastAsia="lv-LV"/>
              </w:rPr>
            </w:pPr>
          </w:p>
        </w:tc>
        <w:tc>
          <w:tcPr>
            <w:tcW w:w="648" w:type="pct"/>
            <w:tcBorders>
              <w:top w:val="single" w:sz="4" w:space="0" w:color="17365D"/>
            </w:tcBorders>
            <w:shd w:val="clear" w:color="auto" w:fill="B9CDE5"/>
            <w:noWrap/>
            <w:vAlign w:val="center"/>
          </w:tcPr>
          <w:p w14:paraId="6AF7BBAC" w14:textId="77777777" w:rsidR="008E1DFC" w:rsidRPr="00A27896" w:rsidRDefault="008E1DFC" w:rsidP="008E1DFC">
            <w:pPr>
              <w:spacing w:after="0"/>
              <w:jc w:val="right"/>
              <w:rPr>
                <w:rFonts w:eastAsia="Times New Roman" w:cs="Times New Roman"/>
                <w:b/>
                <w:bCs/>
                <w:color w:val="17365D"/>
                <w:sz w:val="18"/>
                <w:szCs w:val="18"/>
                <w:lang w:eastAsia="lv-LV"/>
              </w:rPr>
            </w:pPr>
          </w:p>
        </w:tc>
      </w:tr>
    </w:tbl>
    <w:p w14:paraId="3C46BD22" w14:textId="54236972" w:rsidR="00E36131" w:rsidRPr="00A27896" w:rsidRDefault="00E36131" w:rsidP="00E36131">
      <w:pPr>
        <w:pStyle w:val="Heading5"/>
        <w:rPr>
          <w:rFonts w:cs="Times New Roman"/>
        </w:rPr>
      </w:pPr>
      <w:r w:rsidRPr="00A27896">
        <w:rPr>
          <w:rFonts w:cs="Times New Roman"/>
        </w:rPr>
        <w:t>Piezīme Nr. KB.5.3. Īstermiņa saistības pret piegādātājiem un darbuzņēmējiem</w:t>
      </w:r>
    </w:p>
    <w:p w14:paraId="6B5BDC5E" w14:textId="5502C31D" w:rsidR="00D80B1F" w:rsidRPr="00A27896" w:rsidRDefault="00D80B1F" w:rsidP="00B303F8">
      <w:pPr>
        <w:spacing w:after="120" w:line="240" w:lineRule="auto"/>
        <w:ind w:firstLine="284"/>
        <w:jc w:val="both"/>
        <w:rPr>
          <w:rFonts w:cs="Times New Roman"/>
          <w:color w:val="17365D"/>
        </w:rPr>
      </w:pPr>
      <w:r w:rsidRPr="00A27896">
        <w:rPr>
          <w:rFonts w:cs="Times New Roman"/>
          <w:color w:val="17365D"/>
        </w:rPr>
        <w:t>Bilances postenis konsolidēts par savstarpējiem ministriju un pašvaldību darījumiem.</w:t>
      </w:r>
    </w:p>
    <w:p w14:paraId="7E8BA620" w14:textId="4BD2A6F5" w:rsidR="00E36131" w:rsidRPr="00A27896" w:rsidRDefault="00D80B1F" w:rsidP="00B303F8">
      <w:pPr>
        <w:spacing w:after="120" w:line="240" w:lineRule="auto"/>
        <w:ind w:firstLine="284"/>
        <w:jc w:val="both"/>
        <w:rPr>
          <w:rFonts w:cs="Times New Roman"/>
          <w:color w:val="17365D"/>
        </w:rPr>
      </w:pPr>
      <w:r w:rsidRPr="00A27896">
        <w:rPr>
          <w:rFonts w:cs="Times New Roman"/>
          <w:color w:val="17365D"/>
        </w:rPr>
        <w:t>Šī bilances posteņa lielākās izmaiņas veido ministriju un pašvaldību saistību palielinājums:</w:t>
      </w:r>
    </w:p>
    <w:p w14:paraId="31208298" w14:textId="7BEDD63E" w:rsidR="00D80B1F" w:rsidRPr="00A27896" w:rsidRDefault="00D95E24" w:rsidP="00603FE0">
      <w:pPr>
        <w:pStyle w:val="ListParagraph"/>
        <w:numPr>
          <w:ilvl w:val="0"/>
          <w:numId w:val="36"/>
        </w:numPr>
        <w:spacing w:after="80" w:line="240" w:lineRule="auto"/>
        <w:ind w:left="851"/>
        <w:jc w:val="both"/>
        <w:rPr>
          <w:rFonts w:cs="Times New Roman"/>
          <w:color w:val="17365D"/>
        </w:rPr>
      </w:pPr>
      <w:r w:rsidRPr="00A27896">
        <w:rPr>
          <w:rFonts w:cs="Times New Roman"/>
          <w:color w:val="17365D"/>
        </w:rPr>
        <w:t xml:space="preserve">Ekonomikas ministrijai palielinājums saistībām par atbalstu centralizētās siltumapgādes, dabasgāzes un elektroenerģijas sistēmas pakalpojuma maksas samazinājumam 53 581 415 </w:t>
      </w:r>
      <w:proofErr w:type="spellStart"/>
      <w:r w:rsidRPr="00A27896">
        <w:rPr>
          <w:rFonts w:cs="Times New Roman"/>
          <w:i/>
          <w:color w:val="17365D"/>
        </w:rPr>
        <w:t>euro</w:t>
      </w:r>
      <w:proofErr w:type="spellEnd"/>
      <w:r w:rsidRPr="00A27896">
        <w:rPr>
          <w:rFonts w:cs="Times New Roman"/>
          <w:color w:val="17365D"/>
        </w:rPr>
        <w:t xml:space="preserve"> vērtībā</w:t>
      </w:r>
      <w:r w:rsidR="00D80B1F" w:rsidRPr="00A27896">
        <w:rPr>
          <w:rFonts w:cs="Times New Roman"/>
          <w:color w:val="17365D"/>
        </w:rPr>
        <w:t>;</w:t>
      </w:r>
    </w:p>
    <w:p w14:paraId="73053348" w14:textId="7F1267B2" w:rsidR="00D80B1F" w:rsidRPr="00A27896" w:rsidRDefault="00D95E24" w:rsidP="00603FE0">
      <w:pPr>
        <w:pStyle w:val="ListParagraph"/>
        <w:numPr>
          <w:ilvl w:val="0"/>
          <w:numId w:val="36"/>
        </w:numPr>
        <w:spacing w:after="80" w:line="240" w:lineRule="auto"/>
        <w:ind w:left="851"/>
        <w:jc w:val="both"/>
        <w:rPr>
          <w:rFonts w:cs="Times New Roman"/>
          <w:color w:val="17365D"/>
        </w:rPr>
      </w:pPr>
      <w:r w:rsidRPr="00A27896">
        <w:rPr>
          <w:rFonts w:cs="Times New Roman"/>
          <w:color w:val="17365D"/>
        </w:rPr>
        <w:t xml:space="preserve">Satiksmes ministrijai palielinājušās saistības par </w:t>
      </w:r>
      <w:proofErr w:type="spellStart"/>
      <w:r w:rsidRPr="00A27896">
        <w:rPr>
          <w:rFonts w:cs="Times New Roman"/>
          <w:color w:val="17365D"/>
        </w:rPr>
        <w:t>RailBaltica</w:t>
      </w:r>
      <w:proofErr w:type="spellEnd"/>
      <w:r w:rsidRPr="00A27896">
        <w:rPr>
          <w:rFonts w:cs="Times New Roman"/>
          <w:color w:val="17365D"/>
        </w:rPr>
        <w:t xml:space="preserve"> projekta īstenošanu un ikdienas uzturēšanas darbu veikšanu uz valsts autoceļiem 9 323 808 </w:t>
      </w:r>
      <w:proofErr w:type="spellStart"/>
      <w:r w:rsidR="00D80B1F" w:rsidRPr="00A27896">
        <w:rPr>
          <w:rFonts w:cs="Times New Roman"/>
          <w:i/>
          <w:color w:val="17365D"/>
        </w:rPr>
        <w:t>euro</w:t>
      </w:r>
      <w:proofErr w:type="spellEnd"/>
      <w:r w:rsidR="00D80B1F" w:rsidRPr="00A27896">
        <w:rPr>
          <w:rFonts w:cs="Times New Roman"/>
          <w:color w:val="17365D"/>
        </w:rPr>
        <w:t xml:space="preserve"> vērtībā;</w:t>
      </w:r>
    </w:p>
    <w:p w14:paraId="5A440316" w14:textId="0C93934B" w:rsidR="00D80B1F" w:rsidRPr="00A27896" w:rsidRDefault="00D95E24" w:rsidP="00603FE0">
      <w:pPr>
        <w:pStyle w:val="ListParagraph"/>
        <w:numPr>
          <w:ilvl w:val="0"/>
          <w:numId w:val="36"/>
        </w:numPr>
        <w:spacing w:after="80" w:line="240" w:lineRule="auto"/>
        <w:ind w:left="851"/>
        <w:jc w:val="both"/>
        <w:rPr>
          <w:rFonts w:cs="Times New Roman"/>
          <w:color w:val="17365D"/>
        </w:rPr>
      </w:pPr>
      <w:r w:rsidRPr="00A27896">
        <w:rPr>
          <w:rFonts w:cs="Times New Roman"/>
          <w:color w:val="17365D"/>
        </w:rPr>
        <w:t xml:space="preserve">Veselības ministrijai samazinājušās izmaksas par atvaļinājuma rezervju </w:t>
      </w:r>
      <w:r w:rsidR="009C3DDD" w:rsidRPr="00A27896">
        <w:rPr>
          <w:rFonts w:cs="Times New Roman"/>
          <w:color w:val="17365D"/>
        </w:rPr>
        <w:t>uzkrājumiem ģimenes ārstiem (19 </w:t>
      </w:r>
      <w:r w:rsidRPr="00A27896">
        <w:rPr>
          <w:rFonts w:cs="Times New Roman"/>
          <w:color w:val="17365D"/>
        </w:rPr>
        <w:t xml:space="preserve">431 899) </w:t>
      </w:r>
      <w:proofErr w:type="spellStart"/>
      <w:r w:rsidR="00D80B1F" w:rsidRPr="00A27896">
        <w:rPr>
          <w:rFonts w:cs="Times New Roman"/>
          <w:i/>
          <w:color w:val="17365D"/>
        </w:rPr>
        <w:t>euro</w:t>
      </w:r>
      <w:proofErr w:type="spellEnd"/>
      <w:r w:rsidR="00D80B1F" w:rsidRPr="00A27896">
        <w:rPr>
          <w:rFonts w:cs="Times New Roman"/>
          <w:color w:val="17365D"/>
        </w:rPr>
        <w:t xml:space="preserve"> vērtībā.</w:t>
      </w:r>
    </w:p>
    <w:p w14:paraId="32870139" w14:textId="168D4400" w:rsidR="00B259DE" w:rsidRPr="00A27896" w:rsidRDefault="00B259DE" w:rsidP="00B259DE">
      <w:pPr>
        <w:pStyle w:val="Heading5"/>
        <w:rPr>
          <w:rFonts w:cs="Times New Roman"/>
        </w:rPr>
      </w:pPr>
      <w:r w:rsidRPr="00A27896">
        <w:rPr>
          <w:rFonts w:cs="Times New Roman"/>
        </w:rPr>
        <w:t>Piezīme Nr. KB.5.4. Īstermiņa uzkrātās saistības</w:t>
      </w:r>
    </w:p>
    <w:p w14:paraId="30F4A0D4" w14:textId="76965C46" w:rsidR="00B303F8" w:rsidRPr="00A27896" w:rsidRDefault="00B303F8" w:rsidP="00B303F8">
      <w:pPr>
        <w:spacing w:after="120" w:line="240" w:lineRule="auto"/>
        <w:ind w:firstLine="284"/>
        <w:jc w:val="both"/>
        <w:rPr>
          <w:rFonts w:cs="Times New Roman"/>
          <w:color w:val="17365D"/>
        </w:rPr>
      </w:pPr>
      <w:r w:rsidRPr="00A27896">
        <w:rPr>
          <w:rFonts w:cs="Times New Roman"/>
          <w:color w:val="17365D"/>
        </w:rPr>
        <w:t>Bilances postenis konsolidēts par savstarpējiem valsts budžeta (Valsts kases) un ministriju un pašvaldību darījumiem.</w:t>
      </w:r>
    </w:p>
    <w:p w14:paraId="4C05819E" w14:textId="18A8A9B7" w:rsidR="00B36444" w:rsidRPr="00A27896" w:rsidRDefault="00571D62" w:rsidP="00D95E24">
      <w:pPr>
        <w:spacing w:after="120" w:line="240" w:lineRule="auto"/>
        <w:ind w:firstLine="284"/>
        <w:jc w:val="both"/>
        <w:rPr>
          <w:rFonts w:cs="Times New Roman"/>
          <w:color w:val="17365D"/>
        </w:rPr>
      </w:pPr>
      <w:r w:rsidRPr="00A27896">
        <w:rPr>
          <w:rFonts w:cs="Times New Roman"/>
          <w:color w:val="17365D"/>
        </w:rPr>
        <w:t xml:space="preserve">Šī bilances posteņa lielākās izmaiņas veido </w:t>
      </w:r>
      <w:r w:rsidR="00D95E24" w:rsidRPr="00A27896">
        <w:rPr>
          <w:rFonts w:cs="Times New Roman"/>
          <w:color w:val="17365D"/>
        </w:rPr>
        <w:t>uzkrāto saistību palielinājums VID administrēto valsts budžeta ieņēmumu uzskaitē iedzīvotāju ienākuma nodoklim</w:t>
      </w:r>
      <w:r w:rsidR="00D95E24" w:rsidRPr="00A27896">
        <w:rPr>
          <w:rFonts w:cs="Times New Roman"/>
          <w:color w:val="17365D"/>
        </w:rPr>
        <w:tab/>
      </w:r>
      <w:r w:rsidR="00D667FA" w:rsidRPr="00D667FA">
        <w:rPr>
          <w:rFonts w:cs="Times New Roman"/>
          <w:color w:val="17365D"/>
        </w:rPr>
        <w:t>368</w:t>
      </w:r>
      <w:r w:rsidR="00D667FA">
        <w:rPr>
          <w:rFonts w:cs="Times New Roman"/>
          <w:color w:val="17365D"/>
        </w:rPr>
        <w:t> </w:t>
      </w:r>
      <w:r w:rsidR="00D667FA" w:rsidRPr="00D667FA">
        <w:rPr>
          <w:rFonts w:cs="Times New Roman"/>
          <w:color w:val="17365D"/>
        </w:rPr>
        <w:t>783</w:t>
      </w:r>
      <w:r w:rsidR="00D667FA">
        <w:rPr>
          <w:rFonts w:cs="Times New Roman"/>
          <w:color w:val="17365D"/>
        </w:rPr>
        <w:t> </w:t>
      </w:r>
      <w:r w:rsidR="00D667FA" w:rsidRPr="00D667FA">
        <w:rPr>
          <w:rFonts w:cs="Times New Roman"/>
          <w:color w:val="17365D"/>
        </w:rPr>
        <w:t>509</w:t>
      </w:r>
      <w:r w:rsidR="00D667FA">
        <w:rPr>
          <w:rFonts w:cs="Times New Roman"/>
          <w:color w:val="17365D"/>
        </w:rPr>
        <w:t xml:space="preserve"> </w:t>
      </w:r>
      <w:proofErr w:type="spellStart"/>
      <w:r w:rsidR="00D95E24" w:rsidRPr="00A27896">
        <w:rPr>
          <w:rFonts w:cs="Times New Roman"/>
          <w:i/>
          <w:color w:val="17365D"/>
        </w:rPr>
        <w:t>euro</w:t>
      </w:r>
      <w:proofErr w:type="spellEnd"/>
      <w:r w:rsidR="00D95E24" w:rsidRPr="00A27896">
        <w:rPr>
          <w:rFonts w:cs="Times New Roman"/>
          <w:i/>
          <w:color w:val="17365D"/>
        </w:rPr>
        <w:t xml:space="preserve"> </w:t>
      </w:r>
      <w:r w:rsidR="00D95E24" w:rsidRPr="00A27896">
        <w:rPr>
          <w:rFonts w:cs="Times New Roman"/>
          <w:color w:val="17365D"/>
        </w:rPr>
        <w:t xml:space="preserve">vērtībā un pievienotās vērtības nodoklim </w:t>
      </w:r>
      <w:r w:rsidR="00D667FA" w:rsidRPr="00D667FA">
        <w:rPr>
          <w:rFonts w:cs="Times New Roman"/>
          <w:color w:val="17365D"/>
        </w:rPr>
        <w:t>79</w:t>
      </w:r>
      <w:r w:rsidR="00D667FA">
        <w:rPr>
          <w:rFonts w:cs="Times New Roman"/>
          <w:color w:val="17365D"/>
        </w:rPr>
        <w:t> </w:t>
      </w:r>
      <w:r w:rsidR="00D667FA" w:rsidRPr="00D667FA">
        <w:rPr>
          <w:rFonts w:cs="Times New Roman"/>
          <w:color w:val="17365D"/>
        </w:rPr>
        <w:t>373</w:t>
      </w:r>
      <w:r w:rsidR="00D667FA">
        <w:rPr>
          <w:rFonts w:cs="Times New Roman"/>
          <w:color w:val="17365D"/>
        </w:rPr>
        <w:t> </w:t>
      </w:r>
      <w:r w:rsidR="00D667FA" w:rsidRPr="00D667FA">
        <w:rPr>
          <w:rFonts w:cs="Times New Roman"/>
          <w:color w:val="17365D"/>
        </w:rPr>
        <w:t>811</w:t>
      </w:r>
      <w:r w:rsidR="00D667FA">
        <w:rPr>
          <w:rFonts w:cs="Times New Roman"/>
          <w:color w:val="17365D"/>
        </w:rPr>
        <w:t xml:space="preserve"> </w:t>
      </w:r>
      <w:proofErr w:type="spellStart"/>
      <w:r w:rsidR="00D95E24" w:rsidRPr="00A27896">
        <w:rPr>
          <w:rFonts w:cs="Times New Roman"/>
          <w:i/>
          <w:color w:val="17365D"/>
        </w:rPr>
        <w:t>euro</w:t>
      </w:r>
      <w:proofErr w:type="spellEnd"/>
      <w:r w:rsidR="00D95E24" w:rsidRPr="00A27896">
        <w:rPr>
          <w:rFonts w:cs="Times New Roman"/>
          <w:i/>
          <w:color w:val="17365D"/>
        </w:rPr>
        <w:t xml:space="preserve"> </w:t>
      </w:r>
      <w:r w:rsidR="00D95E24" w:rsidRPr="00A27896">
        <w:rPr>
          <w:rFonts w:cs="Times New Roman"/>
          <w:color w:val="17365D"/>
        </w:rPr>
        <w:t>vērtībā, kas ir saistīts ar ekonomiskās aktivitātes pieaugumu pārskata gadā.</w:t>
      </w:r>
    </w:p>
    <w:p w14:paraId="6A7D4859" w14:textId="3C492F08" w:rsidR="00072DD6" w:rsidRPr="00A27896" w:rsidRDefault="00072DD6" w:rsidP="00050E79">
      <w:pPr>
        <w:spacing w:after="120" w:line="240" w:lineRule="auto"/>
        <w:ind w:firstLine="284"/>
        <w:jc w:val="both"/>
        <w:rPr>
          <w:rFonts w:cs="Times New Roman"/>
          <w:color w:val="17365D"/>
        </w:rPr>
      </w:pPr>
      <w:r w:rsidRPr="00A27896">
        <w:rPr>
          <w:rFonts w:cs="Times New Roman"/>
          <w:color w:val="17365D"/>
        </w:rPr>
        <w:t>Būtiskas izmaiņas pārskata gadā šajā postenī veidojušās</w:t>
      </w:r>
      <w:r w:rsidR="00761AC7" w:rsidRPr="00A27896">
        <w:rPr>
          <w:rFonts w:cs="Times New Roman"/>
          <w:color w:val="17365D"/>
        </w:rPr>
        <w:t xml:space="preserve"> arī</w:t>
      </w:r>
      <w:r w:rsidRPr="00A27896">
        <w:rPr>
          <w:rFonts w:cs="Times New Roman"/>
          <w:color w:val="17365D"/>
        </w:rPr>
        <w:t>:</w:t>
      </w:r>
    </w:p>
    <w:p w14:paraId="202B934B" w14:textId="7756F229" w:rsidR="00072DD6" w:rsidRPr="00A27896" w:rsidRDefault="00D95E24" w:rsidP="00603FE0">
      <w:pPr>
        <w:pStyle w:val="ListParagraph"/>
        <w:numPr>
          <w:ilvl w:val="0"/>
          <w:numId w:val="36"/>
        </w:numPr>
        <w:spacing w:after="80" w:line="240" w:lineRule="auto"/>
        <w:ind w:left="851"/>
        <w:jc w:val="both"/>
        <w:rPr>
          <w:rFonts w:cs="Times New Roman"/>
          <w:color w:val="17365D"/>
        </w:rPr>
      </w:pPr>
      <w:r w:rsidRPr="00A27896">
        <w:rPr>
          <w:rFonts w:cs="Times New Roman"/>
          <w:color w:val="17365D"/>
        </w:rPr>
        <w:t xml:space="preserve">Ogres novadam – palielinājums </w:t>
      </w:r>
      <w:r w:rsidR="000E42DD" w:rsidRPr="00A27896">
        <w:rPr>
          <w:rFonts w:cs="Times New Roman"/>
          <w:color w:val="17365D"/>
        </w:rPr>
        <w:t>1 426 </w:t>
      </w:r>
      <w:r w:rsidRPr="00A27896">
        <w:rPr>
          <w:rFonts w:cs="Times New Roman"/>
          <w:color w:val="17365D"/>
        </w:rPr>
        <w:t>694</w:t>
      </w:r>
      <w:r w:rsidRPr="00A27896">
        <w:rPr>
          <w:rFonts w:cs="Times New Roman"/>
          <w:i/>
          <w:color w:val="17365D"/>
        </w:rPr>
        <w:t xml:space="preserve"> </w:t>
      </w:r>
      <w:proofErr w:type="spellStart"/>
      <w:r w:rsidRPr="00A27896">
        <w:rPr>
          <w:rFonts w:cs="Times New Roman"/>
          <w:i/>
          <w:color w:val="17365D"/>
        </w:rPr>
        <w:t>euro</w:t>
      </w:r>
      <w:proofErr w:type="spellEnd"/>
      <w:r w:rsidRPr="00A27896">
        <w:rPr>
          <w:rFonts w:cs="Times New Roman"/>
          <w:i/>
          <w:color w:val="17365D"/>
        </w:rPr>
        <w:t xml:space="preserve"> </w:t>
      </w:r>
      <w:r w:rsidRPr="00A27896">
        <w:rPr>
          <w:rFonts w:cs="Times New Roman"/>
          <w:color w:val="17365D"/>
        </w:rPr>
        <w:t xml:space="preserve">vērtībā norēķiniem ar darbiniekiem un 1 282 372 </w:t>
      </w:r>
      <w:proofErr w:type="spellStart"/>
      <w:r w:rsidRPr="00A27896">
        <w:rPr>
          <w:rFonts w:cs="Times New Roman"/>
          <w:i/>
          <w:color w:val="17365D"/>
        </w:rPr>
        <w:t>euro</w:t>
      </w:r>
      <w:proofErr w:type="spellEnd"/>
      <w:r w:rsidRPr="00A27896">
        <w:rPr>
          <w:rFonts w:cs="Times New Roman"/>
          <w:i/>
          <w:color w:val="17365D"/>
        </w:rPr>
        <w:t xml:space="preserve"> </w:t>
      </w:r>
      <w:r w:rsidRPr="00A27896">
        <w:rPr>
          <w:rFonts w:cs="Times New Roman"/>
          <w:color w:val="17365D"/>
        </w:rPr>
        <w:t xml:space="preserve">vērtībā norēķiniem ar piegādātājiem </w:t>
      </w:r>
      <w:r w:rsidR="000E42DD" w:rsidRPr="00A27896">
        <w:rPr>
          <w:rFonts w:cs="Times New Roman"/>
          <w:color w:val="17365D"/>
        </w:rPr>
        <w:t>par skolas būvniecību</w:t>
      </w:r>
      <w:r w:rsidR="00761AC7" w:rsidRPr="00A27896">
        <w:rPr>
          <w:rFonts w:cs="Times New Roman"/>
          <w:color w:val="17365D"/>
        </w:rPr>
        <w:t>;</w:t>
      </w:r>
    </w:p>
    <w:p w14:paraId="43D9FCF3" w14:textId="4A62C4C3" w:rsidR="00050E79" w:rsidRPr="00A27896" w:rsidRDefault="000E42DD" w:rsidP="00603FE0">
      <w:pPr>
        <w:pStyle w:val="ListParagraph"/>
        <w:numPr>
          <w:ilvl w:val="0"/>
          <w:numId w:val="36"/>
        </w:numPr>
        <w:spacing w:after="80" w:line="240" w:lineRule="auto"/>
        <w:ind w:left="851"/>
        <w:contextualSpacing w:val="0"/>
        <w:jc w:val="both"/>
        <w:rPr>
          <w:rFonts w:cs="Times New Roman"/>
          <w:color w:val="17365D"/>
        </w:rPr>
      </w:pPr>
      <w:r w:rsidRPr="00A27896">
        <w:rPr>
          <w:rFonts w:cs="Times New Roman"/>
          <w:color w:val="17365D"/>
        </w:rPr>
        <w:t xml:space="preserve">Talsu novadam – palielinājums 1 470 483 </w:t>
      </w:r>
      <w:proofErr w:type="spellStart"/>
      <w:r w:rsidRPr="00A27896">
        <w:rPr>
          <w:rFonts w:cs="Times New Roman"/>
          <w:i/>
          <w:color w:val="17365D"/>
        </w:rPr>
        <w:t>euro</w:t>
      </w:r>
      <w:proofErr w:type="spellEnd"/>
      <w:r w:rsidRPr="00A27896">
        <w:rPr>
          <w:rFonts w:cs="Times New Roman"/>
          <w:i/>
          <w:color w:val="17365D"/>
        </w:rPr>
        <w:t xml:space="preserve"> </w:t>
      </w:r>
      <w:r w:rsidRPr="00A27896">
        <w:rPr>
          <w:rFonts w:cs="Times New Roman"/>
          <w:color w:val="17365D"/>
        </w:rPr>
        <w:t>vērtībā uzkrātajiem atvaļinājumiem darbiniekiem.</w:t>
      </w:r>
    </w:p>
    <w:p w14:paraId="481CFE2C" w14:textId="0F6D0CCE" w:rsidR="00E36131" w:rsidRPr="00A27896" w:rsidRDefault="00E36131" w:rsidP="00E36131">
      <w:pPr>
        <w:pStyle w:val="Heading5"/>
        <w:rPr>
          <w:rFonts w:cs="Times New Roman"/>
        </w:rPr>
      </w:pPr>
      <w:r w:rsidRPr="00A27896">
        <w:rPr>
          <w:rFonts w:cs="Times New Roman"/>
        </w:rPr>
        <w:t>Piezīme Nr. KB.5.5. Valsts budžeta finanšu uzskaites īstermiņa saistības</w:t>
      </w:r>
    </w:p>
    <w:p w14:paraId="63574A9C" w14:textId="1EC212D1" w:rsidR="0083082B" w:rsidRPr="00A27896" w:rsidRDefault="0083082B" w:rsidP="0083082B">
      <w:pPr>
        <w:pStyle w:val="Pamatteksts"/>
        <w:rPr>
          <w:color w:val="17365D"/>
        </w:rPr>
      </w:pPr>
      <w:r w:rsidRPr="00A27896">
        <w:rPr>
          <w:rFonts w:eastAsiaTheme="minorHAnsi"/>
          <w:noProof w:val="0"/>
          <w:color w:val="17365D"/>
          <w:szCs w:val="22"/>
          <w:lang w:eastAsia="en-US"/>
        </w:rPr>
        <w:t xml:space="preserve">Bilances posteņa </w:t>
      </w:r>
      <w:r w:rsidR="000E42DD" w:rsidRPr="00A27896">
        <w:rPr>
          <w:rFonts w:eastAsiaTheme="minorHAnsi"/>
          <w:noProof w:val="0"/>
          <w:color w:val="17365D"/>
          <w:szCs w:val="22"/>
          <w:lang w:eastAsia="en-US"/>
        </w:rPr>
        <w:t>palielinājumu</w:t>
      </w:r>
      <w:r w:rsidRPr="00A27896">
        <w:rPr>
          <w:rFonts w:eastAsiaTheme="minorHAnsi"/>
          <w:noProof w:val="0"/>
          <w:color w:val="17365D"/>
          <w:szCs w:val="22"/>
          <w:lang w:eastAsia="en-US"/>
        </w:rPr>
        <w:t xml:space="preserve"> galvenokārt ietekmēja valsts budžeta finanšu uzskaitē </w:t>
      </w:r>
      <w:r w:rsidR="000E42DD" w:rsidRPr="00A27896">
        <w:rPr>
          <w:rFonts w:eastAsiaTheme="minorHAnsi"/>
          <w:noProof w:val="0"/>
          <w:color w:val="17365D"/>
          <w:szCs w:val="22"/>
          <w:lang w:eastAsia="en-US"/>
        </w:rPr>
        <w:t>uz īstermiņa saistībām pārklasificētā vidēja un ilgtermiņa parāda vērtspapīru daļa</w:t>
      </w:r>
      <w:r w:rsidR="000E42DD" w:rsidRPr="00A27896">
        <w:rPr>
          <w:color w:val="17365D"/>
        </w:rPr>
        <w:t xml:space="preserve"> </w:t>
      </w:r>
      <w:r w:rsidR="000E42DD" w:rsidRPr="00A27896">
        <w:rPr>
          <w:rFonts w:eastAsiaTheme="minorHAnsi"/>
          <w:noProof w:val="0"/>
          <w:color w:val="17365D"/>
          <w:szCs w:val="22"/>
          <w:lang w:eastAsia="en-US"/>
        </w:rPr>
        <w:t xml:space="preserve">1 520 000 000 </w:t>
      </w:r>
      <w:r w:rsidRPr="00A27896">
        <w:rPr>
          <w:i/>
          <w:color w:val="17365D"/>
        </w:rPr>
        <w:t>euro</w:t>
      </w:r>
      <w:r w:rsidRPr="00A27896">
        <w:rPr>
          <w:color w:val="17365D"/>
        </w:rPr>
        <w:t xml:space="preserve"> vērtībā</w:t>
      </w:r>
      <w:r w:rsidR="000E42DD" w:rsidRPr="00A27896">
        <w:rPr>
          <w:color w:val="17365D"/>
        </w:rPr>
        <w:t xml:space="preserve"> un pārskata gadā dzēstie vidēja un ilgtermiņa parāda vērtspapīri (622 221 465)</w:t>
      </w:r>
      <w:r w:rsidR="000E42DD" w:rsidRPr="00A27896">
        <w:rPr>
          <w:rFonts w:eastAsiaTheme="minorHAnsi"/>
          <w:i/>
          <w:noProof w:val="0"/>
          <w:color w:val="17365D"/>
          <w:szCs w:val="22"/>
          <w:lang w:eastAsia="en-US"/>
        </w:rPr>
        <w:t xml:space="preserve"> </w:t>
      </w:r>
      <w:r w:rsidR="000E42DD" w:rsidRPr="00A27896">
        <w:rPr>
          <w:i/>
          <w:color w:val="17365D"/>
        </w:rPr>
        <w:t>euro</w:t>
      </w:r>
      <w:r w:rsidR="000E42DD" w:rsidRPr="00A27896">
        <w:rPr>
          <w:color w:val="17365D"/>
        </w:rPr>
        <w:t xml:space="preserve"> vērtībā</w:t>
      </w:r>
      <w:r w:rsidRPr="00A27896">
        <w:rPr>
          <w:color w:val="17365D"/>
        </w:rPr>
        <w:t>.</w:t>
      </w:r>
    </w:p>
    <w:p w14:paraId="6FCA85D9" w14:textId="06AC53D6" w:rsidR="00E30BE2" w:rsidRPr="00A27896" w:rsidRDefault="00651A01" w:rsidP="00514C3E">
      <w:pPr>
        <w:pStyle w:val="Heading5"/>
        <w:rPr>
          <w:rFonts w:cs="Times New Roman"/>
        </w:rPr>
      </w:pPr>
      <w:r w:rsidRPr="00A27896">
        <w:rPr>
          <w:rFonts w:cs="Times New Roman"/>
        </w:rPr>
        <w:lastRenderedPageBreak/>
        <w:t>Piezīme Nr. KB.</w:t>
      </w:r>
      <w:r w:rsidR="00FB303F" w:rsidRPr="00A27896">
        <w:rPr>
          <w:rFonts w:cs="Times New Roman"/>
        </w:rPr>
        <w:t>5.</w:t>
      </w:r>
      <w:r w:rsidR="00625676" w:rsidRPr="00A27896">
        <w:rPr>
          <w:rFonts w:cs="Times New Roman"/>
        </w:rPr>
        <w:t>7</w:t>
      </w:r>
      <w:r w:rsidR="00E30BE2" w:rsidRPr="00A27896">
        <w:rPr>
          <w:rFonts w:cs="Times New Roman"/>
        </w:rPr>
        <w:t xml:space="preserve">. </w:t>
      </w:r>
      <w:r w:rsidR="00625676" w:rsidRPr="00A27896">
        <w:rPr>
          <w:rFonts w:cs="Times New Roman"/>
        </w:rPr>
        <w:t>Saistības par nodokļiem, nodevām un citiem maksājumiem</w:t>
      </w:r>
      <w:r w:rsidR="00E30BE2" w:rsidRPr="00A27896">
        <w:rPr>
          <w:rFonts w:cs="Times New Roman"/>
        </w:rPr>
        <w:t xml:space="preserve"> </w:t>
      </w:r>
    </w:p>
    <w:p w14:paraId="343DDCF0" w14:textId="71E97545" w:rsidR="000D308E" w:rsidRPr="00A27896" w:rsidRDefault="00B642CC" w:rsidP="000E0ECD">
      <w:pPr>
        <w:spacing w:after="120" w:line="240" w:lineRule="auto"/>
        <w:ind w:firstLine="284"/>
        <w:jc w:val="both"/>
        <w:rPr>
          <w:rFonts w:cs="Times New Roman"/>
          <w:color w:val="17365D"/>
        </w:rPr>
      </w:pPr>
      <w:r w:rsidRPr="00A27896">
        <w:rPr>
          <w:rFonts w:cs="Times New Roman"/>
          <w:color w:val="17365D"/>
        </w:rPr>
        <w:t>Š</w:t>
      </w:r>
      <w:r w:rsidR="00596033" w:rsidRPr="00A27896">
        <w:rPr>
          <w:rFonts w:cs="Times New Roman"/>
          <w:color w:val="17365D"/>
        </w:rPr>
        <w:t xml:space="preserve">ī bilances posteņa </w:t>
      </w:r>
      <w:r w:rsidR="000D308E" w:rsidRPr="00A27896">
        <w:rPr>
          <w:rFonts w:cs="Times New Roman"/>
          <w:color w:val="17365D"/>
        </w:rPr>
        <w:t xml:space="preserve">lielāko </w:t>
      </w:r>
      <w:r w:rsidR="00596033" w:rsidRPr="00A27896">
        <w:rPr>
          <w:rFonts w:cs="Times New Roman"/>
          <w:color w:val="17365D"/>
        </w:rPr>
        <w:t xml:space="preserve">palielinājumu veido </w:t>
      </w:r>
      <w:r w:rsidR="000E42DD" w:rsidRPr="00A27896">
        <w:rPr>
          <w:rFonts w:cs="Times New Roman"/>
          <w:color w:val="17365D"/>
        </w:rPr>
        <w:t xml:space="preserve">saistību par </w:t>
      </w:r>
      <w:r w:rsidR="000D308E" w:rsidRPr="00A27896">
        <w:rPr>
          <w:rFonts w:cs="Times New Roman"/>
          <w:color w:val="17365D"/>
        </w:rPr>
        <w:t xml:space="preserve">VID </w:t>
      </w:r>
      <w:r w:rsidR="000E42DD" w:rsidRPr="00A27896">
        <w:rPr>
          <w:rFonts w:cs="Times New Roman"/>
          <w:color w:val="17365D"/>
        </w:rPr>
        <w:t xml:space="preserve">administrētiem </w:t>
      </w:r>
      <w:r w:rsidR="000D308E" w:rsidRPr="00A27896">
        <w:rPr>
          <w:rFonts w:cs="Times New Roman"/>
          <w:color w:val="17365D"/>
        </w:rPr>
        <w:t>valsts budžeta ieņēmum</w:t>
      </w:r>
      <w:r w:rsidR="000E42DD" w:rsidRPr="00A27896">
        <w:rPr>
          <w:rFonts w:cs="Times New Roman"/>
          <w:color w:val="17365D"/>
        </w:rPr>
        <w:t>iem</w:t>
      </w:r>
      <w:r w:rsidR="000D308E" w:rsidRPr="00A27896">
        <w:rPr>
          <w:rFonts w:cs="Times New Roman"/>
          <w:color w:val="17365D"/>
        </w:rPr>
        <w:t xml:space="preserve"> </w:t>
      </w:r>
      <w:r w:rsidR="000E42DD" w:rsidRPr="00A27896">
        <w:rPr>
          <w:rFonts w:cs="Times New Roman"/>
          <w:color w:val="17365D"/>
        </w:rPr>
        <w:t>pieaugums</w:t>
      </w:r>
      <w:r w:rsidR="000D308E" w:rsidRPr="00A27896">
        <w:rPr>
          <w:rFonts w:cs="Times New Roman"/>
          <w:color w:val="17365D"/>
        </w:rPr>
        <w:t>:</w:t>
      </w:r>
    </w:p>
    <w:p w14:paraId="53B35927" w14:textId="50BE6624" w:rsidR="000E42DD" w:rsidRPr="00A27896" w:rsidRDefault="000E42DD" w:rsidP="00603FE0">
      <w:pPr>
        <w:pStyle w:val="ListParagraph"/>
        <w:numPr>
          <w:ilvl w:val="0"/>
          <w:numId w:val="36"/>
        </w:numPr>
        <w:spacing w:after="80" w:line="240" w:lineRule="auto"/>
        <w:ind w:left="851"/>
        <w:contextualSpacing w:val="0"/>
        <w:jc w:val="both"/>
        <w:rPr>
          <w:rFonts w:cs="Times New Roman"/>
          <w:color w:val="17365D"/>
        </w:rPr>
      </w:pPr>
      <w:r w:rsidRPr="00A27896">
        <w:rPr>
          <w:rFonts w:cs="Times New Roman"/>
          <w:color w:val="17365D"/>
        </w:rPr>
        <w:t>par p</w:t>
      </w:r>
      <w:r w:rsidR="00A26F4C" w:rsidRPr="00A27896">
        <w:rPr>
          <w:rFonts w:cs="Times New Roman"/>
          <w:color w:val="17365D"/>
        </w:rPr>
        <w:t>ievienotās vērtības nodokli 189 499 </w:t>
      </w:r>
      <w:r w:rsidRPr="00A27896">
        <w:rPr>
          <w:rFonts w:cs="Times New Roman"/>
          <w:color w:val="17365D"/>
        </w:rPr>
        <w:t xml:space="preserve">525 </w:t>
      </w:r>
      <w:proofErr w:type="spellStart"/>
      <w:r w:rsidRPr="00A27896">
        <w:rPr>
          <w:rFonts w:cs="Times New Roman"/>
          <w:i/>
          <w:color w:val="17365D"/>
        </w:rPr>
        <w:t>euro</w:t>
      </w:r>
      <w:proofErr w:type="spellEnd"/>
      <w:r w:rsidRPr="00A27896">
        <w:rPr>
          <w:rFonts w:cs="Times New Roman"/>
          <w:color w:val="17365D"/>
        </w:rPr>
        <w:t xml:space="preserve"> vērtībā;</w:t>
      </w:r>
    </w:p>
    <w:p w14:paraId="512F4C4C" w14:textId="3E8770DE" w:rsidR="000D308E" w:rsidRPr="00A27896" w:rsidRDefault="000E42DD" w:rsidP="00603FE0">
      <w:pPr>
        <w:pStyle w:val="ListParagraph"/>
        <w:numPr>
          <w:ilvl w:val="0"/>
          <w:numId w:val="36"/>
        </w:numPr>
        <w:spacing w:after="80" w:line="240" w:lineRule="auto"/>
        <w:ind w:left="851"/>
        <w:contextualSpacing w:val="0"/>
        <w:jc w:val="both"/>
        <w:rPr>
          <w:rFonts w:cs="Times New Roman"/>
          <w:color w:val="17365D"/>
        </w:rPr>
      </w:pPr>
      <w:r w:rsidRPr="00A27896">
        <w:rPr>
          <w:rFonts w:cs="Times New Roman"/>
          <w:color w:val="17365D"/>
        </w:rPr>
        <w:t xml:space="preserve">par </w:t>
      </w:r>
      <w:r w:rsidR="00F65130" w:rsidRPr="00A27896">
        <w:rPr>
          <w:rFonts w:cs="Times New Roman"/>
          <w:color w:val="17365D"/>
        </w:rPr>
        <w:t xml:space="preserve">iedzīvotāju ienākuma nodokli </w:t>
      </w:r>
      <w:r w:rsidR="00A26F4C" w:rsidRPr="00A27896">
        <w:rPr>
          <w:rFonts w:cs="Times New Roman"/>
          <w:color w:val="17365D"/>
        </w:rPr>
        <w:t>104 657 </w:t>
      </w:r>
      <w:r w:rsidRPr="00A27896">
        <w:rPr>
          <w:rFonts w:cs="Times New Roman"/>
          <w:color w:val="17365D"/>
        </w:rPr>
        <w:t xml:space="preserve">294 </w:t>
      </w:r>
      <w:proofErr w:type="spellStart"/>
      <w:r w:rsidR="000D308E" w:rsidRPr="00A27896">
        <w:rPr>
          <w:rFonts w:cs="Times New Roman"/>
          <w:i/>
          <w:color w:val="17365D"/>
        </w:rPr>
        <w:t>euro</w:t>
      </w:r>
      <w:proofErr w:type="spellEnd"/>
      <w:r w:rsidR="000D308E" w:rsidRPr="00A27896">
        <w:rPr>
          <w:rFonts w:cs="Times New Roman"/>
          <w:color w:val="17365D"/>
        </w:rPr>
        <w:t xml:space="preserve"> vērtībā; </w:t>
      </w:r>
    </w:p>
    <w:p w14:paraId="0480B0E8" w14:textId="04E773F1" w:rsidR="000D308E" w:rsidRPr="00A27896" w:rsidRDefault="000E42DD" w:rsidP="00603FE0">
      <w:pPr>
        <w:pStyle w:val="ListParagraph"/>
        <w:numPr>
          <w:ilvl w:val="0"/>
          <w:numId w:val="36"/>
        </w:numPr>
        <w:spacing w:after="80" w:line="240" w:lineRule="auto"/>
        <w:ind w:left="851"/>
        <w:contextualSpacing w:val="0"/>
        <w:jc w:val="both"/>
        <w:rPr>
          <w:rFonts w:cs="Times New Roman"/>
          <w:color w:val="17365D"/>
        </w:rPr>
      </w:pPr>
      <w:r w:rsidRPr="00A27896">
        <w:rPr>
          <w:rFonts w:cs="Times New Roman"/>
          <w:color w:val="17365D"/>
        </w:rPr>
        <w:t xml:space="preserve">par valsts sociālās apdrošināšanas obligātajām iemaksām 63 063 237 </w:t>
      </w:r>
      <w:proofErr w:type="spellStart"/>
      <w:r w:rsidR="000D308E" w:rsidRPr="00A27896">
        <w:rPr>
          <w:rFonts w:cs="Times New Roman"/>
          <w:i/>
          <w:color w:val="17365D"/>
        </w:rPr>
        <w:t>euro</w:t>
      </w:r>
      <w:proofErr w:type="spellEnd"/>
      <w:r w:rsidR="000D308E" w:rsidRPr="00A27896">
        <w:rPr>
          <w:rFonts w:cs="Times New Roman"/>
          <w:color w:val="17365D"/>
        </w:rPr>
        <w:t xml:space="preserve"> vērtībā.</w:t>
      </w:r>
    </w:p>
    <w:p w14:paraId="2C00E3E7" w14:textId="6AA79918" w:rsidR="005625BD" w:rsidRPr="00A27896" w:rsidRDefault="005625BD" w:rsidP="00666C27">
      <w:pPr>
        <w:pStyle w:val="ListParagraph"/>
        <w:spacing w:after="120" w:line="240" w:lineRule="auto"/>
        <w:contextualSpacing w:val="0"/>
        <w:jc w:val="both"/>
        <w:rPr>
          <w:rFonts w:cs="Times New Roman"/>
          <w:color w:val="17365D"/>
        </w:rPr>
      </w:pPr>
    </w:p>
    <w:p w14:paraId="433F1BA8" w14:textId="204C42DA" w:rsidR="004726F6" w:rsidRPr="00A27896" w:rsidRDefault="004726F6" w:rsidP="00FD10CC">
      <w:pPr>
        <w:pStyle w:val="Heading3"/>
      </w:pPr>
      <w:r w:rsidRPr="00A27896">
        <w:t>Zembilan</w:t>
      </w:r>
      <w:r w:rsidR="00D5669D" w:rsidRPr="00A27896">
        <w:t>ce</w:t>
      </w:r>
    </w:p>
    <w:p w14:paraId="6A1479B7" w14:textId="4072C69E" w:rsidR="00A7434F" w:rsidRPr="00A27896" w:rsidRDefault="0064183C" w:rsidP="005A3758">
      <w:pPr>
        <w:pStyle w:val="Heading4"/>
        <w:rPr>
          <w:rFonts w:cs="Times New Roman"/>
        </w:rPr>
      </w:pPr>
      <w:r w:rsidRPr="00A27896">
        <w:rPr>
          <w:rFonts w:cs="Times New Roman"/>
        </w:rPr>
        <w:t xml:space="preserve">Piezīme Nr. </w:t>
      </w:r>
      <w:r w:rsidR="005F1199" w:rsidRPr="00A27896">
        <w:rPr>
          <w:rFonts w:cs="Times New Roman"/>
        </w:rPr>
        <w:t>KB.</w:t>
      </w:r>
      <w:r w:rsidR="00FB303F" w:rsidRPr="00A27896">
        <w:rPr>
          <w:rFonts w:cs="Times New Roman"/>
        </w:rPr>
        <w:t>9.1</w:t>
      </w:r>
      <w:r w:rsidR="004726F6" w:rsidRPr="00A27896">
        <w:rPr>
          <w:rFonts w:cs="Times New Roman"/>
        </w:rPr>
        <w:t>. Zembilances aktīvi</w:t>
      </w:r>
    </w:p>
    <w:p w14:paraId="2E8E4510" w14:textId="61D69F29" w:rsidR="00B96DDE" w:rsidRPr="00A27896" w:rsidRDefault="003777C5" w:rsidP="0064183C">
      <w:pPr>
        <w:pStyle w:val="Tabulasnosaukums1"/>
        <w:rPr>
          <w:rFonts w:cs="Times New Roman"/>
          <w:i/>
          <w:color w:val="17365D"/>
        </w:rPr>
      </w:pPr>
      <w:r w:rsidRPr="00A27896">
        <w:rPr>
          <w:rFonts w:cs="Times New Roman"/>
          <w:i/>
          <w:color w:val="17365D"/>
        </w:rPr>
        <w:t>2</w:t>
      </w:r>
      <w:r w:rsidR="000229AE" w:rsidRPr="00A27896">
        <w:rPr>
          <w:rFonts w:cs="Times New Roman"/>
          <w:i/>
          <w:color w:val="17365D"/>
        </w:rPr>
        <w:t>2</w:t>
      </w:r>
      <w:r w:rsidR="00B96DDE" w:rsidRPr="00A27896">
        <w:rPr>
          <w:rFonts w:cs="Times New Roman"/>
          <w:i/>
          <w:color w:val="17365D"/>
        </w:rPr>
        <w:t>. tabula</w:t>
      </w:r>
      <w:r w:rsidR="0064183C" w:rsidRPr="00A27896">
        <w:rPr>
          <w:rFonts w:cs="Times New Roman"/>
          <w:i/>
          <w:color w:val="17365D"/>
        </w:rPr>
        <w:t>. Zembilances aktīvi (</w:t>
      </w:r>
      <w:proofErr w:type="spellStart"/>
      <w:r w:rsidR="00966B1D" w:rsidRPr="00A27896">
        <w:rPr>
          <w:rFonts w:cs="Times New Roman"/>
          <w:i/>
          <w:color w:val="17365D"/>
        </w:rPr>
        <w:t>euro</w:t>
      </w:r>
      <w:proofErr w:type="spellEnd"/>
      <w:r w:rsidR="0064183C" w:rsidRPr="00A27896">
        <w:rPr>
          <w:rFonts w:cs="Times New Roman"/>
          <w:i/>
          <w:color w:val="17365D"/>
        </w:rPr>
        <w:t>)</w:t>
      </w:r>
    </w:p>
    <w:tbl>
      <w:tblPr>
        <w:tblW w:w="4999" w:type="pct"/>
        <w:tblLayout w:type="fixed"/>
        <w:tblLook w:val="04A0" w:firstRow="1" w:lastRow="0" w:firstColumn="1" w:lastColumn="0" w:noHBand="0" w:noVBand="1"/>
      </w:tblPr>
      <w:tblGrid>
        <w:gridCol w:w="2834"/>
        <w:gridCol w:w="1135"/>
        <w:gridCol w:w="1418"/>
        <w:gridCol w:w="1558"/>
        <w:gridCol w:w="1191"/>
        <w:gridCol w:w="1216"/>
      </w:tblGrid>
      <w:tr w:rsidR="000C1009" w:rsidRPr="00A27896" w14:paraId="78DF2922" w14:textId="77777777" w:rsidTr="00CE4EF3">
        <w:trPr>
          <w:trHeight w:val="684"/>
          <w:tblHeader/>
        </w:trPr>
        <w:tc>
          <w:tcPr>
            <w:tcW w:w="1515" w:type="pct"/>
            <w:tcBorders>
              <w:bottom w:val="single" w:sz="4" w:space="0" w:color="17365D"/>
            </w:tcBorders>
            <w:shd w:val="clear" w:color="auto" w:fill="B9CDE5"/>
            <w:vAlign w:val="center"/>
            <w:hideMark/>
          </w:tcPr>
          <w:p w14:paraId="22FC39A7" w14:textId="77777777" w:rsidR="0004095E" w:rsidRPr="00A27896" w:rsidRDefault="0004095E" w:rsidP="0004095E">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Rādītāji</w:t>
            </w:r>
          </w:p>
        </w:tc>
        <w:tc>
          <w:tcPr>
            <w:tcW w:w="607" w:type="pct"/>
            <w:tcBorders>
              <w:bottom w:val="single" w:sz="4" w:space="0" w:color="17365D"/>
            </w:tcBorders>
            <w:shd w:val="clear" w:color="auto" w:fill="B9CDE5"/>
            <w:vAlign w:val="center"/>
            <w:hideMark/>
          </w:tcPr>
          <w:p w14:paraId="413C700B" w14:textId="77777777" w:rsidR="0004095E" w:rsidRPr="00A27896" w:rsidRDefault="0004095E" w:rsidP="00B9337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Piezīmes</w:t>
            </w:r>
            <w:r w:rsidRPr="00A27896">
              <w:rPr>
                <w:rFonts w:eastAsia="Times New Roman" w:cs="Times New Roman"/>
                <w:b/>
                <w:bCs/>
                <w:color w:val="17365D"/>
                <w:sz w:val="18"/>
                <w:szCs w:val="18"/>
                <w:lang w:eastAsia="lv-LV"/>
              </w:rPr>
              <w:br/>
              <w:t>Nr.</w:t>
            </w:r>
          </w:p>
        </w:tc>
        <w:tc>
          <w:tcPr>
            <w:tcW w:w="758" w:type="pct"/>
            <w:tcBorders>
              <w:bottom w:val="single" w:sz="4" w:space="0" w:color="17365D"/>
            </w:tcBorders>
            <w:shd w:val="clear" w:color="auto" w:fill="B9CDE5"/>
            <w:vAlign w:val="center"/>
            <w:hideMark/>
          </w:tcPr>
          <w:p w14:paraId="46A32E90" w14:textId="77777777" w:rsidR="0004095E" w:rsidRPr="00A27896" w:rsidRDefault="0004095E" w:rsidP="00B9337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833" w:type="pct"/>
            <w:tcBorders>
              <w:bottom w:val="single" w:sz="4" w:space="0" w:color="17365D"/>
            </w:tcBorders>
            <w:shd w:val="clear" w:color="auto" w:fill="B9CDE5"/>
            <w:vAlign w:val="center"/>
            <w:hideMark/>
          </w:tcPr>
          <w:p w14:paraId="7D3E189C" w14:textId="77777777" w:rsidR="0004095E" w:rsidRPr="00A27896" w:rsidRDefault="0004095E" w:rsidP="00B9337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c>
          <w:tcPr>
            <w:tcW w:w="637" w:type="pct"/>
            <w:tcBorders>
              <w:bottom w:val="single" w:sz="4" w:space="0" w:color="17365D"/>
            </w:tcBorders>
            <w:shd w:val="clear" w:color="auto" w:fill="B9CDE5"/>
            <w:vAlign w:val="center"/>
            <w:hideMark/>
          </w:tcPr>
          <w:p w14:paraId="524311C1" w14:textId="5A37F86B" w:rsidR="0004095E" w:rsidRPr="00A27896" w:rsidRDefault="0004095E" w:rsidP="00B9337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Izmaiņas </w:t>
            </w:r>
            <w:r w:rsidRPr="00A27896">
              <w:rPr>
                <w:rFonts w:eastAsia="Times New Roman" w:cs="Times New Roman"/>
                <w:b/>
                <w:bCs/>
                <w:color w:val="17365D"/>
                <w:sz w:val="18"/>
                <w:szCs w:val="18"/>
                <w:lang w:eastAsia="lv-LV"/>
              </w:rPr>
              <w:br/>
              <w:t>(+,</w:t>
            </w:r>
            <w:r w:rsidR="002B1B27" w:rsidRPr="00A27896">
              <w:rPr>
                <w:rFonts w:eastAsia="Times New Roman" w:cs="Times New Roman"/>
                <w:b/>
                <w:bCs/>
                <w:color w:val="17365D"/>
                <w:sz w:val="18"/>
                <w:szCs w:val="18"/>
                <w:lang w:eastAsia="lv-LV"/>
              </w:rPr>
              <w:t xml:space="preserve"> – </w:t>
            </w:r>
            <w:r w:rsidRPr="00A27896">
              <w:rPr>
                <w:rFonts w:eastAsia="Times New Roman" w:cs="Times New Roman"/>
                <w:b/>
                <w:bCs/>
                <w:color w:val="17365D"/>
                <w:sz w:val="18"/>
                <w:szCs w:val="18"/>
                <w:lang w:eastAsia="lv-LV"/>
              </w:rPr>
              <w:t>)</w:t>
            </w:r>
          </w:p>
        </w:tc>
        <w:tc>
          <w:tcPr>
            <w:tcW w:w="650" w:type="pct"/>
            <w:tcBorders>
              <w:bottom w:val="single" w:sz="4" w:space="0" w:color="17365D"/>
            </w:tcBorders>
            <w:shd w:val="clear" w:color="auto" w:fill="B9CDE5"/>
            <w:vAlign w:val="center"/>
            <w:hideMark/>
          </w:tcPr>
          <w:p w14:paraId="720D0754" w14:textId="77777777" w:rsidR="0004095E" w:rsidRPr="00A27896" w:rsidRDefault="0004095E" w:rsidP="00B9337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Procentuālās izmaiņas (3./2.*100)</w:t>
            </w:r>
          </w:p>
        </w:tc>
      </w:tr>
      <w:tr w:rsidR="000C1009" w:rsidRPr="00A27896" w14:paraId="39455C1A" w14:textId="77777777" w:rsidTr="00CE4EF3">
        <w:trPr>
          <w:trHeight w:val="240"/>
          <w:tblHeader/>
        </w:trPr>
        <w:tc>
          <w:tcPr>
            <w:tcW w:w="1515" w:type="pct"/>
            <w:tcBorders>
              <w:top w:val="single" w:sz="4" w:space="0" w:color="17365D"/>
              <w:bottom w:val="single" w:sz="4" w:space="0" w:color="17365D"/>
            </w:tcBorders>
            <w:shd w:val="clear" w:color="auto" w:fill="auto"/>
            <w:vAlign w:val="center"/>
            <w:hideMark/>
          </w:tcPr>
          <w:p w14:paraId="2439F4DD" w14:textId="77777777" w:rsidR="0004095E" w:rsidRPr="00A27896" w:rsidRDefault="0004095E" w:rsidP="0004095E">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607" w:type="pct"/>
            <w:tcBorders>
              <w:top w:val="single" w:sz="4" w:space="0" w:color="17365D"/>
              <w:bottom w:val="single" w:sz="4" w:space="0" w:color="17365D"/>
            </w:tcBorders>
            <w:shd w:val="clear" w:color="auto" w:fill="auto"/>
            <w:vAlign w:val="center"/>
            <w:hideMark/>
          </w:tcPr>
          <w:p w14:paraId="5E739155" w14:textId="77777777" w:rsidR="0004095E" w:rsidRPr="00A27896" w:rsidRDefault="0004095E" w:rsidP="00B9337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B</w:t>
            </w:r>
          </w:p>
        </w:tc>
        <w:tc>
          <w:tcPr>
            <w:tcW w:w="758" w:type="pct"/>
            <w:tcBorders>
              <w:top w:val="single" w:sz="4" w:space="0" w:color="17365D"/>
              <w:bottom w:val="single" w:sz="4" w:space="0" w:color="17365D"/>
            </w:tcBorders>
            <w:shd w:val="clear" w:color="auto" w:fill="auto"/>
            <w:vAlign w:val="center"/>
            <w:hideMark/>
          </w:tcPr>
          <w:p w14:paraId="129B5BEC" w14:textId="77777777" w:rsidR="0004095E" w:rsidRPr="00A27896" w:rsidRDefault="0004095E" w:rsidP="00B9337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833" w:type="pct"/>
            <w:tcBorders>
              <w:top w:val="single" w:sz="4" w:space="0" w:color="17365D"/>
              <w:bottom w:val="single" w:sz="4" w:space="0" w:color="17365D"/>
            </w:tcBorders>
            <w:shd w:val="clear" w:color="auto" w:fill="auto"/>
            <w:vAlign w:val="center"/>
            <w:hideMark/>
          </w:tcPr>
          <w:p w14:paraId="6D2231BE" w14:textId="77777777" w:rsidR="0004095E" w:rsidRPr="00A27896" w:rsidRDefault="0004095E" w:rsidP="00B9337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637" w:type="pct"/>
            <w:tcBorders>
              <w:top w:val="single" w:sz="4" w:space="0" w:color="17365D"/>
              <w:bottom w:val="single" w:sz="4" w:space="0" w:color="17365D"/>
            </w:tcBorders>
            <w:shd w:val="clear" w:color="auto" w:fill="auto"/>
            <w:vAlign w:val="center"/>
            <w:hideMark/>
          </w:tcPr>
          <w:p w14:paraId="53DB2B07" w14:textId="77777777" w:rsidR="0004095E" w:rsidRPr="00A27896" w:rsidRDefault="0004095E" w:rsidP="00B9337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650" w:type="pct"/>
            <w:tcBorders>
              <w:top w:val="single" w:sz="4" w:space="0" w:color="17365D"/>
              <w:bottom w:val="single" w:sz="4" w:space="0" w:color="17365D"/>
            </w:tcBorders>
            <w:shd w:val="clear" w:color="auto" w:fill="auto"/>
            <w:vAlign w:val="center"/>
            <w:hideMark/>
          </w:tcPr>
          <w:p w14:paraId="1A0E7FB1" w14:textId="77777777" w:rsidR="0004095E" w:rsidRPr="00A27896" w:rsidRDefault="0004095E" w:rsidP="00B9337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r>
      <w:tr w:rsidR="000229AE" w:rsidRPr="00A27896" w14:paraId="13351E6D" w14:textId="77777777" w:rsidTr="000229AE">
        <w:trPr>
          <w:trHeight w:val="240"/>
        </w:trPr>
        <w:tc>
          <w:tcPr>
            <w:tcW w:w="1515" w:type="pct"/>
            <w:tcBorders>
              <w:top w:val="single" w:sz="4" w:space="0" w:color="17365D"/>
              <w:bottom w:val="single" w:sz="4" w:space="0" w:color="17365D"/>
            </w:tcBorders>
            <w:shd w:val="clear" w:color="auto" w:fill="auto"/>
            <w:vAlign w:val="center"/>
            <w:hideMark/>
          </w:tcPr>
          <w:p w14:paraId="34EB3121" w14:textId="77777777" w:rsidR="000229AE" w:rsidRPr="00A27896" w:rsidRDefault="000229AE" w:rsidP="000229AE">
            <w:pPr>
              <w:spacing w:after="0" w:line="240" w:lineRule="auto"/>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Zembilances aktīvi </w:t>
            </w:r>
          </w:p>
        </w:tc>
        <w:tc>
          <w:tcPr>
            <w:tcW w:w="607" w:type="pct"/>
            <w:tcBorders>
              <w:top w:val="single" w:sz="4" w:space="0" w:color="17365D"/>
              <w:bottom w:val="single" w:sz="4" w:space="0" w:color="17365D"/>
            </w:tcBorders>
            <w:shd w:val="clear" w:color="auto" w:fill="auto"/>
            <w:vAlign w:val="center"/>
            <w:hideMark/>
          </w:tcPr>
          <w:p w14:paraId="3DC8971B" w14:textId="54DD509F" w:rsidR="000229AE" w:rsidRPr="00A27896" w:rsidRDefault="000229AE" w:rsidP="000E5114">
            <w:pPr>
              <w:spacing w:after="0" w:line="240" w:lineRule="auto"/>
              <w:jc w:val="center"/>
              <w:rPr>
                <w:rFonts w:eastAsia="Times New Roman" w:cs="Times New Roman"/>
                <w:b/>
                <w:bCs/>
                <w:color w:val="17365D"/>
                <w:sz w:val="18"/>
                <w:szCs w:val="18"/>
                <w:lang w:eastAsia="lv-LV"/>
              </w:rPr>
            </w:pPr>
            <w:r w:rsidRPr="00A27896">
              <w:rPr>
                <w:rFonts w:cs="Times New Roman"/>
                <w:b/>
                <w:color w:val="17365D"/>
                <w:sz w:val="18"/>
                <w:szCs w:val="18"/>
              </w:rPr>
              <w:t>KB.9.1.</w:t>
            </w:r>
          </w:p>
        </w:tc>
        <w:tc>
          <w:tcPr>
            <w:tcW w:w="758" w:type="pct"/>
            <w:tcBorders>
              <w:top w:val="single" w:sz="4" w:space="0" w:color="17365D"/>
              <w:left w:val="nil"/>
              <w:bottom w:val="single" w:sz="4" w:space="0" w:color="17365D"/>
            </w:tcBorders>
            <w:shd w:val="clear" w:color="auto" w:fill="auto"/>
            <w:noWrap/>
            <w:vAlign w:val="center"/>
          </w:tcPr>
          <w:p w14:paraId="5359B1A9" w14:textId="662E74AA" w:rsidR="000229AE" w:rsidRPr="00A27896" w:rsidRDefault="000229AE" w:rsidP="000229AE">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910 910 479</w:t>
            </w:r>
          </w:p>
        </w:tc>
        <w:tc>
          <w:tcPr>
            <w:tcW w:w="833" w:type="pct"/>
            <w:tcBorders>
              <w:top w:val="single" w:sz="4" w:space="0" w:color="17365D"/>
              <w:bottom w:val="single" w:sz="4" w:space="0" w:color="17365D"/>
            </w:tcBorders>
            <w:shd w:val="clear" w:color="auto" w:fill="auto"/>
            <w:noWrap/>
            <w:vAlign w:val="center"/>
          </w:tcPr>
          <w:p w14:paraId="33018BD8" w14:textId="3E840BF5" w:rsidR="000229AE" w:rsidRPr="00A27896" w:rsidRDefault="000229AE" w:rsidP="000229AE">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825 988 064</w:t>
            </w:r>
          </w:p>
        </w:tc>
        <w:tc>
          <w:tcPr>
            <w:tcW w:w="637" w:type="pct"/>
            <w:tcBorders>
              <w:top w:val="single" w:sz="4" w:space="0" w:color="17365D"/>
              <w:bottom w:val="single" w:sz="4" w:space="0" w:color="17365D"/>
            </w:tcBorders>
            <w:shd w:val="clear" w:color="auto" w:fill="auto"/>
            <w:noWrap/>
            <w:vAlign w:val="center"/>
          </w:tcPr>
          <w:p w14:paraId="5D5EA313" w14:textId="1BA8422E" w:rsidR="000229AE" w:rsidRPr="00A27896" w:rsidRDefault="000229AE" w:rsidP="000229AE">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84 922 415</w:t>
            </w:r>
          </w:p>
        </w:tc>
        <w:tc>
          <w:tcPr>
            <w:tcW w:w="650" w:type="pct"/>
            <w:tcBorders>
              <w:top w:val="single" w:sz="4" w:space="0" w:color="17365D"/>
              <w:bottom w:val="single" w:sz="4" w:space="0" w:color="17365D"/>
            </w:tcBorders>
            <w:shd w:val="clear" w:color="auto" w:fill="auto"/>
            <w:noWrap/>
            <w:vAlign w:val="center"/>
          </w:tcPr>
          <w:p w14:paraId="12A3064B" w14:textId="0C0A59E6" w:rsidR="000229AE" w:rsidRPr="00A27896" w:rsidRDefault="000229AE" w:rsidP="000229AE">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10.28</w:t>
            </w:r>
          </w:p>
        </w:tc>
      </w:tr>
      <w:tr w:rsidR="000229AE" w:rsidRPr="00A27896" w14:paraId="2CF53D76" w14:textId="77777777" w:rsidTr="000229AE">
        <w:trPr>
          <w:trHeight w:val="240"/>
        </w:trPr>
        <w:tc>
          <w:tcPr>
            <w:tcW w:w="1515" w:type="pct"/>
            <w:tcBorders>
              <w:top w:val="single" w:sz="4" w:space="0" w:color="17365D"/>
              <w:bottom w:val="single" w:sz="4" w:space="0" w:color="17365D"/>
            </w:tcBorders>
            <w:shd w:val="clear" w:color="auto" w:fill="auto"/>
            <w:vAlign w:val="center"/>
            <w:hideMark/>
          </w:tcPr>
          <w:p w14:paraId="77DCF165" w14:textId="77777777" w:rsidR="000229AE" w:rsidRPr="00A27896" w:rsidRDefault="000229AE" w:rsidP="000229A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Iespējamie aktīvi</w:t>
            </w:r>
          </w:p>
        </w:tc>
        <w:tc>
          <w:tcPr>
            <w:tcW w:w="607" w:type="pct"/>
            <w:tcBorders>
              <w:top w:val="single" w:sz="4" w:space="0" w:color="17365D"/>
              <w:bottom w:val="single" w:sz="4" w:space="0" w:color="17365D"/>
            </w:tcBorders>
            <w:shd w:val="clear" w:color="auto" w:fill="auto"/>
            <w:noWrap/>
            <w:vAlign w:val="center"/>
            <w:hideMark/>
          </w:tcPr>
          <w:p w14:paraId="72259990" w14:textId="7A387C2B" w:rsidR="000229AE" w:rsidRPr="00A27896" w:rsidRDefault="000229AE" w:rsidP="000E5114">
            <w:pPr>
              <w:spacing w:after="0" w:line="240" w:lineRule="auto"/>
              <w:jc w:val="center"/>
              <w:rPr>
                <w:rFonts w:eastAsia="Times New Roman" w:cs="Times New Roman"/>
                <w:color w:val="17365D"/>
                <w:sz w:val="18"/>
                <w:szCs w:val="18"/>
                <w:lang w:eastAsia="lv-LV"/>
              </w:rPr>
            </w:pPr>
            <w:r w:rsidRPr="00A27896">
              <w:rPr>
                <w:rFonts w:cs="Times New Roman"/>
                <w:color w:val="17365D"/>
                <w:sz w:val="18"/>
                <w:szCs w:val="18"/>
              </w:rPr>
              <w:t>KB.9.1.1.</w:t>
            </w:r>
          </w:p>
        </w:tc>
        <w:tc>
          <w:tcPr>
            <w:tcW w:w="758" w:type="pct"/>
            <w:tcBorders>
              <w:top w:val="single" w:sz="4" w:space="0" w:color="17365D"/>
              <w:left w:val="nil"/>
              <w:bottom w:val="single" w:sz="4" w:space="0" w:color="17365D"/>
            </w:tcBorders>
            <w:shd w:val="clear" w:color="auto" w:fill="auto"/>
            <w:noWrap/>
            <w:vAlign w:val="center"/>
          </w:tcPr>
          <w:p w14:paraId="27811C7B" w14:textId="7CFCA6D4"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207 969 780</w:t>
            </w:r>
          </w:p>
        </w:tc>
        <w:tc>
          <w:tcPr>
            <w:tcW w:w="833" w:type="pct"/>
            <w:tcBorders>
              <w:top w:val="single" w:sz="4" w:space="0" w:color="17365D"/>
              <w:bottom w:val="single" w:sz="4" w:space="0" w:color="17365D"/>
            </w:tcBorders>
            <w:shd w:val="clear" w:color="auto" w:fill="auto"/>
            <w:noWrap/>
            <w:vAlign w:val="center"/>
          </w:tcPr>
          <w:p w14:paraId="1F2E5534" w14:textId="24210A78"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115 486 686</w:t>
            </w:r>
          </w:p>
        </w:tc>
        <w:tc>
          <w:tcPr>
            <w:tcW w:w="637" w:type="pct"/>
            <w:tcBorders>
              <w:top w:val="single" w:sz="4" w:space="0" w:color="17365D"/>
              <w:bottom w:val="single" w:sz="4" w:space="0" w:color="17365D"/>
            </w:tcBorders>
            <w:shd w:val="clear" w:color="auto" w:fill="auto"/>
            <w:noWrap/>
            <w:vAlign w:val="center"/>
          </w:tcPr>
          <w:p w14:paraId="4F878069" w14:textId="3F89E2C9"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92 483 094</w:t>
            </w:r>
          </w:p>
        </w:tc>
        <w:tc>
          <w:tcPr>
            <w:tcW w:w="650" w:type="pct"/>
            <w:tcBorders>
              <w:top w:val="single" w:sz="4" w:space="0" w:color="17365D"/>
              <w:bottom w:val="single" w:sz="4" w:space="0" w:color="17365D"/>
            </w:tcBorders>
            <w:shd w:val="clear" w:color="auto" w:fill="auto"/>
            <w:noWrap/>
            <w:vAlign w:val="center"/>
          </w:tcPr>
          <w:p w14:paraId="1C5611CA" w14:textId="246659BF"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80.08</w:t>
            </w:r>
          </w:p>
        </w:tc>
      </w:tr>
      <w:tr w:rsidR="000229AE" w:rsidRPr="00A27896" w14:paraId="3704F33B" w14:textId="77777777" w:rsidTr="000229AE">
        <w:trPr>
          <w:trHeight w:val="160"/>
        </w:trPr>
        <w:tc>
          <w:tcPr>
            <w:tcW w:w="1515" w:type="pct"/>
            <w:tcBorders>
              <w:top w:val="single" w:sz="4" w:space="0" w:color="17365D"/>
              <w:bottom w:val="single" w:sz="4" w:space="0" w:color="17365D"/>
            </w:tcBorders>
            <w:shd w:val="clear" w:color="auto" w:fill="auto"/>
            <w:vAlign w:val="center"/>
            <w:hideMark/>
          </w:tcPr>
          <w:p w14:paraId="5743B1DB" w14:textId="54E3CFD6" w:rsidR="000229AE" w:rsidRPr="00A27896" w:rsidRDefault="000229AE" w:rsidP="000229A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Paziņotās dividendes un saņemamie maksājumi par kapitāla daļu izmantošanu</w:t>
            </w:r>
          </w:p>
        </w:tc>
        <w:tc>
          <w:tcPr>
            <w:tcW w:w="607" w:type="pct"/>
            <w:tcBorders>
              <w:top w:val="single" w:sz="4" w:space="0" w:color="17365D"/>
              <w:bottom w:val="single" w:sz="4" w:space="0" w:color="17365D"/>
            </w:tcBorders>
            <w:shd w:val="clear" w:color="auto" w:fill="auto"/>
            <w:noWrap/>
            <w:vAlign w:val="center"/>
          </w:tcPr>
          <w:p w14:paraId="5B0AFE2A" w14:textId="15BF2D92" w:rsidR="000229AE" w:rsidRPr="00A27896" w:rsidRDefault="000229AE" w:rsidP="000229AE">
            <w:pPr>
              <w:spacing w:after="0" w:line="240" w:lineRule="auto"/>
              <w:jc w:val="right"/>
              <w:rPr>
                <w:rFonts w:eastAsia="Times New Roman" w:cs="Times New Roman"/>
                <w:color w:val="17365D"/>
                <w:sz w:val="18"/>
                <w:szCs w:val="18"/>
                <w:lang w:eastAsia="lv-LV"/>
              </w:rPr>
            </w:pPr>
          </w:p>
        </w:tc>
        <w:tc>
          <w:tcPr>
            <w:tcW w:w="758" w:type="pct"/>
            <w:tcBorders>
              <w:top w:val="single" w:sz="4" w:space="0" w:color="17365D"/>
              <w:left w:val="nil"/>
              <w:bottom w:val="single" w:sz="4" w:space="0" w:color="17365D"/>
            </w:tcBorders>
            <w:shd w:val="clear" w:color="auto" w:fill="auto"/>
            <w:noWrap/>
            <w:vAlign w:val="center"/>
          </w:tcPr>
          <w:p w14:paraId="4FC588C5" w14:textId="2A530E15"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142 302 339</w:t>
            </w:r>
          </w:p>
        </w:tc>
        <w:tc>
          <w:tcPr>
            <w:tcW w:w="833" w:type="pct"/>
            <w:tcBorders>
              <w:top w:val="single" w:sz="4" w:space="0" w:color="17365D"/>
              <w:bottom w:val="single" w:sz="4" w:space="0" w:color="17365D"/>
            </w:tcBorders>
            <w:shd w:val="clear" w:color="auto" w:fill="auto"/>
            <w:noWrap/>
            <w:vAlign w:val="center"/>
          </w:tcPr>
          <w:p w14:paraId="681CBC8A" w14:textId="4CADE147"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85 221 411</w:t>
            </w:r>
          </w:p>
        </w:tc>
        <w:tc>
          <w:tcPr>
            <w:tcW w:w="637" w:type="pct"/>
            <w:tcBorders>
              <w:top w:val="single" w:sz="4" w:space="0" w:color="17365D"/>
              <w:bottom w:val="single" w:sz="4" w:space="0" w:color="17365D"/>
            </w:tcBorders>
            <w:shd w:val="clear" w:color="auto" w:fill="auto"/>
            <w:noWrap/>
            <w:vAlign w:val="center"/>
          </w:tcPr>
          <w:p w14:paraId="3179E535" w14:textId="60995923"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57 080 928</w:t>
            </w:r>
          </w:p>
        </w:tc>
        <w:tc>
          <w:tcPr>
            <w:tcW w:w="650" w:type="pct"/>
            <w:tcBorders>
              <w:top w:val="single" w:sz="4" w:space="0" w:color="17365D"/>
              <w:bottom w:val="single" w:sz="4" w:space="0" w:color="17365D"/>
            </w:tcBorders>
            <w:shd w:val="clear" w:color="auto" w:fill="auto"/>
            <w:noWrap/>
            <w:vAlign w:val="center"/>
          </w:tcPr>
          <w:p w14:paraId="2C5AEB63" w14:textId="171B89DB"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66.98</w:t>
            </w:r>
          </w:p>
        </w:tc>
      </w:tr>
      <w:tr w:rsidR="000229AE" w:rsidRPr="00A27896" w14:paraId="59A9CC7E" w14:textId="77777777" w:rsidTr="000229AE">
        <w:trPr>
          <w:trHeight w:val="240"/>
        </w:trPr>
        <w:tc>
          <w:tcPr>
            <w:tcW w:w="1515" w:type="pct"/>
            <w:tcBorders>
              <w:top w:val="single" w:sz="4" w:space="0" w:color="17365D"/>
              <w:bottom w:val="single" w:sz="4" w:space="0" w:color="17365D"/>
            </w:tcBorders>
            <w:shd w:val="clear" w:color="auto" w:fill="auto"/>
            <w:vAlign w:val="center"/>
            <w:hideMark/>
          </w:tcPr>
          <w:p w14:paraId="53F3F619" w14:textId="4A72151A" w:rsidR="000229AE" w:rsidRPr="00A27896" w:rsidRDefault="000229AE" w:rsidP="000229A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Aprēķinātie līgumsodi, naudas sodi, soda naudas un kavējuma naudas</w:t>
            </w:r>
          </w:p>
        </w:tc>
        <w:tc>
          <w:tcPr>
            <w:tcW w:w="607" w:type="pct"/>
            <w:tcBorders>
              <w:top w:val="single" w:sz="4" w:space="0" w:color="17365D"/>
              <w:bottom w:val="single" w:sz="4" w:space="0" w:color="17365D"/>
            </w:tcBorders>
            <w:shd w:val="clear" w:color="auto" w:fill="auto"/>
            <w:noWrap/>
            <w:vAlign w:val="center"/>
          </w:tcPr>
          <w:p w14:paraId="51350ADA" w14:textId="7535BAB5" w:rsidR="000229AE" w:rsidRPr="00A27896" w:rsidRDefault="000229AE" w:rsidP="000229AE">
            <w:pPr>
              <w:spacing w:after="0" w:line="240" w:lineRule="auto"/>
              <w:jc w:val="right"/>
              <w:rPr>
                <w:rFonts w:eastAsia="Times New Roman" w:cs="Times New Roman"/>
                <w:color w:val="17365D"/>
                <w:sz w:val="18"/>
                <w:szCs w:val="18"/>
                <w:lang w:eastAsia="lv-LV"/>
              </w:rPr>
            </w:pPr>
          </w:p>
        </w:tc>
        <w:tc>
          <w:tcPr>
            <w:tcW w:w="758" w:type="pct"/>
            <w:tcBorders>
              <w:top w:val="single" w:sz="4" w:space="0" w:color="17365D"/>
              <w:left w:val="nil"/>
              <w:bottom w:val="single" w:sz="4" w:space="0" w:color="17365D"/>
            </w:tcBorders>
            <w:shd w:val="clear" w:color="auto" w:fill="auto"/>
            <w:noWrap/>
            <w:vAlign w:val="center"/>
          </w:tcPr>
          <w:p w14:paraId="7AEE2B01" w14:textId="6C248C6C"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283 567 287</w:t>
            </w:r>
          </w:p>
        </w:tc>
        <w:tc>
          <w:tcPr>
            <w:tcW w:w="833" w:type="pct"/>
            <w:tcBorders>
              <w:top w:val="single" w:sz="4" w:space="0" w:color="17365D"/>
              <w:bottom w:val="single" w:sz="4" w:space="0" w:color="17365D"/>
            </w:tcBorders>
            <w:shd w:val="clear" w:color="auto" w:fill="auto"/>
            <w:noWrap/>
            <w:vAlign w:val="center"/>
          </w:tcPr>
          <w:p w14:paraId="1DF4AF17" w14:textId="1F35F6AA"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333 317 201</w:t>
            </w:r>
          </w:p>
        </w:tc>
        <w:tc>
          <w:tcPr>
            <w:tcW w:w="637" w:type="pct"/>
            <w:tcBorders>
              <w:top w:val="single" w:sz="4" w:space="0" w:color="17365D"/>
              <w:bottom w:val="single" w:sz="4" w:space="0" w:color="17365D"/>
            </w:tcBorders>
            <w:shd w:val="clear" w:color="auto" w:fill="auto"/>
            <w:noWrap/>
            <w:vAlign w:val="center"/>
          </w:tcPr>
          <w:p w14:paraId="4EEDC438" w14:textId="073090DB"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-49 749 914</w:t>
            </w:r>
          </w:p>
        </w:tc>
        <w:tc>
          <w:tcPr>
            <w:tcW w:w="650" w:type="pct"/>
            <w:tcBorders>
              <w:top w:val="single" w:sz="4" w:space="0" w:color="17365D"/>
              <w:bottom w:val="single" w:sz="4" w:space="0" w:color="17365D"/>
            </w:tcBorders>
            <w:shd w:val="clear" w:color="auto" w:fill="auto"/>
            <w:noWrap/>
            <w:vAlign w:val="center"/>
          </w:tcPr>
          <w:p w14:paraId="128D8165" w14:textId="2E057214"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-14.93</w:t>
            </w:r>
          </w:p>
        </w:tc>
      </w:tr>
      <w:tr w:rsidR="000229AE" w:rsidRPr="00A27896" w14:paraId="265874F2" w14:textId="77777777" w:rsidTr="000229AE">
        <w:trPr>
          <w:trHeight w:val="480"/>
        </w:trPr>
        <w:tc>
          <w:tcPr>
            <w:tcW w:w="1515" w:type="pct"/>
            <w:tcBorders>
              <w:top w:val="single" w:sz="4" w:space="0" w:color="17365D"/>
              <w:bottom w:val="single" w:sz="4" w:space="0" w:color="17365D"/>
            </w:tcBorders>
            <w:shd w:val="clear" w:color="auto" w:fill="auto"/>
            <w:vAlign w:val="center"/>
            <w:hideMark/>
          </w:tcPr>
          <w:p w14:paraId="6216DE94" w14:textId="3F619509" w:rsidR="000229AE" w:rsidRPr="00A27896" w:rsidRDefault="000229AE" w:rsidP="000229A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Prasības par prettiesiski atsavinātiem aktīviem</w:t>
            </w:r>
          </w:p>
        </w:tc>
        <w:tc>
          <w:tcPr>
            <w:tcW w:w="607" w:type="pct"/>
            <w:tcBorders>
              <w:top w:val="single" w:sz="4" w:space="0" w:color="17365D"/>
              <w:bottom w:val="single" w:sz="4" w:space="0" w:color="17365D"/>
            </w:tcBorders>
            <w:shd w:val="clear" w:color="auto" w:fill="auto"/>
            <w:noWrap/>
            <w:vAlign w:val="center"/>
          </w:tcPr>
          <w:p w14:paraId="2265C7AF" w14:textId="2217995E" w:rsidR="000229AE" w:rsidRPr="00A27896" w:rsidRDefault="000229AE" w:rsidP="000229AE">
            <w:pPr>
              <w:spacing w:after="0" w:line="240" w:lineRule="auto"/>
              <w:jc w:val="right"/>
              <w:rPr>
                <w:rFonts w:eastAsia="Times New Roman" w:cs="Times New Roman"/>
                <w:color w:val="17365D"/>
                <w:sz w:val="18"/>
                <w:szCs w:val="18"/>
                <w:lang w:eastAsia="lv-LV"/>
              </w:rPr>
            </w:pPr>
          </w:p>
        </w:tc>
        <w:tc>
          <w:tcPr>
            <w:tcW w:w="758" w:type="pct"/>
            <w:tcBorders>
              <w:top w:val="single" w:sz="4" w:space="0" w:color="17365D"/>
              <w:left w:val="nil"/>
              <w:bottom w:val="single" w:sz="4" w:space="0" w:color="17365D"/>
            </w:tcBorders>
            <w:shd w:val="clear" w:color="auto" w:fill="auto"/>
            <w:noWrap/>
            <w:vAlign w:val="center"/>
          </w:tcPr>
          <w:p w14:paraId="35AA37FA" w14:textId="7CA4D511"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2 133 234</w:t>
            </w:r>
          </w:p>
        </w:tc>
        <w:tc>
          <w:tcPr>
            <w:tcW w:w="833" w:type="pct"/>
            <w:tcBorders>
              <w:top w:val="single" w:sz="4" w:space="0" w:color="17365D"/>
              <w:bottom w:val="single" w:sz="4" w:space="0" w:color="17365D"/>
            </w:tcBorders>
            <w:shd w:val="clear" w:color="auto" w:fill="auto"/>
            <w:noWrap/>
            <w:vAlign w:val="center"/>
          </w:tcPr>
          <w:p w14:paraId="5E323C86" w14:textId="388BB01B"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1 431 778</w:t>
            </w:r>
          </w:p>
        </w:tc>
        <w:tc>
          <w:tcPr>
            <w:tcW w:w="637" w:type="pct"/>
            <w:tcBorders>
              <w:top w:val="single" w:sz="4" w:space="0" w:color="17365D"/>
              <w:bottom w:val="single" w:sz="4" w:space="0" w:color="17365D"/>
            </w:tcBorders>
            <w:shd w:val="clear" w:color="auto" w:fill="auto"/>
            <w:noWrap/>
            <w:vAlign w:val="center"/>
          </w:tcPr>
          <w:p w14:paraId="4848BE31" w14:textId="48967678"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701 456</w:t>
            </w:r>
          </w:p>
        </w:tc>
        <w:tc>
          <w:tcPr>
            <w:tcW w:w="650" w:type="pct"/>
            <w:tcBorders>
              <w:top w:val="single" w:sz="4" w:space="0" w:color="17365D"/>
              <w:bottom w:val="single" w:sz="4" w:space="0" w:color="17365D"/>
            </w:tcBorders>
            <w:shd w:val="clear" w:color="auto" w:fill="auto"/>
            <w:noWrap/>
            <w:vAlign w:val="center"/>
          </w:tcPr>
          <w:p w14:paraId="29B52BA7" w14:textId="258BA25F"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48.99</w:t>
            </w:r>
          </w:p>
        </w:tc>
      </w:tr>
      <w:tr w:rsidR="000229AE" w:rsidRPr="00A27896" w14:paraId="09E982EA" w14:textId="77777777" w:rsidTr="000229AE">
        <w:trPr>
          <w:trHeight w:val="240"/>
        </w:trPr>
        <w:tc>
          <w:tcPr>
            <w:tcW w:w="1515" w:type="pct"/>
            <w:tcBorders>
              <w:top w:val="single" w:sz="4" w:space="0" w:color="17365D"/>
              <w:bottom w:val="single" w:sz="4" w:space="0" w:color="17365D"/>
            </w:tcBorders>
            <w:shd w:val="clear" w:color="auto" w:fill="auto"/>
            <w:vAlign w:val="center"/>
            <w:hideMark/>
          </w:tcPr>
          <w:p w14:paraId="2A8B2223" w14:textId="77777777" w:rsidR="000229AE" w:rsidRPr="00A27896" w:rsidRDefault="000229AE" w:rsidP="000229A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Citi zembilances aktīvi</w:t>
            </w:r>
          </w:p>
        </w:tc>
        <w:tc>
          <w:tcPr>
            <w:tcW w:w="607" w:type="pct"/>
            <w:tcBorders>
              <w:top w:val="single" w:sz="4" w:space="0" w:color="17365D"/>
              <w:bottom w:val="single" w:sz="4" w:space="0" w:color="17365D"/>
            </w:tcBorders>
            <w:shd w:val="clear" w:color="auto" w:fill="auto"/>
            <w:noWrap/>
            <w:vAlign w:val="center"/>
          </w:tcPr>
          <w:p w14:paraId="36A9515D" w14:textId="29489902" w:rsidR="000229AE" w:rsidRPr="00A27896" w:rsidRDefault="000229AE" w:rsidP="000229AE">
            <w:pPr>
              <w:spacing w:after="0" w:line="240" w:lineRule="auto"/>
              <w:jc w:val="right"/>
              <w:rPr>
                <w:rFonts w:eastAsia="Times New Roman" w:cs="Times New Roman"/>
                <w:color w:val="17365D"/>
                <w:sz w:val="18"/>
                <w:szCs w:val="18"/>
                <w:lang w:eastAsia="lv-LV"/>
              </w:rPr>
            </w:pPr>
          </w:p>
        </w:tc>
        <w:tc>
          <w:tcPr>
            <w:tcW w:w="758" w:type="pct"/>
            <w:tcBorders>
              <w:top w:val="single" w:sz="4" w:space="0" w:color="17365D"/>
              <w:left w:val="nil"/>
              <w:bottom w:val="single" w:sz="4" w:space="0" w:color="17365D"/>
            </w:tcBorders>
            <w:shd w:val="clear" w:color="auto" w:fill="auto"/>
            <w:noWrap/>
            <w:vAlign w:val="center"/>
          </w:tcPr>
          <w:p w14:paraId="18A31C8D" w14:textId="63559935"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274 937 839</w:t>
            </w:r>
          </w:p>
        </w:tc>
        <w:tc>
          <w:tcPr>
            <w:tcW w:w="833" w:type="pct"/>
            <w:tcBorders>
              <w:top w:val="single" w:sz="4" w:space="0" w:color="17365D"/>
              <w:bottom w:val="single" w:sz="4" w:space="0" w:color="17365D"/>
            </w:tcBorders>
            <w:shd w:val="clear" w:color="auto" w:fill="auto"/>
            <w:noWrap/>
            <w:vAlign w:val="center"/>
          </w:tcPr>
          <w:p w14:paraId="448B16CD" w14:textId="63E690F8"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290 530 988</w:t>
            </w:r>
          </w:p>
        </w:tc>
        <w:tc>
          <w:tcPr>
            <w:tcW w:w="637" w:type="pct"/>
            <w:tcBorders>
              <w:top w:val="single" w:sz="4" w:space="0" w:color="17365D"/>
              <w:bottom w:val="single" w:sz="4" w:space="0" w:color="17365D"/>
            </w:tcBorders>
            <w:shd w:val="clear" w:color="auto" w:fill="auto"/>
            <w:noWrap/>
            <w:vAlign w:val="center"/>
          </w:tcPr>
          <w:p w14:paraId="26F69E8D" w14:textId="02D3F61A"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-15 593 149</w:t>
            </w:r>
          </w:p>
        </w:tc>
        <w:tc>
          <w:tcPr>
            <w:tcW w:w="650" w:type="pct"/>
            <w:tcBorders>
              <w:top w:val="single" w:sz="4" w:space="0" w:color="17365D"/>
              <w:bottom w:val="single" w:sz="4" w:space="0" w:color="17365D"/>
            </w:tcBorders>
            <w:shd w:val="clear" w:color="auto" w:fill="auto"/>
            <w:noWrap/>
            <w:vAlign w:val="center"/>
          </w:tcPr>
          <w:p w14:paraId="5E2D4629" w14:textId="251995B0" w:rsidR="000229AE" w:rsidRPr="00A27896" w:rsidRDefault="000229AE" w:rsidP="000229A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-5.37</w:t>
            </w:r>
          </w:p>
        </w:tc>
      </w:tr>
      <w:tr w:rsidR="000229AE" w:rsidRPr="00A27896" w14:paraId="58CCA512" w14:textId="77777777" w:rsidTr="00CE4EF3">
        <w:trPr>
          <w:trHeight w:val="240"/>
        </w:trPr>
        <w:tc>
          <w:tcPr>
            <w:tcW w:w="1515" w:type="pct"/>
            <w:tcBorders>
              <w:top w:val="single" w:sz="4" w:space="0" w:color="17365D"/>
            </w:tcBorders>
            <w:shd w:val="clear" w:color="auto" w:fill="B9CDE5"/>
            <w:vAlign w:val="center"/>
          </w:tcPr>
          <w:p w14:paraId="5A5C7AD1" w14:textId="77777777" w:rsidR="000229AE" w:rsidRPr="00A27896" w:rsidRDefault="000229AE" w:rsidP="000229AE">
            <w:pPr>
              <w:spacing w:after="0"/>
              <w:rPr>
                <w:rFonts w:eastAsia="Times New Roman" w:cs="Times New Roman"/>
                <w:color w:val="17365D"/>
                <w:sz w:val="18"/>
                <w:szCs w:val="18"/>
                <w:lang w:eastAsia="lv-LV"/>
              </w:rPr>
            </w:pPr>
          </w:p>
        </w:tc>
        <w:tc>
          <w:tcPr>
            <w:tcW w:w="607" w:type="pct"/>
            <w:tcBorders>
              <w:top w:val="single" w:sz="4" w:space="0" w:color="17365D"/>
            </w:tcBorders>
            <w:shd w:val="clear" w:color="auto" w:fill="B9CDE5"/>
            <w:noWrap/>
          </w:tcPr>
          <w:p w14:paraId="28E07945" w14:textId="0225DE15" w:rsidR="000229AE" w:rsidRPr="00A27896" w:rsidRDefault="000229AE" w:rsidP="000229AE">
            <w:pPr>
              <w:spacing w:after="0"/>
              <w:jc w:val="center"/>
              <w:rPr>
                <w:rFonts w:eastAsia="Times New Roman" w:cs="Times New Roman"/>
                <w:color w:val="17365D"/>
                <w:sz w:val="18"/>
                <w:szCs w:val="18"/>
                <w:lang w:eastAsia="lv-LV"/>
              </w:rPr>
            </w:pPr>
          </w:p>
        </w:tc>
        <w:tc>
          <w:tcPr>
            <w:tcW w:w="758" w:type="pct"/>
            <w:tcBorders>
              <w:top w:val="single" w:sz="4" w:space="0" w:color="17365D"/>
            </w:tcBorders>
            <w:shd w:val="clear" w:color="auto" w:fill="B9CDE5"/>
            <w:noWrap/>
          </w:tcPr>
          <w:p w14:paraId="469921A2" w14:textId="48766C4F" w:rsidR="000229AE" w:rsidRPr="00A27896" w:rsidRDefault="000229AE" w:rsidP="000229AE">
            <w:pPr>
              <w:spacing w:after="0"/>
              <w:jc w:val="right"/>
              <w:rPr>
                <w:rFonts w:eastAsia="Times New Roman" w:cs="Times New Roman"/>
                <w:color w:val="17365D"/>
                <w:sz w:val="18"/>
                <w:szCs w:val="18"/>
                <w:lang w:eastAsia="lv-LV"/>
              </w:rPr>
            </w:pPr>
          </w:p>
        </w:tc>
        <w:tc>
          <w:tcPr>
            <w:tcW w:w="833" w:type="pct"/>
            <w:tcBorders>
              <w:top w:val="single" w:sz="4" w:space="0" w:color="17365D"/>
            </w:tcBorders>
            <w:shd w:val="clear" w:color="auto" w:fill="B9CDE5"/>
            <w:noWrap/>
          </w:tcPr>
          <w:p w14:paraId="7BAC2E52" w14:textId="332FB66E" w:rsidR="000229AE" w:rsidRPr="00A27896" w:rsidRDefault="000229AE" w:rsidP="000229AE">
            <w:pPr>
              <w:spacing w:after="0"/>
              <w:jc w:val="right"/>
              <w:rPr>
                <w:rFonts w:eastAsia="Times New Roman" w:cs="Times New Roman"/>
                <w:color w:val="17365D"/>
                <w:sz w:val="18"/>
                <w:szCs w:val="18"/>
                <w:lang w:eastAsia="lv-LV"/>
              </w:rPr>
            </w:pPr>
          </w:p>
        </w:tc>
        <w:tc>
          <w:tcPr>
            <w:tcW w:w="637" w:type="pct"/>
            <w:tcBorders>
              <w:top w:val="single" w:sz="4" w:space="0" w:color="17365D"/>
            </w:tcBorders>
            <w:shd w:val="clear" w:color="auto" w:fill="B9CDE5"/>
            <w:noWrap/>
          </w:tcPr>
          <w:p w14:paraId="177A0444" w14:textId="7DA80E0B" w:rsidR="000229AE" w:rsidRPr="00A27896" w:rsidRDefault="000229AE" w:rsidP="000229AE">
            <w:pPr>
              <w:spacing w:after="0"/>
              <w:jc w:val="right"/>
              <w:rPr>
                <w:rFonts w:eastAsia="Times New Roman" w:cs="Times New Roman"/>
                <w:color w:val="17365D"/>
                <w:sz w:val="18"/>
                <w:szCs w:val="18"/>
                <w:lang w:eastAsia="lv-LV"/>
              </w:rPr>
            </w:pPr>
          </w:p>
        </w:tc>
        <w:tc>
          <w:tcPr>
            <w:tcW w:w="650" w:type="pct"/>
            <w:tcBorders>
              <w:top w:val="single" w:sz="4" w:space="0" w:color="17365D"/>
            </w:tcBorders>
            <w:shd w:val="clear" w:color="auto" w:fill="B9CDE5"/>
            <w:noWrap/>
          </w:tcPr>
          <w:p w14:paraId="3F025D93" w14:textId="516DD598" w:rsidR="000229AE" w:rsidRPr="00A27896" w:rsidRDefault="000229AE" w:rsidP="000229AE">
            <w:pPr>
              <w:spacing w:after="0"/>
              <w:jc w:val="right"/>
              <w:rPr>
                <w:rFonts w:eastAsia="Times New Roman" w:cs="Times New Roman"/>
                <w:color w:val="17365D"/>
                <w:sz w:val="18"/>
                <w:szCs w:val="18"/>
                <w:lang w:eastAsia="lv-LV"/>
              </w:rPr>
            </w:pPr>
          </w:p>
        </w:tc>
      </w:tr>
    </w:tbl>
    <w:p w14:paraId="297D7319" w14:textId="515288D7" w:rsidR="004726F6" w:rsidRPr="00A27896" w:rsidRDefault="0064183C" w:rsidP="00C74E79">
      <w:pPr>
        <w:pStyle w:val="Heading5"/>
        <w:spacing w:before="240"/>
        <w:rPr>
          <w:rFonts w:cs="Times New Roman"/>
        </w:rPr>
      </w:pPr>
      <w:r w:rsidRPr="00A27896">
        <w:rPr>
          <w:rFonts w:cs="Times New Roman"/>
        </w:rPr>
        <w:t xml:space="preserve">Piezīme Nr. </w:t>
      </w:r>
      <w:r w:rsidR="005F1199" w:rsidRPr="00A27896">
        <w:rPr>
          <w:rFonts w:cs="Times New Roman"/>
        </w:rPr>
        <w:t>KB.</w:t>
      </w:r>
      <w:r w:rsidR="00FB303F" w:rsidRPr="00A27896">
        <w:rPr>
          <w:rFonts w:cs="Times New Roman"/>
        </w:rPr>
        <w:t>9.1.1</w:t>
      </w:r>
      <w:r w:rsidR="004726F6" w:rsidRPr="00A27896">
        <w:rPr>
          <w:rFonts w:cs="Times New Roman"/>
        </w:rPr>
        <w:t xml:space="preserve">. </w:t>
      </w:r>
      <w:r w:rsidR="002F68AC" w:rsidRPr="00A27896">
        <w:rPr>
          <w:rFonts w:cs="Times New Roman"/>
        </w:rPr>
        <w:t>Iespējamie aktīvi</w:t>
      </w:r>
      <w:r w:rsidR="00A62385" w:rsidRPr="00A27896" w:rsidDel="00A62385">
        <w:rPr>
          <w:rFonts w:cs="Times New Roman"/>
        </w:rPr>
        <w:t xml:space="preserve"> </w:t>
      </w:r>
    </w:p>
    <w:p w14:paraId="2A013F01" w14:textId="3E46333A" w:rsidR="00803C46" w:rsidRPr="00A27896" w:rsidRDefault="00FE253D" w:rsidP="00E36131">
      <w:pPr>
        <w:spacing w:after="120" w:line="240" w:lineRule="auto"/>
        <w:ind w:firstLine="284"/>
        <w:jc w:val="both"/>
        <w:rPr>
          <w:rFonts w:cs="Times New Roman"/>
          <w:color w:val="17365D"/>
        </w:rPr>
      </w:pPr>
      <w:r w:rsidRPr="00A27896">
        <w:rPr>
          <w:rFonts w:cs="Times New Roman"/>
          <w:color w:val="17365D"/>
        </w:rPr>
        <w:t xml:space="preserve">Saskaņā ar iestāžu sniegto informāciju lielākais </w:t>
      </w:r>
      <w:r w:rsidR="002F68AC" w:rsidRPr="00A27896">
        <w:rPr>
          <w:rFonts w:cs="Times New Roman"/>
          <w:color w:val="17365D"/>
        </w:rPr>
        <w:t>palielinājums</w:t>
      </w:r>
      <w:r w:rsidRPr="00A27896">
        <w:rPr>
          <w:rFonts w:cs="Times New Roman"/>
          <w:color w:val="17365D"/>
        </w:rPr>
        <w:t xml:space="preserve"> zembilances postenī “</w:t>
      </w:r>
      <w:r w:rsidR="002F68AC" w:rsidRPr="00A27896">
        <w:rPr>
          <w:rFonts w:cs="Times New Roman"/>
          <w:color w:val="17365D"/>
        </w:rPr>
        <w:t>Iespējamie aktīvi</w:t>
      </w:r>
      <w:r w:rsidRPr="00A27896">
        <w:rPr>
          <w:rFonts w:cs="Times New Roman"/>
          <w:color w:val="17365D"/>
        </w:rPr>
        <w:t>” ir</w:t>
      </w:r>
      <w:r w:rsidR="00A62385" w:rsidRPr="00A27896">
        <w:rPr>
          <w:rFonts w:cs="Times New Roman"/>
          <w:color w:val="17365D"/>
        </w:rPr>
        <w:t xml:space="preserve"> </w:t>
      </w:r>
      <w:r w:rsidR="00A64465" w:rsidRPr="00A27896">
        <w:rPr>
          <w:rFonts w:cs="Times New Roman"/>
          <w:color w:val="17365D"/>
        </w:rPr>
        <w:t xml:space="preserve">veidojies </w:t>
      </w:r>
      <w:r w:rsidR="002F68AC" w:rsidRPr="00A27896">
        <w:rPr>
          <w:rFonts w:cs="Times New Roman"/>
          <w:color w:val="17365D"/>
        </w:rPr>
        <w:t>Satiksmes ministrijai par Ķekavas apvedceļa būvniecības darbiem</w:t>
      </w:r>
      <w:r w:rsidR="00A62385" w:rsidRPr="00A27896">
        <w:rPr>
          <w:rFonts w:cs="Times New Roman"/>
          <w:color w:val="17365D"/>
        </w:rPr>
        <w:t xml:space="preserve"> </w:t>
      </w:r>
      <w:r w:rsidR="00304946">
        <w:rPr>
          <w:rFonts w:cs="Times New Roman"/>
          <w:color w:val="17365D"/>
        </w:rPr>
        <w:t>64 565 665 </w:t>
      </w:r>
      <w:proofErr w:type="spellStart"/>
      <w:r w:rsidR="00A62385" w:rsidRPr="00A27896">
        <w:rPr>
          <w:rFonts w:cs="Times New Roman"/>
          <w:i/>
          <w:color w:val="17365D"/>
        </w:rPr>
        <w:t>euro</w:t>
      </w:r>
      <w:proofErr w:type="spellEnd"/>
      <w:r w:rsidR="00A62385" w:rsidRPr="00A27896">
        <w:rPr>
          <w:rFonts w:cs="Times New Roman"/>
          <w:color w:val="17365D"/>
        </w:rPr>
        <w:t xml:space="preserve"> vērtībā</w:t>
      </w:r>
      <w:r w:rsidR="002F68AC" w:rsidRPr="00A27896">
        <w:rPr>
          <w:rFonts w:cs="Times New Roman"/>
          <w:color w:val="17365D"/>
        </w:rPr>
        <w:t xml:space="preserve"> un Aizsardzības ministrijai 29 312 622 </w:t>
      </w:r>
      <w:proofErr w:type="spellStart"/>
      <w:r w:rsidR="002F68AC" w:rsidRPr="00A27896">
        <w:rPr>
          <w:rFonts w:cs="Times New Roman"/>
          <w:i/>
          <w:color w:val="17365D"/>
        </w:rPr>
        <w:t>euro</w:t>
      </w:r>
      <w:proofErr w:type="spellEnd"/>
      <w:r w:rsidR="002F68AC" w:rsidRPr="00A27896">
        <w:rPr>
          <w:rFonts w:cs="Times New Roman"/>
          <w:color w:val="17365D"/>
        </w:rPr>
        <w:t xml:space="preserve"> vērtībā par glabāšanā saņemtiem materiāli tehniskiem līdzekļiem līdz to izvērtēšanai un atzīšanai uzskaitē</w:t>
      </w:r>
      <w:r w:rsidR="00A62385" w:rsidRPr="00A27896">
        <w:rPr>
          <w:rFonts w:cs="Times New Roman"/>
          <w:color w:val="17365D"/>
        </w:rPr>
        <w:t>.</w:t>
      </w:r>
    </w:p>
    <w:p w14:paraId="54F22116" w14:textId="50EE8796" w:rsidR="005E5801" w:rsidRPr="00A27896" w:rsidRDefault="0064183C" w:rsidP="005A3758">
      <w:pPr>
        <w:pStyle w:val="Heading4"/>
        <w:rPr>
          <w:rFonts w:cs="Times New Roman"/>
        </w:rPr>
      </w:pPr>
      <w:r w:rsidRPr="00A27896">
        <w:rPr>
          <w:rFonts w:cs="Times New Roman"/>
        </w:rPr>
        <w:t xml:space="preserve">Piezīme Nr. </w:t>
      </w:r>
      <w:r w:rsidR="001C6E01" w:rsidRPr="00A27896">
        <w:rPr>
          <w:rFonts w:cs="Times New Roman"/>
        </w:rPr>
        <w:t>KB.</w:t>
      </w:r>
      <w:r w:rsidR="00A36FE8" w:rsidRPr="00A27896">
        <w:rPr>
          <w:rFonts w:cs="Times New Roman"/>
        </w:rPr>
        <w:t>9.5</w:t>
      </w:r>
      <w:r w:rsidR="001C6E01" w:rsidRPr="00A27896">
        <w:rPr>
          <w:rFonts w:cs="Times New Roman"/>
        </w:rPr>
        <w:t>. Zembilances pasīvi</w:t>
      </w:r>
    </w:p>
    <w:p w14:paraId="67EC265A" w14:textId="35A7DE80" w:rsidR="00A87549" w:rsidRPr="00A27896" w:rsidRDefault="001C6E01" w:rsidP="00E0533C">
      <w:pPr>
        <w:pStyle w:val="Tabulasnosaukums1"/>
        <w:spacing w:before="0" w:line="240" w:lineRule="auto"/>
        <w:rPr>
          <w:rFonts w:cs="Times New Roman"/>
          <w:i/>
          <w:color w:val="17365D"/>
        </w:rPr>
      </w:pPr>
      <w:r w:rsidRPr="00A27896">
        <w:rPr>
          <w:rFonts w:cs="Times New Roman"/>
          <w:i/>
          <w:color w:val="17365D"/>
        </w:rPr>
        <w:t>2</w:t>
      </w:r>
      <w:r w:rsidR="000229AE" w:rsidRPr="00A27896">
        <w:rPr>
          <w:rFonts w:cs="Times New Roman"/>
          <w:i/>
          <w:color w:val="17365D"/>
        </w:rPr>
        <w:t>3</w:t>
      </w:r>
      <w:r w:rsidRPr="00A27896">
        <w:rPr>
          <w:rFonts w:cs="Times New Roman"/>
          <w:i/>
          <w:color w:val="17365D"/>
        </w:rPr>
        <w:t>. tabula</w:t>
      </w:r>
      <w:r w:rsidR="00A87549" w:rsidRPr="00A27896">
        <w:rPr>
          <w:rFonts w:cs="Times New Roman"/>
          <w:i/>
          <w:color w:val="17365D"/>
        </w:rPr>
        <w:t>. Zembilances pasīvi (</w:t>
      </w:r>
      <w:proofErr w:type="spellStart"/>
      <w:r w:rsidR="00B06962" w:rsidRPr="00A27896">
        <w:rPr>
          <w:rFonts w:cs="Times New Roman"/>
          <w:i/>
          <w:color w:val="17365D"/>
        </w:rPr>
        <w:t>euro</w:t>
      </w:r>
      <w:proofErr w:type="spellEnd"/>
      <w:r w:rsidR="00A87549" w:rsidRPr="00A27896">
        <w:rPr>
          <w:rFonts w:cs="Times New Roman"/>
          <w:i/>
          <w:color w:val="17365D"/>
        </w:rPr>
        <w:t>)</w:t>
      </w:r>
      <w:r w:rsidRPr="00A27896">
        <w:rPr>
          <w:rFonts w:cs="Times New Roman"/>
          <w:i/>
          <w:color w:val="17365D"/>
        </w:rPr>
        <w:t xml:space="preserve"> </w:t>
      </w:r>
    </w:p>
    <w:tbl>
      <w:tblPr>
        <w:tblW w:w="5000" w:type="pct"/>
        <w:tblLayout w:type="fixed"/>
        <w:tblLook w:val="04A0" w:firstRow="1" w:lastRow="0" w:firstColumn="1" w:lastColumn="0" w:noHBand="0" w:noVBand="1"/>
      </w:tblPr>
      <w:tblGrid>
        <w:gridCol w:w="3213"/>
        <w:gridCol w:w="979"/>
        <w:gridCol w:w="1398"/>
        <w:gridCol w:w="1255"/>
        <w:gridCol w:w="1257"/>
        <w:gridCol w:w="1252"/>
      </w:tblGrid>
      <w:tr w:rsidR="000C1009" w:rsidRPr="00A27896" w14:paraId="0E726323" w14:textId="77777777" w:rsidTr="003F0D49">
        <w:trPr>
          <w:trHeight w:val="684"/>
          <w:tblHeader/>
        </w:trPr>
        <w:tc>
          <w:tcPr>
            <w:tcW w:w="1717" w:type="pct"/>
            <w:tcBorders>
              <w:bottom w:val="single" w:sz="4" w:space="0" w:color="17365D"/>
            </w:tcBorders>
            <w:shd w:val="clear" w:color="auto" w:fill="B9CDE5"/>
            <w:vAlign w:val="center"/>
            <w:hideMark/>
          </w:tcPr>
          <w:p w14:paraId="698830F8"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Rādītāji</w:t>
            </w:r>
          </w:p>
        </w:tc>
        <w:tc>
          <w:tcPr>
            <w:tcW w:w="523" w:type="pct"/>
            <w:tcBorders>
              <w:bottom w:val="single" w:sz="4" w:space="0" w:color="17365D"/>
            </w:tcBorders>
            <w:shd w:val="clear" w:color="auto" w:fill="B9CDE5"/>
            <w:vAlign w:val="center"/>
            <w:hideMark/>
          </w:tcPr>
          <w:p w14:paraId="28CB97FA"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Piezīmes</w:t>
            </w:r>
            <w:r w:rsidRPr="00A27896">
              <w:rPr>
                <w:rFonts w:eastAsia="Times New Roman" w:cs="Times New Roman"/>
                <w:b/>
                <w:bCs/>
                <w:color w:val="17365D"/>
                <w:sz w:val="18"/>
                <w:szCs w:val="18"/>
                <w:lang w:eastAsia="lv-LV"/>
              </w:rPr>
              <w:br/>
              <w:t>Nr.</w:t>
            </w:r>
          </w:p>
        </w:tc>
        <w:tc>
          <w:tcPr>
            <w:tcW w:w="747" w:type="pct"/>
            <w:tcBorders>
              <w:bottom w:val="single" w:sz="4" w:space="0" w:color="17365D"/>
            </w:tcBorders>
            <w:shd w:val="clear" w:color="auto" w:fill="B9CDE5"/>
            <w:vAlign w:val="center"/>
            <w:hideMark/>
          </w:tcPr>
          <w:p w14:paraId="25920B4B"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671" w:type="pct"/>
            <w:tcBorders>
              <w:bottom w:val="single" w:sz="4" w:space="0" w:color="17365D"/>
            </w:tcBorders>
            <w:shd w:val="clear" w:color="auto" w:fill="B9CDE5"/>
            <w:vAlign w:val="center"/>
            <w:hideMark/>
          </w:tcPr>
          <w:p w14:paraId="6EC7FBEF"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c>
          <w:tcPr>
            <w:tcW w:w="672" w:type="pct"/>
            <w:tcBorders>
              <w:bottom w:val="single" w:sz="4" w:space="0" w:color="17365D"/>
            </w:tcBorders>
            <w:shd w:val="clear" w:color="auto" w:fill="B9CDE5"/>
            <w:vAlign w:val="center"/>
            <w:hideMark/>
          </w:tcPr>
          <w:p w14:paraId="0918E8CD" w14:textId="7879BB23"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Izmaiņas </w:t>
            </w:r>
            <w:r w:rsidRPr="00A27896">
              <w:rPr>
                <w:rFonts w:eastAsia="Times New Roman" w:cs="Times New Roman"/>
                <w:b/>
                <w:bCs/>
                <w:color w:val="17365D"/>
                <w:sz w:val="18"/>
                <w:szCs w:val="18"/>
                <w:lang w:eastAsia="lv-LV"/>
              </w:rPr>
              <w:br/>
              <w:t>(+,</w:t>
            </w:r>
            <w:r w:rsidR="002B1B27" w:rsidRPr="00A27896">
              <w:rPr>
                <w:rFonts w:eastAsia="Times New Roman" w:cs="Times New Roman"/>
                <w:b/>
                <w:bCs/>
                <w:color w:val="17365D"/>
                <w:sz w:val="18"/>
                <w:szCs w:val="18"/>
                <w:lang w:eastAsia="lv-LV"/>
              </w:rPr>
              <w:t xml:space="preserve"> – </w:t>
            </w:r>
            <w:r w:rsidRPr="00A27896">
              <w:rPr>
                <w:rFonts w:eastAsia="Times New Roman" w:cs="Times New Roman"/>
                <w:b/>
                <w:bCs/>
                <w:color w:val="17365D"/>
                <w:sz w:val="18"/>
                <w:szCs w:val="18"/>
                <w:lang w:eastAsia="lv-LV"/>
              </w:rPr>
              <w:t>)</w:t>
            </w:r>
          </w:p>
        </w:tc>
        <w:tc>
          <w:tcPr>
            <w:tcW w:w="669" w:type="pct"/>
            <w:tcBorders>
              <w:bottom w:val="single" w:sz="4" w:space="0" w:color="17365D"/>
            </w:tcBorders>
            <w:shd w:val="clear" w:color="auto" w:fill="B9CDE5"/>
            <w:vAlign w:val="center"/>
            <w:hideMark/>
          </w:tcPr>
          <w:p w14:paraId="1BA7C662"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Procentuālās izmaiņas (3./2.*100)</w:t>
            </w:r>
          </w:p>
        </w:tc>
      </w:tr>
      <w:tr w:rsidR="000C1009" w:rsidRPr="00A27896" w14:paraId="3817CA84" w14:textId="77777777" w:rsidTr="003F0D49">
        <w:trPr>
          <w:trHeight w:val="240"/>
          <w:tblHeader/>
        </w:trPr>
        <w:tc>
          <w:tcPr>
            <w:tcW w:w="1717" w:type="pct"/>
            <w:tcBorders>
              <w:top w:val="single" w:sz="4" w:space="0" w:color="17365D"/>
              <w:bottom w:val="single" w:sz="4" w:space="0" w:color="17365D"/>
            </w:tcBorders>
            <w:shd w:val="clear" w:color="auto" w:fill="auto"/>
            <w:vAlign w:val="center"/>
            <w:hideMark/>
          </w:tcPr>
          <w:p w14:paraId="5551FEC5"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523" w:type="pct"/>
            <w:tcBorders>
              <w:top w:val="single" w:sz="4" w:space="0" w:color="17365D"/>
              <w:bottom w:val="single" w:sz="4" w:space="0" w:color="17365D"/>
            </w:tcBorders>
            <w:shd w:val="clear" w:color="auto" w:fill="auto"/>
            <w:vAlign w:val="center"/>
            <w:hideMark/>
          </w:tcPr>
          <w:p w14:paraId="45A7A93A"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B</w:t>
            </w:r>
          </w:p>
        </w:tc>
        <w:tc>
          <w:tcPr>
            <w:tcW w:w="747" w:type="pct"/>
            <w:tcBorders>
              <w:top w:val="single" w:sz="4" w:space="0" w:color="17365D"/>
              <w:bottom w:val="single" w:sz="4" w:space="0" w:color="17365D"/>
            </w:tcBorders>
            <w:shd w:val="clear" w:color="auto" w:fill="auto"/>
            <w:vAlign w:val="center"/>
            <w:hideMark/>
          </w:tcPr>
          <w:p w14:paraId="4C13F1DB"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671" w:type="pct"/>
            <w:tcBorders>
              <w:top w:val="single" w:sz="4" w:space="0" w:color="17365D"/>
              <w:bottom w:val="single" w:sz="4" w:space="0" w:color="17365D"/>
            </w:tcBorders>
            <w:shd w:val="clear" w:color="auto" w:fill="auto"/>
            <w:vAlign w:val="center"/>
            <w:hideMark/>
          </w:tcPr>
          <w:p w14:paraId="34324BF4"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672" w:type="pct"/>
            <w:tcBorders>
              <w:top w:val="single" w:sz="4" w:space="0" w:color="17365D"/>
              <w:bottom w:val="single" w:sz="4" w:space="0" w:color="17365D"/>
            </w:tcBorders>
            <w:shd w:val="clear" w:color="auto" w:fill="auto"/>
            <w:vAlign w:val="center"/>
            <w:hideMark/>
          </w:tcPr>
          <w:p w14:paraId="0898B0FA"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669" w:type="pct"/>
            <w:tcBorders>
              <w:top w:val="single" w:sz="4" w:space="0" w:color="17365D"/>
              <w:bottom w:val="single" w:sz="4" w:space="0" w:color="17365D"/>
            </w:tcBorders>
            <w:shd w:val="clear" w:color="auto" w:fill="auto"/>
            <w:vAlign w:val="center"/>
            <w:hideMark/>
          </w:tcPr>
          <w:p w14:paraId="64CA186C"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r>
      <w:tr w:rsidR="000229AE" w:rsidRPr="00A27896" w14:paraId="4EAEFD5A" w14:textId="77777777" w:rsidTr="000229AE">
        <w:trPr>
          <w:trHeight w:val="240"/>
        </w:trPr>
        <w:tc>
          <w:tcPr>
            <w:tcW w:w="1717" w:type="pct"/>
            <w:tcBorders>
              <w:top w:val="single" w:sz="4" w:space="0" w:color="17365D"/>
              <w:bottom w:val="single" w:sz="4" w:space="0" w:color="17365D"/>
            </w:tcBorders>
            <w:shd w:val="clear" w:color="auto" w:fill="auto"/>
            <w:vAlign w:val="center"/>
            <w:hideMark/>
          </w:tcPr>
          <w:p w14:paraId="03C0F748" w14:textId="77777777" w:rsidR="000229AE" w:rsidRPr="00A27896" w:rsidRDefault="000229AE" w:rsidP="000229AE">
            <w:pPr>
              <w:spacing w:after="0"/>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Zembilances pasīvi</w:t>
            </w:r>
          </w:p>
        </w:tc>
        <w:tc>
          <w:tcPr>
            <w:tcW w:w="523" w:type="pct"/>
            <w:tcBorders>
              <w:top w:val="single" w:sz="4" w:space="0" w:color="17365D"/>
              <w:bottom w:val="single" w:sz="4" w:space="0" w:color="17365D"/>
            </w:tcBorders>
            <w:shd w:val="clear" w:color="auto" w:fill="auto"/>
            <w:vAlign w:val="center"/>
            <w:hideMark/>
          </w:tcPr>
          <w:p w14:paraId="1CDB4A05" w14:textId="1114C877" w:rsidR="000229AE" w:rsidRPr="00A27896" w:rsidRDefault="000229AE" w:rsidP="000E5114">
            <w:pPr>
              <w:spacing w:after="0" w:line="240" w:lineRule="auto"/>
              <w:ind w:left="-57"/>
              <w:jc w:val="center"/>
              <w:rPr>
                <w:rFonts w:cs="Times New Roman"/>
                <w:b/>
                <w:color w:val="17365D"/>
                <w:sz w:val="18"/>
                <w:szCs w:val="18"/>
              </w:rPr>
            </w:pPr>
            <w:r w:rsidRPr="00A27896">
              <w:rPr>
                <w:rFonts w:cs="Times New Roman"/>
                <w:b/>
                <w:color w:val="17365D"/>
                <w:sz w:val="18"/>
                <w:szCs w:val="18"/>
              </w:rPr>
              <w:t>KB.9.5.</w:t>
            </w:r>
          </w:p>
        </w:tc>
        <w:tc>
          <w:tcPr>
            <w:tcW w:w="747" w:type="pct"/>
            <w:tcBorders>
              <w:top w:val="single" w:sz="4" w:space="0" w:color="17365D"/>
              <w:bottom w:val="single" w:sz="4" w:space="0" w:color="17365D"/>
            </w:tcBorders>
            <w:shd w:val="clear" w:color="auto" w:fill="auto"/>
            <w:noWrap/>
            <w:vAlign w:val="center"/>
          </w:tcPr>
          <w:p w14:paraId="23B35286" w14:textId="79F78216" w:rsidR="000229AE" w:rsidRPr="00A27896" w:rsidRDefault="000229AE" w:rsidP="000229AE">
            <w:pPr>
              <w:spacing w:after="0" w:line="240" w:lineRule="auto"/>
              <w:ind w:left="-57"/>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5 744 446 115</w:t>
            </w:r>
          </w:p>
        </w:tc>
        <w:tc>
          <w:tcPr>
            <w:tcW w:w="671" w:type="pct"/>
            <w:tcBorders>
              <w:top w:val="single" w:sz="4" w:space="0" w:color="17365D"/>
              <w:bottom w:val="single" w:sz="4" w:space="0" w:color="17365D"/>
            </w:tcBorders>
            <w:shd w:val="clear" w:color="auto" w:fill="auto"/>
            <w:noWrap/>
            <w:vAlign w:val="center"/>
          </w:tcPr>
          <w:p w14:paraId="317194B4" w14:textId="58299764" w:rsidR="000229AE" w:rsidRPr="00A27896" w:rsidRDefault="000229AE" w:rsidP="000229AE">
            <w:pPr>
              <w:spacing w:after="0" w:line="240" w:lineRule="auto"/>
              <w:ind w:left="-57"/>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5 415 905 085</w:t>
            </w:r>
          </w:p>
        </w:tc>
        <w:tc>
          <w:tcPr>
            <w:tcW w:w="672" w:type="pct"/>
            <w:tcBorders>
              <w:top w:val="single" w:sz="4" w:space="0" w:color="17365D"/>
              <w:bottom w:val="single" w:sz="4" w:space="0" w:color="17365D"/>
            </w:tcBorders>
            <w:shd w:val="clear" w:color="auto" w:fill="auto"/>
            <w:noWrap/>
            <w:vAlign w:val="center"/>
          </w:tcPr>
          <w:p w14:paraId="6D6295CE" w14:textId="2B5BB8B3" w:rsidR="000229AE" w:rsidRPr="00A27896" w:rsidRDefault="000229AE" w:rsidP="000229AE">
            <w:pPr>
              <w:spacing w:after="0" w:line="240" w:lineRule="auto"/>
              <w:ind w:left="-57"/>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328 541 030</w:t>
            </w:r>
          </w:p>
        </w:tc>
        <w:tc>
          <w:tcPr>
            <w:tcW w:w="669" w:type="pct"/>
            <w:tcBorders>
              <w:top w:val="single" w:sz="4" w:space="0" w:color="17365D"/>
              <w:bottom w:val="single" w:sz="4" w:space="0" w:color="17365D"/>
              <w:right w:val="nil"/>
            </w:tcBorders>
            <w:shd w:val="clear" w:color="auto" w:fill="auto"/>
            <w:noWrap/>
            <w:vAlign w:val="center"/>
          </w:tcPr>
          <w:p w14:paraId="7A19E68F" w14:textId="65CFEC42" w:rsidR="000229AE" w:rsidRPr="00A27896" w:rsidRDefault="000229AE" w:rsidP="000229AE">
            <w:pPr>
              <w:spacing w:after="0" w:line="240" w:lineRule="auto"/>
              <w:ind w:left="-57"/>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6.07</w:t>
            </w:r>
          </w:p>
        </w:tc>
      </w:tr>
      <w:tr w:rsidR="000229AE" w:rsidRPr="00A27896" w14:paraId="4CAD5466" w14:textId="77777777" w:rsidTr="000229AE">
        <w:trPr>
          <w:trHeight w:val="751"/>
        </w:trPr>
        <w:tc>
          <w:tcPr>
            <w:tcW w:w="1717" w:type="pct"/>
            <w:tcBorders>
              <w:top w:val="single" w:sz="4" w:space="0" w:color="17365D"/>
              <w:bottom w:val="single" w:sz="4" w:space="0" w:color="17365D"/>
            </w:tcBorders>
            <w:shd w:val="clear" w:color="auto" w:fill="auto"/>
            <w:vAlign w:val="center"/>
            <w:hideMark/>
          </w:tcPr>
          <w:p w14:paraId="2A3A33D9" w14:textId="0CB4BB80" w:rsidR="000229AE" w:rsidRPr="00A27896" w:rsidRDefault="000229AE" w:rsidP="000229A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Nākotnes maksājumi saskaņā ar līgumiem, kas noslēgti par ārvalstu finanšu palīdzības un Eiropas Savienības politikas instrumentu finansētajiem projektiem</w:t>
            </w:r>
          </w:p>
        </w:tc>
        <w:tc>
          <w:tcPr>
            <w:tcW w:w="523" w:type="pct"/>
            <w:tcBorders>
              <w:top w:val="single" w:sz="4" w:space="0" w:color="17365D"/>
              <w:bottom w:val="single" w:sz="4" w:space="0" w:color="17365D"/>
            </w:tcBorders>
            <w:shd w:val="clear" w:color="auto" w:fill="auto"/>
            <w:noWrap/>
            <w:vAlign w:val="center"/>
            <w:hideMark/>
          </w:tcPr>
          <w:p w14:paraId="15E3D09E" w14:textId="655B31AE" w:rsidR="000229AE" w:rsidRPr="00A27896" w:rsidRDefault="000229AE" w:rsidP="000E5114">
            <w:pPr>
              <w:spacing w:after="0"/>
              <w:jc w:val="center"/>
              <w:rPr>
                <w:rFonts w:eastAsia="Times New Roman" w:cs="Times New Roman"/>
                <w:color w:val="17365D"/>
                <w:sz w:val="18"/>
                <w:szCs w:val="18"/>
                <w:lang w:eastAsia="lv-LV"/>
              </w:rPr>
            </w:pPr>
            <w:r w:rsidRPr="00A27896">
              <w:rPr>
                <w:rFonts w:cs="Times New Roman"/>
                <w:color w:val="17365D"/>
                <w:sz w:val="18"/>
                <w:szCs w:val="18"/>
              </w:rPr>
              <w:t>KB.9.5.1.</w:t>
            </w:r>
          </w:p>
        </w:tc>
        <w:tc>
          <w:tcPr>
            <w:tcW w:w="747" w:type="pct"/>
            <w:tcBorders>
              <w:top w:val="single" w:sz="4" w:space="0" w:color="17365D"/>
              <w:bottom w:val="single" w:sz="4" w:space="0" w:color="17365D"/>
            </w:tcBorders>
            <w:shd w:val="clear" w:color="auto" w:fill="auto"/>
            <w:noWrap/>
            <w:vAlign w:val="center"/>
          </w:tcPr>
          <w:p w14:paraId="5FC70D7F" w14:textId="5B6E70C4" w:rsidR="000229AE" w:rsidRPr="00A27896" w:rsidRDefault="000229AE" w:rsidP="000229AE">
            <w:pPr>
              <w:spacing w:after="0"/>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1 796 875 143</w:t>
            </w:r>
          </w:p>
        </w:tc>
        <w:tc>
          <w:tcPr>
            <w:tcW w:w="671" w:type="pct"/>
            <w:tcBorders>
              <w:top w:val="single" w:sz="4" w:space="0" w:color="17365D"/>
              <w:bottom w:val="single" w:sz="4" w:space="0" w:color="17365D"/>
            </w:tcBorders>
            <w:shd w:val="clear" w:color="auto" w:fill="auto"/>
            <w:noWrap/>
            <w:vAlign w:val="center"/>
          </w:tcPr>
          <w:p w14:paraId="725DA1A4" w14:textId="1FB722E1" w:rsidR="000229AE" w:rsidRPr="00A27896" w:rsidRDefault="000229AE" w:rsidP="000229AE">
            <w:pPr>
              <w:spacing w:after="0"/>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1 519 832 269</w:t>
            </w:r>
          </w:p>
        </w:tc>
        <w:tc>
          <w:tcPr>
            <w:tcW w:w="672" w:type="pct"/>
            <w:tcBorders>
              <w:top w:val="single" w:sz="4" w:space="0" w:color="17365D"/>
              <w:bottom w:val="single" w:sz="4" w:space="0" w:color="17365D"/>
            </w:tcBorders>
            <w:shd w:val="clear" w:color="auto" w:fill="auto"/>
            <w:noWrap/>
            <w:vAlign w:val="center"/>
          </w:tcPr>
          <w:p w14:paraId="0D0F0EFC" w14:textId="588C5715" w:rsidR="000229AE" w:rsidRPr="00A27896" w:rsidRDefault="000229AE" w:rsidP="000229AE">
            <w:pPr>
              <w:spacing w:after="0"/>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277 042 874</w:t>
            </w:r>
          </w:p>
        </w:tc>
        <w:tc>
          <w:tcPr>
            <w:tcW w:w="669" w:type="pct"/>
            <w:tcBorders>
              <w:top w:val="single" w:sz="4" w:space="0" w:color="17365D"/>
              <w:bottom w:val="single" w:sz="4" w:space="0" w:color="17365D"/>
            </w:tcBorders>
            <w:shd w:val="clear" w:color="auto" w:fill="auto"/>
            <w:noWrap/>
            <w:vAlign w:val="center"/>
          </w:tcPr>
          <w:p w14:paraId="15BE9D82" w14:textId="5B6D3CAD" w:rsidR="000229AE" w:rsidRPr="00A27896" w:rsidRDefault="000229AE" w:rsidP="000229AE">
            <w:pPr>
              <w:spacing w:after="0"/>
              <w:ind w:left="-113"/>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18.23</w:t>
            </w:r>
          </w:p>
        </w:tc>
      </w:tr>
      <w:tr w:rsidR="000229AE" w:rsidRPr="00A27896" w14:paraId="045CBAF8" w14:textId="77777777" w:rsidTr="000229AE">
        <w:trPr>
          <w:trHeight w:val="979"/>
        </w:trPr>
        <w:tc>
          <w:tcPr>
            <w:tcW w:w="1717" w:type="pct"/>
            <w:tcBorders>
              <w:top w:val="single" w:sz="4" w:space="0" w:color="17365D"/>
              <w:bottom w:val="single" w:sz="4" w:space="0" w:color="17365D"/>
            </w:tcBorders>
            <w:shd w:val="clear" w:color="auto" w:fill="auto"/>
            <w:vAlign w:val="center"/>
            <w:hideMark/>
          </w:tcPr>
          <w:p w14:paraId="308BB488" w14:textId="77777777" w:rsidR="000229AE" w:rsidRPr="00A27896" w:rsidRDefault="000229AE" w:rsidP="000229A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Nākotnes saistības un maksājumi saskaņā ar līgumiem un vadības lēmumiem par ilgtermiņa ieguldījumu un speciālā militārā inventāra iegādi un izveidošanu, izņemot tos, kas noslēgti par ārvalstu finanšu palīdzības un Eiropas Savienības politiku instrumentu finansētajiem projektiem </w:t>
            </w:r>
          </w:p>
        </w:tc>
        <w:tc>
          <w:tcPr>
            <w:tcW w:w="523" w:type="pct"/>
            <w:tcBorders>
              <w:top w:val="single" w:sz="4" w:space="0" w:color="17365D"/>
              <w:bottom w:val="single" w:sz="4" w:space="0" w:color="17365D"/>
            </w:tcBorders>
            <w:shd w:val="clear" w:color="auto" w:fill="auto"/>
            <w:noWrap/>
            <w:vAlign w:val="center"/>
            <w:hideMark/>
          </w:tcPr>
          <w:p w14:paraId="7A999953" w14:textId="7607CAC1" w:rsidR="000229AE" w:rsidRPr="00A27896" w:rsidRDefault="000229AE" w:rsidP="000229AE">
            <w:pPr>
              <w:spacing w:after="0"/>
              <w:jc w:val="right"/>
              <w:rPr>
                <w:rFonts w:eastAsia="Times New Roman" w:cs="Times New Roman"/>
                <w:color w:val="17365D"/>
                <w:sz w:val="18"/>
                <w:szCs w:val="18"/>
                <w:lang w:eastAsia="lv-LV"/>
              </w:rPr>
            </w:pPr>
          </w:p>
        </w:tc>
        <w:tc>
          <w:tcPr>
            <w:tcW w:w="747" w:type="pct"/>
            <w:tcBorders>
              <w:top w:val="single" w:sz="4" w:space="0" w:color="17365D"/>
              <w:left w:val="nil"/>
              <w:bottom w:val="single" w:sz="4" w:space="0" w:color="17365D"/>
              <w:right w:val="nil"/>
            </w:tcBorders>
            <w:shd w:val="clear" w:color="FFFFCC" w:fill="FFFFFF"/>
            <w:noWrap/>
            <w:vAlign w:val="center"/>
          </w:tcPr>
          <w:p w14:paraId="719BEFC6" w14:textId="708543FF"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689 473 342</w:t>
            </w:r>
          </w:p>
        </w:tc>
        <w:tc>
          <w:tcPr>
            <w:tcW w:w="671" w:type="pct"/>
            <w:tcBorders>
              <w:top w:val="single" w:sz="4" w:space="0" w:color="17365D"/>
              <w:left w:val="nil"/>
              <w:bottom w:val="single" w:sz="4" w:space="0" w:color="17365D"/>
              <w:right w:val="nil"/>
            </w:tcBorders>
            <w:shd w:val="clear" w:color="FFFFCC" w:fill="FFFFFF"/>
            <w:noWrap/>
            <w:vAlign w:val="center"/>
          </w:tcPr>
          <w:p w14:paraId="064A6B0E" w14:textId="4DB9504D"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758 965 832</w:t>
            </w:r>
          </w:p>
        </w:tc>
        <w:tc>
          <w:tcPr>
            <w:tcW w:w="672" w:type="pct"/>
            <w:tcBorders>
              <w:top w:val="single" w:sz="4" w:space="0" w:color="17365D"/>
              <w:left w:val="nil"/>
              <w:bottom w:val="single" w:sz="4" w:space="0" w:color="17365D"/>
              <w:right w:val="nil"/>
            </w:tcBorders>
            <w:shd w:val="clear" w:color="FFFFCC" w:fill="FFFFFF"/>
            <w:noWrap/>
            <w:vAlign w:val="center"/>
          </w:tcPr>
          <w:p w14:paraId="6FF9AFC1" w14:textId="1A40CD9B"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-69 492 490</w:t>
            </w:r>
          </w:p>
        </w:tc>
        <w:tc>
          <w:tcPr>
            <w:tcW w:w="669" w:type="pct"/>
            <w:tcBorders>
              <w:top w:val="single" w:sz="4" w:space="0" w:color="17365D"/>
              <w:left w:val="nil"/>
              <w:bottom w:val="single" w:sz="4" w:space="0" w:color="17365D"/>
              <w:right w:val="nil"/>
            </w:tcBorders>
            <w:shd w:val="clear" w:color="FFFFCC" w:fill="FFFFFF"/>
            <w:noWrap/>
            <w:vAlign w:val="center"/>
          </w:tcPr>
          <w:p w14:paraId="58D87DBE" w14:textId="34B6D226"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-9.16</w:t>
            </w:r>
          </w:p>
        </w:tc>
      </w:tr>
      <w:tr w:rsidR="000229AE" w:rsidRPr="00A27896" w14:paraId="28E985D4" w14:textId="77777777" w:rsidTr="000229AE">
        <w:trPr>
          <w:trHeight w:val="449"/>
        </w:trPr>
        <w:tc>
          <w:tcPr>
            <w:tcW w:w="1717" w:type="pct"/>
            <w:tcBorders>
              <w:top w:val="single" w:sz="4" w:space="0" w:color="17365D"/>
              <w:bottom w:val="single" w:sz="4" w:space="0" w:color="17365D"/>
            </w:tcBorders>
            <w:shd w:val="clear" w:color="auto" w:fill="auto"/>
            <w:vAlign w:val="center"/>
            <w:hideMark/>
          </w:tcPr>
          <w:p w14:paraId="747D6082" w14:textId="77777777" w:rsidR="000229AE" w:rsidRPr="00A27896" w:rsidRDefault="000229AE" w:rsidP="000229A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lastRenderedPageBreak/>
              <w:t>Nākotnes saistības un maksājumi saskaņā ar līgumiem un vadības lēmumiem par preču un pakalpojumu iegādi, izņemot tos, kas noslēgti par ārvalstu finanšu palīdzības un Eiropas Savienības politiku instrumentu finansētajiem projektiem un nomu</w:t>
            </w:r>
          </w:p>
        </w:tc>
        <w:tc>
          <w:tcPr>
            <w:tcW w:w="523" w:type="pct"/>
            <w:tcBorders>
              <w:top w:val="single" w:sz="4" w:space="0" w:color="17365D"/>
              <w:bottom w:val="single" w:sz="4" w:space="0" w:color="17365D"/>
            </w:tcBorders>
            <w:shd w:val="clear" w:color="auto" w:fill="auto"/>
            <w:noWrap/>
            <w:vAlign w:val="center"/>
          </w:tcPr>
          <w:p w14:paraId="08EC3FB6" w14:textId="408542AD" w:rsidR="000229AE" w:rsidRPr="00A27896" w:rsidRDefault="000229AE" w:rsidP="000E5114">
            <w:pPr>
              <w:spacing w:after="0"/>
              <w:jc w:val="center"/>
              <w:rPr>
                <w:rFonts w:eastAsia="Times New Roman" w:cs="Times New Roman"/>
                <w:color w:val="17365D"/>
                <w:sz w:val="18"/>
                <w:szCs w:val="18"/>
                <w:lang w:eastAsia="lv-LV"/>
              </w:rPr>
            </w:pPr>
            <w:r w:rsidRPr="00A27896">
              <w:rPr>
                <w:rFonts w:cs="Times New Roman"/>
                <w:color w:val="17365D"/>
                <w:sz w:val="18"/>
                <w:szCs w:val="18"/>
              </w:rPr>
              <w:t>KB.9.5.2.</w:t>
            </w:r>
          </w:p>
        </w:tc>
        <w:tc>
          <w:tcPr>
            <w:tcW w:w="747" w:type="pct"/>
            <w:tcBorders>
              <w:top w:val="single" w:sz="4" w:space="0" w:color="17365D"/>
              <w:left w:val="nil"/>
              <w:bottom w:val="single" w:sz="4" w:space="0" w:color="17365D"/>
              <w:right w:val="nil"/>
            </w:tcBorders>
            <w:shd w:val="clear" w:color="FFFFCC" w:fill="FFFFFF"/>
            <w:noWrap/>
            <w:vAlign w:val="center"/>
          </w:tcPr>
          <w:p w14:paraId="6A54CC8E" w14:textId="399DA932"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338 408 811</w:t>
            </w:r>
          </w:p>
        </w:tc>
        <w:tc>
          <w:tcPr>
            <w:tcW w:w="671" w:type="pct"/>
            <w:tcBorders>
              <w:top w:val="single" w:sz="4" w:space="0" w:color="17365D"/>
              <w:left w:val="nil"/>
              <w:bottom w:val="single" w:sz="4" w:space="0" w:color="17365D"/>
              <w:right w:val="nil"/>
            </w:tcBorders>
            <w:shd w:val="clear" w:color="FFFFCC" w:fill="FFFFFF"/>
            <w:noWrap/>
            <w:vAlign w:val="center"/>
          </w:tcPr>
          <w:p w14:paraId="52386091" w14:textId="2E801303"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77 557 255</w:t>
            </w:r>
          </w:p>
        </w:tc>
        <w:tc>
          <w:tcPr>
            <w:tcW w:w="672" w:type="pct"/>
            <w:tcBorders>
              <w:top w:val="single" w:sz="4" w:space="0" w:color="17365D"/>
              <w:left w:val="nil"/>
              <w:bottom w:val="single" w:sz="4" w:space="0" w:color="17365D"/>
              <w:right w:val="nil"/>
            </w:tcBorders>
            <w:shd w:val="clear" w:color="FFFFCC" w:fill="FFFFFF"/>
            <w:noWrap/>
            <w:vAlign w:val="center"/>
          </w:tcPr>
          <w:p w14:paraId="57DD739D" w14:textId="2570084F"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260 851 556</w:t>
            </w:r>
          </w:p>
        </w:tc>
        <w:tc>
          <w:tcPr>
            <w:tcW w:w="669" w:type="pct"/>
            <w:tcBorders>
              <w:top w:val="single" w:sz="4" w:space="0" w:color="17365D"/>
              <w:left w:val="nil"/>
              <w:bottom w:val="single" w:sz="4" w:space="0" w:color="17365D"/>
              <w:right w:val="nil"/>
            </w:tcBorders>
            <w:shd w:val="clear" w:color="FFFFCC" w:fill="FFFFFF"/>
            <w:noWrap/>
            <w:vAlign w:val="center"/>
          </w:tcPr>
          <w:p w14:paraId="65A93F2D" w14:textId="2BFBBE24"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336.33</w:t>
            </w:r>
          </w:p>
        </w:tc>
      </w:tr>
      <w:tr w:rsidR="000229AE" w:rsidRPr="00A27896" w14:paraId="2CCD036D" w14:textId="77777777" w:rsidTr="000229AE">
        <w:trPr>
          <w:trHeight w:val="480"/>
        </w:trPr>
        <w:tc>
          <w:tcPr>
            <w:tcW w:w="1717" w:type="pct"/>
            <w:tcBorders>
              <w:top w:val="single" w:sz="4" w:space="0" w:color="17365D"/>
              <w:bottom w:val="single" w:sz="4" w:space="0" w:color="17365D"/>
            </w:tcBorders>
            <w:shd w:val="clear" w:color="auto" w:fill="auto"/>
            <w:vAlign w:val="center"/>
            <w:hideMark/>
          </w:tcPr>
          <w:p w14:paraId="21BFDFBF" w14:textId="77777777" w:rsidR="000229AE" w:rsidRPr="00A27896" w:rsidRDefault="000229AE" w:rsidP="000229A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Saņemtie, bet neapmaksātie avansa attaisnojuma dokumenti</w:t>
            </w:r>
          </w:p>
        </w:tc>
        <w:tc>
          <w:tcPr>
            <w:tcW w:w="523" w:type="pct"/>
            <w:tcBorders>
              <w:top w:val="single" w:sz="4" w:space="0" w:color="17365D"/>
              <w:bottom w:val="single" w:sz="4" w:space="0" w:color="17365D"/>
            </w:tcBorders>
            <w:shd w:val="clear" w:color="auto" w:fill="auto"/>
            <w:noWrap/>
            <w:vAlign w:val="center"/>
          </w:tcPr>
          <w:p w14:paraId="58F77209" w14:textId="3366AA0B" w:rsidR="000229AE" w:rsidRPr="00A27896" w:rsidRDefault="000229AE" w:rsidP="000E5114">
            <w:pPr>
              <w:spacing w:after="0"/>
              <w:jc w:val="center"/>
              <w:rPr>
                <w:rFonts w:eastAsia="Times New Roman" w:cs="Times New Roman"/>
                <w:color w:val="17365D"/>
                <w:sz w:val="18"/>
                <w:szCs w:val="18"/>
                <w:lang w:eastAsia="lv-LV"/>
              </w:rPr>
            </w:pPr>
          </w:p>
        </w:tc>
        <w:tc>
          <w:tcPr>
            <w:tcW w:w="747" w:type="pct"/>
            <w:tcBorders>
              <w:top w:val="single" w:sz="4" w:space="0" w:color="17365D"/>
              <w:left w:val="nil"/>
              <w:bottom w:val="single" w:sz="4" w:space="0" w:color="17365D"/>
              <w:right w:val="nil"/>
            </w:tcBorders>
            <w:shd w:val="clear" w:color="FFFFCC" w:fill="FFFFFF"/>
            <w:noWrap/>
            <w:vAlign w:val="center"/>
          </w:tcPr>
          <w:p w14:paraId="27DEA055" w14:textId="4C575884"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7 314 899</w:t>
            </w:r>
          </w:p>
        </w:tc>
        <w:tc>
          <w:tcPr>
            <w:tcW w:w="671" w:type="pct"/>
            <w:tcBorders>
              <w:top w:val="single" w:sz="4" w:space="0" w:color="17365D"/>
              <w:left w:val="nil"/>
              <w:bottom w:val="single" w:sz="4" w:space="0" w:color="17365D"/>
              <w:right w:val="nil"/>
            </w:tcBorders>
            <w:shd w:val="clear" w:color="FFFFCC" w:fill="FFFFFF"/>
            <w:noWrap/>
            <w:vAlign w:val="center"/>
          </w:tcPr>
          <w:p w14:paraId="22B9A749" w14:textId="63CB0328"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5 394 540</w:t>
            </w:r>
          </w:p>
        </w:tc>
        <w:tc>
          <w:tcPr>
            <w:tcW w:w="672" w:type="pct"/>
            <w:tcBorders>
              <w:top w:val="single" w:sz="4" w:space="0" w:color="17365D"/>
              <w:left w:val="nil"/>
              <w:bottom w:val="single" w:sz="4" w:space="0" w:color="17365D"/>
              <w:right w:val="nil"/>
            </w:tcBorders>
            <w:shd w:val="clear" w:color="FFFFCC" w:fill="FFFFFF"/>
            <w:noWrap/>
            <w:vAlign w:val="center"/>
          </w:tcPr>
          <w:p w14:paraId="47535D28" w14:textId="376BCC7E"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1 920 359</w:t>
            </w:r>
          </w:p>
        </w:tc>
        <w:tc>
          <w:tcPr>
            <w:tcW w:w="669" w:type="pct"/>
            <w:tcBorders>
              <w:top w:val="single" w:sz="4" w:space="0" w:color="17365D"/>
              <w:left w:val="nil"/>
              <w:bottom w:val="single" w:sz="4" w:space="0" w:color="17365D"/>
              <w:right w:val="nil"/>
            </w:tcBorders>
            <w:shd w:val="clear" w:color="FFFFCC" w:fill="FFFFFF"/>
            <w:noWrap/>
            <w:vAlign w:val="center"/>
          </w:tcPr>
          <w:p w14:paraId="6429A5DD" w14:textId="778D00A3"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35.60</w:t>
            </w:r>
          </w:p>
        </w:tc>
      </w:tr>
      <w:tr w:rsidR="000229AE" w:rsidRPr="00A27896" w14:paraId="39BDF8B1" w14:textId="77777777" w:rsidTr="000229AE">
        <w:trPr>
          <w:trHeight w:val="300"/>
        </w:trPr>
        <w:tc>
          <w:tcPr>
            <w:tcW w:w="1717" w:type="pct"/>
            <w:tcBorders>
              <w:top w:val="single" w:sz="4" w:space="0" w:color="17365D"/>
              <w:bottom w:val="single" w:sz="4" w:space="0" w:color="17365D"/>
            </w:tcBorders>
            <w:shd w:val="clear" w:color="auto" w:fill="auto"/>
            <w:vAlign w:val="center"/>
            <w:hideMark/>
          </w:tcPr>
          <w:p w14:paraId="500934E7" w14:textId="77777777" w:rsidR="000229AE" w:rsidRPr="00A27896" w:rsidRDefault="000229AE" w:rsidP="000229A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Nākotnes nomas maksājumi</w:t>
            </w:r>
          </w:p>
        </w:tc>
        <w:tc>
          <w:tcPr>
            <w:tcW w:w="523" w:type="pct"/>
            <w:tcBorders>
              <w:top w:val="single" w:sz="4" w:space="0" w:color="17365D"/>
              <w:bottom w:val="single" w:sz="4" w:space="0" w:color="17365D"/>
            </w:tcBorders>
            <w:shd w:val="clear" w:color="auto" w:fill="auto"/>
            <w:noWrap/>
            <w:vAlign w:val="center"/>
          </w:tcPr>
          <w:p w14:paraId="0C3F66A0" w14:textId="3CE337F1" w:rsidR="000229AE" w:rsidRPr="00A27896" w:rsidRDefault="000229AE" w:rsidP="000E5114">
            <w:pPr>
              <w:spacing w:after="0"/>
              <w:jc w:val="center"/>
              <w:rPr>
                <w:rFonts w:eastAsia="Times New Roman" w:cs="Times New Roman"/>
                <w:color w:val="17365D"/>
                <w:sz w:val="18"/>
                <w:szCs w:val="18"/>
                <w:lang w:eastAsia="lv-LV"/>
              </w:rPr>
            </w:pPr>
          </w:p>
        </w:tc>
        <w:tc>
          <w:tcPr>
            <w:tcW w:w="747" w:type="pct"/>
            <w:tcBorders>
              <w:top w:val="single" w:sz="4" w:space="0" w:color="17365D"/>
              <w:left w:val="nil"/>
              <w:bottom w:val="single" w:sz="4" w:space="0" w:color="17365D"/>
              <w:right w:val="nil"/>
            </w:tcBorders>
            <w:shd w:val="clear" w:color="FFFFCC" w:fill="FFFFFF"/>
            <w:noWrap/>
            <w:vAlign w:val="center"/>
          </w:tcPr>
          <w:p w14:paraId="7750C065" w14:textId="7B0BC576"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10 916 559</w:t>
            </w:r>
          </w:p>
        </w:tc>
        <w:tc>
          <w:tcPr>
            <w:tcW w:w="671" w:type="pct"/>
            <w:tcBorders>
              <w:top w:val="single" w:sz="4" w:space="0" w:color="17365D"/>
              <w:left w:val="nil"/>
              <w:bottom w:val="single" w:sz="4" w:space="0" w:color="17365D"/>
              <w:right w:val="nil"/>
            </w:tcBorders>
            <w:shd w:val="clear" w:color="FFFFCC" w:fill="FFFFFF"/>
            <w:noWrap/>
            <w:vAlign w:val="center"/>
          </w:tcPr>
          <w:p w14:paraId="6FF1CC56" w14:textId="4AD8048B"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12 470 107</w:t>
            </w:r>
          </w:p>
        </w:tc>
        <w:tc>
          <w:tcPr>
            <w:tcW w:w="672" w:type="pct"/>
            <w:tcBorders>
              <w:top w:val="single" w:sz="4" w:space="0" w:color="17365D"/>
              <w:left w:val="nil"/>
              <w:bottom w:val="single" w:sz="4" w:space="0" w:color="17365D"/>
              <w:right w:val="nil"/>
            </w:tcBorders>
            <w:shd w:val="clear" w:color="FFFFCC" w:fill="FFFFFF"/>
            <w:noWrap/>
            <w:vAlign w:val="center"/>
          </w:tcPr>
          <w:p w14:paraId="2A3903F1" w14:textId="32EF5570"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-1 553 548</w:t>
            </w:r>
          </w:p>
        </w:tc>
        <w:tc>
          <w:tcPr>
            <w:tcW w:w="669" w:type="pct"/>
            <w:tcBorders>
              <w:top w:val="single" w:sz="4" w:space="0" w:color="17365D"/>
              <w:left w:val="nil"/>
              <w:bottom w:val="single" w:sz="4" w:space="0" w:color="17365D"/>
              <w:right w:val="nil"/>
            </w:tcBorders>
            <w:shd w:val="clear" w:color="FFFFCC" w:fill="FFFFFF"/>
            <w:noWrap/>
            <w:vAlign w:val="center"/>
          </w:tcPr>
          <w:p w14:paraId="68590266" w14:textId="749BCF39"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-12.46</w:t>
            </w:r>
          </w:p>
        </w:tc>
      </w:tr>
      <w:tr w:rsidR="000229AE" w:rsidRPr="00A27896" w14:paraId="1831E1F1" w14:textId="77777777" w:rsidTr="000229AE">
        <w:trPr>
          <w:trHeight w:val="300"/>
        </w:trPr>
        <w:tc>
          <w:tcPr>
            <w:tcW w:w="1717" w:type="pct"/>
            <w:tcBorders>
              <w:top w:val="single" w:sz="4" w:space="0" w:color="17365D"/>
              <w:bottom w:val="single" w:sz="4" w:space="0" w:color="17365D"/>
            </w:tcBorders>
            <w:shd w:val="clear" w:color="auto" w:fill="auto"/>
            <w:vAlign w:val="center"/>
            <w:hideMark/>
          </w:tcPr>
          <w:p w14:paraId="47FA7EE2" w14:textId="77777777" w:rsidR="000229AE" w:rsidRPr="00A27896" w:rsidRDefault="000229AE" w:rsidP="000229A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Izsniegtie galvojumi</w:t>
            </w:r>
          </w:p>
        </w:tc>
        <w:tc>
          <w:tcPr>
            <w:tcW w:w="523" w:type="pct"/>
            <w:tcBorders>
              <w:top w:val="single" w:sz="4" w:space="0" w:color="17365D"/>
              <w:bottom w:val="single" w:sz="4" w:space="0" w:color="17365D"/>
            </w:tcBorders>
            <w:shd w:val="clear" w:color="auto" w:fill="auto"/>
            <w:noWrap/>
            <w:vAlign w:val="center"/>
          </w:tcPr>
          <w:p w14:paraId="6FE2831C" w14:textId="25B7E1E6" w:rsidR="000229AE" w:rsidRPr="00A27896" w:rsidRDefault="000229AE" w:rsidP="000E5114">
            <w:pPr>
              <w:spacing w:after="0"/>
              <w:jc w:val="center"/>
              <w:rPr>
                <w:rFonts w:eastAsia="Times New Roman" w:cs="Times New Roman"/>
                <w:color w:val="17365D"/>
                <w:sz w:val="18"/>
                <w:szCs w:val="18"/>
                <w:lang w:eastAsia="lv-LV"/>
              </w:rPr>
            </w:pPr>
          </w:p>
        </w:tc>
        <w:tc>
          <w:tcPr>
            <w:tcW w:w="747" w:type="pct"/>
            <w:tcBorders>
              <w:top w:val="single" w:sz="4" w:space="0" w:color="17365D"/>
              <w:left w:val="nil"/>
              <w:bottom w:val="single" w:sz="4" w:space="0" w:color="17365D"/>
              <w:right w:val="nil"/>
            </w:tcBorders>
            <w:shd w:val="clear" w:color="FFFFCC" w:fill="FFFFFF"/>
            <w:noWrap/>
            <w:vAlign w:val="center"/>
          </w:tcPr>
          <w:p w14:paraId="5FCCAF4C" w14:textId="290F6331"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57 161 623</w:t>
            </w:r>
          </w:p>
        </w:tc>
        <w:tc>
          <w:tcPr>
            <w:tcW w:w="671" w:type="pct"/>
            <w:tcBorders>
              <w:top w:val="single" w:sz="4" w:space="0" w:color="17365D"/>
              <w:left w:val="nil"/>
              <w:bottom w:val="single" w:sz="4" w:space="0" w:color="17365D"/>
              <w:right w:val="nil"/>
            </w:tcBorders>
            <w:shd w:val="clear" w:color="FFFFCC" w:fill="FFFFFF"/>
            <w:noWrap/>
            <w:vAlign w:val="center"/>
          </w:tcPr>
          <w:p w14:paraId="4A6DE6A0" w14:textId="65CA9A4F"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111 038 237</w:t>
            </w:r>
          </w:p>
        </w:tc>
        <w:tc>
          <w:tcPr>
            <w:tcW w:w="672" w:type="pct"/>
            <w:tcBorders>
              <w:top w:val="single" w:sz="4" w:space="0" w:color="17365D"/>
              <w:left w:val="nil"/>
              <w:bottom w:val="single" w:sz="4" w:space="0" w:color="17365D"/>
              <w:right w:val="nil"/>
            </w:tcBorders>
            <w:shd w:val="clear" w:color="FFFFCC" w:fill="FFFFFF"/>
            <w:noWrap/>
            <w:vAlign w:val="center"/>
          </w:tcPr>
          <w:p w14:paraId="7535772A" w14:textId="07CF8254"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-53 876 614</w:t>
            </w:r>
          </w:p>
        </w:tc>
        <w:tc>
          <w:tcPr>
            <w:tcW w:w="669" w:type="pct"/>
            <w:tcBorders>
              <w:top w:val="single" w:sz="4" w:space="0" w:color="17365D"/>
              <w:left w:val="nil"/>
              <w:bottom w:val="single" w:sz="4" w:space="0" w:color="17365D"/>
              <w:right w:val="nil"/>
            </w:tcBorders>
            <w:shd w:val="clear" w:color="FFFFCC" w:fill="FFFFFF"/>
            <w:noWrap/>
            <w:vAlign w:val="center"/>
          </w:tcPr>
          <w:p w14:paraId="1F298DCE" w14:textId="06929F49"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-48.52</w:t>
            </w:r>
          </w:p>
        </w:tc>
      </w:tr>
      <w:tr w:rsidR="000229AE" w:rsidRPr="00A27896" w14:paraId="2D20940B" w14:textId="77777777" w:rsidTr="000229AE">
        <w:trPr>
          <w:trHeight w:val="300"/>
        </w:trPr>
        <w:tc>
          <w:tcPr>
            <w:tcW w:w="1717" w:type="pct"/>
            <w:tcBorders>
              <w:top w:val="single" w:sz="4" w:space="0" w:color="17365D"/>
              <w:bottom w:val="single" w:sz="4" w:space="0" w:color="17365D"/>
            </w:tcBorders>
            <w:shd w:val="clear" w:color="auto" w:fill="auto"/>
            <w:vAlign w:val="center"/>
            <w:hideMark/>
          </w:tcPr>
          <w:p w14:paraId="4CB5A6AD" w14:textId="77777777" w:rsidR="000229AE" w:rsidRPr="00A27896" w:rsidRDefault="000229AE" w:rsidP="000229A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Citas zembilances saistības</w:t>
            </w:r>
          </w:p>
        </w:tc>
        <w:tc>
          <w:tcPr>
            <w:tcW w:w="523" w:type="pct"/>
            <w:tcBorders>
              <w:top w:val="single" w:sz="4" w:space="0" w:color="17365D"/>
              <w:bottom w:val="single" w:sz="4" w:space="0" w:color="17365D"/>
            </w:tcBorders>
            <w:shd w:val="clear" w:color="auto" w:fill="auto"/>
            <w:noWrap/>
            <w:vAlign w:val="center"/>
            <w:hideMark/>
          </w:tcPr>
          <w:p w14:paraId="6FC829AA" w14:textId="772FBD27" w:rsidR="000229AE" w:rsidRPr="00A27896" w:rsidRDefault="000229AE" w:rsidP="000E5114">
            <w:pPr>
              <w:spacing w:after="0"/>
              <w:jc w:val="center"/>
              <w:rPr>
                <w:rFonts w:eastAsia="Times New Roman" w:cs="Times New Roman"/>
                <w:color w:val="17365D"/>
                <w:sz w:val="18"/>
                <w:szCs w:val="18"/>
                <w:lang w:eastAsia="lv-LV"/>
              </w:rPr>
            </w:pPr>
            <w:r w:rsidRPr="00A27896">
              <w:rPr>
                <w:rFonts w:cs="Times New Roman"/>
                <w:color w:val="17365D"/>
                <w:sz w:val="18"/>
                <w:szCs w:val="18"/>
              </w:rPr>
              <w:t>KB.9.5.3.</w:t>
            </w:r>
          </w:p>
        </w:tc>
        <w:tc>
          <w:tcPr>
            <w:tcW w:w="747" w:type="pct"/>
            <w:tcBorders>
              <w:top w:val="single" w:sz="4" w:space="0" w:color="17365D"/>
              <w:left w:val="nil"/>
              <w:bottom w:val="single" w:sz="4" w:space="0" w:color="17365D"/>
              <w:right w:val="nil"/>
            </w:tcBorders>
            <w:shd w:val="clear" w:color="FFFFCC" w:fill="FFFFFF"/>
            <w:noWrap/>
            <w:vAlign w:val="center"/>
          </w:tcPr>
          <w:p w14:paraId="6CF35165" w14:textId="7FEFE59F"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2 844 295 738</w:t>
            </w:r>
          </w:p>
        </w:tc>
        <w:tc>
          <w:tcPr>
            <w:tcW w:w="671" w:type="pct"/>
            <w:tcBorders>
              <w:top w:val="single" w:sz="4" w:space="0" w:color="17365D"/>
              <w:left w:val="nil"/>
              <w:bottom w:val="single" w:sz="4" w:space="0" w:color="17365D"/>
              <w:right w:val="nil"/>
            </w:tcBorders>
            <w:shd w:val="clear" w:color="FFFFCC" w:fill="FFFFFF"/>
            <w:noWrap/>
            <w:vAlign w:val="center"/>
          </w:tcPr>
          <w:p w14:paraId="4D868C99" w14:textId="5A10E0E3"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2 930 646 845</w:t>
            </w:r>
          </w:p>
        </w:tc>
        <w:tc>
          <w:tcPr>
            <w:tcW w:w="672" w:type="pct"/>
            <w:tcBorders>
              <w:top w:val="single" w:sz="4" w:space="0" w:color="17365D"/>
              <w:left w:val="nil"/>
              <w:bottom w:val="single" w:sz="4" w:space="0" w:color="17365D"/>
              <w:right w:val="nil"/>
            </w:tcBorders>
            <w:shd w:val="clear" w:color="FFFFCC" w:fill="FFFFFF"/>
            <w:noWrap/>
            <w:vAlign w:val="center"/>
          </w:tcPr>
          <w:p w14:paraId="3DCC9BA1" w14:textId="3D961DCB"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-86 351 107</w:t>
            </w:r>
          </w:p>
        </w:tc>
        <w:tc>
          <w:tcPr>
            <w:tcW w:w="669" w:type="pct"/>
            <w:tcBorders>
              <w:top w:val="single" w:sz="4" w:space="0" w:color="17365D"/>
              <w:left w:val="nil"/>
              <w:bottom w:val="single" w:sz="4" w:space="0" w:color="17365D"/>
              <w:right w:val="nil"/>
            </w:tcBorders>
            <w:shd w:val="clear" w:color="FFFFCC" w:fill="FFFFFF"/>
            <w:noWrap/>
            <w:vAlign w:val="center"/>
          </w:tcPr>
          <w:p w14:paraId="6D7B455B" w14:textId="34822325" w:rsidR="000229AE" w:rsidRPr="00A27896" w:rsidRDefault="000229AE" w:rsidP="000229AE">
            <w:pPr>
              <w:spacing w:after="0" w:line="240" w:lineRule="auto"/>
              <w:ind w:lef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-2.95</w:t>
            </w:r>
          </w:p>
        </w:tc>
      </w:tr>
      <w:tr w:rsidR="000C1009" w:rsidRPr="00A27896" w14:paraId="5A82BCCE" w14:textId="77777777" w:rsidTr="00445787">
        <w:trPr>
          <w:trHeight w:val="56"/>
        </w:trPr>
        <w:tc>
          <w:tcPr>
            <w:tcW w:w="1717" w:type="pct"/>
            <w:tcBorders>
              <w:top w:val="single" w:sz="4" w:space="0" w:color="17365D"/>
            </w:tcBorders>
            <w:shd w:val="clear" w:color="auto" w:fill="B9CDE5"/>
            <w:vAlign w:val="center"/>
          </w:tcPr>
          <w:p w14:paraId="72330591" w14:textId="77777777" w:rsidR="00C7109A" w:rsidRPr="00A27896" w:rsidRDefault="00C7109A" w:rsidP="00C7109A">
            <w:pPr>
              <w:spacing w:after="0"/>
              <w:rPr>
                <w:rFonts w:eastAsia="Times New Roman" w:cs="Times New Roman"/>
                <w:color w:val="17365D"/>
                <w:sz w:val="18"/>
                <w:szCs w:val="18"/>
                <w:lang w:eastAsia="lv-LV"/>
              </w:rPr>
            </w:pPr>
          </w:p>
        </w:tc>
        <w:tc>
          <w:tcPr>
            <w:tcW w:w="523" w:type="pct"/>
            <w:tcBorders>
              <w:top w:val="single" w:sz="4" w:space="0" w:color="17365D"/>
            </w:tcBorders>
            <w:shd w:val="clear" w:color="auto" w:fill="B9CDE5"/>
            <w:noWrap/>
            <w:vAlign w:val="center"/>
          </w:tcPr>
          <w:p w14:paraId="2A697627" w14:textId="77777777" w:rsidR="00C7109A" w:rsidRPr="00A27896" w:rsidRDefault="00C7109A" w:rsidP="00C7109A">
            <w:pPr>
              <w:spacing w:after="0"/>
              <w:jc w:val="center"/>
              <w:rPr>
                <w:rFonts w:eastAsia="Times New Roman" w:cs="Times New Roman"/>
                <w:color w:val="17365D"/>
                <w:sz w:val="18"/>
                <w:szCs w:val="18"/>
                <w:lang w:eastAsia="lv-LV"/>
              </w:rPr>
            </w:pPr>
          </w:p>
        </w:tc>
        <w:tc>
          <w:tcPr>
            <w:tcW w:w="747" w:type="pct"/>
            <w:tcBorders>
              <w:top w:val="single" w:sz="4" w:space="0" w:color="17365D"/>
            </w:tcBorders>
            <w:shd w:val="clear" w:color="auto" w:fill="B9CDE5"/>
            <w:noWrap/>
            <w:vAlign w:val="center"/>
          </w:tcPr>
          <w:p w14:paraId="2AE66DFE" w14:textId="77777777" w:rsidR="00C7109A" w:rsidRPr="00A27896" w:rsidRDefault="00C7109A" w:rsidP="00C7109A">
            <w:pPr>
              <w:spacing w:after="0"/>
              <w:jc w:val="right"/>
              <w:rPr>
                <w:rFonts w:eastAsia="Times New Roman" w:cs="Times New Roman"/>
                <w:color w:val="17365D"/>
                <w:sz w:val="18"/>
                <w:szCs w:val="18"/>
                <w:lang w:eastAsia="lv-LV"/>
              </w:rPr>
            </w:pPr>
          </w:p>
        </w:tc>
        <w:tc>
          <w:tcPr>
            <w:tcW w:w="671" w:type="pct"/>
            <w:tcBorders>
              <w:top w:val="single" w:sz="4" w:space="0" w:color="17365D"/>
            </w:tcBorders>
            <w:shd w:val="clear" w:color="auto" w:fill="B9CDE5"/>
            <w:noWrap/>
            <w:vAlign w:val="center"/>
          </w:tcPr>
          <w:p w14:paraId="6516691C" w14:textId="77777777" w:rsidR="00C7109A" w:rsidRPr="00A27896" w:rsidRDefault="00C7109A" w:rsidP="00C7109A">
            <w:pPr>
              <w:spacing w:after="0"/>
              <w:jc w:val="right"/>
              <w:rPr>
                <w:rFonts w:eastAsia="Times New Roman" w:cs="Times New Roman"/>
                <w:color w:val="17365D"/>
                <w:sz w:val="18"/>
                <w:szCs w:val="18"/>
                <w:lang w:eastAsia="lv-LV"/>
              </w:rPr>
            </w:pPr>
          </w:p>
        </w:tc>
        <w:tc>
          <w:tcPr>
            <w:tcW w:w="672" w:type="pct"/>
            <w:tcBorders>
              <w:top w:val="single" w:sz="4" w:space="0" w:color="17365D"/>
            </w:tcBorders>
            <w:shd w:val="clear" w:color="auto" w:fill="B9CDE5"/>
            <w:noWrap/>
            <w:vAlign w:val="center"/>
          </w:tcPr>
          <w:p w14:paraId="27CB4E16" w14:textId="77777777" w:rsidR="00C7109A" w:rsidRPr="00A27896" w:rsidRDefault="00C7109A" w:rsidP="00C7109A">
            <w:pPr>
              <w:spacing w:after="0"/>
              <w:jc w:val="right"/>
              <w:rPr>
                <w:rFonts w:eastAsia="Times New Roman" w:cs="Times New Roman"/>
                <w:color w:val="17365D"/>
                <w:sz w:val="18"/>
                <w:szCs w:val="18"/>
                <w:lang w:eastAsia="lv-LV"/>
              </w:rPr>
            </w:pPr>
          </w:p>
        </w:tc>
        <w:tc>
          <w:tcPr>
            <w:tcW w:w="669" w:type="pct"/>
            <w:tcBorders>
              <w:top w:val="single" w:sz="4" w:space="0" w:color="17365D"/>
            </w:tcBorders>
            <w:shd w:val="clear" w:color="auto" w:fill="B9CDE5"/>
            <w:noWrap/>
            <w:vAlign w:val="center"/>
          </w:tcPr>
          <w:p w14:paraId="3D7F5F95" w14:textId="77777777" w:rsidR="00C7109A" w:rsidRPr="00A27896" w:rsidRDefault="00C7109A" w:rsidP="00C7109A">
            <w:pPr>
              <w:spacing w:after="0"/>
              <w:jc w:val="right"/>
              <w:rPr>
                <w:rFonts w:eastAsia="Times New Roman" w:cs="Times New Roman"/>
                <w:color w:val="17365D"/>
                <w:sz w:val="18"/>
                <w:szCs w:val="18"/>
                <w:lang w:eastAsia="lv-LV"/>
              </w:rPr>
            </w:pPr>
          </w:p>
        </w:tc>
      </w:tr>
    </w:tbl>
    <w:p w14:paraId="172A3787" w14:textId="1F2FE487" w:rsidR="00FC1951" w:rsidRPr="00A27896" w:rsidRDefault="005F1199" w:rsidP="00B16A51">
      <w:pPr>
        <w:pStyle w:val="Heading5"/>
        <w:spacing w:before="240"/>
        <w:jc w:val="both"/>
        <w:rPr>
          <w:rFonts w:cs="Times New Roman"/>
        </w:rPr>
      </w:pPr>
      <w:r w:rsidRPr="00A27896">
        <w:rPr>
          <w:rFonts w:cs="Times New Roman"/>
        </w:rPr>
        <w:t>Piezīme Nr. KB.</w:t>
      </w:r>
      <w:r w:rsidR="00C7109A" w:rsidRPr="00A27896">
        <w:rPr>
          <w:rFonts w:cs="Times New Roman"/>
        </w:rPr>
        <w:t>9.5.1</w:t>
      </w:r>
      <w:r w:rsidR="00FC1951" w:rsidRPr="00A27896">
        <w:rPr>
          <w:rFonts w:cs="Times New Roman"/>
        </w:rPr>
        <w:t xml:space="preserve">. </w:t>
      </w:r>
      <w:r w:rsidR="00C7109A" w:rsidRPr="00A27896">
        <w:rPr>
          <w:rFonts w:eastAsia="Times New Roman" w:cs="Times New Roman"/>
          <w:szCs w:val="24"/>
          <w:lang w:eastAsia="lv-LV"/>
        </w:rPr>
        <w:t>Nākotnes maksājumi saskaņā ar līgumiem, kas noslēgti par ārvalstu finanšu palīdzības un Eiropas Savienības politikas instrumentu finansētajiem projektiem</w:t>
      </w:r>
    </w:p>
    <w:p w14:paraId="49A0FF53" w14:textId="532C9F6E" w:rsidR="00FC1951" w:rsidRPr="00A27896" w:rsidRDefault="00FC1951" w:rsidP="00B52F72">
      <w:pPr>
        <w:spacing w:after="120" w:line="240" w:lineRule="auto"/>
        <w:ind w:firstLine="284"/>
        <w:jc w:val="both"/>
        <w:rPr>
          <w:rFonts w:cs="Times New Roman"/>
          <w:color w:val="17365D"/>
        </w:rPr>
      </w:pPr>
      <w:r w:rsidRPr="00A27896">
        <w:rPr>
          <w:rFonts w:cs="Times New Roman"/>
          <w:color w:val="17365D"/>
        </w:rPr>
        <w:t xml:space="preserve">Saskaņā ar iestāžu sniegto informāciju </w:t>
      </w:r>
      <w:r w:rsidR="00B52F72" w:rsidRPr="00A27896">
        <w:rPr>
          <w:rFonts w:cs="Times New Roman"/>
          <w:color w:val="17365D"/>
        </w:rPr>
        <w:t xml:space="preserve">par </w:t>
      </w:r>
      <w:r w:rsidR="00FF22EE" w:rsidRPr="00A27896">
        <w:rPr>
          <w:rFonts w:cs="Times New Roman"/>
          <w:color w:val="17365D"/>
        </w:rPr>
        <w:t xml:space="preserve">šī </w:t>
      </w:r>
      <w:r w:rsidR="00BA4E40" w:rsidRPr="00A27896">
        <w:rPr>
          <w:rFonts w:cs="Times New Roman"/>
          <w:color w:val="17365D"/>
        </w:rPr>
        <w:t>zembilances posteņa</w:t>
      </w:r>
      <w:r w:rsidR="00B52F72" w:rsidRPr="00A27896">
        <w:rPr>
          <w:rFonts w:cs="Times New Roman"/>
          <w:color w:val="17365D"/>
        </w:rPr>
        <w:t xml:space="preserve"> izmaiņām</w:t>
      </w:r>
      <w:r w:rsidRPr="00A27896">
        <w:rPr>
          <w:rFonts w:cs="Times New Roman"/>
          <w:color w:val="17365D"/>
        </w:rPr>
        <w:t>:</w:t>
      </w:r>
    </w:p>
    <w:p w14:paraId="1A322CFF" w14:textId="6251EB64" w:rsidR="00C7109A" w:rsidRPr="00A27896" w:rsidRDefault="00B52F72" w:rsidP="00603FE0">
      <w:pPr>
        <w:pStyle w:val="ListParagraph"/>
        <w:numPr>
          <w:ilvl w:val="0"/>
          <w:numId w:val="11"/>
        </w:numPr>
        <w:spacing w:after="120" w:line="240" w:lineRule="auto"/>
        <w:ind w:left="851"/>
        <w:contextualSpacing w:val="0"/>
        <w:jc w:val="both"/>
        <w:rPr>
          <w:rFonts w:cs="Times New Roman"/>
          <w:color w:val="17365D"/>
        </w:rPr>
      </w:pPr>
      <w:r w:rsidRPr="00A27896">
        <w:rPr>
          <w:rFonts w:cs="Times New Roman"/>
          <w:color w:val="17365D"/>
        </w:rPr>
        <w:t xml:space="preserve">lielākais </w:t>
      </w:r>
      <w:r w:rsidR="00AE7E06" w:rsidRPr="00A27896">
        <w:rPr>
          <w:rFonts w:cs="Times New Roman"/>
          <w:color w:val="17365D"/>
        </w:rPr>
        <w:t xml:space="preserve">palielinājums 327 564 164 </w:t>
      </w:r>
      <w:proofErr w:type="spellStart"/>
      <w:r w:rsidR="00AE7E06" w:rsidRPr="00A27896">
        <w:rPr>
          <w:rFonts w:cs="Times New Roman"/>
          <w:i/>
          <w:color w:val="17365D"/>
        </w:rPr>
        <w:t>euro</w:t>
      </w:r>
      <w:proofErr w:type="spellEnd"/>
      <w:r w:rsidR="00AE7E06" w:rsidRPr="00A27896">
        <w:rPr>
          <w:rFonts w:cs="Times New Roman"/>
          <w:color w:val="17365D"/>
        </w:rPr>
        <w:t xml:space="preserve"> </w:t>
      </w:r>
      <w:r w:rsidR="00C7109A" w:rsidRPr="00A27896">
        <w:rPr>
          <w:rFonts w:cs="Times New Roman"/>
          <w:color w:val="17365D"/>
        </w:rPr>
        <w:t xml:space="preserve">veidojies </w:t>
      </w:r>
      <w:r w:rsidR="00AE7E06" w:rsidRPr="00A27896">
        <w:rPr>
          <w:rFonts w:cs="Times New Roman"/>
          <w:color w:val="17365D"/>
        </w:rPr>
        <w:t>Finanšu ministrijai par līgumiem, kas noslēgti par ES Atveseļošanas un noturības mehānisma plāna, Solidaritātes fonda, struktūrfondu un KF 2014.—2020.gada plānošanas perioda finansētiem projektiem</w:t>
      </w:r>
      <w:r w:rsidR="005A3AE2" w:rsidRPr="00A27896">
        <w:rPr>
          <w:rFonts w:cs="Times New Roman"/>
          <w:color w:val="17365D"/>
        </w:rPr>
        <w:t>;</w:t>
      </w:r>
    </w:p>
    <w:p w14:paraId="09098759" w14:textId="490F2AF6" w:rsidR="00C7109A" w:rsidRPr="00A27896" w:rsidRDefault="00AE7E06" w:rsidP="00603FE0">
      <w:pPr>
        <w:pStyle w:val="ListParagraph"/>
        <w:numPr>
          <w:ilvl w:val="0"/>
          <w:numId w:val="11"/>
        </w:numPr>
        <w:spacing w:after="120" w:line="240" w:lineRule="auto"/>
        <w:ind w:left="851"/>
        <w:contextualSpacing w:val="0"/>
        <w:jc w:val="both"/>
        <w:rPr>
          <w:rFonts w:cs="Times New Roman"/>
          <w:color w:val="17365D"/>
        </w:rPr>
      </w:pPr>
      <w:r w:rsidRPr="00A27896">
        <w:rPr>
          <w:rFonts w:cs="Times New Roman"/>
          <w:color w:val="17365D"/>
        </w:rPr>
        <w:t xml:space="preserve">Zemkopības ministrijai palielinājums saistīts ar īstenošanai apstiprinātiem Eiropas Lauksaimniecības fonda lauku attīstībai (ELFLA) projektiem 91 423 297 </w:t>
      </w:r>
      <w:proofErr w:type="spellStart"/>
      <w:r w:rsidR="005A3AE2" w:rsidRPr="00A27896">
        <w:rPr>
          <w:rFonts w:cs="Times New Roman"/>
          <w:i/>
          <w:color w:val="17365D"/>
        </w:rPr>
        <w:t>euro</w:t>
      </w:r>
      <w:proofErr w:type="spellEnd"/>
      <w:r w:rsidR="005A3AE2" w:rsidRPr="00A27896">
        <w:rPr>
          <w:rFonts w:cs="Times New Roman"/>
          <w:i/>
          <w:color w:val="17365D"/>
        </w:rPr>
        <w:t xml:space="preserve"> </w:t>
      </w:r>
      <w:r w:rsidR="005A3AE2" w:rsidRPr="00A27896">
        <w:rPr>
          <w:rFonts w:cs="Times New Roman"/>
          <w:color w:val="17365D"/>
        </w:rPr>
        <w:t>vērtībā</w:t>
      </w:r>
      <w:r w:rsidR="00AB1B5B" w:rsidRPr="00A27896">
        <w:rPr>
          <w:rFonts w:cs="Times New Roman"/>
          <w:i/>
          <w:color w:val="17365D"/>
        </w:rPr>
        <w:t>;</w:t>
      </w:r>
    </w:p>
    <w:p w14:paraId="4AF42460" w14:textId="1D6A4272" w:rsidR="003238D9" w:rsidRPr="00A27896" w:rsidRDefault="00AE7E06" w:rsidP="00603FE0">
      <w:pPr>
        <w:pStyle w:val="ListParagraph"/>
        <w:numPr>
          <w:ilvl w:val="0"/>
          <w:numId w:val="11"/>
        </w:numPr>
        <w:spacing w:after="120" w:line="240" w:lineRule="auto"/>
        <w:ind w:left="851"/>
        <w:contextualSpacing w:val="0"/>
        <w:jc w:val="both"/>
        <w:rPr>
          <w:rFonts w:cs="Times New Roman"/>
          <w:color w:val="17365D"/>
        </w:rPr>
      </w:pPr>
      <w:r w:rsidRPr="00A27896">
        <w:rPr>
          <w:rFonts w:eastAsia="Times New Roman" w:cs="Times New Roman"/>
          <w:color w:val="17365D"/>
          <w:szCs w:val="24"/>
          <w:lang w:eastAsia="lv-LV"/>
        </w:rPr>
        <w:t>Labklājības ministrijai samazinājumu veido apstiprinātie maksājumu pieprasījumi projektu īstenošanas ietvaros</w:t>
      </w:r>
      <w:r w:rsidR="005A3AE2" w:rsidRPr="00A27896" w:rsidDel="005A3AE2">
        <w:rPr>
          <w:rFonts w:eastAsia="Times New Roman" w:cs="Times New Roman"/>
          <w:color w:val="17365D"/>
          <w:szCs w:val="24"/>
          <w:lang w:eastAsia="lv-LV"/>
        </w:rPr>
        <w:t xml:space="preserve"> </w:t>
      </w:r>
      <w:r w:rsidRPr="00A27896">
        <w:rPr>
          <w:rFonts w:eastAsia="Times New Roman" w:cs="Times New Roman"/>
          <w:color w:val="17365D"/>
          <w:szCs w:val="24"/>
          <w:lang w:eastAsia="lv-LV"/>
        </w:rPr>
        <w:t xml:space="preserve">(59 135 685) </w:t>
      </w:r>
      <w:proofErr w:type="spellStart"/>
      <w:r w:rsidR="00CD72F1" w:rsidRPr="00A27896">
        <w:rPr>
          <w:rFonts w:cs="Times New Roman"/>
          <w:i/>
          <w:color w:val="17365D"/>
        </w:rPr>
        <w:t>euro</w:t>
      </w:r>
      <w:proofErr w:type="spellEnd"/>
      <w:r w:rsidR="00AB1B5B" w:rsidRPr="00A27896">
        <w:rPr>
          <w:rFonts w:cs="Times New Roman"/>
          <w:i/>
          <w:color w:val="17365D"/>
        </w:rPr>
        <w:t xml:space="preserve"> </w:t>
      </w:r>
      <w:r w:rsidR="00AB1B5B" w:rsidRPr="00A27896">
        <w:rPr>
          <w:rFonts w:cs="Times New Roman"/>
          <w:color w:val="17365D"/>
        </w:rPr>
        <w:t>vērtībā</w:t>
      </w:r>
      <w:r w:rsidR="00CD72F1" w:rsidRPr="00A27896">
        <w:rPr>
          <w:rFonts w:cs="Times New Roman"/>
          <w:color w:val="17365D"/>
        </w:rPr>
        <w:t>.</w:t>
      </w:r>
    </w:p>
    <w:p w14:paraId="71FDFA67" w14:textId="19248DA7" w:rsidR="004726F6" w:rsidRPr="00A27896" w:rsidRDefault="00C67DC5" w:rsidP="00B16A51">
      <w:pPr>
        <w:pStyle w:val="Heading5"/>
        <w:jc w:val="both"/>
        <w:rPr>
          <w:rFonts w:cs="Times New Roman"/>
        </w:rPr>
      </w:pPr>
      <w:r w:rsidRPr="00A27896">
        <w:rPr>
          <w:rFonts w:cs="Times New Roman"/>
        </w:rPr>
        <w:t xml:space="preserve">Piezīme Nr. </w:t>
      </w:r>
      <w:r w:rsidR="004726F6" w:rsidRPr="00A27896">
        <w:rPr>
          <w:rFonts w:cs="Times New Roman"/>
        </w:rPr>
        <w:t>KB.</w:t>
      </w:r>
      <w:r w:rsidR="00A36FE8" w:rsidRPr="00A27896">
        <w:rPr>
          <w:rFonts w:cs="Times New Roman"/>
        </w:rPr>
        <w:t>9.5.</w:t>
      </w:r>
      <w:r w:rsidR="005A3AE2" w:rsidRPr="00A27896">
        <w:rPr>
          <w:rFonts w:cs="Times New Roman"/>
        </w:rPr>
        <w:t>2</w:t>
      </w:r>
      <w:r w:rsidR="004726F6" w:rsidRPr="00A27896">
        <w:rPr>
          <w:rFonts w:cs="Times New Roman"/>
        </w:rPr>
        <w:t xml:space="preserve">. </w:t>
      </w:r>
      <w:r w:rsidR="00AE7E06" w:rsidRPr="00A27896">
        <w:rPr>
          <w:rFonts w:cs="Times New Roman"/>
        </w:rPr>
        <w:t>Nākotnes saistības un maksājumi saskaņā ar līgumiem un vadības lēmumiem par preču un pakalpojumu iegādi, izņemot tos, kas noslēgti par ārvalstu finanšu palīdzības un Eiropas Savienības politiku instrumentu finansētajiem projektiem un nomu</w:t>
      </w:r>
    </w:p>
    <w:p w14:paraId="100C699D" w14:textId="3299E4CA" w:rsidR="00E361CC" w:rsidRPr="00A27896" w:rsidRDefault="003731AE" w:rsidP="008F314E">
      <w:pPr>
        <w:spacing w:after="120" w:line="240" w:lineRule="auto"/>
        <w:ind w:firstLine="284"/>
        <w:contextualSpacing/>
        <w:jc w:val="both"/>
        <w:rPr>
          <w:rFonts w:cs="Times New Roman"/>
          <w:color w:val="17365D"/>
        </w:rPr>
      </w:pPr>
      <w:r w:rsidRPr="00A27896">
        <w:rPr>
          <w:rFonts w:cs="Times New Roman"/>
          <w:color w:val="17365D"/>
        </w:rPr>
        <w:t xml:space="preserve">Saskaņā ar iestāžu sniegto informāciju </w:t>
      </w:r>
      <w:r w:rsidR="00961234" w:rsidRPr="00A27896">
        <w:rPr>
          <w:rFonts w:cs="Times New Roman"/>
          <w:color w:val="17365D"/>
        </w:rPr>
        <w:t xml:space="preserve">šī </w:t>
      </w:r>
      <w:r w:rsidRPr="00A27896">
        <w:rPr>
          <w:rFonts w:cs="Times New Roman"/>
          <w:color w:val="17365D"/>
        </w:rPr>
        <w:t>z</w:t>
      </w:r>
      <w:r w:rsidR="004726F6" w:rsidRPr="00A27896">
        <w:rPr>
          <w:rFonts w:cs="Times New Roman"/>
          <w:color w:val="17365D"/>
        </w:rPr>
        <w:t xml:space="preserve">embilances posteņa </w:t>
      </w:r>
      <w:r w:rsidR="002C5F68" w:rsidRPr="00A27896">
        <w:rPr>
          <w:rFonts w:cs="Times New Roman"/>
          <w:color w:val="17365D"/>
        </w:rPr>
        <w:t>izmaiņas</w:t>
      </w:r>
      <w:r w:rsidR="008F314E" w:rsidRPr="00A27896">
        <w:rPr>
          <w:rFonts w:cs="Times New Roman"/>
          <w:color w:val="17365D"/>
        </w:rPr>
        <w:t xml:space="preserve"> veido </w:t>
      </w:r>
      <w:r w:rsidR="00AE7E06" w:rsidRPr="00A27896">
        <w:rPr>
          <w:rFonts w:cs="Times New Roman"/>
          <w:color w:val="17365D"/>
        </w:rPr>
        <w:t>Aizsardzības ministrijas noslēgtie ilgtermiņa līgumi par precēm un pakalpojumiem 267 806 562 </w:t>
      </w:r>
      <w:proofErr w:type="spellStart"/>
      <w:r w:rsidR="0003665E" w:rsidRPr="00A27896">
        <w:rPr>
          <w:rFonts w:cs="Times New Roman"/>
          <w:i/>
          <w:color w:val="17365D"/>
        </w:rPr>
        <w:t>euro</w:t>
      </w:r>
      <w:proofErr w:type="spellEnd"/>
      <w:r w:rsidR="00B52F72" w:rsidRPr="00A27896">
        <w:rPr>
          <w:rFonts w:cs="Times New Roman"/>
          <w:i/>
          <w:color w:val="17365D"/>
        </w:rPr>
        <w:t xml:space="preserve"> </w:t>
      </w:r>
      <w:r w:rsidR="00B52F72" w:rsidRPr="00A27896">
        <w:rPr>
          <w:rFonts w:cs="Times New Roman"/>
          <w:color w:val="17365D"/>
        </w:rPr>
        <w:t>vērtībā</w:t>
      </w:r>
      <w:r w:rsidR="00EB6DFD" w:rsidRPr="00A27896">
        <w:rPr>
          <w:rFonts w:cs="Times New Roman"/>
          <w:color w:val="17365D"/>
        </w:rPr>
        <w:t>,</w:t>
      </w:r>
      <w:r w:rsidR="005A3AE2" w:rsidRPr="00A27896">
        <w:rPr>
          <w:rFonts w:cs="Times New Roman"/>
          <w:color w:val="17365D"/>
        </w:rPr>
        <w:t xml:space="preserve"> nākotnes saistību palielinājums </w:t>
      </w:r>
      <w:r w:rsidR="00AE7E06" w:rsidRPr="00A27896">
        <w:rPr>
          <w:rFonts w:cs="Times New Roman"/>
          <w:color w:val="17365D"/>
        </w:rPr>
        <w:t xml:space="preserve">Zemkopības ministrijai </w:t>
      </w:r>
      <w:r w:rsidR="002C5F68" w:rsidRPr="00A27896">
        <w:rPr>
          <w:rFonts w:cs="Times New Roman"/>
          <w:color w:val="17365D"/>
        </w:rPr>
        <w:t>p</w:t>
      </w:r>
      <w:r w:rsidR="00AE7E06" w:rsidRPr="00A27896">
        <w:rPr>
          <w:rFonts w:cs="Times New Roman"/>
          <w:color w:val="17365D"/>
        </w:rPr>
        <w:t xml:space="preserve">ar Latvijas </w:t>
      </w:r>
      <w:proofErr w:type="spellStart"/>
      <w:r w:rsidR="00AE7E06" w:rsidRPr="00A27896">
        <w:rPr>
          <w:rFonts w:cs="Times New Roman"/>
          <w:color w:val="17365D"/>
        </w:rPr>
        <w:t>Biozinātņu</w:t>
      </w:r>
      <w:proofErr w:type="spellEnd"/>
      <w:r w:rsidR="00AE7E06" w:rsidRPr="00A27896">
        <w:rPr>
          <w:rFonts w:cs="Times New Roman"/>
          <w:color w:val="17365D"/>
        </w:rPr>
        <w:t xml:space="preserve"> un tehnoloģiju universitātes noslēgtiem līgumiem par precēm un pakalpojumiem</w:t>
      </w:r>
      <w:r w:rsidR="002C5F68" w:rsidRPr="00A27896">
        <w:rPr>
          <w:rFonts w:cs="Times New Roman"/>
          <w:color w:val="17365D"/>
        </w:rPr>
        <w:t xml:space="preserve"> 2 572 109 </w:t>
      </w:r>
      <w:proofErr w:type="spellStart"/>
      <w:r w:rsidR="00EB6DFD" w:rsidRPr="00A27896">
        <w:rPr>
          <w:rFonts w:cs="Times New Roman"/>
          <w:i/>
          <w:color w:val="17365D"/>
        </w:rPr>
        <w:t>euro</w:t>
      </w:r>
      <w:proofErr w:type="spellEnd"/>
      <w:r w:rsidR="00EB6DFD" w:rsidRPr="00A27896">
        <w:rPr>
          <w:rFonts w:cs="Times New Roman"/>
          <w:i/>
          <w:color w:val="17365D"/>
        </w:rPr>
        <w:t xml:space="preserve"> </w:t>
      </w:r>
      <w:r w:rsidR="00EB6DFD" w:rsidRPr="00A27896">
        <w:rPr>
          <w:rFonts w:cs="Times New Roman"/>
          <w:color w:val="17365D"/>
        </w:rPr>
        <w:t xml:space="preserve">vērtībā un </w:t>
      </w:r>
      <w:r w:rsidR="002C5F68" w:rsidRPr="00A27896">
        <w:rPr>
          <w:rFonts w:cs="Times New Roman"/>
          <w:color w:val="17365D"/>
        </w:rPr>
        <w:t xml:space="preserve">samazinājums </w:t>
      </w:r>
      <w:proofErr w:type="spellStart"/>
      <w:r w:rsidR="002C5F68" w:rsidRPr="00A27896">
        <w:rPr>
          <w:rFonts w:cs="Times New Roman"/>
          <w:color w:val="17365D"/>
        </w:rPr>
        <w:t>Iekšlietu</w:t>
      </w:r>
      <w:proofErr w:type="spellEnd"/>
      <w:r w:rsidR="002C5F68" w:rsidRPr="00A27896">
        <w:rPr>
          <w:rFonts w:cs="Times New Roman"/>
          <w:color w:val="17365D"/>
        </w:rPr>
        <w:t xml:space="preserve"> ministrijai saistībā ar veiktajiem maksājumiem deleģēšanas līguma ietvaros par uzticamības, tai skaitā sertifikācijas, pakalpojumu sniegšanu</w:t>
      </w:r>
      <w:r w:rsidR="00D50D19" w:rsidRPr="00A27896">
        <w:rPr>
          <w:rFonts w:cs="Times New Roman"/>
          <w:color w:val="17365D"/>
        </w:rPr>
        <w:t xml:space="preserve"> </w:t>
      </w:r>
      <w:r w:rsidR="001B1EC7" w:rsidRPr="00A27896">
        <w:rPr>
          <w:rFonts w:cs="Times New Roman"/>
          <w:color w:val="17365D"/>
        </w:rPr>
        <w:t>(3 994 </w:t>
      </w:r>
      <w:r w:rsidR="002C5F68" w:rsidRPr="00A27896">
        <w:rPr>
          <w:rFonts w:cs="Times New Roman"/>
          <w:color w:val="17365D"/>
        </w:rPr>
        <w:t xml:space="preserve">544) </w:t>
      </w:r>
      <w:proofErr w:type="spellStart"/>
      <w:r w:rsidR="00EB6DFD" w:rsidRPr="00A27896">
        <w:rPr>
          <w:rFonts w:cs="Times New Roman"/>
          <w:i/>
          <w:color w:val="17365D"/>
        </w:rPr>
        <w:t>euro</w:t>
      </w:r>
      <w:proofErr w:type="spellEnd"/>
      <w:r w:rsidR="00EB6DFD" w:rsidRPr="00A27896">
        <w:rPr>
          <w:rFonts w:cs="Times New Roman"/>
          <w:i/>
          <w:color w:val="17365D"/>
        </w:rPr>
        <w:t xml:space="preserve"> </w:t>
      </w:r>
      <w:r w:rsidR="00EB6DFD" w:rsidRPr="00A27896">
        <w:rPr>
          <w:rFonts w:cs="Times New Roman"/>
          <w:color w:val="17365D"/>
        </w:rPr>
        <w:t>vērtībā</w:t>
      </w:r>
      <w:r w:rsidR="008F314E" w:rsidRPr="00A27896">
        <w:rPr>
          <w:rFonts w:cs="Times New Roman"/>
          <w:color w:val="17365D"/>
        </w:rPr>
        <w:t>.</w:t>
      </w:r>
    </w:p>
    <w:p w14:paraId="562F4DAC" w14:textId="438689B4" w:rsidR="005C75BB" w:rsidRPr="00A27896" w:rsidRDefault="000229AE" w:rsidP="000229AE">
      <w:pPr>
        <w:pStyle w:val="Heading5"/>
        <w:rPr>
          <w:rFonts w:cs="Times New Roman"/>
          <w:highlight w:val="yellow"/>
        </w:rPr>
      </w:pPr>
      <w:r w:rsidRPr="00A27896">
        <w:rPr>
          <w:rFonts w:cs="Times New Roman"/>
        </w:rPr>
        <w:t>Piezīme Nr. KB.9.5.3.</w:t>
      </w:r>
      <w:r w:rsidRPr="00A27896">
        <w:rPr>
          <w:rFonts w:eastAsia="Times New Roman" w:cs="Times New Roman"/>
          <w:i w:val="0"/>
          <w:sz w:val="18"/>
          <w:szCs w:val="18"/>
          <w:lang w:eastAsia="lv-LV"/>
        </w:rPr>
        <w:t xml:space="preserve"> </w:t>
      </w:r>
      <w:r w:rsidRPr="00A27896">
        <w:rPr>
          <w:rFonts w:cs="Times New Roman"/>
        </w:rPr>
        <w:t>Citas zembilances saistības</w:t>
      </w:r>
    </w:p>
    <w:p w14:paraId="4EF4C5C2" w14:textId="130B2776" w:rsidR="000C13EB" w:rsidRPr="00A27896" w:rsidRDefault="00F71988" w:rsidP="000229AE">
      <w:pPr>
        <w:pStyle w:val="Pamatteksts"/>
        <w:ind w:firstLine="284"/>
        <w:rPr>
          <w:color w:val="17365D"/>
        </w:rPr>
      </w:pPr>
      <w:r w:rsidRPr="00A27896">
        <w:rPr>
          <w:rFonts w:eastAsiaTheme="minorHAnsi"/>
          <w:noProof w:val="0"/>
          <w:color w:val="17365D"/>
          <w:szCs w:val="22"/>
          <w:lang w:eastAsia="en-US"/>
        </w:rPr>
        <w:t>Saskaņā ar Ogres novada pašvaldības sniegto informāciju 2022.</w:t>
      </w:r>
      <w:r w:rsidR="000229AE" w:rsidRPr="00A27896">
        <w:rPr>
          <w:rFonts w:eastAsiaTheme="minorHAnsi"/>
          <w:noProof w:val="0"/>
          <w:color w:val="17365D"/>
          <w:szCs w:val="22"/>
          <w:lang w:eastAsia="en-US"/>
        </w:rPr>
        <w:t> </w:t>
      </w:r>
      <w:r w:rsidRPr="00A27896">
        <w:rPr>
          <w:rFonts w:eastAsiaTheme="minorHAnsi"/>
          <w:noProof w:val="0"/>
          <w:color w:val="17365D"/>
          <w:szCs w:val="22"/>
          <w:lang w:eastAsia="en-US"/>
        </w:rPr>
        <w:t>gada 26.</w:t>
      </w:r>
      <w:r w:rsidR="000229AE" w:rsidRPr="00A27896">
        <w:rPr>
          <w:rFonts w:eastAsiaTheme="minorHAnsi"/>
          <w:noProof w:val="0"/>
          <w:color w:val="17365D"/>
          <w:szCs w:val="22"/>
          <w:lang w:eastAsia="en-US"/>
        </w:rPr>
        <w:t> </w:t>
      </w:r>
      <w:r w:rsidRPr="00A27896">
        <w:rPr>
          <w:rFonts w:eastAsiaTheme="minorHAnsi"/>
          <w:noProof w:val="0"/>
          <w:color w:val="17365D"/>
          <w:szCs w:val="22"/>
          <w:lang w:eastAsia="en-US"/>
        </w:rPr>
        <w:t>septembra Eiropas prokuratūras kriminālprocesa lietā Nr. 12822000121 Eiropas deleģētā prokurora lēmumā noteikts uzlikt arestu Ogres novada pašvaldības pamatlīdzekļu sarakstā reģistrētiem pamatlīdzekļiem, par ko</w:t>
      </w:r>
      <w:r w:rsidR="001B1EC7" w:rsidRPr="00A27896">
        <w:rPr>
          <w:rFonts w:eastAsiaTheme="minorHAnsi"/>
          <w:noProof w:val="0"/>
          <w:color w:val="17365D"/>
          <w:szCs w:val="22"/>
          <w:lang w:eastAsia="en-US"/>
        </w:rPr>
        <w:t xml:space="preserve"> atzītas iespējamās saistības 6 696 </w:t>
      </w:r>
      <w:r w:rsidRPr="00A27896">
        <w:rPr>
          <w:rFonts w:eastAsiaTheme="minorHAnsi"/>
          <w:noProof w:val="0"/>
          <w:color w:val="17365D"/>
          <w:szCs w:val="22"/>
          <w:lang w:eastAsia="en-US"/>
        </w:rPr>
        <w:t xml:space="preserve">455 </w:t>
      </w:r>
      <w:proofErr w:type="spellStart"/>
      <w:r w:rsidRPr="00A27896">
        <w:rPr>
          <w:rFonts w:eastAsiaTheme="minorHAnsi"/>
          <w:i/>
          <w:noProof w:val="0"/>
          <w:color w:val="17365D"/>
          <w:szCs w:val="22"/>
          <w:lang w:eastAsia="en-US"/>
        </w:rPr>
        <w:t>euro</w:t>
      </w:r>
      <w:proofErr w:type="spellEnd"/>
      <w:r w:rsidRPr="00A27896">
        <w:rPr>
          <w:rFonts w:eastAsiaTheme="minorHAnsi"/>
          <w:noProof w:val="0"/>
          <w:color w:val="17365D"/>
          <w:szCs w:val="22"/>
          <w:lang w:eastAsia="en-US"/>
        </w:rPr>
        <w:t xml:space="preserve"> vērtībā.</w:t>
      </w:r>
      <w:r w:rsidR="000C13EB" w:rsidRPr="00A27896">
        <w:rPr>
          <w:color w:val="17365D"/>
        </w:rPr>
        <w:br w:type="page"/>
      </w:r>
    </w:p>
    <w:p w14:paraId="695369F6" w14:textId="66EFD76E" w:rsidR="00A63515" w:rsidRPr="00A27896" w:rsidRDefault="00B47329" w:rsidP="00FD10CC">
      <w:pPr>
        <w:pStyle w:val="Heading3"/>
      </w:pPr>
      <w:r w:rsidRPr="00A27896">
        <w:lastRenderedPageBreak/>
        <w:t>Vispārīgās piezīmes</w:t>
      </w:r>
    </w:p>
    <w:p w14:paraId="6880E4D1" w14:textId="6AA66487" w:rsidR="00FA6D17" w:rsidRPr="00A27896" w:rsidRDefault="00FA6D17" w:rsidP="000229AE">
      <w:pPr>
        <w:pStyle w:val="Heading4"/>
        <w:rPr>
          <w:rFonts w:cs="Times New Roman"/>
        </w:rPr>
      </w:pPr>
      <w:r w:rsidRPr="00A27896">
        <w:rPr>
          <w:rFonts w:cs="Times New Roman"/>
        </w:rPr>
        <w:t>Piezīme Nr. V1. Aktīvi, kas saņemti kā ziedojumi un dāvinājumi</w:t>
      </w:r>
    </w:p>
    <w:p w14:paraId="0C6B82E3" w14:textId="7E01D713" w:rsidR="009C283C" w:rsidRPr="00A27896" w:rsidRDefault="009C283C" w:rsidP="009C283C">
      <w:pPr>
        <w:spacing w:after="120" w:line="240" w:lineRule="auto"/>
        <w:ind w:firstLine="284"/>
        <w:jc w:val="both"/>
        <w:rPr>
          <w:rFonts w:cs="Times New Roman"/>
          <w:color w:val="17365D"/>
        </w:rPr>
      </w:pPr>
      <w:r w:rsidRPr="00A27896">
        <w:rPr>
          <w:rFonts w:cs="Times New Roman"/>
          <w:color w:val="17365D"/>
        </w:rPr>
        <w:t xml:space="preserve">Saskaņā ar ministriju, centrālo valsts iestāžu un pašvaldību sniegto informāciju pārskata periodā aktīvu, kas saņemti kā ziedojumi un dāvinājumi, sākotnēji noteiktā patiesā </w:t>
      </w:r>
      <w:r w:rsidR="0019458D" w:rsidRPr="00A27896">
        <w:rPr>
          <w:rFonts w:cs="Times New Roman"/>
          <w:color w:val="17365D"/>
          <w:szCs w:val="24"/>
        </w:rPr>
        <w:t xml:space="preserve">vērtība ir </w:t>
      </w:r>
      <w:r w:rsidR="00C73037" w:rsidRPr="00A27896">
        <w:rPr>
          <w:rFonts w:cs="Times New Roman"/>
          <w:color w:val="17365D"/>
          <w:szCs w:val="24"/>
        </w:rPr>
        <w:t>19</w:t>
      </w:r>
      <w:r w:rsidR="000E5114" w:rsidRPr="00A27896">
        <w:rPr>
          <w:rFonts w:cs="Times New Roman"/>
          <w:color w:val="17365D"/>
          <w:szCs w:val="24"/>
        </w:rPr>
        <w:t> </w:t>
      </w:r>
      <w:r w:rsidR="00C73037" w:rsidRPr="00A27896">
        <w:rPr>
          <w:rFonts w:cs="Times New Roman"/>
          <w:color w:val="17365D"/>
          <w:szCs w:val="24"/>
        </w:rPr>
        <w:t>421</w:t>
      </w:r>
      <w:r w:rsidR="000E5114" w:rsidRPr="00A27896">
        <w:rPr>
          <w:rFonts w:cs="Times New Roman"/>
          <w:color w:val="17365D"/>
          <w:szCs w:val="24"/>
        </w:rPr>
        <w:t> 711 </w:t>
      </w:r>
      <w:proofErr w:type="spellStart"/>
      <w:r w:rsidR="0019458D" w:rsidRPr="00A27896">
        <w:rPr>
          <w:rFonts w:cs="Times New Roman"/>
          <w:i/>
          <w:color w:val="17365D"/>
          <w:szCs w:val="24"/>
        </w:rPr>
        <w:t>euro</w:t>
      </w:r>
      <w:proofErr w:type="spellEnd"/>
      <w:r w:rsidR="0019458D" w:rsidRPr="00A27896">
        <w:rPr>
          <w:rFonts w:cs="Times New Roman"/>
          <w:color w:val="17365D"/>
          <w:szCs w:val="24"/>
        </w:rPr>
        <w:t xml:space="preserve"> </w:t>
      </w:r>
      <w:r w:rsidRPr="00A27896">
        <w:rPr>
          <w:rFonts w:cs="Times New Roman"/>
          <w:color w:val="17365D"/>
        </w:rPr>
        <w:t>un tā norādīta 2</w:t>
      </w:r>
      <w:r w:rsidR="00934C2E" w:rsidRPr="00A27896">
        <w:rPr>
          <w:rFonts w:cs="Times New Roman"/>
          <w:color w:val="17365D"/>
        </w:rPr>
        <w:t>4</w:t>
      </w:r>
      <w:r w:rsidRPr="00A27896">
        <w:rPr>
          <w:rFonts w:cs="Times New Roman"/>
          <w:color w:val="17365D"/>
        </w:rPr>
        <w:t>.tabulā sadalījumā pa aktīvu bilances posteņiem:</w:t>
      </w:r>
    </w:p>
    <w:p w14:paraId="65D67855" w14:textId="2BE03370" w:rsidR="007B7D77" w:rsidRPr="00A27896" w:rsidRDefault="00743E0E" w:rsidP="007B7D77">
      <w:pPr>
        <w:pStyle w:val="Tabulasnosaukums1"/>
        <w:spacing w:before="160"/>
        <w:rPr>
          <w:rFonts w:cs="Times New Roman"/>
          <w:i/>
          <w:color w:val="17365D"/>
        </w:rPr>
      </w:pPr>
      <w:r w:rsidRPr="00A27896">
        <w:rPr>
          <w:rFonts w:cs="Times New Roman"/>
          <w:i/>
          <w:color w:val="17365D"/>
        </w:rPr>
        <w:t>2</w:t>
      </w:r>
      <w:r w:rsidR="000229AE" w:rsidRPr="00A27896">
        <w:rPr>
          <w:rFonts w:cs="Times New Roman"/>
          <w:i/>
          <w:color w:val="17365D"/>
        </w:rPr>
        <w:t>4</w:t>
      </w:r>
      <w:r w:rsidRPr="00A27896">
        <w:rPr>
          <w:rFonts w:cs="Times New Roman"/>
          <w:i/>
          <w:color w:val="17365D"/>
        </w:rPr>
        <w:t>. </w:t>
      </w:r>
      <w:r w:rsidR="007B7D77" w:rsidRPr="00A27896">
        <w:rPr>
          <w:rFonts w:cs="Times New Roman"/>
          <w:i/>
          <w:color w:val="17365D"/>
        </w:rPr>
        <w:t>tabula.</w:t>
      </w:r>
      <w:r w:rsidR="007B7D77" w:rsidRPr="00A27896">
        <w:rPr>
          <w:rFonts w:cs="Times New Roman"/>
          <w:color w:val="17365D"/>
        </w:rPr>
        <w:t xml:space="preserve"> </w:t>
      </w:r>
      <w:r w:rsidR="00FA6D17" w:rsidRPr="00A27896">
        <w:rPr>
          <w:rFonts w:cs="Times New Roman"/>
          <w:i/>
          <w:color w:val="17365D"/>
        </w:rPr>
        <w:t>Aktīvi, kas saņemti kā ziedojumi un dāvinājumi</w:t>
      </w:r>
      <w:r w:rsidR="007B7D77" w:rsidRPr="00A27896">
        <w:rPr>
          <w:rFonts w:cs="Times New Roman"/>
          <w:i/>
          <w:color w:val="17365D"/>
        </w:rPr>
        <w:t xml:space="preserve"> (</w:t>
      </w:r>
      <w:proofErr w:type="spellStart"/>
      <w:r w:rsidR="007B7D77" w:rsidRPr="00A27896">
        <w:rPr>
          <w:rFonts w:cs="Times New Roman"/>
          <w:i/>
          <w:color w:val="17365D"/>
        </w:rPr>
        <w:t>euro</w:t>
      </w:r>
      <w:proofErr w:type="spellEnd"/>
      <w:r w:rsidR="007B7D77" w:rsidRPr="00A27896">
        <w:rPr>
          <w:rFonts w:cs="Times New Roman"/>
          <w:i/>
          <w:color w:val="17365D"/>
        </w:rPr>
        <w:t xml:space="preserve">) </w:t>
      </w:r>
    </w:p>
    <w:tbl>
      <w:tblPr>
        <w:tblW w:w="9356" w:type="dxa"/>
        <w:tblBorders>
          <w:insideH w:val="single" w:sz="4" w:space="0" w:color="17365D"/>
        </w:tblBorders>
        <w:tblLook w:val="04A0" w:firstRow="1" w:lastRow="0" w:firstColumn="1" w:lastColumn="0" w:noHBand="0" w:noVBand="1"/>
      </w:tblPr>
      <w:tblGrid>
        <w:gridCol w:w="6946"/>
        <w:gridCol w:w="2410"/>
      </w:tblGrid>
      <w:tr w:rsidR="000C1009" w:rsidRPr="00A27896" w14:paraId="1FEA6E5E" w14:textId="77777777" w:rsidTr="00581A8F">
        <w:trPr>
          <w:trHeight w:val="344"/>
          <w:tblHeader/>
        </w:trPr>
        <w:tc>
          <w:tcPr>
            <w:tcW w:w="6946" w:type="dxa"/>
            <w:tcBorders>
              <w:bottom w:val="single" w:sz="4" w:space="0" w:color="17365D"/>
            </w:tcBorders>
            <w:shd w:val="clear" w:color="000000" w:fill="B9CDE5"/>
            <w:vAlign w:val="center"/>
            <w:hideMark/>
          </w:tcPr>
          <w:p w14:paraId="433DA5AD" w14:textId="77777777" w:rsidR="00651A01" w:rsidRPr="00A27896" w:rsidRDefault="00651A01" w:rsidP="009C283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Aktīva apraksts</w:t>
            </w:r>
          </w:p>
        </w:tc>
        <w:tc>
          <w:tcPr>
            <w:tcW w:w="2410" w:type="dxa"/>
            <w:tcBorders>
              <w:bottom w:val="single" w:sz="4" w:space="0" w:color="17365D"/>
            </w:tcBorders>
            <w:shd w:val="clear" w:color="000000" w:fill="B9CDE5"/>
            <w:vAlign w:val="center"/>
            <w:hideMark/>
          </w:tcPr>
          <w:p w14:paraId="2F09A422" w14:textId="77777777" w:rsidR="00651A01" w:rsidRPr="00A27896" w:rsidRDefault="00651A01" w:rsidP="009C283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Sākotnēji noteiktā patiesā vērtība</w:t>
            </w:r>
          </w:p>
        </w:tc>
      </w:tr>
      <w:tr w:rsidR="000C1009" w:rsidRPr="00A27896" w14:paraId="45A0EC3B" w14:textId="77777777" w:rsidTr="00581A8F">
        <w:trPr>
          <w:trHeight w:val="266"/>
          <w:tblHeader/>
        </w:trPr>
        <w:tc>
          <w:tcPr>
            <w:tcW w:w="6946" w:type="dxa"/>
            <w:tcBorders>
              <w:top w:val="single" w:sz="4" w:space="0" w:color="17365D"/>
              <w:bottom w:val="single" w:sz="4" w:space="0" w:color="17365D"/>
            </w:tcBorders>
            <w:shd w:val="clear" w:color="auto" w:fill="auto"/>
            <w:vAlign w:val="center"/>
            <w:hideMark/>
          </w:tcPr>
          <w:p w14:paraId="22218D1E" w14:textId="3D546012" w:rsidR="00651A01" w:rsidRPr="00A27896" w:rsidRDefault="009C283C" w:rsidP="009C283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2410" w:type="dxa"/>
            <w:tcBorders>
              <w:top w:val="single" w:sz="4" w:space="0" w:color="17365D"/>
              <w:bottom w:val="single" w:sz="4" w:space="0" w:color="17365D"/>
            </w:tcBorders>
            <w:shd w:val="clear" w:color="auto" w:fill="auto"/>
            <w:vAlign w:val="center"/>
            <w:hideMark/>
          </w:tcPr>
          <w:p w14:paraId="7C2F8226" w14:textId="77777777" w:rsidR="00651A01" w:rsidRPr="00A27896" w:rsidRDefault="00651A01" w:rsidP="009C283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r>
      <w:tr w:rsidR="000C1009" w:rsidRPr="00A27896" w14:paraId="0364F0D9" w14:textId="77777777" w:rsidTr="00A27544">
        <w:trPr>
          <w:trHeight w:val="266"/>
        </w:trPr>
        <w:tc>
          <w:tcPr>
            <w:tcW w:w="6946" w:type="dxa"/>
            <w:tcBorders>
              <w:top w:val="single" w:sz="4" w:space="0" w:color="17365D"/>
              <w:bottom w:val="single" w:sz="4" w:space="0" w:color="17365D"/>
            </w:tcBorders>
            <w:shd w:val="clear" w:color="auto" w:fill="auto"/>
            <w:vAlign w:val="center"/>
            <w:hideMark/>
          </w:tcPr>
          <w:p w14:paraId="39C251DC" w14:textId="77777777" w:rsidR="001F552E" w:rsidRPr="00A27896" w:rsidRDefault="001F552E" w:rsidP="001F552E">
            <w:pPr>
              <w:spacing w:after="0" w:line="240" w:lineRule="auto"/>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Ilgtermiņa ieguldījumi</w:t>
            </w:r>
          </w:p>
        </w:tc>
        <w:tc>
          <w:tcPr>
            <w:tcW w:w="2410" w:type="dxa"/>
            <w:tcBorders>
              <w:top w:val="single" w:sz="4" w:space="0" w:color="17365D"/>
              <w:bottom w:val="single" w:sz="4" w:space="0" w:color="17365D"/>
            </w:tcBorders>
            <w:shd w:val="clear" w:color="auto" w:fill="auto"/>
            <w:noWrap/>
            <w:vAlign w:val="center"/>
            <w:hideMark/>
          </w:tcPr>
          <w:p w14:paraId="6ECB2C07" w14:textId="73E7A80E" w:rsidR="001F552E" w:rsidRPr="00A27896" w:rsidRDefault="00C73037" w:rsidP="00A27544">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11 085 124</w:t>
            </w:r>
          </w:p>
        </w:tc>
      </w:tr>
      <w:tr w:rsidR="000C1009" w:rsidRPr="00A27896" w14:paraId="2948ED00" w14:textId="77777777" w:rsidTr="00A27544">
        <w:trPr>
          <w:trHeight w:val="266"/>
        </w:trPr>
        <w:tc>
          <w:tcPr>
            <w:tcW w:w="6946" w:type="dxa"/>
            <w:tcBorders>
              <w:top w:val="single" w:sz="4" w:space="0" w:color="17365D"/>
              <w:bottom w:val="single" w:sz="4" w:space="0" w:color="17365D"/>
            </w:tcBorders>
            <w:shd w:val="clear" w:color="auto" w:fill="auto"/>
            <w:vAlign w:val="center"/>
            <w:hideMark/>
          </w:tcPr>
          <w:p w14:paraId="6F607AB7" w14:textId="77777777" w:rsidR="001F552E" w:rsidRPr="00A27896" w:rsidRDefault="001F552E" w:rsidP="001F552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Nemateriālie ieguldījumi </w:t>
            </w:r>
          </w:p>
        </w:tc>
        <w:tc>
          <w:tcPr>
            <w:tcW w:w="2410" w:type="dxa"/>
            <w:tcBorders>
              <w:top w:val="single" w:sz="4" w:space="0" w:color="17365D"/>
              <w:bottom w:val="single" w:sz="4" w:space="0" w:color="17365D"/>
            </w:tcBorders>
            <w:shd w:val="clear" w:color="auto" w:fill="auto"/>
            <w:noWrap/>
            <w:vAlign w:val="center"/>
            <w:hideMark/>
          </w:tcPr>
          <w:p w14:paraId="6350AEA5" w14:textId="357929A0" w:rsidR="001F552E" w:rsidRPr="00A27896" w:rsidRDefault="00C73037" w:rsidP="00A2754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22 307</w:t>
            </w:r>
          </w:p>
        </w:tc>
      </w:tr>
      <w:tr w:rsidR="000C1009" w:rsidRPr="00A27896" w14:paraId="5AF936A3" w14:textId="77777777" w:rsidTr="00A27544">
        <w:trPr>
          <w:trHeight w:val="266"/>
        </w:trPr>
        <w:tc>
          <w:tcPr>
            <w:tcW w:w="6946" w:type="dxa"/>
            <w:tcBorders>
              <w:top w:val="single" w:sz="4" w:space="0" w:color="17365D"/>
              <w:bottom w:val="single" w:sz="4" w:space="0" w:color="17365D"/>
            </w:tcBorders>
            <w:shd w:val="clear" w:color="auto" w:fill="auto"/>
            <w:vAlign w:val="center"/>
            <w:hideMark/>
          </w:tcPr>
          <w:p w14:paraId="6D21BB6B" w14:textId="77777777" w:rsidR="001F552E" w:rsidRPr="00A27896" w:rsidRDefault="001F552E" w:rsidP="001F552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Pamatlīdzekļi </w:t>
            </w:r>
          </w:p>
        </w:tc>
        <w:tc>
          <w:tcPr>
            <w:tcW w:w="2410" w:type="dxa"/>
            <w:tcBorders>
              <w:top w:val="single" w:sz="4" w:space="0" w:color="17365D"/>
              <w:bottom w:val="single" w:sz="4" w:space="0" w:color="17365D"/>
            </w:tcBorders>
            <w:shd w:val="clear" w:color="auto" w:fill="auto"/>
            <w:noWrap/>
            <w:vAlign w:val="center"/>
            <w:hideMark/>
          </w:tcPr>
          <w:p w14:paraId="421FD9F4" w14:textId="11F4CDE0" w:rsidR="001F552E" w:rsidRPr="00A27896" w:rsidRDefault="00C73037" w:rsidP="00A2754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11 062 817</w:t>
            </w:r>
          </w:p>
        </w:tc>
      </w:tr>
      <w:tr w:rsidR="000C1009" w:rsidRPr="00A27896" w14:paraId="03BBC814" w14:textId="77777777" w:rsidTr="00A27544">
        <w:trPr>
          <w:trHeight w:val="266"/>
        </w:trPr>
        <w:tc>
          <w:tcPr>
            <w:tcW w:w="6946" w:type="dxa"/>
            <w:tcBorders>
              <w:top w:val="single" w:sz="4" w:space="0" w:color="17365D"/>
              <w:bottom w:val="single" w:sz="4" w:space="0" w:color="17365D"/>
            </w:tcBorders>
            <w:shd w:val="clear" w:color="auto" w:fill="auto"/>
            <w:vAlign w:val="center"/>
            <w:hideMark/>
          </w:tcPr>
          <w:p w14:paraId="7B467C24" w14:textId="77777777" w:rsidR="001F552E" w:rsidRPr="00A27896" w:rsidRDefault="001F552E" w:rsidP="001F552E">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Apgrozāmie līdzekļi</w:t>
            </w:r>
          </w:p>
        </w:tc>
        <w:tc>
          <w:tcPr>
            <w:tcW w:w="2410" w:type="dxa"/>
            <w:tcBorders>
              <w:top w:val="single" w:sz="4" w:space="0" w:color="17365D"/>
              <w:bottom w:val="single" w:sz="4" w:space="0" w:color="17365D"/>
            </w:tcBorders>
            <w:shd w:val="clear" w:color="auto" w:fill="auto"/>
            <w:noWrap/>
            <w:vAlign w:val="center"/>
            <w:hideMark/>
          </w:tcPr>
          <w:p w14:paraId="5A1571CE" w14:textId="56C217EA" w:rsidR="001F552E" w:rsidRPr="00A27896" w:rsidRDefault="00C73037" w:rsidP="00A27544">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8 336 587</w:t>
            </w:r>
          </w:p>
        </w:tc>
      </w:tr>
      <w:tr w:rsidR="000C1009" w:rsidRPr="00A27896" w14:paraId="516437BE" w14:textId="77777777" w:rsidTr="00A27544">
        <w:trPr>
          <w:trHeight w:val="266"/>
        </w:trPr>
        <w:tc>
          <w:tcPr>
            <w:tcW w:w="6946" w:type="dxa"/>
            <w:tcBorders>
              <w:top w:val="single" w:sz="4" w:space="0" w:color="17365D"/>
              <w:bottom w:val="single" w:sz="4" w:space="0" w:color="17365D"/>
            </w:tcBorders>
            <w:shd w:val="clear" w:color="auto" w:fill="auto"/>
            <w:vAlign w:val="center"/>
            <w:hideMark/>
          </w:tcPr>
          <w:p w14:paraId="0B13B736" w14:textId="77777777" w:rsidR="001F552E" w:rsidRPr="00A27896" w:rsidRDefault="001F552E" w:rsidP="001F552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Krājumi</w:t>
            </w:r>
          </w:p>
        </w:tc>
        <w:tc>
          <w:tcPr>
            <w:tcW w:w="2410" w:type="dxa"/>
            <w:tcBorders>
              <w:top w:val="single" w:sz="4" w:space="0" w:color="17365D"/>
              <w:bottom w:val="single" w:sz="4" w:space="0" w:color="17365D"/>
            </w:tcBorders>
            <w:shd w:val="clear" w:color="auto" w:fill="auto"/>
            <w:noWrap/>
            <w:vAlign w:val="center"/>
            <w:hideMark/>
          </w:tcPr>
          <w:p w14:paraId="0E684679" w14:textId="15069176" w:rsidR="001F552E" w:rsidRPr="00A27896" w:rsidRDefault="00C73037" w:rsidP="00A2754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6 709 120</w:t>
            </w:r>
          </w:p>
        </w:tc>
      </w:tr>
      <w:tr w:rsidR="000C1009" w:rsidRPr="00A27896" w14:paraId="00A02584" w14:textId="77777777" w:rsidTr="00A27544">
        <w:trPr>
          <w:trHeight w:val="266"/>
        </w:trPr>
        <w:tc>
          <w:tcPr>
            <w:tcW w:w="6946" w:type="dxa"/>
            <w:tcBorders>
              <w:top w:val="single" w:sz="4" w:space="0" w:color="17365D"/>
              <w:bottom w:val="single" w:sz="4" w:space="0" w:color="17365D"/>
            </w:tcBorders>
            <w:shd w:val="clear" w:color="auto" w:fill="auto"/>
            <w:vAlign w:val="center"/>
            <w:hideMark/>
          </w:tcPr>
          <w:p w14:paraId="71E36985" w14:textId="77777777" w:rsidR="001F552E" w:rsidRPr="00A27896" w:rsidRDefault="001F552E" w:rsidP="001F552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Naudas līdzekļi</w:t>
            </w:r>
          </w:p>
        </w:tc>
        <w:tc>
          <w:tcPr>
            <w:tcW w:w="2410" w:type="dxa"/>
            <w:tcBorders>
              <w:top w:val="single" w:sz="4" w:space="0" w:color="17365D"/>
              <w:bottom w:val="single" w:sz="4" w:space="0" w:color="17365D"/>
            </w:tcBorders>
            <w:shd w:val="clear" w:color="auto" w:fill="auto"/>
            <w:noWrap/>
            <w:vAlign w:val="center"/>
            <w:hideMark/>
          </w:tcPr>
          <w:p w14:paraId="3C54146B" w14:textId="2BCE8124" w:rsidR="001F552E" w:rsidRPr="00A27896" w:rsidRDefault="00C73037" w:rsidP="00A2754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1 627 467</w:t>
            </w:r>
          </w:p>
        </w:tc>
      </w:tr>
      <w:tr w:rsidR="000C1009" w:rsidRPr="00A27896" w14:paraId="583F23F3" w14:textId="77777777" w:rsidTr="00581A8F">
        <w:trPr>
          <w:trHeight w:val="50"/>
        </w:trPr>
        <w:tc>
          <w:tcPr>
            <w:tcW w:w="6946" w:type="dxa"/>
            <w:tcBorders>
              <w:top w:val="single" w:sz="4" w:space="0" w:color="17365D"/>
            </w:tcBorders>
            <w:shd w:val="clear" w:color="000000" w:fill="B9CDE5"/>
            <w:noWrap/>
            <w:vAlign w:val="center"/>
            <w:hideMark/>
          </w:tcPr>
          <w:p w14:paraId="0B22F8C5" w14:textId="77777777" w:rsidR="00651A01" w:rsidRPr="00A27896" w:rsidRDefault="00651A01" w:rsidP="009C283C">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410" w:type="dxa"/>
            <w:tcBorders>
              <w:top w:val="single" w:sz="4" w:space="0" w:color="17365D"/>
            </w:tcBorders>
            <w:shd w:val="clear" w:color="000000" w:fill="B9CDE5"/>
            <w:noWrap/>
            <w:vAlign w:val="center"/>
            <w:hideMark/>
          </w:tcPr>
          <w:p w14:paraId="57AE63FF" w14:textId="77777777" w:rsidR="00651A01" w:rsidRPr="00A27896" w:rsidRDefault="00651A01" w:rsidP="009C283C">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11B5C954" w14:textId="407176BD" w:rsidR="00B47329" w:rsidRPr="00A27896" w:rsidRDefault="007B7D77" w:rsidP="000229AE">
      <w:pPr>
        <w:pStyle w:val="Heading4"/>
        <w:rPr>
          <w:rFonts w:cs="Times New Roman"/>
        </w:rPr>
      </w:pPr>
      <w:r w:rsidRPr="00A27896">
        <w:rPr>
          <w:rFonts w:cs="Times New Roman"/>
        </w:rPr>
        <w:t>Piezīme</w:t>
      </w:r>
      <w:r w:rsidR="00AC754B" w:rsidRPr="00A27896">
        <w:rPr>
          <w:rFonts w:cs="Times New Roman"/>
        </w:rPr>
        <w:t xml:space="preserve"> Nr.</w:t>
      </w:r>
      <w:r w:rsidRPr="00A27896">
        <w:rPr>
          <w:rFonts w:cs="Times New Roman"/>
        </w:rPr>
        <w:t xml:space="preserve"> V1. Informācija par brī</w:t>
      </w:r>
      <w:r w:rsidR="00F53656" w:rsidRPr="00A27896">
        <w:rPr>
          <w:rFonts w:cs="Times New Roman"/>
        </w:rPr>
        <w:t>v</w:t>
      </w:r>
      <w:r w:rsidRPr="00A27896">
        <w:rPr>
          <w:rFonts w:cs="Times New Roman"/>
        </w:rPr>
        <w:t>prātīgo darbību</w:t>
      </w:r>
    </w:p>
    <w:p w14:paraId="7509950E" w14:textId="6276E150" w:rsidR="00E70B9F" w:rsidRPr="00A27896" w:rsidRDefault="006C55DF" w:rsidP="00B47329">
      <w:pPr>
        <w:spacing w:after="120" w:line="240" w:lineRule="auto"/>
        <w:ind w:firstLine="284"/>
        <w:jc w:val="both"/>
        <w:rPr>
          <w:rFonts w:cs="Times New Roman"/>
          <w:color w:val="17365D"/>
          <w:szCs w:val="24"/>
        </w:rPr>
      </w:pPr>
      <w:r w:rsidRPr="00A27896">
        <w:rPr>
          <w:rFonts w:cs="Times New Roman"/>
          <w:color w:val="17365D"/>
          <w:szCs w:val="24"/>
        </w:rPr>
        <w:t>Saskaņā ar ministriju un pašval</w:t>
      </w:r>
      <w:r w:rsidR="00F53656" w:rsidRPr="00A27896">
        <w:rPr>
          <w:rFonts w:cs="Times New Roman"/>
          <w:color w:val="17365D"/>
          <w:szCs w:val="24"/>
        </w:rPr>
        <w:t>d</w:t>
      </w:r>
      <w:r w:rsidRPr="00A27896">
        <w:rPr>
          <w:rFonts w:cs="Times New Roman"/>
          <w:color w:val="17365D"/>
          <w:szCs w:val="24"/>
        </w:rPr>
        <w:t>ību s</w:t>
      </w:r>
      <w:r w:rsidR="00EF13D9" w:rsidRPr="00A27896">
        <w:rPr>
          <w:rFonts w:cs="Times New Roman"/>
          <w:color w:val="17365D"/>
          <w:szCs w:val="24"/>
        </w:rPr>
        <w:t>niegto informāciju pārskata gadā</w:t>
      </w:r>
      <w:r w:rsidRPr="00A27896">
        <w:rPr>
          <w:rFonts w:cs="Times New Roman"/>
          <w:color w:val="17365D"/>
          <w:szCs w:val="24"/>
        </w:rPr>
        <w:t xml:space="preserve"> funkciju nodrošināšanā</w:t>
      </w:r>
      <w:r w:rsidR="00F3770F" w:rsidRPr="00A27896">
        <w:rPr>
          <w:rFonts w:cs="Times New Roman"/>
          <w:color w:val="17365D"/>
          <w:szCs w:val="24"/>
        </w:rPr>
        <w:t xml:space="preserve"> un dažādu projektu ievaros </w:t>
      </w:r>
      <w:r w:rsidR="00F5285C" w:rsidRPr="00A27896">
        <w:rPr>
          <w:rFonts w:cs="Times New Roman"/>
          <w:color w:val="17365D"/>
          <w:szCs w:val="24"/>
        </w:rPr>
        <w:t xml:space="preserve">izmantots arī brīvprātīgais darbs, </w:t>
      </w:r>
      <w:r w:rsidR="00F3770F" w:rsidRPr="00A27896">
        <w:rPr>
          <w:rFonts w:cs="Times New Roman"/>
          <w:color w:val="17365D"/>
          <w:szCs w:val="24"/>
        </w:rPr>
        <w:t>piemēram,</w:t>
      </w:r>
      <w:r w:rsidR="00F5285C" w:rsidRPr="00A27896">
        <w:rPr>
          <w:rFonts w:cs="Times New Roman"/>
          <w:color w:val="17365D"/>
          <w:szCs w:val="24"/>
        </w:rPr>
        <w:t xml:space="preserve"> </w:t>
      </w:r>
      <w:r w:rsidR="00C73037" w:rsidRPr="00A27896">
        <w:rPr>
          <w:rFonts w:cs="Times New Roman"/>
          <w:color w:val="17365D"/>
          <w:szCs w:val="24"/>
        </w:rPr>
        <w:t>pilsētas svētki un teritorijas sakopšanas darbi</w:t>
      </w:r>
      <w:r w:rsidRPr="00A27896">
        <w:rPr>
          <w:rFonts w:cs="Times New Roman"/>
          <w:color w:val="17365D"/>
          <w:szCs w:val="24"/>
        </w:rPr>
        <w:t>.</w:t>
      </w:r>
    </w:p>
    <w:p w14:paraId="7E2EF277" w14:textId="77777777" w:rsidR="0019458D" w:rsidRPr="00A27896" w:rsidRDefault="0019458D" w:rsidP="005A3758">
      <w:pPr>
        <w:pStyle w:val="Heading4"/>
        <w:rPr>
          <w:rFonts w:cs="Times New Roman"/>
        </w:rPr>
      </w:pPr>
      <w:r w:rsidRPr="00A27896">
        <w:rPr>
          <w:rFonts w:cs="Times New Roman"/>
        </w:rPr>
        <w:t>Piezīme Nr. V3. Informācija par finanšu nomu</w:t>
      </w:r>
    </w:p>
    <w:p w14:paraId="73BF0DDF" w14:textId="2F697B39" w:rsidR="00B47329" w:rsidRPr="00A27896" w:rsidRDefault="007B7D77" w:rsidP="00B16A51">
      <w:pPr>
        <w:pStyle w:val="Heading5"/>
        <w:jc w:val="both"/>
        <w:rPr>
          <w:rFonts w:cs="Times New Roman"/>
        </w:rPr>
      </w:pPr>
      <w:r w:rsidRPr="00A27896">
        <w:rPr>
          <w:rFonts w:cs="Times New Roman"/>
        </w:rPr>
        <w:t>Piezīme</w:t>
      </w:r>
      <w:r w:rsidR="00AC754B" w:rsidRPr="00A27896">
        <w:rPr>
          <w:rFonts w:cs="Times New Roman"/>
        </w:rPr>
        <w:t xml:space="preserve"> Nr.</w:t>
      </w:r>
      <w:r w:rsidRPr="00A27896">
        <w:rPr>
          <w:rFonts w:cs="Times New Roman"/>
        </w:rPr>
        <w:t xml:space="preserve"> V3. Informācija par finanšu nomā nodotajiem aktīviem un saņemamajiem maksājumiem</w:t>
      </w:r>
    </w:p>
    <w:p w14:paraId="7CA8F8DE" w14:textId="6C9D254C" w:rsidR="00F26B96" w:rsidRPr="00A27896" w:rsidRDefault="00F26B96" w:rsidP="0019458D">
      <w:pPr>
        <w:spacing w:after="0" w:line="240" w:lineRule="auto"/>
        <w:ind w:firstLine="284"/>
        <w:jc w:val="both"/>
        <w:rPr>
          <w:rFonts w:cs="Times New Roman"/>
          <w:color w:val="17365D"/>
          <w:szCs w:val="24"/>
        </w:rPr>
      </w:pPr>
      <w:r w:rsidRPr="00A27896">
        <w:rPr>
          <w:rFonts w:cs="Times New Roman"/>
          <w:color w:val="17365D"/>
          <w:szCs w:val="24"/>
        </w:rPr>
        <w:t>Saskaņā ar ministriju, centrālo valsts iestāžu un pašvaldību sniegto informāciju prasības par finanšu nomā nodotajiem aktīviem diskontētajā vērtībā pārskata period</w:t>
      </w:r>
      <w:r w:rsidR="00E1594D" w:rsidRPr="00A27896">
        <w:rPr>
          <w:rFonts w:cs="Times New Roman"/>
          <w:color w:val="17365D"/>
          <w:szCs w:val="24"/>
        </w:rPr>
        <w:t>a beigās</w:t>
      </w:r>
      <w:r w:rsidRPr="00A27896">
        <w:rPr>
          <w:rFonts w:cs="Times New Roman"/>
          <w:color w:val="17365D"/>
          <w:szCs w:val="24"/>
        </w:rPr>
        <w:t xml:space="preserve"> atzītas </w:t>
      </w:r>
      <w:r w:rsidR="00CA18B5" w:rsidRPr="00A27896">
        <w:rPr>
          <w:rFonts w:cs="Times New Roman"/>
          <w:color w:val="17365D"/>
          <w:szCs w:val="24"/>
        </w:rPr>
        <w:t>5 036 027 </w:t>
      </w:r>
      <w:proofErr w:type="spellStart"/>
      <w:r w:rsidRPr="00A27896">
        <w:rPr>
          <w:rFonts w:cs="Times New Roman"/>
          <w:i/>
          <w:color w:val="17365D"/>
          <w:szCs w:val="24"/>
        </w:rPr>
        <w:t>euro</w:t>
      </w:r>
      <w:proofErr w:type="spellEnd"/>
      <w:r w:rsidRPr="00A27896">
        <w:rPr>
          <w:rFonts w:cs="Times New Roman"/>
          <w:color w:val="17365D"/>
          <w:szCs w:val="24"/>
        </w:rPr>
        <w:t xml:space="preserve"> vērtībā un tās sadalījumā pa aktīvu bilances posteņiem un saņemamajiem maksājumiem norādītas 2</w:t>
      </w:r>
      <w:r w:rsidR="000229AE" w:rsidRPr="00A27896">
        <w:rPr>
          <w:rFonts w:cs="Times New Roman"/>
          <w:color w:val="17365D"/>
          <w:szCs w:val="24"/>
        </w:rPr>
        <w:t>5</w:t>
      </w:r>
      <w:r w:rsidRPr="00A27896">
        <w:rPr>
          <w:rFonts w:cs="Times New Roman"/>
          <w:color w:val="17365D"/>
          <w:szCs w:val="24"/>
        </w:rPr>
        <w:t>.tabulā:</w:t>
      </w:r>
    </w:p>
    <w:p w14:paraId="23A64CA9" w14:textId="6FFEEE3E" w:rsidR="00E70B9F" w:rsidRPr="00A27896" w:rsidRDefault="00743E0E" w:rsidP="0019458D">
      <w:pPr>
        <w:pStyle w:val="Tabulasnosaukums1"/>
        <w:spacing w:before="120" w:line="240" w:lineRule="auto"/>
        <w:rPr>
          <w:rFonts w:cs="Times New Roman"/>
          <w:i/>
          <w:color w:val="17365D"/>
        </w:rPr>
      </w:pPr>
      <w:r w:rsidRPr="00A27896">
        <w:rPr>
          <w:rFonts w:cs="Times New Roman"/>
          <w:i/>
          <w:color w:val="17365D"/>
        </w:rPr>
        <w:t>2</w:t>
      </w:r>
      <w:r w:rsidR="000229AE" w:rsidRPr="00A27896">
        <w:rPr>
          <w:rFonts w:cs="Times New Roman"/>
          <w:i/>
          <w:color w:val="17365D"/>
        </w:rPr>
        <w:t>5</w:t>
      </w:r>
      <w:r w:rsidRPr="00A27896">
        <w:rPr>
          <w:rFonts w:cs="Times New Roman"/>
          <w:i/>
          <w:color w:val="17365D"/>
        </w:rPr>
        <w:t>. </w:t>
      </w:r>
      <w:r w:rsidR="00CC5E9D" w:rsidRPr="00A27896">
        <w:rPr>
          <w:rFonts w:cs="Times New Roman"/>
          <w:i/>
          <w:color w:val="17365D"/>
        </w:rPr>
        <w:t>tabula. Informācija par finanšu nomā nodotajiem aktīviem un saņemamajiem maksājumiem (</w:t>
      </w:r>
      <w:proofErr w:type="spellStart"/>
      <w:r w:rsidR="00CC5E9D" w:rsidRPr="00A27896">
        <w:rPr>
          <w:rFonts w:cs="Times New Roman"/>
          <w:i/>
          <w:color w:val="17365D"/>
        </w:rPr>
        <w:t>euro</w:t>
      </w:r>
      <w:proofErr w:type="spellEnd"/>
      <w:r w:rsidR="00CC5E9D" w:rsidRPr="00A27896">
        <w:rPr>
          <w:rFonts w:cs="Times New Roman"/>
          <w:i/>
          <w:color w:val="17365D"/>
        </w:rPr>
        <w:t>)</w:t>
      </w:r>
    </w:p>
    <w:tbl>
      <w:tblPr>
        <w:tblW w:w="9305" w:type="dxa"/>
        <w:tblBorders>
          <w:insideH w:val="single" w:sz="4" w:space="0" w:color="17365D"/>
        </w:tblBorders>
        <w:tblLook w:val="04A0" w:firstRow="1" w:lastRow="0" w:firstColumn="1" w:lastColumn="0" w:noHBand="0" w:noVBand="1"/>
      </w:tblPr>
      <w:tblGrid>
        <w:gridCol w:w="2835"/>
        <w:gridCol w:w="1469"/>
        <w:gridCol w:w="1083"/>
        <w:gridCol w:w="1134"/>
        <w:gridCol w:w="1276"/>
        <w:gridCol w:w="1508"/>
      </w:tblGrid>
      <w:tr w:rsidR="000C1009" w:rsidRPr="00A27896" w14:paraId="479759B8" w14:textId="77777777" w:rsidTr="00D93308">
        <w:trPr>
          <w:trHeight w:val="405"/>
          <w:tblHeader/>
        </w:trPr>
        <w:tc>
          <w:tcPr>
            <w:tcW w:w="2835" w:type="dxa"/>
            <w:vMerge w:val="restart"/>
            <w:shd w:val="clear" w:color="000000" w:fill="B9CDE5"/>
            <w:vAlign w:val="center"/>
            <w:hideMark/>
          </w:tcPr>
          <w:p w14:paraId="02EA21B7"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Kontu grupa</w:t>
            </w:r>
          </w:p>
        </w:tc>
        <w:tc>
          <w:tcPr>
            <w:tcW w:w="4962" w:type="dxa"/>
            <w:gridSpan w:val="4"/>
            <w:shd w:val="clear" w:color="000000" w:fill="B9CDE5"/>
            <w:vAlign w:val="center"/>
            <w:hideMark/>
          </w:tcPr>
          <w:p w14:paraId="6B1C104B"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Saņemamie maksājumi</w:t>
            </w:r>
          </w:p>
        </w:tc>
        <w:tc>
          <w:tcPr>
            <w:tcW w:w="1508" w:type="dxa"/>
            <w:vMerge w:val="restart"/>
            <w:shd w:val="clear" w:color="000000" w:fill="B9CDE5"/>
            <w:vAlign w:val="center"/>
            <w:hideMark/>
          </w:tcPr>
          <w:p w14:paraId="2EA9EA89"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Prasība (diskontētie ieņēmumi) pārskata perioda beigās</w:t>
            </w:r>
          </w:p>
        </w:tc>
      </w:tr>
      <w:tr w:rsidR="000C1009" w:rsidRPr="00A27896" w14:paraId="07091319" w14:textId="77777777" w:rsidTr="00D93308">
        <w:trPr>
          <w:trHeight w:val="649"/>
        </w:trPr>
        <w:tc>
          <w:tcPr>
            <w:tcW w:w="2835" w:type="dxa"/>
            <w:vMerge/>
            <w:vAlign w:val="center"/>
            <w:hideMark/>
          </w:tcPr>
          <w:p w14:paraId="1459BA6B" w14:textId="77777777" w:rsidR="0017259F" w:rsidRPr="00A27896" w:rsidRDefault="0017259F" w:rsidP="0017259F">
            <w:pPr>
              <w:spacing w:after="0" w:line="240" w:lineRule="auto"/>
              <w:rPr>
                <w:rFonts w:eastAsia="Times New Roman" w:cs="Times New Roman"/>
                <w:b/>
                <w:bCs/>
                <w:color w:val="17365D"/>
                <w:sz w:val="18"/>
                <w:szCs w:val="18"/>
                <w:lang w:eastAsia="lv-LV"/>
              </w:rPr>
            </w:pPr>
          </w:p>
        </w:tc>
        <w:tc>
          <w:tcPr>
            <w:tcW w:w="1469" w:type="dxa"/>
            <w:shd w:val="clear" w:color="000000" w:fill="B9CDE5"/>
            <w:vAlign w:val="center"/>
            <w:hideMark/>
          </w:tcPr>
          <w:p w14:paraId="515154CA"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 līdz līguma termiņa beigām</w:t>
            </w:r>
          </w:p>
        </w:tc>
        <w:tc>
          <w:tcPr>
            <w:tcW w:w="1083" w:type="dxa"/>
            <w:shd w:val="clear" w:color="000000" w:fill="B9CDE5"/>
            <w:vAlign w:val="center"/>
            <w:hideMark/>
          </w:tcPr>
          <w:p w14:paraId="382EB2E2" w14:textId="0F7BD9BE" w:rsidR="0017259F" w:rsidRPr="00A27896" w:rsidRDefault="0067556B"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2023</w:t>
            </w:r>
          </w:p>
        </w:tc>
        <w:tc>
          <w:tcPr>
            <w:tcW w:w="1134" w:type="dxa"/>
            <w:shd w:val="clear" w:color="000000" w:fill="B9CDE5"/>
            <w:vAlign w:val="center"/>
            <w:hideMark/>
          </w:tcPr>
          <w:p w14:paraId="72915859" w14:textId="4BB47229" w:rsidR="0017259F" w:rsidRPr="00A27896" w:rsidRDefault="0017259F"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67556B" w:rsidRPr="00A27896">
              <w:rPr>
                <w:rFonts w:eastAsia="Times New Roman" w:cs="Times New Roman"/>
                <w:b/>
                <w:bCs/>
                <w:color w:val="17365D"/>
                <w:sz w:val="18"/>
                <w:szCs w:val="18"/>
                <w:lang w:eastAsia="lv-LV"/>
              </w:rPr>
              <w:t>4</w:t>
            </w:r>
          </w:p>
        </w:tc>
        <w:tc>
          <w:tcPr>
            <w:tcW w:w="1276" w:type="dxa"/>
            <w:shd w:val="clear" w:color="000000" w:fill="B9CDE5"/>
            <w:vAlign w:val="center"/>
            <w:hideMark/>
          </w:tcPr>
          <w:p w14:paraId="4CF73CC7" w14:textId="0613D33F" w:rsidR="0017259F" w:rsidRPr="00A27896" w:rsidRDefault="0017259F"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67556B" w:rsidRPr="00A27896">
              <w:rPr>
                <w:rFonts w:eastAsia="Times New Roman" w:cs="Times New Roman"/>
                <w:b/>
                <w:bCs/>
                <w:color w:val="17365D"/>
                <w:sz w:val="18"/>
                <w:szCs w:val="18"/>
                <w:lang w:eastAsia="lv-LV"/>
              </w:rPr>
              <w:t>5</w:t>
            </w:r>
          </w:p>
        </w:tc>
        <w:tc>
          <w:tcPr>
            <w:tcW w:w="1508" w:type="dxa"/>
            <w:vMerge/>
            <w:vAlign w:val="center"/>
            <w:hideMark/>
          </w:tcPr>
          <w:p w14:paraId="43E36E3E" w14:textId="77777777" w:rsidR="0017259F" w:rsidRPr="00A27896" w:rsidRDefault="0017259F" w:rsidP="0017259F">
            <w:pPr>
              <w:spacing w:after="0" w:line="240" w:lineRule="auto"/>
              <w:rPr>
                <w:rFonts w:eastAsia="Times New Roman" w:cs="Times New Roman"/>
                <w:b/>
                <w:bCs/>
                <w:color w:val="17365D"/>
                <w:sz w:val="18"/>
                <w:szCs w:val="18"/>
                <w:lang w:eastAsia="lv-LV"/>
              </w:rPr>
            </w:pPr>
          </w:p>
        </w:tc>
      </w:tr>
      <w:tr w:rsidR="000C1009" w:rsidRPr="00A27896" w14:paraId="422C1CA2" w14:textId="77777777" w:rsidTr="00D93308">
        <w:trPr>
          <w:trHeight w:val="223"/>
        </w:trPr>
        <w:tc>
          <w:tcPr>
            <w:tcW w:w="2835" w:type="dxa"/>
            <w:shd w:val="clear" w:color="auto" w:fill="auto"/>
            <w:vAlign w:val="center"/>
            <w:hideMark/>
          </w:tcPr>
          <w:p w14:paraId="022E6001"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469" w:type="dxa"/>
            <w:shd w:val="clear" w:color="auto" w:fill="auto"/>
            <w:vAlign w:val="center"/>
            <w:hideMark/>
          </w:tcPr>
          <w:p w14:paraId="4825C980"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083" w:type="dxa"/>
            <w:shd w:val="clear" w:color="auto" w:fill="auto"/>
            <w:vAlign w:val="center"/>
            <w:hideMark/>
          </w:tcPr>
          <w:p w14:paraId="6CB003C0"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134" w:type="dxa"/>
            <w:shd w:val="clear" w:color="auto" w:fill="auto"/>
            <w:vAlign w:val="center"/>
            <w:hideMark/>
          </w:tcPr>
          <w:p w14:paraId="378CBBD6"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276" w:type="dxa"/>
            <w:shd w:val="clear" w:color="auto" w:fill="auto"/>
            <w:vAlign w:val="center"/>
            <w:hideMark/>
          </w:tcPr>
          <w:p w14:paraId="2D0EC78D"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508" w:type="dxa"/>
            <w:shd w:val="clear" w:color="auto" w:fill="auto"/>
            <w:vAlign w:val="center"/>
            <w:hideMark/>
          </w:tcPr>
          <w:p w14:paraId="2B0A38A7"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r>
      <w:tr w:rsidR="00CA18B5" w:rsidRPr="00A27896" w14:paraId="6D39A6AC" w14:textId="77777777" w:rsidTr="00D93308">
        <w:trPr>
          <w:trHeight w:val="114"/>
        </w:trPr>
        <w:tc>
          <w:tcPr>
            <w:tcW w:w="2835" w:type="dxa"/>
            <w:shd w:val="clear" w:color="auto" w:fill="auto"/>
            <w:vAlign w:val="center"/>
          </w:tcPr>
          <w:p w14:paraId="31535502" w14:textId="77777777" w:rsidR="00CA18B5" w:rsidRPr="00A27896" w:rsidRDefault="00CA18B5" w:rsidP="00CA18B5">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Ilgtermiņa ieguldījumi</w:t>
            </w:r>
          </w:p>
        </w:tc>
        <w:tc>
          <w:tcPr>
            <w:tcW w:w="1469" w:type="dxa"/>
            <w:shd w:val="clear" w:color="auto" w:fill="auto"/>
          </w:tcPr>
          <w:p w14:paraId="64F1059E" w14:textId="2F2ED64F" w:rsidR="00CA18B5" w:rsidRPr="00A27896" w:rsidRDefault="00CA18B5" w:rsidP="00CA18B5">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5 072 801</w:t>
            </w:r>
          </w:p>
        </w:tc>
        <w:tc>
          <w:tcPr>
            <w:tcW w:w="1083" w:type="dxa"/>
            <w:shd w:val="clear" w:color="auto" w:fill="auto"/>
            <w:noWrap/>
          </w:tcPr>
          <w:p w14:paraId="0D715AB7" w14:textId="67B84D65" w:rsidR="00CA18B5" w:rsidRPr="00A27896" w:rsidRDefault="00CA18B5" w:rsidP="00CA18B5">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2 446 849</w:t>
            </w:r>
          </w:p>
        </w:tc>
        <w:tc>
          <w:tcPr>
            <w:tcW w:w="1134" w:type="dxa"/>
            <w:shd w:val="clear" w:color="auto" w:fill="auto"/>
            <w:noWrap/>
          </w:tcPr>
          <w:p w14:paraId="50B1C990" w14:textId="1509917A" w:rsidR="00CA18B5" w:rsidRPr="00A27896" w:rsidRDefault="00CA18B5" w:rsidP="00CA18B5">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1 045 065</w:t>
            </w:r>
          </w:p>
        </w:tc>
        <w:tc>
          <w:tcPr>
            <w:tcW w:w="1276" w:type="dxa"/>
            <w:shd w:val="clear" w:color="auto" w:fill="auto"/>
            <w:noWrap/>
          </w:tcPr>
          <w:p w14:paraId="4F8E8429" w14:textId="56129FAE" w:rsidR="00CA18B5" w:rsidRPr="00A27896" w:rsidRDefault="00CA18B5" w:rsidP="00CA18B5">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707 902</w:t>
            </w:r>
          </w:p>
        </w:tc>
        <w:tc>
          <w:tcPr>
            <w:tcW w:w="1508" w:type="dxa"/>
            <w:shd w:val="clear" w:color="auto" w:fill="auto"/>
            <w:noWrap/>
          </w:tcPr>
          <w:p w14:paraId="2970F37C" w14:textId="3670BCBB" w:rsidR="00CA18B5" w:rsidRPr="00A27896" w:rsidRDefault="00CA18B5" w:rsidP="00CA18B5">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4 369 379</w:t>
            </w:r>
          </w:p>
        </w:tc>
      </w:tr>
      <w:tr w:rsidR="00CA18B5" w:rsidRPr="00A27896" w14:paraId="3EB7F3F3" w14:textId="77777777" w:rsidTr="00CA18B5">
        <w:trPr>
          <w:trHeight w:val="68"/>
        </w:trPr>
        <w:tc>
          <w:tcPr>
            <w:tcW w:w="2835" w:type="dxa"/>
            <w:shd w:val="clear" w:color="auto" w:fill="auto"/>
            <w:vAlign w:val="center"/>
            <w:hideMark/>
          </w:tcPr>
          <w:p w14:paraId="59791084" w14:textId="77777777" w:rsidR="00CA18B5" w:rsidRPr="00A27896" w:rsidRDefault="00CA18B5" w:rsidP="00CA18B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Zeme un būves</w:t>
            </w:r>
          </w:p>
        </w:tc>
        <w:tc>
          <w:tcPr>
            <w:tcW w:w="1469" w:type="dxa"/>
            <w:shd w:val="clear" w:color="auto" w:fill="auto"/>
            <w:noWrap/>
            <w:vAlign w:val="center"/>
            <w:hideMark/>
          </w:tcPr>
          <w:p w14:paraId="147B7F49" w14:textId="3BD2C2E9"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3 550 179</w:t>
            </w:r>
          </w:p>
        </w:tc>
        <w:tc>
          <w:tcPr>
            <w:tcW w:w="1083" w:type="dxa"/>
            <w:shd w:val="clear" w:color="auto" w:fill="auto"/>
            <w:noWrap/>
            <w:vAlign w:val="center"/>
            <w:hideMark/>
          </w:tcPr>
          <w:p w14:paraId="60CEC186" w14:textId="5FDBE886"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1 821 157</w:t>
            </w:r>
          </w:p>
        </w:tc>
        <w:tc>
          <w:tcPr>
            <w:tcW w:w="1134" w:type="dxa"/>
            <w:shd w:val="clear" w:color="auto" w:fill="auto"/>
            <w:noWrap/>
            <w:vAlign w:val="center"/>
            <w:hideMark/>
          </w:tcPr>
          <w:p w14:paraId="76E31FBF" w14:textId="0FD7F86E"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606 835</w:t>
            </w:r>
          </w:p>
        </w:tc>
        <w:tc>
          <w:tcPr>
            <w:tcW w:w="1276" w:type="dxa"/>
            <w:shd w:val="clear" w:color="auto" w:fill="auto"/>
            <w:noWrap/>
            <w:vAlign w:val="center"/>
            <w:hideMark/>
          </w:tcPr>
          <w:p w14:paraId="0245DC13" w14:textId="367AACEB"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419 681</w:t>
            </w:r>
          </w:p>
        </w:tc>
        <w:tc>
          <w:tcPr>
            <w:tcW w:w="1508" w:type="dxa"/>
            <w:shd w:val="clear" w:color="auto" w:fill="auto"/>
            <w:noWrap/>
            <w:vAlign w:val="center"/>
            <w:hideMark/>
          </w:tcPr>
          <w:p w14:paraId="4D1877C7" w14:textId="479236FB"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2 986 592</w:t>
            </w:r>
          </w:p>
        </w:tc>
      </w:tr>
      <w:tr w:rsidR="00CA18B5" w:rsidRPr="00A27896" w14:paraId="7FB49276" w14:textId="77777777" w:rsidTr="00CA18B5">
        <w:trPr>
          <w:trHeight w:val="339"/>
        </w:trPr>
        <w:tc>
          <w:tcPr>
            <w:tcW w:w="2835" w:type="dxa"/>
            <w:shd w:val="clear" w:color="auto" w:fill="auto"/>
            <w:vAlign w:val="center"/>
            <w:hideMark/>
          </w:tcPr>
          <w:p w14:paraId="321675EA" w14:textId="77777777" w:rsidR="00CA18B5" w:rsidRPr="00A27896" w:rsidRDefault="00CA18B5" w:rsidP="00CA18B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Turējumā nodotie valsts un pašvaldību īpašumi</w:t>
            </w:r>
          </w:p>
        </w:tc>
        <w:tc>
          <w:tcPr>
            <w:tcW w:w="1469" w:type="dxa"/>
            <w:shd w:val="clear" w:color="auto" w:fill="auto"/>
            <w:noWrap/>
            <w:vAlign w:val="center"/>
            <w:hideMark/>
          </w:tcPr>
          <w:p w14:paraId="22B6542C" w14:textId="40AB0848"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290 671</w:t>
            </w:r>
          </w:p>
        </w:tc>
        <w:tc>
          <w:tcPr>
            <w:tcW w:w="1083" w:type="dxa"/>
            <w:shd w:val="clear" w:color="auto" w:fill="auto"/>
            <w:noWrap/>
            <w:vAlign w:val="center"/>
            <w:hideMark/>
          </w:tcPr>
          <w:p w14:paraId="47C7DE5F" w14:textId="78DBDF6B"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119 231</w:t>
            </w:r>
          </w:p>
        </w:tc>
        <w:tc>
          <w:tcPr>
            <w:tcW w:w="1134" w:type="dxa"/>
            <w:shd w:val="clear" w:color="auto" w:fill="auto"/>
            <w:noWrap/>
            <w:vAlign w:val="center"/>
            <w:hideMark/>
          </w:tcPr>
          <w:p w14:paraId="59AAB9CD" w14:textId="59FB2BE5"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79 570</w:t>
            </w:r>
          </w:p>
        </w:tc>
        <w:tc>
          <w:tcPr>
            <w:tcW w:w="1276" w:type="dxa"/>
            <w:shd w:val="clear" w:color="auto" w:fill="auto"/>
            <w:noWrap/>
            <w:vAlign w:val="center"/>
            <w:hideMark/>
          </w:tcPr>
          <w:p w14:paraId="05A6DEC5" w14:textId="26247F78"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55 964</w:t>
            </w:r>
          </w:p>
        </w:tc>
        <w:tc>
          <w:tcPr>
            <w:tcW w:w="1508" w:type="dxa"/>
            <w:shd w:val="clear" w:color="auto" w:fill="auto"/>
            <w:noWrap/>
            <w:vAlign w:val="center"/>
            <w:hideMark/>
          </w:tcPr>
          <w:p w14:paraId="6DBCD141" w14:textId="290FA8E9"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264 776</w:t>
            </w:r>
          </w:p>
        </w:tc>
      </w:tr>
      <w:tr w:rsidR="00CA18B5" w:rsidRPr="00A27896" w14:paraId="11349042" w14:textId="77777777" w:rsidTr="00CA18B5">
        <w:trPr>
          <w:trHeight w:val="250"/>
        </w:trPr>
        <w:tc>
          <w:tcPr>
            <w:tcW w:w="2835" w:type="dxa"/>
            <w:shd w:val="clear" w:color="auto" w:fill="auto"/>
            <w:vAlign w:val="center"/>
            <w:hideMark/>
          </w:tcPr>
          <w:p w14:paraId="03B7E793" w14:textId="77777777" w:rsidR="00CA18B5" w:rsidRPr="00A27896" w:rsidRDefault="00CA18B5" w:rsidP="00CA18B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Ieguldījuma īpašumi</w:t>
            </w:r>
          </w:p>
        </w:tc>
        <w:tc>
          <w:tcPr>
            <w:tcW w:w="1469" w:type="dxa"/>
            <w:shd w:val="clear" w:color="auto" w:fill="auto"/>
            <w:noWrap/>
            <w:vAlign w:val="center"/>
            <w:hideMark/>
          </w:tcPr>
          <w:p w14:paraId="413BB6BD" w14:textId="113A34FA"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899 480</w:t>
            </w:r>
          </w:p>
        </w:tc>
        <w:tc>
          <w:tcPr>
            <w:tcW w:w="1083" w:type="dxa"/>
            <w:shd w:val="clear" w:color="auto" w:fill="auto"/>
            <w:noWrap/>
            <w:vAlign w:val="center"/>
            <w:hideMark/>
          </w:tcPr>
          <w:p w14:paraId="2ADE3D50" w14:textId="39063265"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381 876</w:t>
            </w:r>
          </w:p>
        </w:tc>
        <w:tc>
          <w:tcPr>
            <w:tcW w:w="1134" w:type="dxa"/>
            <w:shd w:val="clear" w:color="auto" w:fill="auto"/>
            <w:noWrap/>
            <w:vAlign w:val="center"/>
            <w:hideMark/>
          </w:tcPr>
          <w:p w14:paraId="2AE2F8EF" w14:textId="41E2B366"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261 644</w:t>
            </w:r>
          </w:p>
        </w:tc>
        <w:tc>
          <w:tcPr>
            <w:tcW w:w="1276" w:type="dxa"/>
            <w:shd w:val="clear" w:color="auto" w:fill="auto"/>
            <w:noWrap/>
            <w:vAlign w:val="center"/>
            <w:hideMark/>
          </w:tcPr>
          <w:p w14:paraId="6074BE9E" w14:textId="4490EAC8"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162 833</w:t>
            </w:r>
          </w:p>
        </w:tc>
        <w:tc>
          <w:tcPr>
            <w:tcW w:w="1508" w:type="dxa"/>
            <w:shd w:val="clear" w:color="auto" w:fill="auto"/>
            <w:noWrap/>
            <w:vAlign w:val="center"/>
            <w:hideMark/>
          </w:tcPr>
          <w:p w14:paraId="79C18C69" w14:textId="3D585E54"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827 860</w:t>
            </w:r>
          </w:p>
        </w:tc>
      </w:tr>
      <w:tr w:rsidR="00CA18B5" w:rsidRPr="00A27896" w14:paraId="3C3BF02B" w14:textId="77777777" w:rsidTr="00CA18B5">
        <w:trPr>
          <w:trHeight w:val="331"/>
        </w:trPr>
        <w:tc>
          <w:tcPr>
            <w:tcW w:w="2835" w:type="dxa"/>
            <w:shd w:val="clear" w:color="auto" w:fill="auto"/>
            <w:vAlign w:val="center"/>
            <w:hideMark/>
          </w:tcPr>
          <w:p w14:paraId="288EEE0C" w14:textId="77777777" w:rsidR="00CA18B5" w:rsidRPr="00A27896" w:rsidRDefault="00CA18B5" w:rsidP="00CA18B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Turējumā nodotie ieguldījuma īpašumi</w:t>
            </w:r>
          </w:p>
        </w:tc>
        <w:tc>
          <w:tcPr>
            <w:tcW w:w="1469" w:type="dxa"/>
            <w:shd w:val="clear" w:color="auto" w:fill="auto"/>
            <w:noWrap/>
            <w:vAlign w:val="center"/>
            <w:hideMark/>
          </w:tcPr>
          <w:p w14:paraId="0E4F136F" w14:textId="0A418F3C"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332 471</w:t>
            </w:r>
          </w:p>
        </w:tc>
        <w:tc>
          <w:tcPr>
            <w:tcW w:w="1083" w:type="dxa"/>
            <w:shd w:val="clear" w:color="auto" w:fill="auto"/>
            <w:noWrap/>
            <w:vAlign w:val="center"/>
            <w:hideMark/>
          </w:tcPr>
          <w:p w14:paraId="0AA95155" w14:textId="50815522"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124 585</w:t>
            </w:r>
          </w:p>
        </w:tc>
        <w:tc>
          <w:tcPr>
            <w:tcW w:w="1134" w:type="dxa"/>
            <w:shd w:val="clear" w:color="auto" w:fill="auto"/>
            <w:noWrap/>
            <w:vAlign w:val="center"/>
            <w:hideMark/>
          </w:tcPr>
          <w:p w14:paraId="1CA1F2B6" w14:textId="390AF6DE"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97 016</w:t>
            </w:r>
          </w:p>
        </w:tc>
        <w:tc>
          <w:tcPr>
            <w:tcW w:w="1276" w:type="dxa"/>
            <w:shd w:val="clear" w:color="auto" w:fill="auto"/>
            <w:noWrap/>
            <w:vAlign w:val="center"/>
            <w:hideMark/>
          </w:tcPr>
          <w:p w14:paraId="0BE8F8E0" w14:textId="3CEFABB5"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69 424</w:t>
            </w:r>
          </w:p>
        </w:tc>
        <w:tc>
          <w:tcPr>
            <w:tcW w:w="1508" w:type="dxa"/>
            <w:shd w:val="clear" w:color="auto" w:fill="auto"/>
            <w:noWrap/>
            <w:vAlign w:val="center"/>
            <w:hideMark/>
          </w:tcPr>
          <w:p w14:paraId="03A06B2B" w14:textId="42F1F496"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290 151</w:t>
            </w:r>
          </w:p>
        </w:tc>
      </w:tr>
      <w:tr w:rsidR="00CA18B5" w:rsidRPr="00A27896" w14:paraId="5F568CE9" w14:textId="77777777" w:rsidTr="00CA18B5">
        <w:trPr>
          <w:trHeight w:val="218"/>
        </w:trPr>
        <w:tc>
          <w:tcPr>
            <w:tcW w:w="2835" w:type="dxa"/>
            <w:shd w:val="clear" w:color="auto" w:fill="auto"/>
            <w:vAlign w:val="center"/>
          </w:tcPr>
          <w:p w14:paraId="62796727" w14:textId="77777777" w:rsidR="00CA18B5" w:rsidRPr="00A27896" w:rsidRDefault="00CA18B5" w:rsidP="00CA18B5">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Apgrozāmie līdzekļi</w:t>
            </w:r>
          </w:p>
        </w:tc>
        <w:tc>
          <w:tcPr>
            <w:tcW w:w="1469" w:type="dxa"/>
            <w:shd w:val="clear" w:color="auto" w:fill="auto"/>
            <w:noWrap/>
            <w:vAlign w:val="center"/>
          </w:tcPr>
          <w:p w14:paraId="66773296" w14:textId="1FCD91DA" w:rsidR="00CA18B5" w:rsidRPr="00A27896" w:rsidRDefault="00CA18B5" w:rsidP="00CA18B5">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686 084</w:t>
            </w:r>
          </w:p>
        </w:tc>
        <w:tc>
          <w:tcPr>
            <w:tcW w:w="1083" w:type="dxa"/>
            <w:shd w:val="clear" w:color="auto" w:fill="auto"/>
            <w:noWrap/>
            <w:vAlign w:val="center"/>
          </w:tcPr>
          <w:p w14:paraId="05DC8228" w14:textId="239C050D" w:rsidR="00CA18B5" w:rsidRPr="00A27896" w:rsidRDefault="00CA18B5" w:rsidP="00CA18B5">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269 567</w:t>
            </w:r>
          </w:p>
        </w:tc>
        <w:tc>
          <w:tcPr>
            <w:tcW w:w="1134" w:type="dxa"/>
            <w:shd w:val="clear" w:color="auto" w:fill="auto"/>
            <w:noWrap/>
            <w:vAlign w:val="center"/>
          </w:tcPr>
          <w:p w14:paraId="7779EDF4" w14:textId="01B0B25A" w:rsidR="00CA18B5" w:rsidRPr="00A27896" w:rsidRDefault="00CA18B5" w:rsidP="00CA18B5">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216 855</w:t>
            </w:r>
          </w:p>
        </w:tc>
        <w:tc>
          <w:tcPr>
            <w:tcW w:w="1276" w:type="dxa"/>
            <w:shd w:val="clear" w:color="auto" w:fill="auto"/>
            <w:noWrap/>
            <w:vAlign w:val="center"/>
          </w:tcPr>
          <w:p w14:paraId="1BAA970A" w14:textId="6A9AAA24" w:rsidR="00CA18B5" w:rsidRPr="00A27896" w:rsidRDefault="00CA18B5" w:rsidP="00CA18B5">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159 688</w:t>
            </w:r>
          </w:p>
        </w:tc>
        <w:tc>
          <w:tcPr>
            <w:tcW w:w="1508" w:type="dxa"/>
            <w:shd w:val="clear" w:color="auto" w:fill="auto"/>
            <w:noWrap/>
            <w:vAlign w:val="center"/>
          </w:tcPr>
          <w:p w14:paraId="7A711599" w14:textId="62881FEA" w:rsidR="00CA18B5" w:rsidRPr="00A27896" w:rsidRDefault="00CA18B5" w:rsidP="00CA18B5">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666 648</w:t>
            </w:r>
          </w:p>
        </w:tc>
      </w:tr>
      <w:tr w:rsidR="00CA18B5" w:rsidRPr="00A27896" w14:paraId="193B8821" w14:textId="77777777" w:rsidTr="00CA18B5">
        <w:trPr>
          <w:trHeight w:val="334"/>
        </w:trPr>
        <w:tc>
          <w:tcPr>
            <w:tcW w:w="2835" w:type="dxa"/>
            <w:shd w:val="clear" w:color="auto" w:fill="auto"/>
            <w:vAlign w:val="center"/>
            <w:hideMark/>
          </w:tcPr>
          <w:p w14:paraId="1668AA14" w14:textId="77777777" w:rsidR="00CA18B5" w:rsidRPr="00A27896" w:rsidRDefault="00CA18B5" w:rsidP="00CA18B5">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Gatavie ražojumi, pasūtījumi un krājumi atsavināšanai</w:t>
            </w:r>
          </w:p>
        </w:tc>
        <w:tc>
          <w:tcPr>
            <w:tcW w:w="1469" w:type="dxa"/>
            <w:shd w:val="clear" w:color="auto" w:fill="auto"/>
            <w:noWrap/>
            <w:vAlign w:val="center"/>
            <w:hideMark/>
          </w:tcPr>
          <w:p w14:paraId="4851762A" w14:textId="2C5C3218"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686 084</w:t>
            </w:r>
          </w:p>
        </w:tc>
        <w:tc>
          <w:tcPr>
            <w:tcW w:w="1083" w:type="dxa"/>
            <w:shd w:val="clear" w:color="auto" w:fill="auto"/>
            <w:noWrap/>
            <w:vAlign w:val="center"/>
            <w:hideMark/>
          </w:tcPr>
          <w:p w14:paraId="782F0C3C" w14:textId="148009AF"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269 567</w:t>
            </w:r>
          </w:p>
        </w:tc>
        <w:tc>
          <w:tcPr>
            <w:tcW w:w="1134" w:type="dxa"/>
            <w:shd w:val="clear" w:color="auto" w:fill="auto"/>
            <w:noWrap/>
            <w:vAlign w:val="center"/>
            <w:hideMark/>
          </w:tcPr>
          <w:p w14:paraId="3FF557FA" w14:textId="17B7B570"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216 855</w:t>
            </w:r>
          </w:p>
        </w:tc>
        <w:tc>
          <w:tcPr>
            <w:tcW w:w="1276" w:type="dxa"/>
            <w:shd w:val="clear" w:color="auto" w:fill="auto"/>
            <w:noWrap/>
            <w:vAlign w:val="center"/>
            <w:hideMark/>
          </w:tcPr>
          <w:p w14:paraId="423CE72A" w14:textId="2187D4FD"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159 688</w:t>
            </w:r>
          </w:p>
        </w:tc>
        <w:tc>
          <w:tcPr>
            <w:tcW w:w="1508" w:type="dxa"/>
            <w:shd w:val="clear" w:color="auto" w:fill="auto"/>
            <w:noWrap/>
            <w:vAlign w:val="center"/>
            <w:hideMark/>
          </w:tcPr>
          <w:p w14:paraId="357D0BD4" w14:textId="4C3D27DA" w:rsidR="00CA18B5" w:rsidRPr="00A27896" w:rsidRDefault="00CA18B5" w:rsidP="00CA18B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666 648</w:t>
            </w:r>
          </w:p>
        </w:tc>
      </w:tr>
      <w:tr w:rsidR="000C1009" w:rsidRPr="00A27896" w14:paraId="29F7AD91" w14:textId="77777777" w:rsidTr="00D93308">
        <w:trPr>
          <w:trHeight w:val="188"/>
        </w:trPr>
        <w:tc>
          <w:tcPr>
            <w:tcW w:w="2835" w:type="dxa"/>
            <w:shd w:val="clear" w:color="000000" w:fill="B9CDE5"/>
            <w:vAlign w:val="center"/>
            <w:hideMark/>
          </w:tcPr>
          <w:p w14:paraId="66A081C8" w14:textId="77777777" w:rsidR="0017259F" w:rsidRPr="00A27896" w:rsidRDefault="0017259F" w:rsidP="0017259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469" w:type="dxa"/>
            <w:shd w:val="clear" w:color="000000" w:fill="B9CDE5"/>
            <w:noWrap/>
            <w:vAlign w:val="center"/>
            <w:hideMark/>
          </w:tcPr>
          <w:p w14:paraId="369FCEBE"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083" w:type="dxa"/>
            <w:shd w:val="clear" w:color="000000" w:fill="B9CDE5"/>
            <w:noWrap/>
            <w:vAlign w:val="center"/>
            <w:hideMark/>
          </w:tcPr>
          <w:p w14:paraId="2BCB16E2"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shd w:val="clear" w:color="000000" w:fill="B9CDE5"/>
            <w:noWrap/>
            <w:vAlign w:val="center"/>
            <w:hideMark/>
          </w:tcPr>
          <w:p w14:paraId="293996FF"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76" w:type="dxa"/>
            <w:shd w:val="clear" w:color="000000" w:fill="B9CDE5"/>
            <w:noWrap/>
            <w:vAlign w:val="center"/>
            <w:hideMark/>
          </w:tcPr>
          <w:p w14:paraId="216285A3"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508" w:type="dxa"/>
            <w:shd w:val="clear" w:color="000000" w:fill="B9CDE5"/>
            <w:noWrap/>
            <w:vAlign w:val="center"/>
            <w:hideMark/>
          </w:tcPr>
          <w:p w14:paraId="5BAD7F40"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7D047D7E" w14:textId="68106737" w:rsidR="007B7D77" w:rsidRPr="00A27896" w:rsidRDefault="007B7D77" w:rsidP="004368D0">
      <w:pPr>
        <w:pStyle w:val="Heading5"/>
        <w:spacing w:before="240"/>
        <w:rPr>
          <w:rFonts w:cs="Times New Roman"/>
        </w:rPr>
      </w:pPr>
      <w:r w:rsidRPr="00A27896">
        <w:rPr>
          <w:rFonts w:cs="Times New Roman"/>
        </w:rPr>
        <w:lastRenderedPageBreak/>
        <w:t>Piezīme</w:t>
      </w:r>
      <w:r w:rsidR="00AC754B" w:rsidRPr="00A27896">
        <w:rPr>
          <w:rFonts w:cs="Times New Roman"/>
        </w:rPr>
        <w:t xml:space="preserve"> Nr.</w:t>
      </w:r>
      <w:r w:rsidRPr="00A27896">
        <w:rPr>
          <w:rFonts w:cs="Times New Roman"/>
        </w:rPr>
        <w:t xml:space="preserve"> V3. Informācija par finanšu nomā saņemtiem aktīviem un veicamiem maksājumiem</w:t>
      </w:r>
    </w:p>
    <w:p w14:paraId="5D553E39" w14:textId="3AACC237" w:rsidR="00BA2717" w:rsidRPr="00A27896" w:rsidRDefault="00BA2717" w:rsidP="00BA2717">
      <w:pPr>
        <w:spacing w:after="120" w:line="240" w:lineRule="auto"/>
        <w:ind w:firstLine="284"/>
        <w:jc w:val="both"/>
        <w:rPr>
          <w:rFonts w:cs="Times New Roman"/>
          <w:color w:val="17365D"/>
          <w:szCs w:val="24"/>
        </w:rPr>
      </w:pPr>
      <w:r w:rsidRPr="00A27896">
        <w:rPr>
          <w:rFonts w:cs="Times New Roman"/>
          <w:color w:val="17365D"/>
          <w:szCs w:val="24"/>
        </w:rPr>
        <w:t xml:space="preserve">Saskaņā ar ministriju, centrālo valsts iestāžu un pašvaldību sniegto informāciju saistības par finanšu nomā saņemtajiem aktīviem diskontētajā vērtībā pārskata periodā atzītas </w:t>
      </w:r>
      <w:r w:rsidR="00B04943" w:rsidRPr="00A27896">
        <w:rPr>
          <w:rFonts w:cs="Times New Roman"/>
          <w:color w:val="17365D"/>
          <w:szCs w:val="24"/>
        </w:rPr>
        <w:t xml:space="preserve">16 049 777 </w:t>
      </w:r>
      <w:proofErr w:type="spellStart"/>
      <w:r w:rsidRPr="00A27896">
        <w:rPr>
          <w:rFonts w:cs="Times New Roman"/>
          <w:i/>
          <w:color w:val="17365D"/>
          <w:szCs w:val="24"/>
        </w:rPr>
        <w:t>euro</w:t>
      </w:r>
      <w:proofErr w:type="spellEnd"/>
      <w:r w:rsidRPr="00A27896">
        <w:rPr>
          <w:rFonts w:cs="Times New Roman"/>
          <w:color w:val="17365D"/>
          <w:szCs w:val="24"/>
        </w:rPr>
        <w:t xml:space="preserve"> vērtībā un tās sadalījumā pa aktīvu bilances posteņiem un saņemamajiem maksājumiem norādītas </w:t>
      </w:r>
      <w:r w:rsidR="005301E2" w:rsidRPr="00A27896">
        <w:rPr>
          <w:rFonts w:cs="Times New Roman"/>
          <w:color w:val="17365D"/>
          <w:szCs w:val="24"/>
        </w:rPr>
        <w:t>2</w:t>
      </w:r>
      <w:r w:rsidR="000229AE" w:rsidRPr="00A27896">
        <w:rPr>
          <w:rFonts w:cs="Times New Roman"/>
          <w:color w:val="17365D"/>
          <w:szCs w:val="24"/>
        </w:rPr>
        <w:t>6</w:t>
      </w:r>
      <w:r w:rsidRPr="00A27896">
        <w:rPr>
          <w:rFonts w:cs="Times New Roman"/>
          <w:color w:val="17365D"/>
          <w:szCs w:val="24"/>
        </w:rPr>
        <w:t>.</w:t>
      </w:r>
      <w:r w:rsidR="00FF34A4" w:rsidRPr="00A27896">
        <w:rPr>
          <w:rFonts w:cs="Times New Roman"/>
          <w:color w:val="17365D"/>
          <w:szCs w:val="24"/>
        </w:rPr>
        <w:t> </w:t>
      </w:r>
      <w:r w:rsidRPr="00A27896">
        <w:rPr>
          <w:rFonts w:cs="Times New Roman"/>
          <w:color w:val="17365D"/>
          <w:szCs w:val="24"/>
        </w:rPr>
        <w:t>tabulā:</w:t>
      </w:r>
    </w:p>
    <w:p w14:paraId="579A7569" w14:textId="5270D7FD" w:rsidR="00E70B9F" w:rsidRPr="00A27896" w:rsidRDefault="005301E2" w:rsidP="005311E7">
      <w:pPr>
        <w:spacing w:after="0" w:line="240" w:lineRule="auto"/>
        <w:jc w:val="right"/>
        <w:rPr>
          <w:rFonts w:cs="Times New Roman"/>
          <w:i/>
          <w:color w:val="17365D"/>
          <w:sz w:val="20"/>
        </w:rPr>
      </w:pPr>
      <w:r w:rsidRPr="00A27896">
        <w:rPr>
          <w:rFonts w:cs="Times New Roman"/>
          <w:i/>
          <w:color w:val="17365D"/>
          <w:sz w:val="20"/>
        </w:rPr>
        <w:t>2</w:t>
      </w:r>
      <w:r w:rsidR="000229AE" w:rsidRPr="00A27896">
        <w:rPr>
          <w:rFonts w:cs="Times New Roman"/>
          <w:i/>
          <w:color w:val="17365D"/>
          <w:sz w:val="20"/>
        </w:rPr>
        <w:t>6</w:t>
      </w:r>
      <w:r w:rsidR="00743E0E" w:rsidRPr="00A27896">
        <w:rPr>
          <w:rFonts w:cs="Times New Roman"/>
          <w:i/>
          <w:color w:val="17365D"/>
          <w:sz w:val="20"/>
        </w:rPr>
        <w:t>. </w:t>
      </w:r>
      <w:r w:rsidR="0075331A" w:rsidRPr="00A27896">
        <w:rPr>
          <w:rFonts w:cs="Times New Roman"/>
          <w:i/>
          <w:color w:val="17365D"/>
          <w:sz w:val="20"/>
        </w:rPr>
        <w:t>tabula</w:t>
      </w:r>
      <w:r w:rsidR="005013EF" w:rsidRPr="00A27896">
        <w:rPr>
          <w:rFonts w:cs="Times New Roman"/>
          <w:i/>
          <w:color w:val="17365D"/>
          <w:sz w:val="20"/>
        </w:rPr>
        <w:t>.</w:t>
      </w:r>
      <w:r w:rsidR="005311E7" w:rsidRPr="00A27896">
        <w:rPr>
          <w:rFonts w:cs="Times New Roman"/>
          <w:i/>
          <w:color w:val="17365D"/>
          <w:sz w:val="20"/>
        </w:rPr>
        <w:t xml:space="preserve"> Informācija par finanšu nomā saņemtajiem aktīviem un veicamiem maksājumiem (</w:t>
      </w:r>
      <w:proofErr w:type="spellStart"/>
      <w:r w:rsidR="005311E7" w:rsidRPr="00A27896">
        <w:rPr>
          <w:rFonts w:cs="Times New Roman"/>
          <w:i/>
          <w:color w:val="17365D"/>
          <w:sz w:val="20"/>
        </w:rPr>
        <w:t>euro</w:t>
      </w:r>
      <w:proofErr w:type="spellEnd"/>
      <w:r w:rsidR="005311E7" w:rsidRPr="00A27896">
        <w:rPr>
          <w:rFonts w:cs="Times New Roman"/>
          <w:i/>
          <w:color w:val="17365D"/>
          <w:sz w:val="20"/>
        </w:rPr>
        <w:t>)</w:t>
      </w:r>
    </w:p>
    <w:tbl>
      <w:tblPr>
        <w:tblW w:w="9356" w:type="dxa"/>
        <w:tblBorders>
          <w:insideH w:val="single" w:sz="4" w:space="0" w:color="17365D"/>
        </w:tblBorders>
        <w:tblLook w:val="04A0" w:firstRow="1" w:lastRow="0" w:firstColumn="1" w:lastColumn="0" w:noHBand="0" w:noVBand="1"/>
      </w:tblPr>
      <w:tblGrid>
        <w:gridCol w:w="2198"/>
        <w:gridCol w:w="1223"/>
        <w:gridCol w:w="1417"/>
        <w:gridCol w:w="1134"/>
        <w:gridCol w:w="1134"/>
        <w:gridCol w:w="1134"/>
        <w:gridCol w:w="1116"/>
      </w:tblGrid>
      <w:tr w:rsidR="000C1009" w:rsidRPr="00A27896" w14:paraId="4A6E0405" w14:textId="77777777" w:rsidTr="00C715E2">
        <w:trPr>
          <w:trHeight w:val="651"/>
        </w:trPr>
        <w:tc>
          <w:tcPr>
            <w:tcW w:w="2198" w:type="dxa"/>
            <w:vMerge w:val="restart"/>
            <w:shd w:val="clear" w:color="000000" w:fill="B9CDE5"/>
            <w:vAlign w:val="center"/>
            <w:hideMark/>
          </w:tcPr>
          <w:p w14:paraId="3AB116E6"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Kontu grupa</w:t>
            </w:r>
          </w:p>
        </w:tc>
        <w:tc>
          <w:tcPr>
            <w:tcW w:w="1223" w:type="dxa"/>
            <w:vMerge w:val="restart"/>
            <w:shd w:val="clear" w:color="000000" w:fill="B9CDE5"/>
            <w:vAlign w:val="center"/>
            <w:hideMark/>
          </w:tcPr>
          <w:p w14:paraId="36C850AB"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Atlikusī vērtība (bilances vērtība) pārskata perioda beigās</w:t>
            </w:r>
          </w:p>
        </w:tc>
        <w:tc>
          <w:tcPr>
            <w:tcW w:w="4819" w:type="dxa"/>
            <w:gridSpan w:val="4"/>
            <w:shd w:val="clear" w:color="000000" w:fill="B9CDE5"/>
            <w:vAlign w:val="center"/>
            <w:hideMark/>
          </w:tcPr>
          <w:p w14:paraId="3DCB852A"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Nākotnes minimālie nomas maksājumi</w:t>
            </w:r>
          </w:p>
        </w:tc>
        <w:tc>
          <w:tcPr>
            <w:tcW w:w="1116" w:type="dxa"/>
            <w:vMerge w:val="restart"/>
            <w:shd w:val="clear" w:color="000000" w:fill="B9CDE5"/>
            <w:vAlign w:val="center"/>
            <w:hideMark/>
          </w:tcPr>
          <w:p w14:paraId="43C07C51"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Saistības (diskontētie izdevumi) pārskata perioda beigās</w:t>
            </w:r>
          </w:p>
        </w:tc>
      </w:tr>
      <w:tr w:rsidR="000C1009" w:rsidRPr="00A27896" w14:paraId="28B36540" w14:textId="77777777" w:rsidTr="00C715E2">
        <w:trPr>
          <w:trHeight w:val="735"/>
        </w:trPr>
        <w:tc>
          <w:tcPr>
            <w:tcW w:w="2198" w:type="dxa"/>
            <w:vMerge/>
            <w:tcBorders>
              <w:bottom w:val="single" w:sz="4" w:space="0" w:color="17365D"/>
            </w:tcBorders>
            <w:vAlign w:val="center"/>
            <w:hideMark/>
          </w:tcPr>
          <w:p w14:paraId="799D106D" w14:textId="77777777" w:rsidR="00C52348" w:rsidRPr="00A27896" w:rsidRDefault="00C52348" w:rsidP="00F20D24">
            <w:pPr>
              <w:spacing w:after="0" w:line="240" w:lineRule="auto"/>
              <w:rPr>
                <w:rFonts w:eastAsia="Times New Roman" w:cs="Times New Roman"/>
                <w:b/>
                <w:bCs/>
                <w:color w:val="17365D"/>
                <w:sz w:val="18"/>
                <w:szCs w:val="18"/>
                <w:lang w:eastAsia="lv-LV"/>
              </w:rPr>
            </w:pPr>
          </w:p>
        </w:tc>
        <w:tc>
          <w:tcPr>
            <w:tcW w:w="1223" w:type="dxa"/>
            <w:vMerge/>
            <w:tcBorders>
              <w:bottom w:val="single" w:sz="4" w:space="0" w:color="17365D"/>
            </w:tcBorders>
            <w:vAlign w:val="center"/>
            <w:hideMark/>
          </w:tcPr>
          <w:p w14:paraId="198C12EC" w14:textId="77777777" w:rsidR="00C52348" w:rsidRPr="00A27896" w:rsidRDefault="00C52348" w:rsidP="00F20D24">
            <w:pPr>
              <w:spacing w:after="0" w:line="240" w:lineRule="auto"/>
              <w:rPr>
                <w:rFonts w:eastAsia="Times New Roman" w:cs="Times New Roman"/>
                <w:b/>
                <w:bCs/>
                <w:color w:val="17365D"/>
                <w:sz w:val="18"/>
                <w:szCs w:val="18"/>
                <w:lang w:eastAsia="lv-LV"/>
              </w:rPr>
            </w:pPr>
          </w:p>
        </w:tc>
        <w:tc>
          <w:tcPr>
            <w:tcW w:w="1417" w:type="dxa"/>
            <w:tcBorders>
              <w:bottom w:val="single" w:sz="4" w:space="0" w:color="17365D"/>
            </w:tcBorders>
            <w:shd w:val="clear" w:color="000000" w:fill="B9CDE5"/>
            <w:vAlign w:val="center"/>
            <w:hideMark/>
          </w:tcPr>
          <w:p w14:paraId="2DBE9BD0"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 līdz līguma termiņa beigām</w:t>
            </w:r>
          </w:p>
        </w:tc>
        <w:tc>
          <w:tcPr>
            <w:tcW w:w="1134" w:type="dxa"/>
            <w:tcBorders>
              <w:bottom w:val="single" w:sz="4" w:space="0" w:color="17365D"/>
            </w:tcBorders>
            <w:shd w:val="clear" w:color="000000" w:fill="B9CDE5"/>
            <w:vAlign w:val="center"/>
            <w:hideMark/>
          </w:tcPr>
          <w:p w14:paraId="046C3742" w14:textId="6E5C5905" w:rsidR="00C52348" w:rsidRPr="00A27896" w:rsidRDefault="00C52348"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67556B" w:rsidRPr="00A27896">
              <w:rPr>
                <w:rFonts w:eastAsia="Times New Roman" w:cs="Times New Roman"/>
                <w:b/>
                <w:bCs/>
                <w:color w:val="17365D"/>
                <w:sz w:val="18"/>
                <w:szCs w:val="18"/>
                <w:lang w:eastAsia="lv-LV"/>
              </w:rPr>
              <w:t>3</w:t>
            </w:r>
          </w:p>
        </w:tc>
        <w:tc>
          <w:tcPr>
            <w:tcW w:w="1134" w:type="dxa"/>
            <w:tcBorders>
              <w:bottom w:val="single" w:sz="4" w:space="0" w:color="17365D"/>
            </w:tcBorders>
            <w:shd w:val="clear" w:color="000000" w:fill="B9CDE5"/>
            <w:vAlign w:val="center"/>
          </w:tcPr>
          <w:p w14:paraId="46909766" w14:textId="0EDDE7B2" w:rsidR="00C52348" w:rsidRPr="00A27896" w:rsidRDefault="00C52348"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67556B" w:rsidRPr="00A27896">
              <w:rPr>
                <w:rFonts w:eastAsia="Times New Roman" w:cs="Times New Roman"/>
                <w:b/>
                <w:bCs/>
                <w:color w:val="17365D"/>
                <w:sz w:val="18"/>
                <w:szCs w:val="18"/>
                <w:lang w:eastAsia="lv-LV"/>
              </w:rPr>
              <w:t>4</w:t>
            </w:r>
          </w:p>
        </w:tc>
        <w:tc>
          <w:tcPr>
            <w:tcW w:w="1134" w:type="dxa"/>
            <w:tcBorders>
              <w:bottom w:val="single" w:sz="4" w:space="0" w:color="17365D"/>
            </w:tcBorders>
            <w:shd w:val="clear" w:color="000000" w:fill="B9CDE5"/>
            <w:vAlign w:val="center"/>
            <w:hideMark/>
          </w:tcPr>
          <w:p w14:paraId="340CF547" w14:textId="097A9FA8" w:rsidR="00C52348" w:rsidRPr="00A27896" w:rsidRDefault="00C52348"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67556B" w:rsidRPr="00A27896">
              <w:rPr>
                <w:rFonts w:eastAsia="Times New Roman" w:cs="Times New Roman"/>
                <w:b/>
                <w:bCs/>
                <w:color w:val="17365D"/>
                <w:sz w:val="18"/>
                <w:szCs w:val="18"/>
                <w:lang w:eastAsia="lv-LV"/>
              </w:rPr>
              <w:t>5</w:t>
            </w:r>
          </w:p>
        </w:tc>
        <w:tc>
          <w:tcPr>
            <w:tcW w:w="1116" w:type="dxa"/>
            <w:vMerge/>
            <w:tcBorders>
              <w:bottom w:val="single" w:sz="4" w:space="0" w:color="17365D"/>
            </w:tcBorders>
            <w:vAlign w:val="center"/>
            <w:hideMark/>
          </w:tcPr>
          <w:p w14:paraId="702A7ABC" w14:textId="77777777" w:rsidR="00C52348" w:rsidRPr="00A27896" w:rsidRDefault="00C52348" w:rsidP="00F20D24">
            <w:pPr>
              <w:spacing w:after="0" w:line="240" w:lineRule="auto"/>
              <w:rPr>
                <w:rFonts w:eastAsia="Times New Roman" w:cs="Times New Roman"/>
                <w:b/>
                <w:bCs/>
                <w:color w:val="17365D"/>
                <w:sz w:val="18"/>
                <w:szCs w:val="18"/>
                <w:lang w:eastAsia="lv-LV"/>
              </w:rPr>
            </w:pPr>
          </w:p>
        </w:tc>
      </w:tr>
      <w:tr w:rsidR="000C1009" w:rsidRPr="00A27896" w14:paraId="664494CA" w14:textId="77777777" w:rsidTr="0085170B">
        <w:trPr>
          <w:trHeight w:val="96"/>
        </w:trPr>
        <w:tc>
          <w:tcPr>
            <w:tcW w:w="2198" w:type="dxa"/>
            <w:tcBorders>
              <w:top w:val="single" w:sz="4" w:space="0" w:color="17365D"/>
              <w:bottom w:val="single" w:sz="4" w:space="0" w:color="17365D"/>
            </w:tcBorders>
            <w:shd w:val="clear" w:color="auto" w:fill="auto"/>
            <w:vAlign w:val="center"/>
            <w:hideMark/>
          </w:tcPr>
          <w:p w14:paraId="054011E9"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223" w:type="dxa"/>
            <w:tcBorders>
              <w:top w:val="single" w:sz="4" w:space="0" w:color="17365D"/>
              <w:bottom w:val="single" w:sz="4" w:space="0" w:color="17365D"/>
            </w:tcBorders>
            <w:shd w:val="clear" w:color="auto" w:fill="auto"/>
            <w:vAlign w:val="center"/>
            <w:hideMark/>
          </w:tcPr>
          <w:p w14:paraId="05FBB9F7"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417" w:type="dxa"/>
            <w:tcBorders>
              <w:top w:val="single" w:sz="4" w:space="0" w:color="17365D"/>
              <w:bottom w:val="single" w:sz="4" w:space="0" w:color="17365D"/>
            </w:tcBorders>
            <w:shd w:val="clear" w:color="auto" w:fill="auto"/>
            <w:vAlign w:val="center"/>
            <w:hideMark/>
          </w:tcPr>
          <w:p w14:paraId="2519F38D"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134" w:type="dxa"/>
            <w:tcBorders>
              <w:top w:val="single" w:sz="4" w:space="0" w:color="17365D"/>
              <w:bottom w:val="single" w:sz="4" w:space="0" w:color="17365D"/>
            </w:tcBorders>
            <w:shd w:val="clear" w:color="auto" w:fill="auto"/>
            <w:vAlign w:val="center"/>
            <w:hideMark/>
          </w:tcPr>
          <w:p w14:paraId="6FA13240"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134" w:type="dxa"/>
            <w:tcBorders>
              <w:top w:val="single" w:sz="4" w:space="0" w:color="17365D"/>
              <w:bottom w:val="single" w:sz="4" w:space="0" w:color="17365D"/>
            </w:tcBorders>
            <w:shd w:val="clear" w:color="auto" w:fill="auto"/>
            <w:vAlign w:val="center"/>
            <w:hideMark/>
          </w:tcPr>
          <w:p w14:paraId="1611ACC6"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134" w:type="dxa"/>
            <w:tcBorders>
              <w:top w:val="single" w:sz="4" w:space="0" w:color="17365D"/>
              <w:bottom w:val="single" w:sz="4" w:space="0" w:color="17365D"/>
            </w:tcBorders>
            <w:shd w:val="clear" w:color="auto" w:fill="auto"/>
            <w:vAlign w:val="center"/>
            <w:hideMark/>
          </w:tcPr>
          <w:p w14:paraId="3F1DF495"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116" w:type="dxa"/>
            <w:tcBorders>
              <w:top w:val="single" w:sz="4" w:space="0" w:color="17365D"/>
              <w:bottom w:val="single" w:sz="4" w:space="0" w:color="17365D"/>
            </w:tcBorders>
            <w:shd w:val="clear" w:color="auto" w:fill="auto"/>
            <w:vAlign w:val="center"/>
            <w:hideMark/>
          </w:tcPr>
          <w:p w14:paraId="7B3CCAFF"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B04943" w:rsidRPr="00A27896" w14:paraId="735A7F8D" w14:textId="77777777" w:rsidTr="001D1A6D">
        <w:trPr>
          <w:trHeight w:val="122"/>
        </w:trPr>
        <w:tc>
          <w:tcPr>
            <w:tcW w:w="2198" w:type="dxa"/>
            <w:tcBorders>
              <w:top w:val="single" w:sz="4" w:space="0" w:color="17365D"/>
              <w:left w:val="nil"/>
              <w:bottom w:val="single" w:sz="4" w:space="0" w:color="17365D"/>
              <w:right w:val="nil"/>
            </w:tcBorders>
            <w:shd w:val="clear" w:color="auto" w:fill="auto"/>
            <w:vAlign w:val="center"/>
          </w:tcPr>
          <w:p w14:paraId="700D08D5" w14:textId="3E561EFE" w:rsidR="00B04943" w:rsidRPr="00A27896" w:rsidRDefault="00B04943" w:rsidP="00B04943">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Ilgtermiņa ieguldījumi </w:t>
            </w:r>
          </w:p>
        </w:tc>
        <w:tc>
          <w:tcPr>
            <w:tcW w:w="1223" w:type="dxa"/>
            <w:tcBorders>
              <w:top w:val="single" w:sz="4" w:space="0" w:color="17365D"/>
              <w:left w:val="nil"/>
              <w:bottom w:val="single" w:sz="4" w:space="0" w:color="17365D"/>
              <w:right w:val="nil"/>
            </w:tcBorders>
            <w:shd w:val="clear" w:color="auto" w:fill="auto"/>
            <w:vAlign w:val="center"/>
          </w:tcPr>
          <w:p w14:paraId="3F18D275" w14:textId="4C3A0580" w:rsidR="00B04943" w:rsidRPr="00A27896" w:rsidRDefault="00B04943" w:rsidP="001D1A6D">
            <w:pPr>
              <w:spacing w:after="0" w:line="240" w:lineRule="auto"/>
              <w:jc w:val="right"/>
              <w:rPr>
                <w:rFonts w:cs="Times New Roman"/>
                <w:b/>
                <w:bCs/>
                <w:color w:val="17365D"/>
                <w:sz w:val="18"/>
                <w:szCs w:val="18"/>
              </w:rPr>
            </w:pPr>
            <w:r w:rsidRPr="00A27896">
              <w:rPr>
                <w:rFonts w:cs="Times New Roman"/>
                <w:b/>
                <w:bCs/>
                <w:color w:val="17365D"/>
                <w:sz w:val="18"/>
                <w:szCs w:val="18"/>
              </w:rPr>
              <w:t>33 317 220</w:t>
            </w:r>
          </w:p>
        </w:tc>
        <w:tc>
          <w:tcPr>
            <w:tcW w:w="1417" w:type="dxa"/>
            <w:tcBorders>
              <w:top w:val="single" w:sz="4" w:space="0" w:color="17365D"/>
              <w:left w:val="nil"/>
              <w:bottom w:val="single" w:sz="4" w:space="0" w:color="17365D"/>
              <w:right w:val="nil"/>
            </w:tcBorders>
            <w:shd w:val="clear" w:color="auto" w:fill="auto"/>
            <w:vAlign w:val="center"/>
          </w:tcPr>
          <w:p w14:paraId="364EAEBE" w14:textId="2153EE78" w:rsidR="00B04943" w:rsidRPr="00A27896" w:rsidRDefault="00B04943" w:rsidP="001D1A6D">
            <w:pPr>
              <w:spacing w:after="0" w:line="240" w:lineRule="auto"/>
              <w:jc w:val="right"/>
              <w:rPr>
                <w:rFonts w:cs="Times New Roman"/>
                <w:b/>
                <w:bCs/>
                <w:color w:val="17365D"/>
                <w:sz w:val="18"/>
                <w:szCs w:val="18"/>
              </w:rPr>
            </w:pPr>
            <w:r w:rsidRPr="00A27896">
              <w:rPr>
                <w:rFonts w:cs="Times New Roman"/>
                <w:b/>
                <w:bCs/>
                <w:color w:val="17365D"/>
                <w:sz w:val="18"/>
                <w:szCs w:val="18"/>
              </w:rPr>
              <w:t>16 161 652</w:t>
            </w:r>
          </w:p>
        </w:tc>
        <w:tc>
          <w:tcPr>
            <w:tcW w:w="1134" w:type="dxa"/>
            <w:tcBorders>
              <w:top w:val="single" w:sz="4" w:space="0" w:color="17365D"/>
              <w:left w:val="nil"/>
              <w:bottom w:val="single" w:sz="4" w:space="0" w:color="17365D"/>
              <w:right w:val="nil"/>
            </w:tcBorders>
            <w:shd w:val="clear" w:color="auto" w:fill="auto"/>
            <w:vAlign w:val="center"/>
          </w:tcPr>
          <w:p w14:paraId="03927982" w14:textId="3993D524" w:rsidR="00B04943" w:rsidRPr="00A27896" w:rsidRDefault="00B04943" w:rsidP="001D1A6D">
            <w:pPr>
              <w:spacing w:after="0" w:line="240" w:lineRule="auto"/>
              <w:jc w:val="right"/>
              <w:rPr>
                <w:rFonts w:cs="Times New Roman"/>
                <w:b/>
                <w:bCs/>
                <w:color w:val="17365D"/>
                <w:sz w:val="18"/>
                <w:szCs w:val="18"/>
              </w:rPr>
            </w:pPr>
            <w:r w:rsidRPr="00A27896">
              <w:rPr>
                <w:rFonts w:cs="Times New Roman"/>
                <w:b/>
                <w:bCs/>
                <w:color w:val="17365D"/>
                <w:sz w:val="18"/>
                <w:szCs w:val="18"/>
              </w:rPr>
              <w:t>2 619 063</w:t>
            </w:r>
          </w:p>
        </w:tc>
        <w:tc>
          <w:tcPr>
            <w:tcW w:w="1134" w:type="dxa"/>
            <w:tcBorders>
              <w:top w:val="single" w:sz="4" w:space="0" w:color="17365D"/>
              <w:left w:val="nil"/>
              <w:bottom w:val="single" w:sz="4" w:space="0" w:color="17365D"/>
              <w:right w:val="nil"/>
            </w:tcBorders>
            <w:shd w:val="clear" w:color="auto" w:fill="auto"/>
            <w:vAlign w:val="center"/>
          </w:tcPr>
          <w:p w14:paraId="254C1279" w14:textId="6697B73C" w:rsidR="00B04943" w:rsidRPr="00A27896" w:rsidRDefault="00B04943" w:rsidP="001D1A6D">
            <w:pPr>
              <w:spacing w:after="0" w:line="240" w:lineRule="auto"/>
              <w:jc w:val="right"/>
              <w:rPr>
                <w:rFonts w:cs="Times New Roman"/>
                <w:b/>
                <w:bCs/>
                <w:color w:val="17365D"/>
                <w:sz w:val="18"/>
                <w:szCs w:val="18"/>
              </w:rPr>
            </w:pPr>
            <w:r w:rsidRPr="00A27896">
              <w:rPr>
                <w:rFonts w:cs="Times New Roman"/>
                <w:b/>
                <w:bCs/>
                <w:color w:val="17365D"/>
                <w:sz w:val="18"/>
                <w:szCs w:val="18"/>
              </w:rPr>
              <w:t>2 431 811</w:t>
            </w:r>
          </w:p>
        </w:tc>
        <w:tc>
          <w:tcPr>
            <w:tcW w:w="1134" w:type="dxa"/>
            <w:tcBorders>
              <w:top w:val="single" w:sz="4" w:space="0" w:color="17365D"/>
              <w:left w:val="nil"/>
              <w:bottom w:val="single" w:sz="4" w:space="0" w:color="17365D"/>
              <w:right w:val="nil"/>
            </w:tcBorders>
            <w:shd w:val="clear" w:color="auto" w:fill="auto"/>
            <w:vAlign w:val="center"/>
          </w:tcPr>
          <w:p w14:paraId="726D5FCE" w14:textId="4D344F77" w:rsidR="00B04943" w:rsidRPr="00A27896" w:rsidRDefault="00B04943" w:rsidP="001D1A6D">
            <w:pPr>
              <w:spacing w:after="0" w:line="240" w:lineRule="auto"/>
              <w:jc w:val="right"/>
              <w:rPr>
                <w:rFonts w:cs="Times New Roman"/>
                <w:b/>
                <w:bCs/>
                <w:color w:val="17365D"/>
                <w:sz w:val="18"/>
                <w:szCs w:val="18"/>
              </w:rPr>
            </w:pPr>
            <w:r w:rsidRPr="00A27896">
              <w:rPr>
                <w:rFonts w:cs="Times New Roman"/>
                <w:b/>
                <w:bCs/>
                <w:color w:val="17365D"/>
                <w:sz w:val="18"/>
                <w:szCs w:val="18"/>
              </w:rPr>
              <w:t>2 436 405</w:t>
            </w:r>
          </w:p>
        </w:tc>
        <w:tc>
          <w:tcPr>
            <w:tcW w:w="1116" w:type="dxa"/>
            <w:tcBorders>
              <w:top w:val="single" w:sz="4" w:space="0" w:color="17365D"/>
              <w:left w:val="nil"/>
              <w:bottom w:val="single" w:sz="4" w:space="0" w:color="17365D"/>
              <w:right w:val="nil"/>
            </w:tcBorders>
            <w:shd w:val="clear" w:color="auto" w:fill="auto"/>
            <w:vAlign w:val="center"/>
          </w:tcPr>
          <w:p w14:paraId="69015659" w14:textId="32434AD0" w:rsidR="00B04943" w:rsidRPr="00A27896" w:rsidRDefault="00B04943" w:rsidP="001D1A6D">
            <w:pPr>
              <w:spacing w:after="0" w:line="240" w:lineRule="auto"/>
              <w:jc w:val="right"/>
              <w:rPr>
                <w:rFonts w:cs="Times New Roman"/>
                <w:b/>
                <w:bCs/>
                <w:color w:val="17365D"/>
                <w:sz w:val="18"/>
                <w:szCs w:val="18"/>
              </w:rPr>
            </w:pPr>
            <w:r w:rsidRPr="00A27896">
              <w:rPr>
                <w:rFonts w:cs="Times New Roman"/>
                <w:b/>
                <w:bCs/>
                <w:color w:val="17365D"/>
                <w:sz w:val="18"/>
                <w:szCs w:val="18"/>
              </w:rPr>
              <w:t>16 044 719</w:t>
            </w:r>
          </w:p>
        </w:tc>
      </w:tr>
      <w:tr w:rsidR="00B04943" w:rsidRPr="00A27896" w14:paraId="3AEB3269" w14:textId="77777777" w:rsidTr="001D1A6D">
        <w:trPr>
          <w:trHeight w:val="122"/>
        </w:trPr>
        <w:tc>
          <w:tcPr>
            <w:tcW w:w="2198" w:type="dxa"/>
            <w:tcBorders>
              <w:top w:val="single" w:sz="4" w:space="0" w:color="17365D"/>
              <w:left w:val="nil"/>
              <w:bottom w:val="single" w:sz="4" w:space="0" w:color="17365D"/>
              <w:right w:val="nil"/>
            </w:tcBorders>
            <w:shd w:val="clear" w:color="auto" w:fill="auto"/>
            <w:vAlign w:val="center"/>
          </w:tcPr>
          <w:p w14:paraId="71DC41A6" w14:textId="3738BAC1" w:rsidR="00B04943" w:rsidRPr="00A27896" w:rsidRDefault="00B04943" w:rsidP="00B04943">
            <w:pPr>
              <w:spacing w:after="0" w:line="240" w:lineRule="auto"/>
              <w:rPr>
                <w:rFonts w:eastAsia="Times New Roman" w:cs="Times New Roman"/>
                <w:color w:val="17365D"/>
                <w:sz w:val="18"/>
                <w:szCs w:val="18"/>
                <w:lang w:eastAsia="lv-LV"/>
              </w:rPr>
            </w:pPr>
            <w:r w:rsidRPr="00A27896">
              <w:rPr>
                <w:rFonts w:cs="Times New Roman"/>
                <w:color w:val="17365D"/>
                <w:sz w:val="18"/>
                <w:szCs w:val="18"/>
              </w:rPr>
              <w:t>Licences, koncesijas un patenti, preču zīmes un tamlīdzīgas tiesības</w:t>
            </w:r>
          </w:p>
        </w:tc>
        <w:tc>
          <w:tcPr>
            <w:tcW w:w="1223" w:type="dxa"/>
            <w:tcBorders>
              <w:top w:val="single" w:sz="4" w:space="0" w:color="17365D"/>
              <w:left w:val="nil"/>
              <w:bottom w:val="single" w:sz="4" w:space="0" w:color="17365D"/>
              <w:right w:val="nil"/>
            </w:tcBorders>
            <w:shd w:val="clear" w:color="auto" w:fill="auto"/>
            <w:vAlign w:val="center"/>
          </w:tcPr>
          <w:p w14:paraId="29CF8035" w14:textId="3091806D"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8 987</w:t>
            </w:r>
          </w:p>
        </w:tc>
        <w:tc>
          <w:tcPr>
            <w:tcW w:w="1417" w:type="dxa"/>
            <w:tcBorders>
              <w:top w:val="single" w:sz="4" w:space="0" w:color="17365D"/>
              <w:left w:val="nil"/>
              <w:bottom w:val="single" w:sz="4" w:space="0" w:color="17365D"/>
              <w:right w:val="nil"/>
            </w:tcBorders>
            <w:shd w:val="clear" w:color="auto" w:fill="auto"/>
            <w:vAlign w:val="center"/>
          </w:tcPr>
          <w:p w14:paraId="18763152" w14:textId="576F2D5C"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9 621</w:t>
            </w:r>
          </w:p>
        </w:tc>
        <w:tc>
          <w:tcPr>
            <w:tcW w:w="1134" w:type="dxa"/>
            <w:tcBorders>
              <w:top w:val="single" w:sz="4" w:space="0" w:color="17365D"/>
              <w:left w:val="nil"/>
              <w:bottom w:val="single" w:sz="4" w:space="0" w:color="17365D"/>
              <w:right w:val="nil"/>
            </w:tcBorders>
            <w:shd w:val="clear" w:color="auto" w:fill="auto"/>
            <w:vAlign w:val="center"/>
          </w:tcPr>
          <w:p w14:paraId="094ED5E2" w14:textId="356828CA"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2 466</w:t>
            </w:r>
          </w:p>
        </w:tc>
        <w:tc>
          <w:tcPr>
            <w:tcW w:w="1134" w:type="dxa"/>
            <w:tcBorders>
              <w:top w:val="single" w:sz="4" w:space="0" w:color="17365D"/>
              <w:left w:val="nil"/>
              <w:bottom w:val="single" w:sz="4" w:space="0" w:color="17365D"/>
              <w:right w:val="nil"/>
            </w:tcBorders>
            <w:shd w:val="clear" w:color="auto" w:fill="auto"/>
            <w:vAlign w:val="center"/>
          </w:tcPr>
          <w:p w14:paraId="306FF055" w14:textId="0A8C9FB2"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2 445</w:t>
            </w:r>
          </w:p>
        </w:tc>
        <w:tc>
          <w:tcPr>
            <w:tcW w:w="1134" w:type="dxa"/>
            <w:tcBorders>
              <w:top w:val="single" w:sz="4" w:space="0" w:color="17365D"/>
              <w:left w:val="nil"/>
              <w:bottom w:val="single" w:sz="4" w:space="0" w:color="17365D"/>
              <w:right w:val="nil"/>
            </w:tcBorders>
            <w:shd w:val="clear" w:color="auto" w:fill="auto"/>
            <w:vAlign w:val="center"/>
          </w:tcPr>
          <w:p w14:paraId="5163AD51" w14:textId="0C7FE157"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2 423</w:t>
            </w:r>
          </w:p>
        </w:tc>
        <w:tc>
          <w:tcPr>
            <w:tcW w:w="1116" w:type="dxa"/>
            <w:tcBorders>
              <w:top w:val="single" w:sz="4" w:space="0" w:color="17365D"/>
              <w:left w:val="nil"/>
              <w:bottom w:val="single" w:sz="4" w:space="0" w:color="17365D"/>
              <w:right w:val="nil"/>
            </w:tcBorders>
            <w:shd w:val="clear" w:color="auto" w:fill="auto"/>
            <w:vAlign w:val="center"/>
          </w:tcPr>
          <w:p w14:paraId="77FCDE5B" w14:textId="5C1F1EC4"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9 451</w:t>
            </w:r>
          </w:p>
        </w:tc>
      </w:tr>
      <w:tr w:rsidR="00B04943" w:rsidRPr="00A27896" w14:paraId="6F8BB717" w14:textId="77777777" w:rsidTr="001D1A6D">
        <w:trPr>
          <w:trHeight w:val="122"/>
        </w:trPr>
        <w:tc>
          <w:tcPr>
            <w:tcW w:w="2198" w:type="dxa"/>
            <w:tcBorders>
              <w:top w:val="single" w:sz="4" w:space="0" w:color="17365D"/>
              <w:left w:val="nil"/>
              <w:bottom w:val="single" w:sz="4" w:space="0" w:color="17365D"/>
              <w:right w:val="nil"/>
            </w:tcBorders>
            <w:shd w:val="clear" w:color="auto" w:fill="auto"/>
            <w:vAlign w:val="center"/>
          </w:tcPr>
          <w:p w14:paraId="6664413B" w14:textId="5E3C23DE" w:rsidR="00B04943" w:rsidRPr="00A27896" w:rsidRDefault="00B04943" w:rsidP="00B04943">
            <w:pPr>
              <w:spacing w:after="0" w:line="240" w:lineRule="auto"/>
              <w:rPr>
                <w:rFonts w:cs="Times New Roman"/>
                <w:color w:val="17365D"/>
                <w:sz w:val="18"/>
                <w:szCs w:val="18"/>
              </w:rPr>
            </w:pPr>
            <w:r w:rsidRPr="00A27896">
              <w:rPr>
                <w:rFonts w:cs="Times New Roman"/>
                <w:color w:val="17365D"/>
                <w:sz w:val="18"/>
                <w:szCs w:val="18"/>
              </w:rPr>
              <w:t>Tehnoloģiskās iekārtas un mašīnas</w:t>
            </w:r>
          </w:p>
        </w:tc>
        <w:tc>
          <w:tcPr>
            <w:tcW w:w="1223" w:type="dxa"/>
            <w:tcBorders>
              <w:top w:val="single" w:sz="4" w:space="0" w:color="17365D"/>
              <w:left w:val="nil"/>
              <w:bottom w:val="single" w:sz="4" w:space="0" w:color="17365D"/>
              <w:right w:val="nil"/>
            </w:tcBorders>
            <w:shd w:val="clear" w:color="auto" w:fill="auto"/>
            <w:vAlign w:val="center"/>
          </w:tcPr>
          <w:p w14:paraId="2F27723D" w14:textId="57B68B6D"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126 409</w:t>
            </w:r>
          </w:p>
        </w:tc>
        <w:tc>
          <w:tcPr>
            <w:tcW w:w="1417" w:type="dxa"/>
            <w:tcBorders>
              <w:top w:val="single" w:sz="4" w:space="0" w:color="17365D"/>
              <w:left w:val="nil"/>
              <w:bottom w:val="single" w:sz="4" w:space="0" w:color="17365D"/>
              <w:right w:val="nil"/>
            </w:tcBorders>
            <w:shd w:val="clear" w:color="auto" w:fill="auto"/>
            <w:vAlign w:val="center"/>
          </w:tcPr>
          <w:p w14:paraId="17566707" w14:textId="110FB735"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86 746</w:t>
            </w:r>
          </w:p>
        </w:tc>
        <w:tc>
          <w:tcPr>
            <w:tcW w:w="1134" w:type="dxa"/>
            <w:tcBorders>
              <w:top w:val="single" w:sz="4" w:space="0" w:color="17365D"/>
              <w:left w:val="nil"/>
              <w:bottom w:val="single" w:sz="4" w:space="0" w:color="17365D"/>
              <w:right w:val="nil"/>
            </w:tcBorders>
            <w:shd w:val="clear" w:color="auto" w:fill="auto"/>
            <w:vAlign w:val="center"/>
          </w:tcPr>
          <w:p w14:paraId="68BB3B5A" w14:textId="22F4213B"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86 746</w:t>
            </w:r>
          </w:p>
        </w:tc>
        <w:tc>
          <w:tcPr>
            <w:tcW w:w="1134" w:type="dxa"/>
            <w:tcBorders>
              <w:top w:val="single" w:sz="4" w:space="0" w:color="17365D"/>
              <w:left w:val="nil"/>
              <w:bottom w:val="single" w:sz="4" w:space="0" w:color="17365D"/>
              <w:right w:val="nil"/>
            </w:tcBorders>
            <w:shd w:val="clear" w:color="auto" w:fill="auto"/>
            <w:vAlign w:val="center"/>
          </w:tcPr>
          <w:p w14:paraId="71E0D44B" w14:textId="0AAB9806"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0</w:t>
            </w:r>
          </w:p>
        </w:tc>
        <w:tc>
          <w:tcPr>
            <w:tcW w:w="1134" w:type="dxa"/>
            <w:tcBorders>
              <w:top w:val="single" w:sz="4" w:space="0" w:color="17365D"/>
              <w:left w:val="nil"/>
              <w:bottom w:val="single" w:sz="4" w:space="0" w:color="17365D"/>
              <w:right w:val="nil"/>
            </w:tcBorders>
            <w:shd w:val="clear" w:color="auto" w:fill="auto"/>
            <w:vAlign w:val="center"/>
          </w:tcPr>
          <w:p w14:paraId="593D30F7" w14:textId="73F3CB82"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0</w:t>
            </w:r>
          </w:p>
        </w:tc>
        <w:tc>
          <w:tcPr>
            <w:tcW w:w="1116" w:type="dxa"/>
            <w:tcBorders>
              <w:top w:val="single" w:sz="4" w:space="0" w:color="17365D"/>
              <w:left w:val="nil"/>
              <w:bottom w:val="single" w:sz="4" w:space="0" w:color="17365D"/>
              <w:right w:val="nil"/>
            </w:tcBorders>
            <w:shd w:val="clear" w:color="auto" w:fill="auto"/>
            <w:vAlign w:val="center"/>
          </w:tcPr>
          <w:p w14:paraId="1B8C46FA" w14:textId="6AD3364E"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86 746</w:t>
            </w:r>
          </w:p>
        </w:tc>
      </w:tr>
      <w:tr w:rsidR="00B04943" w:rsidRPr="00A27896" w14:paraId="375D76F5" w14:textId="77777777" w:rsidTr="001D1A6D">
        <w:trPr>
          <w:trHeight w:val="218"/>
        </w:trPr>
        <w:tc>
          <w:tcPr>
            <w:tcW w:w="2198" w:type="dxa"/>
            <w:tcBorders>
              <w:top w:val="single" w:sz="4" w:space="0" w:color="17365D"/>
              <w:left w:val="nil"/>
              <w:bottom w:val="single" w:sz="4" w:space="0" w:color="17365D"/>
              <w:right w:val="nil"/>
            </w:tcBorders>
            <w:shd w:val="clear" w:color="auto" w:fill="auto"/>
            <w:vAlign w:val="center"/>
            <w:hideMark/>
          </w:tcPr>
          <w:p w14:paraId="6BF9A89B" w14:textId="49B2F93B" w:rsidR="00B04943" w:rsidRPr="00A27896" w:rsidRDefault="00B04943" w:rsidP="00B0494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pamatlīdzekļi</w:t>
            </w:r>
          </w:p>
        </w:tc>
        <w:tc>
          <w:tcPr>
            <w:tcW w:w="1223" w:type="dxa"/>
            <w:tcBorders>
              <w:top w:val="single" w:sz="4" w:space="0" w:color="17365D"/>
              <w:left w:val="nil"/>
              <w:bottom w:val="single" w:sz="4" w:space="0" w:color="17365D"/>
              <w:right w:val="nil"/>
            </w:tcBorders>
            <w:shd w:val="clear" w:color="auto" w:fill="auto"/>
            <w:vAlign w:val="center"/>
            <w:hideMark/>
          </w:tcPr>
          <w:p w14:paraId="63C62091" w14:textId="020EA6D6"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453 900</w:t>
            </w:r>
          </w:p>
        </w:tc>
        <w:tc>
          <w:tcPr>
            <w:tcW w:w="1417" w:type="dxa"/>
            <w:tcBorders>
              <w:top w:val="single" w:sz="4" w:space="0" w:color="17365D"/>
              <w:left w:val="nil"/>
              <w:bottom w:val="single" w:sz="4" w:space="0" w:color="17365D"/>
              <w:right w:val="nil"/>
            </w:tcBorders>
            <w:shd w:val="clear" w:color="auto" w:fill="auto"/>
            <w:vAlign w:val="center"/>
            <w:hideMark/>
          </w:tcPr>
          <w:p w14:paraId="42DC47FF" w14:textId="681AF7B7"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473 264</w:t>
            </w:r>
          </w:p>
        </w:tc>
        <w:tc>
          <w:tcPr>
            <w:tcW w:w="1134" w:type="dxa"/>
            <w:tcBorders>
              <w:top w:val="single" w:sz="4" w:space="0" w:color="17365D"/>
              <w:left w:val="nil"/>
              <w:bottom w:val="single" w:sz="4" w:space="0" w:color="17365D"/>
              <w:right w:val="nil"/>
            </w:tcBorders>
            <w:shd w:val="clear" w:color="auto" w:fill="auto"/>
            <w:vAlign w:val="center"/>
            <w:hideMark/>
          </w:tcPr>
          <w:p w14:paraId="17C2DC01" w14:textId="62B3504A"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102 708</w:t>
            </w:r>
          </w:p>
        </w:tc>
        <w:tc>
          <w:tcPr>
            <w:tcW w:w="1134" w:type="dxa"/>
            <w:tcBorders>
              <w:top w:val="single" w:sz="4" w:space="0" w:color="17365D"/>
              <w:left w:val="nil"/>
              <w:bottom w:val="single" w:sz="4" w:space="0" w:color="17365D"/>
              <w:right w:val="nil"/>
            </w:tcBorders>
            <w:shd w:val="clear" w:color="auto" w:fill="auto"/>
            <w:vAlign w:val="center"/>
            <w:hideMark/>
          </w:tcPr>
          <w:p w14:paraId="297EC817" w14:textId="1622D388"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98 140</w:t>
            </w:r>
          </w:p>
        </w:tc>
        <w:tc>
          <w:tcPr>
            <w:tcW w:w="1134" w:type="dxa"/>
            <w:tcBorders>
              <w:top w:val="single" w:sz="4" w:space="0" w:color="17365D"/>
              <w:left w:val="nil"/>
              <w:bottom w:val="single" w:sz="4" w:space="0" w:color="17365D"/>
              <w:right w:val="nil"/>
            </w:tcBorders>
            <w:shd w:val="clear" w:color="auto" w:fill="auto"/>
            <w:vAlign w:val="center"/>
            <w:hideMark/>
          </w:tcPr>
          <w:p w14:paraId="7FCED6E5" w14:textId="635ADDFF"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102 756</w:t>
            </w:r>
          </w:p>
        </w:tc>
        <w:tc>
          <w:tcPr>
            <w:tcW w:w="1116" w:type="dxa"/>
            <w:tcBorders>
              <w:top w:val="single" w:sz="4" w:space="0" w:color="17365D"/>
              <w:left w:val="nil"/>
              <w:bottom w:val="single" w:sz="4" w:space="0" w:color="17365D"/>
              <w:right w:val="nil"/>
            </w:tcBorders>
            <w:shd w:val="clear" w:color="auto" w:fill="auto"/>
            <w:vAlign w:val="center"/>
            <w:hideMark/>
          </w:tcPr>
          <w:p w14:paraId="3D170667" w14:textId="0D86583C"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449 419</w:t>
            </w:r>
          </w:p>
        </w:tc>
      </w:tr>
      <w:tr w:rsidR="00B04943" w:rsidRPr="00A27896" w14:paraId="2EF3BD9D" w14:textId="77777777" w:rsidTr="001D1A6D">
        <w:trPr>
          <w:trHeight w:val="263"/>
        </w:trPr>
        <w:tc>
          <w:tcPr>
            <w:tcW w:w="2198" w:type="dxa"/>
            <w:tcBorders>
              <w:top w:val="single" w:sz="4" w:space="0" w:color="17365D"/>
              <w:left w:val="nil"/>
              <w:bottom w:val="single" w:sz="4" w:space="0" w:color="17365D"/>
              <w:right w:val="nil"/>
            </w:tcBorders>
            <w:shd w:val="clear" w:color="auto" w:fill="auto"/>
            <w:vAlign w:val="center"/>
            <w:hideMark/>
          </w:tcPr>
          <w:p w14:paraId="17A9712B" w14:textId="1663BCBD" w:rsidR="00B04943" w:rsidRPr="00A27896" w:rsidRDefault="00B04943" w:rsidP="00B0494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Turējumā nodotie valsts un pašvaldību īpašumi</w:t>
            </w:r>
          </w:p>
        </w:tc>
        <w:tc>
          <w:tcPr>
            <w:tcW w:w="1223" w:type="dxa"/>
            <w:tcBorders>
              <w:top w:val="single" w:sz="4" w:space="0" w:color="17365D"/>
              <w:left w:val="nil"/>
              <w:bottom w:val="single" w:sz="4" w:space="0" w:color="17365D"/>
              <w:right w:val="nil"/>
            </w:tcBorders>
            <w:shd w:val="clear" w:color="auto" w:fill="auto"/>
            <w:vAlign w:val="center"/>
            <w:hideMark/>
          </w:tcPr>
          <w:p w14:paraId="5A674221" w14:textId="5F47DE3C"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32 727 924</w:t>
            </w:r>
          </w:p>
        </w:tc>
        <w:tc>
          <w:tcPr>
            <w:tcW w:w="1417" w:type="dxa"/>
            <w:tcBorders>
              <w:top w:val="single" w:sz="4" w:space="0" w:color="17365D"/>
              <w:left w:val="nil"/>
              <w:bottom w:val="single" w:sz="4" w:space="0" w:color="17365D"/>
              <w:right w:val="nil"/>
            </w:tcBorders>
            <w:shd w:val="clear" w:color="auto" w:fill="auto"/>
            <w:vAlign w:val="center"/>
            <w:hideMark/>
          </w:tcPr>
          <w:p w14:paraId="4660DF14" w14:textId="346DB88E"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15 592 021</w:t>
            </w:r>
          </w:p>
        </w:tc>
        <w:tc>
          <w:tcPr>
            <w:tcW w:w="1134" w:type="dxa"/>
            <w:tcBorders>
              <w:top w:val="single" w:sz="4" w:space="0" w:color="17365D"/>
              <w:left w:val="nil"/>
              <w:bottom w:val="single" w:sz="4" w:space="0" w:color="17365D"/>
              <w:right w:val="nil"/>
            </w:tcBorders>
            <w:shd w:val="clear" w:color="auto" w:fill="auto"/>
            <w:vAlign w:val="center"/>
            <w:hideMark/>
          </w:tcPr>
          <w:p w14:paraId="0D5ADC1C" w14:textId="7883B1FE"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2 427 143</w:t>
            </w:r>
          </w:p>
        </w:tc>
        <w:tc>
          <w:tcPr>
            <w:tcW w:w="1134" w:type="dxa"/>
            <w:tcBorders>
              <w:top w:val="single" w:sz="4" w:space="0" w:color="17365D"/>
              <w:left w:val="nil"/>
              <w:bottom w:val="single" w:sz="4" w:space="0" w:color="17365D"/>
              <w:right w:val="nil"/>
            </w:tcBorders>
            <w:shd w:val="clear" w:color="auto" w:fill="auto"/>
            <w:vAlign w:val="center"/>
            <w:hideMark/>
          </w:tcPr>
          <w:p w14:paraId="71BAC97A" w14:textId="7958607A"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2 331 226</w:t>
            </w:r>
          </w:p>
        </w:tc>
        <w:tc>
          <w:tcPr>
            <w:tcW w:w="1134" w:type="dxa"/>
            <w:tcBorders>
              <w:top w:val="single" w:sz="4" w:space="0" w:color="17365D"/>
              <w:left w:val="nil"/>
              <w:bottom w:val="single" w:sz="4" w:space="0" w:color="17365D"/>
              <w:right w:val="nil"/>
            </w:tcBorders>
            <w:shd w:val="clear" w:color="auto" w:fill="auto"/>
            <w:vAlign w:val="center"/>
            <w:hideMark/>
          </w:tcPr>
          <w:p w14:paraId="25D04D13" w14:textId="3F93ECE0"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2 331 226</w:t>
            </w:r>
          </w:p>
        </w:tc>
        <w:tc>
          <w:tcPr>
            <w:tcW w:w="1116" w:type="dxa"/>
            <w:tcBorders>
              <w:top w:val="single" w:sz="4" w:space="0" w:color="17365D"/>
              <w:left w:val="nil"/>
              <w:bottom w:val="single" w:sz="4" w:space="0" w:color="17365D"/>
              <w:right w:val="nil"/>
            </w:tcBorders>
            <w:shd w:val="clear" w:color="auto" w:fill="auto"/>
            <w:vAlign w:val="center"/>
            <w:hideMark/>
          </w:tcPr>
          <w:p w14:paraId="4329A034" w14:textId="1284E28B"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15 499 103</w:t>
            </w:r>
          </w:p>
        </w:tc>
      </w:tr>
      <w:tr w:rsidR="00B04943" w:rsidRPr="00A27896" w14:paraId="22E0FF3D" w14:textId="77777777" w:rsidTr="001D1A6D">
        <w:trPr>
          <w:trHeight w:val="263"/>
        </w:trPr>
        <w:tc>
          <w:tcPr>
            <w:tcW w:w="2198" w:type="dxa"/>
            <w:tcBorders>
              <w:top w:val="single" w:sz="4" w:space="0" w:color="17365D"/>
              <w:left w:val="nil"/>
              <w:bottom w:val="single" w:sz="4" w:space="0" w:color="17365D"/>
              <w:right w:val="nil"/>
            </w:tcBorders>
            <w:shd w:val="clear" w:color="auto" w:fill="auto"/>
            <w:vAlign w:val="center"/>
          </w:tcPr>
          <w:p w14:paraId="57BDF7E4" w14:textId="4FE5920D" w:rsidR="00B04943" w:rsidRPr="00A27896" w:rsidRDefault="00B04943" w:rsidP="00B04943">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Apgrozāmie līdzekļi</w:t>
            </w:r>
          </w:p>
        </w:tc>
        <w:tc>
          <w:tcPr>
            <w:tcW w:w="1223" w:type="dxa"/>
            <w:tcBorders>
              <w:top w:val="single" w:sz="4" w:space="0" w:color="17365D"/>
              <w:left w:val="nil"/>
              <w:bottom w:val="single" w:sz="4" w:space="0" w:color="17365D"/>
              <w:right w:val="nil"/>
            </w:tcBorders>
            <w:shd w:val="clear" w:color="auto" w:fill="auto"/>
            <w:vAlign w:val="center"/>
          </w:tcPr>
          <w:p w14:paraId="2DDBC716" w14:textId="275BA60A" w:rsidR="00B04943" w:rsidRPr="00A27896" w:rsidRDefault="00B04943" w:rsidP="001D1A6D">
            <w:pPr>
              <w:spacing w:after="0" w:line="240" w:lineRule="auto"/>
              <w:jc w:val="right"/>
              <w:rPr>
                <w:rFonts w:cs="Times New Roman"/>
                <w:b/>
                <w:bCs/>
                <w:color w:val="17365D"/>
                <w:sz w:val="18"/>
                <w:szCs w:val="18"/>
              </w:rPr>
            </w:pPr>
            <w:r w:rsidRPr="00A27896">
              <w:rPr>
                <w:rFonts w:cs="Times New Roman"/>
                <w:b/>
                <w:bCs/>
                <w:color w:val="17365D"/>
                <w:sz w:val="18"/>
                <w:szCs w:val="18"/>
              </w:rPr>
              <w:t>15</w:t>
            </w:r>
          </w:p>
        </w:tc>
        <w:tc>
          <w:tcPr>
            <w:tcW w:w="1417" w:type="dxa"/>
            <w:tcBorders>
              <w:top w:val="single" w:sz="4" w:space="0" w:color="17365D"/>
              <w:left w:val="nil"/>
              <w:bottom w:val="single" w:sz="4" w:space="0" w:color="17365D"/>
              <w:right w:val="nil"/>
            </w:tcBorders>
            <w:shd w:val="clear" w:color="auto" w:fill="auto"/>
            <w:vAlign w:val="center"/>
          </w:tcPr>
          <w:p w14:paraId="637167FD" w14:textId="78375F58" w:rsidR="00B04943" w:rsidRPr="00A27896" w:rsidRDefault="00B04943" w:rsidP="001D1A6D">
            <w:pPr>
              <w:spacing w:after="0" w:line="240" w:lineRule="auto"/>
              <w:jc w:val="right"/>
              <w:rPr>
                <w:rFonts w:cs="Times New Roman"/>
                <w:b/>
                <w:bCs/>
                <w:color w:val="17365D"/>
                <w:sz w:val="18"/>
                <w:szCs w:val="18"/>
              </w:rPr>
            </w:pPr>
            <w:r w:rsidRPr="00A27896">
              <w:rPr>
                <w:rFonts w:cs="Times New Roman"/>
                <w:b/>
                <w:bCs/>
                <w:color w:val="17365D"/>
                <w:sz w:val="18"/>
                <w:szCs w:val="18"/>
              </w:rPr>
              <w:t>5 143</w:t>
            </w:r>
          </w:p>
        </w:tc>
        <w:tc>
          <w:tcPr>
            <w:tcW w:w="1134" w:type="dxa"/>
            <w:tcBorders>
              <w:top w:val="single" w:sz="4" w:space="0" w:color="17365D"/>
              <w:left w:val="nil"/>
              <w:bottom w:val="single" w:sz="4" w:space="0" w:color="17365D"/>
              <w:right w:val="nil"/>
            </w:tcBorders>
            <w:shd w:val="clear" w:color="auto" w:fill="auto"/>
            <w:vAlign w:val="center"/>
          </w:tcPr>
          <w:p w14:paraId="10AF3C50" w14:textId="7D47DCBD" w:rsidR="00B04943" w:rsidRPr="00A27896" w:rsidRDefault="00B04943" w:rsidP="001D1A6D">
            <w:pPr>
              <w:spacing w:after="0" w:line="240" w:lineRule="auto"/>
              <w:jc w:val="right"/>
              <w:rPr>
                <w:rFonts w:cs="Times New Roman"/>
                <w:b/>
                <w:bCs/>
                <w:color w:val="17365D"/>
                <w:sz w:val="18"/>
                <w:szCs w:val="18"/>
              </w:rPr>
            </w:pPr>
            <w:r w:rsidRPr="00A27896">
              <w:rPr>
                <w:rFonts w:cs="Times New Roman"/>
                <w:b/>
                <w:bCs/>
                <w:color w:val="17365D"/>
                <w:sz w:val="18"/>
                <w:szCs w:val="18"/>
              </w:rPr>
              <w:t>1 552</w:t>
            </w:r>
          </w:p>
        </w:tc>
        <w:tc>
          <w:tcPr>
            <w:tcW w:w="1134" w:type="dxa"/>
            <w:tcBorders>
              <w:top w:val="single" w:sz="4" w:space="0" w:color="17365D"/>
              <w:left w:val="nil"/>
              <w:bottom w:val="single" w:sz="4" w:space="0" w:color="17365D"/>
              <w:right w:val="nil"/>
            </w:tcBorders>
            <w:shd w:val="clear" w:color="auto" w:fill="auto"/>
            <w:vAlign w:val="center"/>
          </w:tcPr>
          <w:p w14:paraId="2DA99604" w14:textId="291502F7" w:rsidR="00B04943" w:rsidRPr="00A27896" w:rsidRDefault="00B04943" w:rsidP="001D1A6D">
            <w:pPr>
              <w:spacing w:after="0" w:line="240" w:lineRule="auto"/>
              <w:jc w:val="right"/>
              <w:rPr>
                <w:rFonts w:cs="Times New Roman"/>
                <w:b/>
                <w:bCs/>
                <w:color w:val="17365D"/>
                <w:sz w:val="18"/>
                <w:szCs w:val="18"/>
              </w:rPr>
            </w:pPr>
            <w:r w:rsidRPr="00A27896">
              <w:rPr>
                <w:rFonts w:cs="Times New Roman"/>
                <w:b/>
                <w:bCs/>
                <w:color w:val="17365D"/>
                <w:sz w:val="18"/>
                <w:szCs w:val="18"/>
              </w:rPr>
              <w:t>1 223</w:t>
            </w:r>
          </w:p>
        </w:tc>
        <w:tc>
          <w:tcPr>
            <w:tcW w:w="1134" w:type="dxa"/>
            <w:tcBorders>
              <w:top w:val="single" w:sz="4" w:space="0" w:color="17365D"/>
              <w:left w:val="nil"/>
              <w:bottom w:val="single" w:sz="4" w:space="0" w:color="17365D"/>
              <w:right w:val="nil"/>
            </w:tcBorders>
            <w:shd w:val="clear" w:color="auto" w:fill="auto"/>
            <w:vAlign w:val="center"/>
          </w:tcPr>
          <w:p w14:paraId="5DECDFD5" w14:textId="24853388" w:rsidR="00B04943" w:rsidRPr="00A27896" w:rsidRDefault="00B04943" w:rsidP="001D1A6D">
            <w:pPr>
              <w:spacing w:after="0" w:line="240" w:lineRule="auto"/>
              <w:jc w:val="right"/>
              <w:rPr>
                <w:rFonts w:cs="Times New Roman"/>
                <w:b/>
                <w:bCs/>
                <w:color w:val="17365D"/>
                <w:sz w:val="18"/>
                <w:szCs w:val="18"/>
              </w:rPr>
            </w:pPr>
            <w:r w:rsidRPr="00A27896">
              <w:rPr>
                <w:rFonts w:cs="Times New Roman"/>
                <w:b/>
                <w:bCs/>
                <w:color w:val="17365D"/>
                <w:sz w:val="18"/>
                <w:szCs w:val="18"/>
              </w:rPr>
              <w:t>1 212</w:t>
            </w:r>
          </w:p>
        </w:tc>
        <w:tc>
          <w:tcPr>
            <w:tcW w:w="1116" w:type="dxa"/>
            <w:tcBorders>
              <w:top w:val="single" w:sz="4" w:space="0" w:color="17365D"/>
              <w:left w:val="nil"/>
              <w:bottom w:val="single" w:sz="4" w:space="0" w:color="17365D"/>
              <w:right w:val="nil"/>
            </w:tcBorders>
            <w:shd w:val="clear" w:color="auto" w:fill="auto"/>
            <w:vAlign w:val="center"/>
          </w:tcPr>
          <w:p w14:paraId="6353DA0D" w14:textId="74212853" w:rsidR="00B04943" w:rsidRPr="00A27896" w:rsidRDefault="00B04943" w:rsidP="001D1A6D">
            <w:pPr>
              <w:spacing w:after="0" w:line="240" w:lineRule="auto"/>
              <w:jc w:val="right"/>
              <w:rPr>
                <w:rFonts w:cs="Times New Roman"/>
                <w:b/>
                <w:bCs/>
                <w:color w:val="17365D"/>
                <w:sz w:val="18"/>
                <w:szCs w:val="18"/>
              </w:rPr>
            </w:pPr>
            <w:r w:rsidRPr="00A27896">
              <w:rPr>
                <w:rFonts w:cs="Times New Roman"/>
                <w:b/>
                <w:bCs/>
                <w:color w:val="17365D"/>
                <w:sz w:val="18"/>
                <w:szCs w:val="18"/>
              </w:rPr>
              <w:t>5 058</w:t>
            </w:r>
          </w:p>
        </w:tc>
      </w:tr>
      <w:tr w:rsidR="00B04943" w:rsidRPr="00A27896" w14:paraId="77DC02A0" w14:textId="77777777" w:rsidTr="001D1A6D">
        <w:trPr>
          <w:trHeight w:val="263"/>
        </w:trPr>
        <w:tc>
          <w:tcPr>
            <w:tcW w:w="2198" w:type="dxa"/>
            <w:tcBorders>
              <w:top w:val="single" w:sz="4" w:space="0" w:color="17365D"/>
              <w:left w:val="nil"/>
              <w:bottom w:val="single" w:sz="4" w:space="0" w:color="17365D"/>
              <w:right w:val="nil"/>
            </w:tcBorders>
            <w:shd w:val="clear" w:color="auto" w:fill="auto"/>
            <w:vAlign w:val="center"/>
          </w:tcPr>
          <w:p w14:paraId="2CAC8AD2" w14:textId="08B27231" w:rsidR="00B04943" w:rsidRPr="00A27896" w:rsidRDefault="00B04943" w:rsidP="00B0494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Inventārs</w:t>
            </w:r>
          </w:p>
        </w:tc>
        <w:tc>
          <w:tcPr>
            <w:tcW w:w="1223" w:type="dxa"/>
            <w:tcBorders>
              <w:top w:val="single" w:sz="4" w:space="0" w:color="17365D"/>
              <w:left w:val="nil"/>
              <w:bottom w:val="single" w:sz="4" w:space="0" w:color="17365D"/>
              <w:right w:val="nil"/>
            </w:tcBorders>
            <w:shd w:val="clear" w:color="FFFFCC" w:fill="FFFFFF"/>
            <w:vAlign w:val="center"/>
          </w:tcPr>
          <w:p w14:paraId="725674F3" w14:textId="6BBD6FE6"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15</w:t>
            </w:r>
          </w:p>
        </w:tc>
        <w:tc>
          <w:tcPr>
            <w:tcW w:w="1417" w:type="dxa"/>
            <w:tcBorders>
              <w:top w:val="single" w:sz="4" w:space="0" w:color="17365D"/>
              <w:left w:val="nil"/>
              <w:bottom w:val="single" w:sz="4" w:space="0" w:color="17365D"/>
              <w:right w:val="nil"/>
            </w:tcBorders>
            <w:shd w:val="clear" w:color="FFFFCC" w:fill="FFFFFF"/>
            <w:vAlign w:val="center"/>
          </w:tcPr>
          <w:p w14:paraId="79D1863C" w14:textId="4693F655"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5 143</w:t>
            </w:r>
          </w:p>
        </w:tc>
        <w:tc>
          <w:tcPr>
            <w:tcW w:w="1134" w:type="dxa"/>
            <w:tcBorders>
              <w:top w:val="single" w:sz="4" w:space="0" w:color="17365D"/>
              <w:left w:val="nil"/>
              <w:bottom w:val="single" w:sz="4" w:space="0" w:color="17365D"/>
              <w:right w:val="nil"/>
            </w:tcBorders>
            <w:shd w:val="clear" w:color="FFFFCC" w:fill="FFFFFF"/>
            <w:vAlign w:val="center"/>
          </w:tcPr>
          <w:p w14:paraId="7617A4A7" w14:textId="71429FD9"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1 552</w:t>
            </w:r>
          </w:p>
        </w:tc>
        <w:tc>
          <w:tcPr>
            <w:tcW w:w="1134" w:type="dxa"/>
            <w:tcBorders>
              <w:top w:val="single" w:sz="4" w:space="0" w:color="17365D"/>
              <w:left w:val="nil"/>
              <w:bottom w:val="single" w:sz="4" w:space="0" w:color="17365D"/>
              <w:right w:val="nil"/>
            </w:tcBorders>
            <w:shd w:val="clear" w:color="FFFFCC" w:fill="FFFFFF"/>
            <w:vAlign w:val="center"/>
          </w:tcPr>
          <w:p w14:paraId="04149A6D" w14:textId="78D3C0C7"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1 223</w:t>
            </w:r>
          </w:p>
        </w:tc>
        <w:tc>
          <w:tcPr>
            <w:tcW w:w="1134" w:type="dxa"/>
            <w:tcBorders>
              <w:top w:val="single" w:sz="4" w:space="0" w:color="17365D"/>
              <w:left w:val="nil"/>
              <w:bottom w:val="single" w:sz="4" w:space="0" w:color="17365D"/>
              <w:right w:val="nil"/>
            </w:tcBorders>
            <w:shd w:val="clear" w:color="FFFFCC" w:fill="FFFFFF"/>
            <w:vAlign w:val="center"/>
          </w:tcPr>
          <w:p w14:paraId="2574EF89" w14:textId="44E2263B"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1 212</w:t>
            </w:r>
          </w:p>
        </w:tc>
        <w:tc>
          <w:tcPr>
            <w:tcW w:w="1116" w:type="dxa"/>
            <w:tcBorders>
              <w:top w:val="single" w:sz="4" w:space="0" w:color="17365D"/>
              <w:left w:val="nil"/>
              <w:bottom w:val="single" w:sz="4" w:space="0" w:color="17365D"/>
              <w:right w:val="nil"/>
            </w:tcBorders>
            <w:shd w:val="clear" w:color="FFFFCC" w:fill="FFFFFF"/>
            <w:vAlign w:val="center"/>
          </w:tcPr>
          <w:p w14:paraId="12162D7E" w14:textId="0ED3FE01" w:rsidR="00B04943" w:rsidRPr="00A27896" w:rsidRDefault="00B04943" w:rsidP="001D1A6D">
            <w:pPr>
              <w:spacing w:after="0" w:line="240" w:lineRule="auto"/>
              <w:jc w:val="right"/>
              <w:rPr>
                <w:rFonts w:cs="Times New Roman"/>
                <w:color w:val="17365D"/>
                <w:sz w:val="18"/>
                <w:szCs w:val="18"/>
              </w:rPr>
            </w:pPr>
            <w:r w:rsidRPr="00A27896">
              <w:rPr>
                <w:rFonts w:cs="Times New Roman"/>
                <w:color w:val="17365D"/>
                <w:sz w:val="18"/>
                <w:szCs w:val="18"/>
              </w:rPr>
              <w:t>5 058</w:t>
            </w:r>
          </w:p>
        </w:tc>
      </w:tr>
      <w:tr w:rsidR="000C1009" w:rsidRPr="00A27896" w14:paraId="5AC3D29A" w14:textId="77777777" w:rsidTr="00D93308">
        <w:trPr>
          <w:trHeight w:val="140"/>
        </w:trPr>
        <w:tc>
          <w:tcPr>
            <w:tcW w:w="2198" w:type="dxa"/>
            <w:tcBorders>
              <w:top w:val="single" w:sz="4" w:space="0" w:color="17365D"/>
            </w:tcBorders>
            <w:shd w:val="clear" w:color="000000" w:fill="B9CDE5"/>
            <w:vAlign w:val="center"/>
            <w:hideMark/>
          </w:tcPr>
          <w:p w14:paraId="4E5DBBBF" w14:textId="77777777" w:rsidR="00C52348" w:rsidRPr="00A27896" w:rsidRDefault="00C52348" w:rsidP="00F20D2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23" w:type="dxa"/>
            <w:tcBorders>
              <w:top w:val="single" w:sz="4" w:space="0" w:color="17365D"/>
            </w:tcBorders>
            <w:shd w:val="clear" w:color="000000" w:fill="B9CDE5"/>
            <w:vAlign w:val="center"/>
            <w:hideMark/>
          </w:tcPr>
          <w:p w14:paraId="7CF85F88" w14:textId="77777777" w:rsidR="00C52348" w:rsidRPr="00A27896" w:rsidRDefault="00C52348" w:rsidP="00F20D2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417" w:type="dxa"/>
            <w:tcBorders>
              <w:top w:val="single" w:sz="4" w:space="0" w:color="17365D"/>
            </w:tcBorders>
            <w:shd w:val="clear" w:color="000000" w:fill="B9CDE5"/>
            <w:noWrap/>
            <w:vAlign w:val="center"/>
            <w:hideMark/>
          </w:tcPr>
          <w:p w14:paraId="5F75D9BE" w14:textId="77777777" w:rsidR="00C52348" w:rsidRPr="00A27896" w:rsidRDefault="00C52348" w:rsidP="00F20D24">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tcBorders>
            <w:shd w:val="clear" w:color="000000" w:fill="B9CDE5"/>
            <w:noWrap/>
            <w:vAlign w:val="center"/>
            <w:hideMark/>
          </w:tcPr>
          <w:p w14:paraId="472F393F" w14:textId="77777777" w:rsidR="00C52348" w:rsidRPr="00A27896" w:rsidRDefault="00C52348" w:rsidP="00F20D2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tcBorders>
            <w:shd w:val="clear" w:color="000000" w:fill="B9CDE5"/>
            <w:noWrap/>
            <w:vAlign w:val="center"/>
            <w:hideMark/>
          </w:tcPr>
          <w:p w14:paraId="79B3FCF3" w14:textId="77777777" w:rsidR="00C52348" w:rsidRPr="00A27896" w:rsidRDefault="00C52348" w:rsidP="00F20D2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tcBorders>
            <w:shd w:val="clear" w:color="000000" w:fill="B9CDE5"/>
            <w:noWrap/>
            <w:vAlign w:val="center"/>
            <w:hideMark/>
          </w:tcPr>
          <w:p w14:paraId="08FBF908" w14:textId="77777777" w:rsidR="00C52348" w:rsidRPr="00A27896" w:rsidRDefault="00C52348" w:rsidP="00F20D2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16" w:type="dxa"/>
            <w:tcBorders>
              <w:top w:val="single" w:sz="4" w:space="0" w:color="17365D"/>
            </w:tcBorders>
            <w:shd w:val="clear" w:color="000000" w:fill="B9CDE5"/>
            <w:noWrap/>
            <w:vAlign w:val="center"/>
            <w:hideMark/>
          </w:tcPr>
          <w:p w14:paraId="458D5A09" w14:textId="77777777" w:rsidR="00C52348" w:rsidRPr="00A27896" w:rsidRDefault="00C52348" w:rsidP="00F20D2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3CA4A72D" w14:textId="10E3764D" w:rsidR="00C52348" w:rsidRPr="00A27896" w:rsidRDefault="00C52348" w:rsidP="005311E7">
      <w:pPr>
        <w:spacing w:after="0" w:line="240" w:lineRule="auto"/>
        <w:jc w:val="right"/>
        <w:rPr>
          <w:rFonts w:cs="Times New Roman"/>
          <w:i/>
          <w:color w:val="17365D"/>
          <w:sz w:val="16"/>
          <w:szCs w:val="24"/>
        </w:rPr>
      </w:pPr>
    </w:p>
    <w:p w14:paraId="0E3696EB" w14:textId="77777777" w:rsidR="0019458D" w:rsidRPr="00A27896" w:rsidRDefault="0019458D" w:rsidP="004368D0">
      <w:pPr>
        <w:pStyle w:val="Heading4"/>
        <w:spacing w:line="240" w:lineRule="auto"/>
        <w:rPr>
          <w:rFonts w:cs="Times New Roman"/>
        </w:rPr>
      </w:pPr>
      <w:r w:rsidRPr="00A27896">
        <w:rPr>
          <w:rFonts w:cs="Times New Roman"/>
        </w:rPr>
        <w:t>Piezīme Nr. V4. Informācija par operatīvo nomu</w:t>
      </w:r>
    </w:p>
    <w:p w14:paraId="0CE255D1" w14:textId="399BB08E" w:rsidR="007B7D77" w:rsidRPr="00A27896" w:rsidRDefault="007B7D77" w:rsidP="00514C3E">
      <w:pPr>
        <w:pStyle w:val="Heading5"/>
        <w:rPr>
          <w:rFonts w:cs="Times New Roman"/>
        </w:rPr>
      </w:pPr>
      <w:r w:rsidRPr="00A27896">
        <w:rPr>
          <w:rFonts w:cs="Times New Roman"/>
        </w:rPr>
        <w:t>Piezīme</w:t>
      </w:r>
      <w:r w:rsidR="00AC754B" w:rsidRPr="00A27896">
        <w:rPr>
          <w:rFonts w:cs="Times New Roman"/>
        </w:rPr>
        <w:t xml:space="preserve"> Nr.</w:t>
      </w:r>
      <w:r w:rsidRPr="00A27896">
        <w:rPr>
          <w:rFonts w:cs="Times New Roman"/>
        </w:rPr>
        <w:t xml:space="preserve"> V4. Informācija par operatīvajā nomā nodotajiem aktīviem un saņemamajiem maksājumiem</w:t>
      </w:r>
    </w:p>
    <w:p w14:paraId="58CB7835" w14:textId="1DA15F62" w:rsidR="004071BD" w:rsidRPr="00A27896" w:rsidRDefault="004071BD" w:rsidP="004071BD">
      <w:pPr>
        <w:spacing w:after="0" w:line="240" w:lineRule="auto"/>
        <w:ind w:firstLine="284"/>
        <w:jc w:val="both"/>
        <w:rPr>
          <w:rFonts w:cs="Times New Roman"/>
          <w:color w:val="17365D"/>
          <w:szCs w:val="24"/>
        </w:rPr>
      </w:pPr>
      <w:r w:rsidRPr="00A27896">
        <w:rPr>
          <w:rFonts w:cs="Times New Roman"/>
          <w:color w:val="17365D"/>
          <w:szCs w:val="24"/>
        </w:rPr>
        <w:t>Saskaņā ar ministriju, centrālo valsts iestāžu un pašvaldību sniegto informāciju par operatīvajā nomā nodotajiem aktīviem un saņemamajiem maksājumiem aktīv</w:t>
      </w:r>
      <w:r w:rsidR="007430C7" w:rsidRPr="00A27896">
        <w:rPr>
          <w:rFonts w:cs="Times New Roman"/>
          <w:color w:val="17365D"/>
          <w:szCs w:val="24"/>
        </w:rPr>
        <w:t>u</w:t>
      </w:r>
      <w:r w:rsidRPr="00A27896">
        <w:rPr>
          <w:rFonts w:cs="Times New Roman"/>
          <w:color w:val="17365D"/>
          <w:szCs w:val="24"/>
        </w:rPr>
        <w:t xml:space="preserve"> bilances vērtība pārskata perioda beigās ir </w:t>
      </w:r>
      <w:r w:rsidR="0067556B" w:rsidRPr="00A27896">
        <w:rPr>
          <w:rFonts w:cs="Times New Roman"/>
          <w:color w:val="17365D"/>
          <w:szCs w:val="24"/>
        </w:rPr>
        <w:t>391 226 639 </w:t>
      </w:r>
      <w:proofErr w:type="spellStart"/>
      <w:r w:rsidRPr="00A27896">
        <w:rPr>
          <w:rFonts w:cs="Times New Roman"/>
          <w:i/>
          <w:color w:val="17365D"/>
          <w:szCs w:val="24"/>
        </w:rPr>
        <w:t>euro</w:t>
      </w:r>
      <w:proofErr w:type="spellEnd"/>
      <w:r w:rsidRPr="00A27896">
        <w:rPr>
          <w:rFonts w:cs="Times New Roman"/>
          <w:color w:val="17365D"/>
          <w:szCs w:val="24"/>
        </w:rPr>
        <w:t xml:space="preserve"> un tā sadalījumā pa aktīvu bilances posteņiem un saņ</w:t>
      </w:r>
      <w:r w:rsidR="007430C7" w:rsidRPr="00A27896">
        <w:rPr>
          <w:rFonts w:cs="Times New Roman"/>
          <w:color w:val="17365D"/>
          <w:szCs w:val="24"/>
        </w:rPr>
        <w:t xml:space="preserve">emamiem maksājumiem norādīta </w:t>
      </w:r>
      <w:r w:rsidR="00F9248E" w:rsidRPr="00A27896">
        <w:rPr>
          <w:rFonts w:cs="Times New Roman"/>
          <w:color w:val="17365D"/>
          <w:szCs w:val="24"/>
        </w:rPr>
        <w:t>2</w:t>
      </w:r>
      <w:r w:rsidR="000229AE" w:rsidRPr="00A27896">
        <w:rPr>
          <w:rFonts w:cs="Times New Roman"/>
          <w:color w:val="17365D"/>
          <w:szCs w:val="24"/>
        </w:rPr>
        <w:t>7</w:t>
      </w:r>
      <w:r w:rsidRPr="00A27896">
        <w:rPr>
          <w:rFonts w:cs="Times New Roman"/>
          <w:color w:val="17365D"/>
          <w:szCs w:val="24"/>
        </w:rPr>
        <w:t>.tabulā:</w:t>
      </w:r>
    </w:p>
    <w:p w14:paraId="6C42FC51" w14:textId="697D82E6" w:rsidR="003877C0" w:rsidRPr="00A27896" w:rsidRDefault="00F9248E" w:rsidP="003877C0">
      <w:pPr>
        <w:pStyle w:val="Tabulasnosaukums1"/>
        <w:spacing w:before="0" w:line="240" w:lineRule="auto"/>
        <w:rPr>
          <w:rFonts w:cs="Times New Roman"/>
          <w:i/>
          <w:color w:val="17365D"/>
          <w:szCs w:val="22"/>
        </w:rPr>
      </w:pPr>
      <w:r w:rsidRPr="00A27896">
        <w:rPr>
          <w:rFonts w:cs="Times New Roman"/>
          <w:i/>
          <w:color w:val="17365D"/>
          <w:szCs w:val="22"/>
        </w:rPr>
        <w:t>2</w:t>
      </w:r>
      <w:r w:rsidR="000229AE" w:rsidRPr="00A27896">
        <w:rPr>
          <w:rFonts w:cs="Times New Roman"/>
          <w:i/>
          <w:color w:val="17365D"/>
          <w:szCs w:val="22"/>
        </w:rPr>
        <w:t>7</w:t>
      </w:r>
      <w:r w:rsidR="00743E0E" w:rsidRPr="00A27896">
        <w:rPr>
          <w:rFonts w:cs="Times New Roman"/>
          <w:i/>
          <w:color w:val="17365D"/>
          <w:szCs w:val="22"/>
        </w:rPr>
        <w:t>. </w:t>
      </w:r>
      <w:r w:rsidR="006F7CBB" w:rsidRPr="00A27896">
        <w:rPr>
          <w:rFonts w:cs="Times New Roman"/>
          <w:i/>
          <w:color w:val="17365D"/>
          <w:szCs w:val="22"/>
        </w:rPr>
        <w:t>tabula</w:t>
      </w:r>
      <w:r w:rsidR="003877C0" w:rsidRPr="00A27896">
        <w:rPr>
          <w:rFonts w:cs="Times New Roman"/>
          <w:i/>
          <w:color w:val="17365D"/>
          <w:szCs w:val="22"/>
        </w:rPr>
        <w:t>.</w:t>
      </w:r>
      <w:r w:rsidR="006F7CBB" w:rsidRPr="00A27896">
        <w:rPr>
          <w:rFonts w:cs="Times New Roman"/>
          <w:i/>
          <w:color w:val="17365D"/>
          <w:szCs w:val="22"/>
        </w:rPr>
        <w:t xml:space="preserve"> Informācija par operatīvajā nomā nodotajiem</w:t>
      </w:r>
    </w:p>
    <w:p w14:paraId="2DD22999" w14:textId="27D68898" w:rsidR="006F7CBB" w:rsidRPr="00A27896" w:rsidRDefault="006F7CBB" w:rsidP="003877C0">
      <w:pPr>
        <w:pStyle w:val="Tabulasnosaukums1"/>
        <w:spacing w:before="0" w:line="240" w:lineRule="auto"/>
        <w:rPr>
          <w:rFonts w:cs="Times New Roman"/>
          <w:i/>
          <w:color w:val="17365D"/>
          <w:szCs w:val="22"/>
        </w:rPr>
      </w:pPr>
      <w:r w:rsidRPr="00A27896">
        <w:rPr>
          <w:rFonts w:cs="Times New Roman"/>
          <w:i/>
          <w:color w:val="17365D"/>
          <w:szCs w:val="22"/>
        </w:rPr>
        <w:t xml:space="preserve"> aktīviem un saņemamajiem maksājumiem (</w:t>
      </w:r>
      <w:proofErr w:type="spellStart"/>
      <w:r w:rsidRPr="00A27896">
        <w:rPr>
          <w:rFonts w:cs="Times New Roman"/>
          <w:i/>
          <w:color w:val="17365D"/>
          <w:szCs w:val="22"/>
        </w:rPr>
        <w:t>euro</w:t>
      </w:r>
      <w:proofErr w:type="spellEnd"/>
      <w:r w:rsidRPr="00A27896">
        <w:rPr>
          <w:rFonts w:cs="Times New Roman"/>
          <w:i/>
          <w:color w:val="17365D"/>
          <w:szCs w:val="22"/>
        </w:rPr>
        <w:t>)</w:t>
      </w:r>
    </w:p>
    <w:tbl>
      <w:tblPr>
        <w:tblW w:w="5000" w:type="pct"/>
        <w:tblBorders>
          <w:insideH w:val="single" w:sz="4" w:space="0" w:color="17365D"/>
        </w:tblBorders>
        <w:tblLook w:val="04A0" w:firstRow="1" w:lastRow="0" w:firstColumn="1" w:lastColumn="0" w:noHBand="0" w:noVBand="1"/>
      </w:tblPr>
      <w:tblGrid>
        <w:gridCol w:w="2401"/>
        <w:gridCol w:w="1276"/>
        <w:gridCol w:w="1274"/>
        <w:gridCol w:w="1209"/>
        <w:gridCol w:w="1061"/>
        <w:gridCol w:w="1070"/>
        <w:gridCol w:w="1063"/>
      </w:tblGrid>
      <w:tr w:rsidR="000C1009" w:rsidRPr="00A27896" w14:paraId="6C2BC7C0" w14:textId="77777777" w:rsidTr="008E472F">
        <w:trPr>
          <w:trHeight w:val="465"/>
          <w:tblHeader/>
        </w:trPr>
        <w:tc>
          <w:tcPr>
            <w:tcW w:w="2401" w:type="dxa"/>
            <w:vMerge w:val="restart"/>
            <w:shd w:val="clear" w:color="000000" w:fill="B9CDE5"/>
            <w:vAlign w:val="center"/>
            <w:hideMark/>
          </w:tcPr>
          <w:p w14:paraId="3EA4B4F9"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Kontu grupa</w:t>
            </w:r>
          </w:p>
        </w:tc>
        <w:tc>
          <w:tcPr>
            <w:tcW w:w="2550" w:type="dxa"/>
            <w:gridSpan w:val="2"/>
            <w:shd w:val="clear" w:color="000000" w:fill="B9CDE5"/>
            <w:vAlign w:val="center"/>
            <w:hideMark/>
          </w:tcPr>
          <w:p w14:paraId="5FC2C03A"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Aktīva atlikusī vērtība</w:t>
            </w:r>
          </w:p>
          <w:p w14:paraId="4FBF9710" w14:textId="46CD60D5"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(bilances vērtība)</w:t>
            </w:r>
          </w:p>
        </w:tc>
        <w:tc>
          <w:tcPr>
            <w:tcW w:w="4403" w:type="dxa"/>
            <w:gridSpan w:val="4"/>
            <w:shd w:val="clear" w:color="000000" w:fill="B9CDE5"/>
            <w:vAlign w:val="center"/>
            <w:hideMark/>
          </w:tcPr>
          <w:p w14:paraId="04131C27"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Saņemamie maksājumi</w:t>
            </w:r>
          </w:p>
        </w:tc>
      </w:tr>
      <w:tr w:rsidR="000C1009" w:rsidRPr="00A27896" w14:paraId="203F8A16" w14:textId="77777777" w:rsidTr="008E472F">
        <w:trPr>
          <w:trHeight w:val="735"/>
          <w:tblHeader/>
        </w:trPr>
        <w:tc>
          <w:tcPr>
            <w:tcW w:w="2401" w:type="dxa"/>
            <w:vMerge/>
            <w:vAlign w:val="center"/>
            <w:hideMark/>
          </w:tcPr>
          <w:p w14:paraId="669B0ACE" w14:textId="77777777" w:rsidR="00391B88" w:rsidRPr="00A27896" w:rsidRDefault="00391B88" w:rsidP="00391B88">
            <w:pPr>
              <w:spacing w:after="0" w:line="240" w:lineRule="auto"/>
              <w:rPr>
                <w:rFonts w:eastAsia="Times New Roman" w:cs="Times New Roman"/>
                <w:b/>
                <w:bCs/>
                <w:color w:val="17365D"/>
                <w:sz w:val="18"/>
                <w:szCs w:val="18"/>
                <w:lang w:eastAsia="lv-LV"/>
              </w:rPr>
            </w:pPr>
          </w:p>
        </w:tc>
        <w:tc>
          <w:tcPr>
            <w:tcW w:w="1276" w:type="dxa"/>
            <w:shd w:val="clear" w:color="000000" w:fill="B9CDE5"/>
            <w:vAlign w:val="center"/>
            <w:hideMark/>
          </w:tcPr>
          <w:p w14:paraId="64FA7CFD"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c>
          <w:tcPr>
            <w:tcW w:w="1274" w:type="dxa"/>
            <w:shd w:val="clear" w:color="000000" w:fill="B9CDE5"/>
            <w:vAlign w:val="center"/>
            <w:hideMark/>
          </w:tcPr>
          <w:p w14:paraId="7899F549"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209" w:type="dxa"/>
            <w:shd w:val="clear" w:color="000000" w:fill="B9CDE5"/>
            <w:vAlign w:val="center"/>
            <w:hideMark/>
          </w:tcPr>
          <w:p w14:paraId="4563E9A1"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 līdz līguma termiņa beigām</w:t>
            </w:r>
          </w:p>
        </w:tc>
        <w:tc>
          <w:tcPr>
            <w:tcW w:w="1061" w:type="dxa"/>
            <w:shd w:val="clear" w:color="000000" w:fill="B9CDE5"/>
            <w:vAlign w:val="center"/>
            <w:hideMark/>
          </w:tcPr>
          <w:p w14:paraId="2506A5EC" w14:textId="206E350E" w:rsidR="00391B88" w:rsidRPr="00A27896" w:rsidRDefault="004071BD"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67556B" w:rsidRPr="00A27896">
              <w:rPr>
                <w:rFonts w:eastAsia="Times New Roman" w:cs="Times New Roman"/>
                <w:b/>
                <w:bCs/>
                <w:color w:val="17365D"/>
                <w:sz w:val="18"/>
                <w:szCs w:val="18"/>
                <w:lang w:eastAsia="lv-LV"/>
              </w:rPr>
              <w:t>3</w:t>
            </w:r>
          </w:p>
        </w:tc>
        <w:tc>
          <w:tcPr>
            <w:tcW w:w="1070" w:type="dxa"/>
            <w:shd w:val="clear" w:color="000000" w:fill="B9CDE5"/>
            <w:vAlign w:val="center"/>
            <w:hideMark/>
          </w:tcPr>
          <w:p w14:paraId="0B181FCF" w14:textId="68462431" w:rsidR="00391B88" w:rsidRPr="00A27896" w:rsidRDefault="004071BD"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67556B" w:rsidRPr="00A27896">
              <w:rPr>
                <w:rFonts w:eastAsia="Times New Roman" w:cs="Times New Roman"/>
                <w:b/>
                <w:bCs/>
                <w:color w:val="17365D"/>
                <w:sz w:val="18"/>
                <w:szCs w:val="18"/>
                <w:lang w:eastAsia="lv-LV"/>
              </w:rPr>
              <w:t>4</w:t>
            </w:r>
          </w:p>
        </w:tc>
        <w:tc>
          <w:tcPr>
            <w:tcW w:w="1063" w:type="dxa"/>
            <w:shd w:val="clear" w:color="000000" w:fill="B9CDE5"/>
            <w:vAlign w:val="center"/>
            <w:hideMark/>
          </w:tcPr>
          <w:p w14:paraId="37891035" w14:textId="5EA02241" w:rsidR="00391B88" w:rsidRPr="00A27896" w:rsidRDefault="004071BD"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67556B" w:rsidRPr="00A27896">
              <w:rPr>
                <w:rFonts w:eastAsia="Times New Roman" w:cs="Times New Roman"/>
                <w:b/>
                <w:bCs/>
                <w:color w:val="17365D"/>
                <w:sz w:val="18"/>
                <w:szCs w:val="18"/>
                <w:lang w:eastAsia="lv-LV"/>
              </w:rPr>
              <w:t>5</w:t>
            </w:r>
          </w:p>
        </w:tc>
      </w:tr>
      <w:tr w:rsidR="000C1009" w:rsidRPr="00A27896" w14:paraId="19DFCA6A" w14:textId="77777777" w:rsidTr="00D93308">
        <w:trPr>
          <w:trHeight w:val="216"/>
          <w:tblHeader/>
        </w:trPr>
        <w:tc>
          <w:tcPr>
            <w:tcW w:w="2401" w:type="dxa"/>
            <w:tcBorders>
              <w:bottom w:val="single" w:sz="4" w:space="0" w:color="17365D"/>
            </w:tcBorders>
            <w:shd w:val="clear" w:color="auto" w:fill="auto"/>
            <w:vAlign w:val="center"/>
            <w:hideMark/>
          </w:tcPr>
          <w:p w14:paraId="40A136BF"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276" w:type="dxa"/>
            <w:tcBorders>
              <w:bottom w:val="single" w:sz="4" w:space="0" w:color="17365D"/>
            </w:tcBorders>
            <w:shd w:val="clear" w:color="auto" w:fill="auto"/>
            <w:vAlign w:val="center"/>
            <w:hideMark/>
          </w:tcPr>
          <w:p w14:paraId="03BE258B"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274" w:type="dxa"/>
            <w:tcBorders>
              <w:bottom w:val="single" w:sz="4" w:space="0" w:color="17365D"/>
            </w:tcBorders>
            <w:shd w:val="clear" w:color="auto" w:fill="auto"/>
            <w:vAlign w:val="center"/>
            <w:hideMark/>
          </w:tcPr>
          <w:p w14:paraId="30B2E50B"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209" w:type="dxa"/>
            <w:tcBorders>
              <w:bottom w:val="single" w:sz="4" w:space="0" w:color="17365D"/>
            </w:tcBorders>
            <w:shd w:val="clear" w:color="auto" w:fill="auto"/>
            <w:vAlign w:val="center"/>
            <w:hideMark/>
          </w:tcPr>
          <w:p w14:paraId="5A099C87"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061" w:type="dxa"/>
            <w:tcBorders>
              <w:bottom w:val="single" w:sz="4" w:space="0" w:color="17365D"/>
            </w:tcBorders>
            <w:shd w:val="clear" w:color="auto" w:fill="auto"/>
            <w:vAlign w:val="center"/>
            <w:hideMark/>
          </w:tcPr>
          <w:p w14:paraId="3DC6D676"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070" w:type="dxa"/>
            <w:tcBorders>
              <w:bottom w:val="single" w:sz="4" w:space="0" w:color="17365D"/>
            </w:tcBorders>
            <w:shd w:val="clear" w:color="auto" w:fill="auto"/>
            <w:vAlign w:val="center"/>
            <w:hideMark/>
          </w:tcPr>
          <w:p w14:paraId="101E4A88"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063" w:type="dxa"/>
            <w:tcBorders>
              <w:bottom w:val="single" w:sz="4" w:space="0" w:color="17365D"/>
            </w:tcBorders>
            <w:shd w:val="clear" w:color="auto" w:fill="auto"/>
            <w:vAlign w:val="center"/>
            <w:hideMark/>
          </w:tcPr>
          <w:p w14:paraId="751DF8D4"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67556B" w:rsidRPr="00A27896" w14:paraId="2339BD31" w14:textId="77777777" w:rsidTr="001D1A6D">
        <w:trPr>
          <w:trHeight w:val="119"/>
        </w:trPr>
        <w:tc>
          <w:tcPr>
            <w:tcW w:w="2401" w:type="dxa"/>
            <w:tcBorders>
              <w:top w:val="single" w:sz="4" w:space="0" w:color="17365D"/>
              <w:left w:val="nil"/>
              <w:bottom w:val="single" w:sz="4" w:space="0" w:color="17365D"/>
              <w:right w:val="nil"/>
            </w:tcBorders>
            <w:shd w:val="clear" w:color="auto" w:fill="auto"/>
            <w:vAlign w:val="center"/>
          </w:tcPr>
          <w:p w14:paraId="2D39287D" w14:textId="0472EA87" w:rsidR="0067556B" w:rsidRPr="00A27896" w:rsidRDefault="0067556B" w:rsidP="0067556B">
            <w:pPr>
              <w:spacing w:after="0" w:line="240" w:lineRule="auto"/>
              <w:rPr>
                <w:rFonts w:eastAsia="Times New Roman" w:cs="Times New Roman"/>
                <w:b/>
                <w:bCs/>
                <w:color w:val="17365D"/>
                <w:sz w:val="18"/>
                <w:szCs w:val="18"/>
                <w:lang w:eastAsia="lv-LV"/>
              </w:rPr>
            </w:pPr>
            <w:r w:rsidRPr="00A27896">
              <w:rPr>
                <w:rFonts w:eastAsia="Times New Roman" w:cs="Times New Roman"/>
                <w:b/>
                <w:color w:val="17365D"/>
                <w:sz w:val="18"/>
                <w:szCs w:val="18"/>
                <w:lang w:eastAsia="lv-LV"/>
              </w:rPr>
              <w:t>Ilgtermiņa ieguldījumi</w:t>
            </w:r>
          </w:p>
        </w:tc>
        <w:tc>
          <w:tcPr>
            <w:tcW w:w="1276" w:type="dxa"/>
            <w:tcBorders>
              <w:top w:val="single" w:sz="4" w:space="0" w:color="17365D"/>
              <w:left w:val="nil"/>
              <w:bottom w:val="single" w:sz="4" w:space="0" w:color="17365D"/>
              <w:right w:val="nil"/>
            </w:tcBorders>
            <w:shd w:val="clear" w:color="auto" w:fill="auto"/>
            <w:vAlign w:val="center"/>
          </w:tcPr>
          <w:p w14:paraId="04D31A42" w14:textId="006BD2F3" w:rsidR="0067556B" w:rsidRPr="00A27896" w:rsidRDefault="0067556B" w:rsidP="001D1A6D">
            <w:pPr>
              <w:spacing w:after="0" w:line="240" w:lineRule="auto"/>
              <w:jc w:val="right"/>
              <w:rPr>
                <w:rFonts w:cs="Times New Roman"/>
                <w:b/>
                <w:bCs/>
                <w:color w:val="17365D"/>
                <w:sz w:val="18"/>
                <w:szCs w:val="18"/>
              </w:rPr>
            </w:pPr>
            <w:r w:rsidRPr="00A27896">
              <w:rPr>
                <w:rFonts w:cs="Times New Roman"/>
                <w:b/>
                <w:bCs/>
                <w:color w:val="17365D"/>
                <w:sz w:val="18"/>
                <w:szCs w:val="18"/>
              </w:rPr>
              <w:t>343 812 840</w:t>
            </w:r>
          </w:p>
        </w:tc>
        <w:tc>
          <w:tcPr>
            <w:tcW w:w="1274" w:type="dxa"/>
            <w:tcBorders>
              <w:top w:val="single" w:sz="4" w:space="0" w:color="17365D"/>
              <w:left w:val="nil"/>
              <w:bottom w:val="single" w:sz="4" w:space="0" w:color="17365D"/>
              <w:right w:val="nil"/>
            </w:tcBorders>
            <w:shd w:val="clear" w:color="auto" w:fill="auto"/>
            <w:vAlign w:val="center"/>
          </w:tcPr>
          <w:p w14:paraId="31A2F719" w14:textId="5FB9CE8C" w:rsidR="0067556B" w:rsidRPr="00A27896" w:rsidRDefault="0067556B" w:rsidP="001D1A6D">
            <w:pPr>
              <w:spacing w:after="0" w:line="240" w:lineRule="auto"/>
              <w:jc w:val="right"/>
              <w:rPr>
                <w:rFonts w:cs="Times New Roman"/>
                <w:b/>
                <w:bCs/>
                <w:color w:val="17365D"/>
                <w:sz w:val="18"/>
                <w:szCs w:val="18"/>
              </w:rPr>
            </w:pPr>
            <w:r w:rsidRPr="00A27896">
              <w:rPr>
                <w:rFonts w:cs="Times New Roman"/>
                <w:b/>
                <w:bCs/>
                <w:color w:val="17365D"/>
                <w:sz w:val="18"/>
                <w:szCs w:val="18"/>
              </w:rPr>
              <w:t>391 220 182</w:t>
            </w:r>
          </w:p>
        </w:tc>
        <w:tc>
          <w:tcPr>
            <w:tcW w:w="1209" w:type="dxa"/>
            <w:tcBorders>
              <w:top w:val="single" w:sz="4" w:space="0" w:color="17365D"/>
              <w:left w:val="nil"/>
              <w:bottom w:val="single" w:sz="4" w:space="0" w:color="17365D"/>
              <w:right w:val="nil"/>
            </w:tcBorders>
            <w:shd w:val="clear" w:color="auto" w:fill="auto"/>
            <w:vAlign w:val="center"/>
          </w:tcPr>
          <w:p w14:paraId="53EE387F" w14:textId="07A55B61" w:rsidR="0067556B" w:rsidRPr="00A27896" w:rsidRDefault="0067556B" w:rsidP="001D1A6D">
            <w:pPr>
              <w:spacing w:after="0" w:line="240" w:lineRule="auto"/>
              <w:jc w:val="right"/>
              <w:rPr>
                <w:rFonts w:cs="Times New Roman"/>
                <w:b/>
                <w:bCs/>
                <w:color w:val="17365D"/>
                <w:sz w:val="18"/>
                <w:szCs w:val="18"/>
              </w:rPr>
            </w:pPr>
            <w:r w:rsidRPr="00A27896">
              <w:rPr>
                <w:rFonts w:cs="Times New Roman"/>
                <w:b/>
                <w:bCs/>
                <w:color w:val="17365D"/>
                <w:sz w:val="18"/>
                <w:szCs w:val="18"/>
              </w:rPr>
              <w:t>171 009 287</w:t>
            </w:r>
          </w:p>
        </w:tc>
        <w:tc>
          <w:tcPr>
            <w:tcW w:w="1061" w:type="dxa"/>
            <w:tcBorders>
              <w:top w:val="single" w:sz="4" w:space="0" w:color="17365D"/>
              <w:left w:val="nil"/>
              <w:bottom w:val="single" w:sz="4" w:space="0" w:color="17365D"/>
              <w:right w:val="nil"/>
            </w:tcBorders>
            <w:shd w:val="clear" w:color="auto" w:fill="auto"/>
            <w:noWrap/>
            <w:vAlign w:val="center"/>
          </w:tcPr>
          <w:p w14:paraId="74FA45BD" w14:textId="78FE3CE4" w:rsidR="0067556B" w:rsidRPr="00A27896" w:rsidRDefault="0067556B" w:rsidP="001D1A6D">
            <w:pPr>
              <w:spacing w:after="0" w:line="240" w:lineRule="auto"/>
              <w:jc w:val="right"/>
              <w:rPr>
                <w:rFonts w:cs="Times New Roman"/>
                <w:b/>
                <w:bCs/>
                <w:color w:val="17365D"/>
                <w:sz w:val="18"/>
                <w:szCs w:val="18"/>
              </w:rPr>
            </w:pPr>
            <w:r w:rsidRPr="00A27896">
              <w:rPr>
                <w:rFonts w:cs="Times New Roman"/>
                <w:b/>
                <w:bCs/>
                <w:color w:val="17365D"/>
                <w:sz w:val="18"/>
                <w:szCs w:val="18"/>
              </w:rPr>
              <w:t>23 927 081</w:t>
            </w:r>
          </w:p>
        </w:tc>
        <w:tc>
          <w:tcPr>
            <w:tcW w:w="1070" w:type="dxa"/>
            <w:tcBorders>
              <w:top w:val="single" w:sz="4" w:space="0" w:color="17365D"/>
              <w:left w:val="nil"/>
              <w:bottom w:val="single" w:sz="4" w:space="0" w:color="17365D"/>
              <w:right w:val="nil"/>
            </w:tcBorders>
            <w:shd w:val="clear" w:color="auto" w:fill="auto"/>
            <w:noWrap/>
            <w:vAlign w:val="center"/>
          </w:tcPr>
          <w:p w14:paraId="40524930" w14:textId="702E4EA7" w:rsidR="0067556B" w:rsidRPr="00A27896" w:rsidRDefault="0067556B" w:rsidP="001D1A6D">
            <w:pPr>
              <w:spacing w:after="0" w:line="240" w:lineRule="auto"/>
              <w:jc w:val="right"/>
              <w:rPr>
                <w:rFonts w:cs="Times New Roman"/>
                <w:b/>
                <w:bCs/>
                <w:color w:val="17365D"/>
                <w:sz w:val="18"/>
                <w:szCs w:val="18"/>
              </w:rPr>
            </w:pPr>
            <w:r w:rsidRPr="00A27896">
              <w:rPr>
                <w:rFonts w:cs="Times New Roman"/>
                <w:b/>
                <w:bCs/>
                <w:color w:val="17365D"/>
                <w:sz w:val="18"/>
                <w:szCs w:val="18"/>
              </w:rPr>
              <w:t>20 502 441</w:t>
            </w:r>
          </w:p>
        </w:tc>
        <w:tc>
          <w:tcPr>
            <w:tcW w:w="1063" w:type="dxa"/>
            <w:tcBorders>
              <w:top w:val="single" w:sz="4" w:space="0" w:color="17365D"/>
              <w:left w:val="nil"/>
              <w:bottom w:val="single" w:sz="4" w:space="0" w:color="17365D"/>
              <w:right w:val="nil"/>
            </w:tcBorders>
            <w:shd w:val="clear" w:color="auto" w:fill="auto"/>
            <w:noWrap/>
            <w:vAlign w:val="center"/>
          </w:tcPr>
          <w:p w14:paraId="2FCE9513" w14:textId="10B46147" w:rsidR="0067556B" w:rsidRPr="00A27896" w:rsidRDefault="0067556B" w:rsidP="001D1A6D">
            <w:pPr>
              <w:spacing w:after="0" w:line="240" w:lineRule="auto"/>
              <w:jc w:val="right"/>
              <w:rPr>
                <w:rFonts w:cs="Times New Roman"/>
                <w:b/>
                <w:bCs/>
                <w:color w:val="17365D"/>
                <w:sz w:val="18"/>
                <w:szCs w:val="18"/>
              </w:rPr>
            </w:pPr>
            <w:r w:rsidRPr="00A27896">
              <w:rPr>
                <w:rFonts w:cs="Times New Roman"/>
                <w:b/>
                <w:bCs/>
                <w:color w:val="17365D"/>
                <w:sz w:val="18"/>
                <w:szCs w:val="18"/>
              </w:rPr>
              <w:t>17 512 787</w:t>
            </w:r>
          </w:p>
        </w:tc>
      </w:tr>
      <w:tr w:rsidR="0067556B" w:rsidRPr="00A27896" w14:paraId="6DCBFCF5" w14:textId="77777777" w:rsidTr="001D1A6D">
        <w:trPr>
          <w:trHeight w:val="443"/>
        </w:trPr>
        <w:tc>
          <w:tcPr>
            <w:tcW w:w="2401" w:type="dxa"/>
            <w:tcBorders>
              <w:top w:val="single" w:sz="4" w:space="0" w:color="17365D"/>
              <w:left w:val="nil"/>
              <w:bottom w:val="single" w:sz="4" w:space="0" w:color="17365D"/>
              <w:right w:val="nil"/>
            </w:tcBorders>
            <w:shd w:val="clear" w:color="auto" w:fill="auto"/>
            <w:vAlign w:val="center"/>
            <w:hideMark/>
          </w:tcPr>
          <w:p w14:paraId="3964FF7A" w14:textId="5E2373CE" w:rsidR="0067556B" w:rsidRPr="00A27896" w:rsidRDefault="0067556B" w:rsidP="0067556B">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Licences, koncesijas un patenti, preču zīmes un tamlīdzīgas tiesības</w:t>
            </w:r>
          </w:p>
        </w:tc>
        <w:tc>
          <w:tcPr>
            <w:tcW w:w="1276" w:type="dxa"/>
            <w:tcBorders>
              <w:top w:val="single" w:sz="4" w:space="0" w:color="17365D"/>
              <w:left w:val="nil"/>
              <w:bottom w:val="single" w:sz="4" w:space="0" w:color="17365D"/>
              <w:right w:val="nil"/>
            </w:tcBorders>
            <w:shd w:val="clear" w:color="auto" w:fill="auto"/>
            <w:vAlign w:val="center"/>
            <w:hideMark/>
          </w:tcPr>
          <w:p w14:paraId="72A9C349" w14:textId="01ED9782"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15 275</w:t>
            </w:r>
          </w:p>
        </w:tc>
        <w:tc>
          <w:tcPr>
            <w:tcW w:w="1274" w:type="dxa"/>
            <w:tcBorders>
              <w:top w:val="single" w:sz="4" w:space="0" w:color="17365D"/>
              <w:left w:val="nil"/>
              <w:bottom w:val="single" w:sz="4" w:space="0" w:color="17365D"/>
              <w:right w:val="nil"/>
            </w:tcBorders>
            <w:shd w:val="clear" w:color="auto" w:fill="auto"/>
            <w:vAlign w:val="center"/>
            <w:hideMark/>
          </w:tcPr>
          <w:p w14:paraId="75B5AACC" w14:textId="4F9C681E"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7 648</w:t>
            </w:r>
          </w:p>
        </w:tc>
        <w:tc>
          <w:tcPr>
            <w:tcW w:w="1209" w:type="dxa"/>
            <w:tcBorders>
              <w:top w:val="single" w:sz="4" w:space="0" w:color="17365D"/>
              <w:left w:val="nil"/>
              <w:bottom w:val="single" w:sz="4" w:space="0" w:color="17365D"/>
              <w:right w:val="nil"/>
            </w:tcBorders>
            <w:shd w:val="clear" w:color="auto" w:fill="auto"/>
            <w:vAlign w:val="center"/>
            <w:hideMark/>
          </w:tcPr>
          <w:p w14:paraId="556647DF" w14:textId="19603EB3"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29 394</w:t>
            </w:r>
          </w:p>
        </w:tc>
        <w:tc>
          <w:tcPr>
            <w:tcW w:w="1061" w:type="dxa"/>
            <w:tcBorders>
              <w:top w:val="single" w:sz="4" w:space="0" w:color="17365D"/>
              <w:left w:val="nil"/>
              <w:bottom w:val="single" w:sz="4" w:space="0" w:color="17365D"/>
              <w:right w:val="nil"/>
            </w:tcBorders>
            <w:shd w:val="clear" w:color="auto" w:fill="auto"/>
            <w:noWrap/>
            <w:vAlign w:val="center"/>
            <w:hideMark/>
          </w:tcPr>
          <w:p w14:paraId="4FE02847" w14:textId="16E6B24D"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10 639</w:t>
            </w:r>
          </w:p>
        </w:tc>
        <w:tc>
          <w:tcPr>
            <w:tcW w:w="1070" w:type="dxa"/>
            <w:tcBorders>
              <w:top w:val="single" w:sz="4" w:space="0" w:color="17365D"/>
              <w:left w:val="nil"/>
              <w:bottom w:val="single" w:sz="4" w:space="0" w:color="17365D"/>
              <w:right w:val="nil"/>
            </w:tcBorders>
            <w:shd w:val="clear" w:color="auto" w:fill="auto"/>
            <w:noWrap/>
            <w:vAlign w:val="center"/>
            <w:hideMark/>
          </w:tcPr>
          <w:p w14:paraId="657605B4" w14:textId="26101DC1"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10 514</w:t>
            </w:r>
          </w:p>
        </w:tc>
        <w:tc>
          <w:tcPr>
            <w:tcW w:w="1063" w:type="dxa"/>
            <w:tcBorders>
              <w:top w:val="single" w:sz="4" w:space="0" w:color="17365D"/>
              <w:left w:val="nil"/>
              <w:bottom w:val="single" w:sz="4" w:space="0" w:color="17365D"/>
              <w:right w:val="nil"/>
            </w:tcBorders>
            <w:shd w:val="clear" w:color="auto" w:fill="auto"/>
            <w:noWrap/>
            <w:vAlign w:val="center"/>
            <w:hideMark/>
          </w:tcPr>
          <w:p w14:paraId="7BC5C964" w14:textId="142DC089"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8 241</w:t>
            </w:r>
          </w:p>
        </w:tc>
      </w:tr>
      <w:tr w:rsidR="0067556B" w:rsidRPr="00A27896" w14:paraId="5FFBD349" w14:textId="77777777" w:rsidTr="001D1A6D">
        <w:trPr>
          <w:trHeight w:val="141"/>
        </w:trPr>
        <w:tc>
          <w:tcPr>
            <w:tcW w:w="2401" w:type="dxa"/>
            <w:tcBorders>
              <w:top w:val="single" w:sz="4" w:space="0" w:color="17365D"/>
              <w:left w:val="nil"/>
              <w:bottom w:val="single" w:sz="4" w:space="0" w:color="17365D"/>
              <w:right w:val="nil"/>
            </w:tcBorders>
            <w:shd w:val="clear" w:color="auto" w:fill="auto"/>
            <w:vAlign w:val="center"/>
            <w:hideMark/>
          </w:tcPr>
          <w:p w14:paraId="45B4381E" w14:textId="3CD994C6" w:rsidR="0067556B" w:rsidRPr="00A27896" w:rsidRDefault="0067556B" w:rsidP="0067556B">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Zeme un būves</w:t>
            </w:r>
          </w:p>
        </w:tc>
        <w:tc>
          <w:tcPr>
            <w:tcW w:w="1276" w:type="dxa"/>
            <w:tcBorders>
              <w:top w:val="single" w:sz="4" w:space="0" w:color="17365D"/>
              <w:left w:val="nil"/>
              <w:bottom w:val="single" w:sz="4" w:space="0" w:color="17365D"/>
              <w:right w:val="nil"/>
            </w:tcBorders>
            <w:shd w:val="clear" w:color="auto" w:fill="auto"/>
            <w:vAlign w:val="center"/>
            <w:hideMark/>
          </w:tcPr>
          <w:p w14:paraId="2DD9AD24" w14:textId="2164DC56"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137 712 457</w:t>
            </w:r>
          </w:p>
        </w:tc>
        <w:tc>
          <w:tcPr>
            <w:tcW w:w="1274" w:type="dxa"/>
            <w:tcBorders>
              <w:top w:val="single" w:sz="4" w:space="0" w:color="17365D"/>
              <w:left w:val="nil"/>
              <w:bottom w:val="single" w:sz="4" w:space="0" w:color="17365D"/>
              <w:right w:val="nil"/>
            </w:tcBorders>
            <w:shd w:val="clear" w:color="auto" w:fill="auto"/>
            <w:vAlign w:val="center"/>
            <w:hideMark/>
          </w:tcPr>
          <w:p w14:paraId="12D41A8B" w14:textId="15B5D797"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171 294 930</w:t>
            </w:r>
          </w:p>
        </w:tc>
        <w:tc>
          <w:tcPr>
            <w:tcW w:w="1209" w:type="dxa"/>
            <w:tcBorders>
              <w:top w:val="single" w:sz="4" w:space="0" w:color="17365D"/>
              <w:left w:val="nil"/>
              <w:bottom w:val="single" w:sz="4" w:space="0" w:color="17365D"/>
              <w:right w:val="nil"/>
            </w:tcBorders>
            <w:shd w:val="clear" w:color="auto" w:fill="auto"/>
            <w:noWrap/>
            <w:vAlign w:val="center"/>
            <w:hideMark/>
          </w:tcPr>
          <w:p w14:paraId="6E0AFF84" w14:textId="6DAAD639"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107 613 726</w:t>
            </w:r>
          </w:p>
        </w:tc>
        <w:tc>
          <w:tcPr>
            <w:tcW w:w="1061" w:type="dxa"/>
            <w:tcBorders>
              <w:top w:val="single" w:sz="4" w:space="0" w:color="17365D"/>
              <w:left w:val="nil"/>
              <w:bottom w:val="single" w:sz="4" w:space="0" w:color="17365D"/>
              <w:right w:val="nil"/>
            </w:tcBorders>
            <w:shd w:val="clear" w:color="auto" w:fill="auto"/>
            <w:noWrap/>
            <w:vAlign w:val="center"/>
            <w:hideMark/>
          </w:tcPr>
          <w:p w14:paraId="36F94D8F" w14:textId="09A4A423"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15 371 112</w:t>
            </w:r>
          </w:p>
        </w:tc>
        <w:tc>
          <w:tcPr>
            <w:tcW w:w="1070" w:type="dxa"/>
            <w:tcBorders>
              <w:top w:val="single" w:sz="4" w:space="0" w:color="17365D"/>
              <w:left w:val="nil"/>
              <w:bottom w:val="single" w:sz="4" w:space="0" w:color="17365D"/>
              <w:right w:val="nil"/>
            </w:tcBorders>
            <w:shd w:val="clear" w:color="auto" w:fill="auto"/>
            <w:noWrap/>
            <w:vAlign w:val="center"/>
            <w:hideMark/>
          </w:tcPr>
          <w:p w14:paraId="1521424A" w14:textId="159BBA73"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12 786 101</w:t>
            </w:r>
          </w:p>
        </w:tc>
        <w:tc>
          <w:tcPr>
            <w:tcW w:w="1063" w:type="dxa"/>
            <w:tcBorders>
              <w:top w:val="single" w:sz="4" w:space="0" w:color="17365D"/>
              <w:left w:val="nil"/>
              <w:bottom w:val="single" w:sz="4" w:space="0" w:color="17365D"/>
              <w:right w:val="nil"/>
            </w:tcBorders>
            <w:shd w:val="clear" w:color="auto" w:fill="auto"/>
            <w:noWrap/>
            <w:vAlign w:val="center"/>
            <w:hideMark/>
          </w:tcPr>
          <w:p w14:paraId="37F8D478" w14:textId="1EAAEDE5"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10 463 555</w:t>
            </w:r>
          </w:p>
        </w:tc>
      </w:tr>
      <w:tr w:rsidR="0067556B" w:rsidRPr="00A27896" w14:paraId="05BC6FAF" w14:textId="77777777" w:rsidTr="001D1A6D">
        <w:trPr>
          <w:trHeight w:val="330"/>
        </w:trPr>
        <w:tc>
          <w:tcPr>
            <w:tcW w:w="2401" w:type="dxa"/>
            <w:tcBorders>
              <w:top w:val="single" w:sz="4" w:space="0" w:color="17365D"/>
              <w:left w:val="nil"/>
              <w:bottom w:val="single" w:sz="4" w:space="0" w:color="17365D"/>
              <w:right w:val="nil"/>
            </w:tcBorders>
            <w:shd w:val="clear" w:color="auto" w:fill="auto"/>
            <w:vAlign w:val="center"/>
            <w:hideMark/>
          </w:tcPr>
          <w:p w14:paraId="5AE59399" w14:textId="0ADBC1FF" w:rsidR="0067556B" w:rsidRPr="00A27896" w:rsidRDefault="0067556B" w:rsidP="0067556B">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Tehnoloģiskās iekārtas un mašīnas</w:t>
            </w:r>
          </w:p>
        </w:tc>
        <w:tc>
          <w:tcPr>
            <w:tcW w:w="1276" w:type="dxa"/>
            <w:tcBorders>
              <w:top w:val="single" w:sz="4" w:space="0" w:color="17365D"/>
              <w:left w:val="nil"/>
              <w:bottom w:val="single" w:sz="4" w:space="0" w:color="17365D"/>
              <w:right w:val="nil"/>
            </w:tcBorders>
            <w:shd w:val="clear" w:color="auto" w:fill="auto"/>
            <w:vAlign w:val="center"/>
            <w:hideMark/>
          </w:tcPr>
          <w:p w14:paraId="345C4CFE" w14:textId="7EA18A3D"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107 899</w:t>
            </w:r>
          </w:p>
        </w:tc>
        <w:tc>
          <w:tcPr>
            <w:tcW w:w="1274" w:type="dxa"/>
            <w:tcBorders>
              <w:top w:val="single" w:sz="4" w:space="0" w:color="17365D"/>
              <w:left w:val="nil"/>
              <w:bottom w:val="single" w:sz="4" w:space="0" w:color="17365D"/>
              <w:right w:val="nil"/>
            </w:tcBorders>
            <w:shd w:val="clear" w:color="auto" w:fill="auto"/>
            <w:vAlign w:val="center"/>
            <w:hideMark/>
          </w:tcPr>
          <w:p w14:paraId="54028224" w14:textId="601B7C34"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65 855</w:t>
            </w:r>
          </w:p>
        </w:tc>
        <w:tc>
          <w:tcPr>
            <w:tcW w:w="1209" w:type="dxa"/>
            <w:tcBorders>
              <w:top w:val="single" w:sz="4" w:space="0" w:color="17365D"/>
              <w:left w:val="nil"/>
              <w:bottom w:val="single" w:sz="4" w:space="0" w:color="17365D"/>
              <w:right w:val="nil"/>
            </w:tcBorders>
            <w:shd w:val="clear" w:color="auto" w:fill="auto"/>
            <w:noWrap/>
            <w:vAlign w:val="center"/>
            <w:hideMark/>
          </w:tcPr>
          <w:p w14:paraId="7F477F0F" w14:textId="4A22F970"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52 372</w:t>
            </w:r>
          </w:p>
        </w:tc>
        <w:tc>
          <w:tcPr>
            <w:tcW w:w="1061" w:type="dxa"/>
            <w:tcBorders>
              <w:top w:val="single" w:sz="4" w:space="0" w:color="17365D"/>
              <w:left w:val="nil"/>
              <w:bottom w:val="single" w:sz="4" w:space="0" w:color="17365D"/>
              <w:right w:val="nil"/>
            </w:tcBorders>
            <w:shd w:val="clear" w:color="auto" w:fill="auto"/>
            <w:noWrap/>
            <w:vAlign w:val="center"/>
            <w:hideMark/>
          </w:tcPr>
          <w:p w14:paraId="74E2566F" w14:textId="27279FA4"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29 716</w:t>
            </w:r>
          </w:p>
        </w:tc>
        <w:tc>
          <w:tcPr>
            <w:tcW w:w="1070" w:type="dxa"/>
            <w:tcBorders>
              <w:top w:val="single" w:sz="4" w:space="0" w:color="17365D"/>
              <w:left w:val="nil"/>
              <w:bottom w:val="single" w:sz="4" w:space="0" w:color="17365D"/>
              <w:right w:val="nil"/>
            </w:tcBorders>
            <w:shd w:val="clear" w:color="auto" w:fill="auto"/>
            <w:noWrap/>
            <w:vAlign w:val="center"/>
            <w:hideMark/>
          </w:tcPr>
          <w:p w14:paraId="2A1AE76C" w14:textId="249633BA"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21 378</w:t>
            </w:r>
          </w:p>
        </w:tc>
        <w:tc>
          <w:tcPr>
            <w:tcW w:w="1063" w:type="dxa"/>
            <w:tcBorders>
              <w:top w:val="single" w:sz="4" w:space="0" w:color="17365D"/>
              <w:left w:val="nil"/>
              <w:bottom w:val="single" w:sz="4" w:space="0" w:color="17365D"/>
              <w:right w:val="nil"/>
            </w:tcBorders>
            <w:shd w:val="clear" w:color="auto" w:fill="auto"/>
            <w:noWrap/>
            <w:vAlign w:val="center"/>
            <w:hideMark/>
          </w:tcPr>
          <w:p w14:paraId="652CE0E4" w14:textId="2CBC874C"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1 278</w:t>
            </w:r>
          </w:p>
        </w:tc>
      </w:tr>
      <w:tr w:rsidR="0067556B" w:rsidRPr="00A27896" w14:paraId="6EB52C8D" w14:textId="77777777" w:rsidTr="001D1A6D">
        <w:trPr>
          <w:trHeight w:val="179"/>
        </w:trPr>
        <w:tc>
          <w:tcPr>
            <w:tcW w:w="2401" w:type="dxa"/>
            <w:tcBorders>
              <w:top w:val="single" w:sz="4" w:space="0" w:color="17365D"/>
              <w:left w:val="nil"/>
              <w:bottom w:val="single" w:sz="4" w:space="0" w:color="17365D"/>
              <w:right w:val="nil"/>
            </w:tcBorders>
            <w:shd w:val="clear" w:color="auto" w:fill="auto"/>
            <w:vAlign w:val="center"/>
            <w:hideMark/>
          </w:tcPr>
          <w:p w14:paraId="291552C9" w14:textId="151F9293" w:rsidR="0067556B" w:rsidRPr="00A27896" w:rsidRDefault="0067556B" w:rsidP="0067556B">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Pārējie pamatlīdzekļi</w:t>
            </w:r>
          </w:p>
        </w:tc>
        <w:tc>
          <w:tcPr>
            <w:tcW w:w="1276" w:type="dxa"/>
            <w:tcBorders>
              <w:top w:val="single" w:sz="4" w:space="0" w:color="17365D"/>
              <w:left w:val="nil"/>
              <w:bottom w:val="single" w:sz="4" w:space="0" w:color="17365D"/>
              <w:right w:val="nil"/>
            </w:tcBorders>
            <w:shd w:val="clear" w:color="auto" w:fill="auto"/>
            <w:vAlign w:val="center"/>
            <w:hideMark/>
          </w:tcPr>
          <w:p w14:paraId="3215A410" w14:textId="523E62C4"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2 982 930</w:t>
            </w:r>
          </w:p>
        </w:tc>
        <w:tc>
          <w:tcPr>
            <w:tcW w:w="1274" w:type="dxa"/>
            <w:tcBorders>
              <w:top w:val="single" w:sz="4" w:space="0" w:color="17365D"/>
              <w:left w:val="nil"/>
              <w:bottom w:val="single" w:sz="4" w:space="0" w:color="17365D"/>
              <w:right w:val="nil"/>
            </w:tcBorders>
            <w:shd w:val="clear" w:color="auto" w:fill="auto"/>
            <w:vAlign w:val="center"/>
            <w:hideMark/>
          </w:tcPr>
          <w:p w14:paraId="0343D8C0" w14:textId="0123F126"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1 555 109</w:t>
            </w:r>
          </w:p>
        </w:tc>
        <w:tc>
          <w:tcPr>
            <w:tcW w:w="1209" w:type="dxa"/>
            <w:tcBorders>
              <w:top w:val="single" w:sz="4" w:space="0" w:color="17365D"/>
              <w:left w:val="nil"/>
              <w:bottom w:val="single" w:sz="4" w:space="0" w:color="17365D"/>
              <w:right w:val="nil"/>
            </w:tcBorders>
            <w:shd w:val="clear" w:color="auto" w:fill="auto"/>
            <w:noWrap/>
            <w:vAlign w:val="center"/>
            <w:hideMark/>
          </w:tcPr>
          <w:p w14:paraId="5CDEF68B" w14:textId="69EC3A30"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312 176</w:t>
            </w:r>
          </w:p>
        </w:tc>
        <w:tc>
          <w:tcPr>
            <w:tcW w:w="1061" w:type="dxa"/>
            <w:tcBorders>
              <w:top w:val="single" w:sz="4" w:space="0" w:color="17365D"/>
              <w:left w:val="nil"/>
              <w:bottom w:val="single" w:sz="4" w:space="0" w:color="17365D"/>
              <w:right w:val="nil"/>
            </w:tcBorders>
            <w:shd w:val="clear" w:color="auto" w:fill="auto"/>
            <w:noWrap/>
            <w:vAlign w:val="center"/>
            <w:hideMark/>
          </w:tcPr>
          <w:p w14:paraId="70A5268F" w14:textId="45DC3578"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131 089</w:t>
            </w:r>
          </w:p>
        </w:tc>
        <w:tc>
          <w:tcPr>
            <w:tcW w:w="1070" w:type="dxa"/>
            <w:tcBorders>
              <w:top w:val="single" w:sz="4" w:space="0" w:color="17365D"/>
              <w:left w:val="nil"/>
              <w:bottom w:val="single" w:sz="4" w:space="0" w:color="17365D"/>
              <w:right w:val="nil"/>
            </w:tcBorders>
            <w:shd w:val="clear" w:color="auto" w:fill="auto"/>
            <w:noWrap/>
            <w:vAlign w:val="center"/>
            <w:hideMark/>
          </w:tcPr>
          <w:p w14:paraId="0AC53AA8" w14:textId="00969645"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56 602</w:t>
            </w:r>
          </w:p>
        </w:tc>
        <w:tc>
          <w:tcPr>
            <w:tcW w:w="1063" w:type="dxa"/>
            <w:tcBorders>
              <w:top w:val="single" w:sz="4" w:space="0" w:color="17365D"/>
              <w:left w:val="nil"/>
              <w:bottom w:val="single" w:sz="4" w:space="0" w:color="17365D"/>
              <w:right w:val="nil"/>
            </w:tcBorders>
            <w:shd w:val="clear" w:color="auto" w:fill="auto"/>
            <w:noWrap/>
            <w:vAlign w:val="center"/>
            <w:hideMark/>
          </w:tcPr>
          <w:p w14:paraId="4B67F880" w14:textId="68470D13"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44 337</w:t>
            </w:r>
          </w:p>
        </w:tc>
      </w:tr>
      <w:tr w:rsidR="0067556B" w:rsidRPr="00A27896" w14:paraId="26B79457" w14:textId="77777777" w:rsidTr="001D1A6D">
        <w:trPr>
          <w:trHeight w:val="240"/>
        </w:trPr>
        <w:tc>
          <w:tcPr>
            <w:tcW w:w="2401" w:type="dxa"/>
            <w:tcBorders>
              <w:top w:val="single" w:sz="4" w:space="0" w:color="17365D"/>
              <w:left w:val="nil"/>
              <w:bottom w:val="single" w:sz="4" w:space="0" w:color="17365D"/>
              <w:right w:val="nil"/>
            </w:tcBorders>
            <w:shd w:val="clear" w:color="auto" w:fill="auto"/>
            <w:vAlign w:val="center"/>
            <w:hideMark/>
          </w:tcPr>
          <w:p w14:paraId="377B0633" w14:textId="31C693BF" w:rsidR="0067556B" w:rsidRPr="00A27896" w:rsidRDefault="0067556B" w:rsidP="0067556B">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Turējumā nodotie valsts un pašvaldību īpašumi</w:t>
            </w:r>
          </w:p>
        </w:tc>
        <w:tc>
          <w:tcPr>
            <w:tcW w:w="1276" w:type="dxa"/>
            <w:tcBorders>
              <w:top w:val="single" w:sz="4" w:space="0" w:color="17365D"/>
              <w:left w:val="nil"/>
              <w:bottom w:val="single" w:sz="4" w:space="0" w:color="17365D"/>
              <w:right w:val="nil"/>
            </w:tcBorders>
            <w:shd w:val="clear" w:color="auto" w:fill="auto"/>
            <w:vAlign w:val="center"/>
            <w:hideMark/>
          </w:tcPr>
          <w:p w14:paraId="05A99870" w14:textId="5B79727E"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7 138 032</w:t>
            </w:r>
          </w:p>
        </w:tc>
        <w:tc>
          <w:tcPr>
            <w:tcW w:w="1274" w:type="dxa"/>
            <w:tcBorders>
              <w:top w:val="single" w:sz="4" w:space="0" w:color="17365D"/>
              <w:left w:val="nil"/>
              <w:bottom w:val="single" w:sz="4" w:space="0" w:color="17365D"/>
              <w:right w:val="nil"/>
            </w:tcBorders>
            <w:shd w:val="clear" w:color="auto" w:fill="auto"/>
            <w:vAlign w:val="center"/>
            <w:hideMark/>
          </w:tcPr>
          <w:p w14:paraId="5649C638" w14:textId="342892C3"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12 180 661</w:t>
            </w:r>
          </w:p>
        </w:tc>
        <w:tc>
          <w:tcPr>
            <w:tcW w:w="1209" w:type="dxa"/>
            <w:tcBorders>
              <w:top w:val="single" w:sz="4" w:space="0" w:color="17365D"/>
              <w:left w:val="nil"/>
              <w:bottom w:val="single" w:sz="4" w:space="0" w:color="17365D"/>
              <w:right w:val="nil"/>
            </w:tcBorders>
            <w:shd w:val="clear" w:color="auto" w:fill="auto"/>
            <w:noWrap/>
            <w:vAlign w:val="center"/>
            <w:hideMark/>
          </w:tcPr>
          <w:p w14:paraId="674641C3" w14:textId="0AEBB17A"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3 349 418</w:t>
            </w:r>
          </w:p>
        </w:tc>
        <w:tc>
          <w:tcPr>
            <w:tcW w:w="1061" w:type="dxa"/>
            <w:tcBorders>
              <w:top w:val="single" w:sz="4" w:space="0" w:color="17365D"/>
              <w:left w:val="nil"/>
              <w:bottom w:val="single" w:sz="4" w:space="0" w:color="17365D"/>
              <w:right w:val="nil"/>
            </w:tcBorders>
            <w:shd w:val="clear" w:color="auto" w:fill="auto"/>
            <w:noWrap/>
            <w:vAlign w:val="center"/>
            <w:hideMark/>
          </w:tcPr>
          <w:p w14:paraId="0D55B381" w14:textId="32BFC7E7"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587 859</w:t>
            </w:r>
          </w:p>
        </w:tc>
        <w:tc>
          <w:tcPr>
            <w:tcW w:w="1070" w:type="dxa"/>
            <w:tcBorders>
              <w:top w:val="single" w:sz="4" w:space="0" w:color="17365D"/>
              <w:left w:val="nil"/>
              <w:bottom w:val="single" w:sz="4" w:space="0" w:color="17365D"/>
              <w:right w:val="nil"/>
            </w:tcBorders>
            <w:shd w:val="clear" w:color="auto" w:fill="auto"/>
            <w:noWrap/>
            <w:vAlign w:val="center"/>
            <w:hideMark/>
          </w:tcPr>
          <w:p w14:paraId="2BD4114A" w14:textId="6D376DAA"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471 922</w:t>
            </w:r>
          </w:p>
        </w:tc>
        <w:tc>
          <w:tcPr>
            <w:tcW w:w="1063" w:type="dxa"/>
            <w:tcBorders>
              <w:top w:val="single" w:sz="4" w:space="0" w:color="17365D"/>
              <w:left w:val="nil"/>
              <w:bottom w:val="single" w:sz="4" w:space="0" w:color="17365D"/>
              <w:right w:val="nil"/>
            </w:tcBorders>
            <w:shd w:val="clear" w:color="auto" w:fill="auto"/>
            <w:noWrap/>
            <w:vAlign w:val="center"/>
            <w:hideMark/>
          </w:tcPr>
          <w:p w14:paraId="01A80AEB" w14:textId="2C6D1810"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389 197</w:t>
            </w:r>
          </w:p>
        </w:tc>
      </w:tr>
      <w:tr w:rsidR="0067556B" w:rsidRPr="00A27896" w14:paraId="229C907E" w14:textId="77777777" w:rsidTr="001D1A6D">
        <w:trPr>
          <w:trHeight w:val="232"/>
        </w:trPr>
        <w:tc>
          <w:tcPr>
            <w:tcW w:w="2401" w:type="dxa"/>
            <w:tcBorders>
              <w:top w:val="single" w:sz="4" w:space="0" w:color="17365D"/>
              <w:left w:val="nil"/>
              <w:bottom w:val="single" w:sz="4" w:space="0" w:color="17365D"/>
              <w:right w:val="nil"/>
            </w:tcBorders>
            <w:shd w:val="clear" w:color="auto" w:fill="auto"/>
            <w:vAlign w:val="center"/>
            <w:hideMark/>
          </w:tcPr>
          <w:p w14:paraId="6BC2A592" w14:textId="77F8A650" w:rsidR="0067556B" w:rsidRPr="00A27896" w:rsidRDefault="0067556B" w:rsidP="0067556B">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Bioloģiskie un pazemes aktīvi</w:t>
            </w:r>
          </w:p>
        </w:tc>
        <w:tc>
          <w:tcPr>
            <w:tcW w:w="1276" w:type="dxa"/>
            <w:tcBorders>
              <w:top w:val="single" w:sz="4" w:space="0" w:color="17365D"/>
              <w:left w:val="nil"/>
              <w:bottom w:val="single" w:sz="4" w:space="0" w:color="17365D"/>
              <w:right w:val="nil"/>
            </w:tcBorders>
            <w:shd w:val="clear" w:color="auto" w:fill="auto"/>
            <w:vAlign w:val="center"/>
            <w:hideMark/>
          </w:tcPr>
          <w:p w14:paraId="2556C0D3" w14:textId="3F28941F"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596 292</w:t>
            </w:r>
          </w:p>
        </w:tc>
        <w:tc>
          <w:tcPr>
            <w:tcW w:w="1274" w:type="dxa"/>
            <w:tcBorders>
              <w:top w:val="single" w:sz="4" w:space="0" w:color="17365D"/>
              <w:left w:val="nil"/>
              <w:bottom w:val="single" w:sz="4" w:space="0" w:color="17365D"/>
              <w:right w:val="nil"/>
            </w:tcBorders>
            <w:shd w:val="clear" w:color="auto" w:fill="auto"/>
            <w:vAlign w:val="center"/>
            <w:hideMark/>
          </w:tcPr>
          <w:p w14:paraId="0C301461" w14:textId="7F18C8A0"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583 226</w:t>
            </w:r>
          </w:p>
        </w:tc>
        <w:tc>
          <w:tcPr>
            <w:tcW w:w="1209" w:type="dxa"/>
            <w:tcBorders>
              <w:top w:val="single" w:sz="4" w:space="0" w:color="17365D"/>
              <w:left w:val="nil"/>
              <w:bottom w:val="single" w:sz="4" w:space="0" w:color="17365D"/>
              <w:right w:val="nil"/>
            </w:tcBorders>
            <w:shd w:val="clear" w:color="auto" w:fill="auto"/>
            <w:noWrap/>
            <w:vAlign w:val="center"/>
            <w:hideMark/>
          </w:tcPr>
          <w:p w14:paraId="2B8A89C8" w14:textId="42CFA18A"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759 956</w:t>
            </w:r>
          </w:p>
        </w:tc>
        <w:tc>
          <w:tcPr>
            <w:tcW w:w="1061" w:type="dxa"/>
            <w:tcBorders>
              <w:top w:val="single" w:sz="4" w:space="0" w:color="17365D"/>
              <w:left w:val="nil"/>
              <w:bottom w:val="single" w:sz="4" w:space="0" w:color="17365D"/>
              <w:right w:val="nil"/>
            </w:tcBorders>
            <w:shd w:val="clear" w:color="auto" w:fill="auto"/>
            <w:noWrap/>
            <w:vAlign w:val="center"/>
            <w:hideMark/>
          </w:tcPr>
          <w:p w14:paraId="7CD48E80" w14:textId="50E77820"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54 416</w:t>
            </w:r>
          </w:p>
        </w:tc>
        <w:tc>
          <w:tcPr>
            <w:tcW w:w="1070" w:type="dxa"/>
            <w:tcBorders>
              <w:top w:val="single" w:sz="4" w:space="0" w:color="17365D"/>
              <w:left w:val="nil"/>
              <w:bottom w:val="single" w:sz="4" w:space="0" w:color="17365D"/>
              <w:right w:val="nil"/>
            </w:tcBorders>
            <w:shd w:val="clear" w:color="auto" w:fill="auto"/>
            <w:noWrap/>
            <w:vAlign w:val="center"/>
            <w:hideMark/>
          </w:tcPr>
          <w:p w14:paraId="016BC455" w14:textId="00BC8B82"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54 416</w:t>
            </w:r>
          </w:p>
        </w:tc>
        <w:tc>
          <w:tcPr>
            <w:tcW w:w="1063" w:type="dxa"/>
            <w:tcBorders>
              <w:top w:val="single" w:sz="4" w:space="0" w:color="17365D"/>
              <w:left w:val="nil"/>
              <w:bottom w:val="single" w:sz="4" w:space="0" w:color="17365D"/>
              <w:right w:val="nil"/>
            </w:tcBorders>
            <w:shd w:val="clear" w:color="auto" w:fill="auto"/>
            <w:noWrap/>
            <w:vAlign w:val="center"/>
            <w:hideMark/>
          </w:tcPr>
          <w:p w14:paraId="1E579FDD" w14:textId="3A430DD2"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54 416</w:t>
            </w:r>
          </w:p>
        </w:tc>
      </w:tr>
      <w:tr w:rsidR="0067556B" w:rsidRPr="00A27896" w14:paraId="05099DE1" w14:textId="77777777" w:rsidTr="001D1A6D">
        <w:trPr>
          <w:trHeight w:val="74"/>
        </w:trPr>
        <w:tc>
          <w:tcPr>
            <w:tcW w:w="2401" w:type="dxa"/>
            <w:tcBorders>
              <w:top w:val="single" w:sz="4" w:space="0" w:color="17365D"/>
              <w:left w:val="nil"/>
              <w:bottom w:val="single" w:sz="4" w:space="0" w:color="17365D"/>
              <w:right w:val="nil"/>
            </w:tcBorders>
            <w:shd w:val="clear" w:color="auto" w:fill="auto"/>
            <w:vAlign w:val="center"/>
          </w:tcPr>
          <w:p w14:paraId="19E611A9" w14:textId="011F4BBF" w:rsidR="0067556B" w:rsidRPr="00A27896" w:rsidRDefault="0067556B" w:rsidP="0067556B">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Ieguldījuma īpašumi</w:t>
            </w:r>
          </w:p>
        </w:tc>
        <w:tc>
          <w:tcPr>
            <w:tcW w:w="1276" w:type="dxa"/>
            <w:tcBorders>
              <w:top w:val="single" w:sz="4" w:space="0" w:color="17365D"/>
              <w:left w:val="nil"/>
              <w:bottom w:val="single" w:sz="4" w:space="0" w:color="17365D"/>
              <w:right w:val="nil"/>
            </w:tcBorders>
            <w:shd w:val="clear" w:color="auto" w:fill="auto"/>
            <w:vAlign w:val="center"/>
          </w:tcPr>
          <w:p w14:paraId="2A403DFD" w14:textId="6E1FA8ED"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193 830 844</w:t>
            </w:r>
          </w:p>
        </w:tc>
        <w:tc>
          <w:tcPr>
            <w:tcW w:w="1274" w:type="dxa"/>
            <w:tcBorders>
              <w:top w:val="single" w:sz="4" w:space="0" w:color="17365D"/>
              <w:left w:val="nil"/>
              <w:bottom w:val="single" w:sz="4" w:space="0" w:color="17365D"/>
              <w:right w:val="nil"/>
            </w:tcBorders>
            <w:shd w:val="clear" w:color="auto" w:fill="auto"/>
            <w:vAlign w:val="center"/>
          </w:tcPr>
          <w:p w14:paraId="7D96D239" w14:textId="5C8F5F2A"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200 683 525</w:t>
            </w:r>
          </w:p>
        </w:tc>
        <w:tc>
          <w:tcPr>
            <w:tcW w:w="1209" w:type="dxa"/>
            <w:tcBorders>
              <w:top w:val="single" w:sz="4" w:space="0" w:color="17365D"/>
              <w:left w:val="nil"/>
              <w:bottom w:val="single" w:sz="4" w:space="0" w:color="17365D"/>
              <w:right w:val="nil"/>
            </w:tcBorders>
            <w:shd w:val="clear" w:color="auto" w:fill="auto"/>
            <w:noWrap/>
            <w:vAlign w:val="center"/>
          </w:tcPr>
          <w:p w14:paraId="1E0BC135" w14:textId="31F21954"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58 473 012</w:t>
            </w:r>
          </w:p>
        </w:tc>
        <w:tc>
          <w:tcPr>
            <w:tcW w:w="1061" w:type="dxa"/>
            <w:tcBorders>
              <w:top w:val="single" w:sz="4" w:space="0" w:color="17365D"/>
              <w:left w:val="nil"/>
              <w:bottom w:val="single" w:sz="4" w:space="0" w:color="17365D"/>
              <w:right w:val="nil"/>
            </w:tcBorders>
            <w:shd w:val="clear" w:color="auto" w:fill="auto"/>
            <w:noWrap/>
            <w:vAlign w:val="center"/>
          </w:tcPr>
          <w:p w14:paraId="43FFC254" w14:textId="53D9445D"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7 634 885</w:t>
            </w:r>
          </w:p>
        </w:tc>
        <w:tc>
          <w:tcPr>
            <w:tcW w:w="1070" w:type="dxa"/>
            <w:tcBorders>
              <w:top w:val="single" w:sz="4" w:space="0" w:color="17365D"/>
              <w:left w:val="nil"/>
              <w:bottom w:val="single" w:sz="4" w:space="0" w:color="17365D"/>
              <w:right w:val="nil"/>
            </w:tcBorders>
            <w:shd w:val="clear" w:color="auto" w:fill="auto"/>
            <w:noWrap/>
            <w:vAlign w:val="center"/>
          </w:tcPr>
          <w:p w14:paraId="45CEF392" w14:textId="67046ED9"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7 018 002</w:t>
            </w:r>
          </w:p>
        </w:tc>
        <w:tc>
          <w:tcPr>
            <w:tcW w:w="1063" w:type="dxa"/>
            <w:tcBorders>
              <w:top w:val="single" w:sz="4" w:space="0" w:color="17365D"/>
              <w:left w:val="nil"/>
              <w:bottom w:val="single" w:sz="4" w:space="0" w:color="17365D"/>
              <w:right w:val="nil"/>
            </w:tcBorders>
            <w:shd w:val="clear" w:color="auto" w:fill="auto"/>
            <w:noWrap/>
            <w:vAlign w:val="center"/>
          </w:tcPr>
          <w:p w14:paraId="2F6306D3" w14:textId="708B190D"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6 491 867</w:t>
            </w:r>
          </w:p>
        </w:tc>
      </w:tr>
      <w:tr w:rsidR="0067556B" w:rsidRPr="00A27896" w14:paraId="6C4A6895" w14:textId="77777777" w:rsidTr="001D1A6D">
        <w:trPr>
          <w:trHeight w:val="74"/>
        </w:trPr>
        <w:tc>
          <w:tcPr>
            <w:tcW w:w="2401" w:type="dxa"/>
            <w:tcBorders>
              <w:top w:val="single" w:sz="4" w:space="0" w:color="17365D"/>
              <w:left w:val="nil"/>
              <w:bottom w:val="single" w:sz="4" w:space="0" w:color="17365D"/>
              <w:right w:val="nil"/>
            </w:tcBorders>
            <w:shd w:val="clear" w:color="auto" w:fill="auto"/>
            <w:vAlign w:val="center"/>
            <w:hideMark/>
          </w:tcPr>
          <w:p w14:paraId="4BD562D6" w14:textId="22AE49F9" w:rsidR="0067556B" w:rsidRPr="00A27896" w:rsidRDefault="0067556B" w:rsidP="0067556B">
            <w:pPr>
              <w:spacing w:after="0" w:line="240" w:lineRule="auto"/>
              <w:rPr>
                <w:rFonts w:eastAsia="Times New Roman" w:cs="Times New Roman"/>
                <w:bCs/>
                <w:color w:val="17365D"/>
                <w:sz w:val="18"/>
                <w:szCs w:val="18"/>
                <w:lang w:eastAsia="lv-LV"/>
              </w:rPr>
            </w:pPr>
            <w:r w:rsidRPr="00A27896">
              <w:rPr>
                <w:rFonts w:cs="Times New Roman"/>
                <w:color w:val="17365D"/>
                <w:sz w:val="18"/>
                <w:szCs w:val="18"/>
              </w:rPr>
              <w:t>Turējumā nodotie ieguldījuma īpašumi</w:t>
            </w:r>
          </w:p>
        </w:tc>
        <w:tc>
          <w:tcPr>
            <w:tcW w:w="1276" w:type="dxa"/>
            <w:tcBorders>
              <w:top w:val="single" w:sz="4" w:space="0" w:color="17365D"/>
              <w:left w:val="nil"/>
              <w:bottom w:val="single" w:sz="4" w:space="0" w:color="17365D"/>
              <w:right w:val="nil"/>
            </w:tcBorders>
            <w:shd w:val="clear" w:color="auto" w:fill="auto"/>
            <w:vAlign w:val="center"/>
            <w:hideMark/>
          </w:tcPr>
          <w:p w14:paraId="543D87E7" w14:textId="585229C0"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1 293 761</w:t>
            </w:r>
          </w:p>
        </w:tc>
        <w:tc>
          <w:tcPr>
            <w:tcW w:w="1274" w:type="dxa"/>
            <w:tcBorders>
              <w:top w:val="single" w:sz="4" w:space="0" w:color="17365D"/>
              <w:left w:val="nil"/>
              <w:bottom w:val="single" w:sz="4" w:space="0" w:color="17365D"/>
              <w:right w:val="nil"/>
            </w:tcBorders>
            <w:shd w:val="clear" w:color="auto" w:fill="auto"/>
            <w:vAlign w:val="center"/>
            <w:hideMark/>
          </w:tcPr>
          <w:p w14:paraId="579392CA" w14:textId="3EFF6264"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4 832 502</w:t>
            </w:r>
          </w:p>
        </w:tc>
        <w:tc>
          <w:tcPr>
            <w:tcW w:w="1209" w:type="dxa"/>
            <w:tcBorders>
              <w:top w:val="single" w:sz="4" w:space="0" w:color="17365D"/>
              <w:left w:val="nil"/>
              <w:bottom w:val="single" w:sz="4" w:space="0" w:color="17365D"/>
              <w:right w:val="nil"/>
            </w:tcBorders>
            <w:shd w:val="clear" w:color="auto" w:fill="auto"/>
            <w:noWrap/>
            <w:vAlign w:val="center"/>
            <w:hideMark/>
          </w:tcPr>
          <w:p w14:paraId="53734279" w14:textId="333CD10A"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419 030</w:t>
            </w:r>
          </w:p>
        </w:tc>
        <w:tc>
          <w:tcPr>
            <w:tcW w:w="1061" w:type="dxa"/>
            <w:tcBorders>
              <w:top w:val="single" w:sz="4" w:space="0" w:color="17365D"/>
              <w:left w:val="nil"/>
              <w:bottom w:val="single" w:sz="4" w:space="0" w:color="17365D"/>
              <w:right w:val="nil"/>
            </w:tcBorders>
            <w:shd w:val="clear" w:color="auto" w:fill="auto"/>
            <w:noWrap/>
            <w:vAlign w:val="center"/>
            <w:hideMark/>
          </w:tcPr>
          <w:p w14:paraId="07C9F5CD" w14:textId="1ED7F5CE"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107 279</w:t>
            </w:r>
          </w:p>
        </w:tc>
        <w:tc>
          <w:tcPr>
            <w:tcW w:w="1070" w:type="dxa"/>
            <w:tcBorders>
              <w:top w:val="single" w:sz="4" w:space="0" w:color="17365D"/>
              <w:left w:val="nil"/>
              <w:bottom w:val="single" w:sz="4" w:space="0" w:color="17365D"/>
              <w:right w:val="nil"/>
            </w:tcBorders>
            <w:shd w:val="clear" w:color="auto" w:fill="auto"/>
            <w:noWrap/>
            <w:vAlign w:val="center"/>
            <w:hideMark/>
          </w:tcPr>
          <w:p w14:paraId="69E764C7" w14:textId="68534454"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83 422</w:t>
            </w:r>
          </w:p>
        </w:tc>
        <w:tc>
          <w:tcPr>
            <w:tcW w:w="1063" w:type="dxa"/>
            <w:tcBorders>
              <w:top w:val="single" w:sz="4" w:space="0" w:color="17365D"/>
              <w:left w:val="nil"/>
              <w:bottom w:val="single" w:sz="4" w:space="0" w:color="17365D"/>
              <w:right w:val="nil"/>
            </w:tcBorders>
            <w:shd w:val="clear" w:color="auto" w:fill="auto"/>
            <w:noWrap/>
            <w:vAlign w:val="center"/>
            <w:hideMark/>
          </w:tcPr>
          <w:p w14:paraId="6D12260B" w14:textId="5E07499E"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59 863</w:t>
            </w:r>
          </w:p>
        </w:tc>
      </w:tr>
      <w:tr w:rsidR="0067556B" w:rsidRPr="00A27896" w14:paraId="70DFC0E5" w14:textId="77777777" w:rsidTr="001D1A6D">
        <w:trPr>
          <w:trHeight w:val="417"/>
        </w:trPr>
        <w:tc>
          <w:tcPr>
            <w:tcW w:w="2401" w:type="dxa"/>
            <w:tcBorders>
              <w:top w:val="single" w:sz="4" w:space="0" w:color="17365D"/>
              <w:left w:val="nil"/>
              <w:bottom w:val="single" w:sz="4" w:space="0" w:color="17365D"/>
              <w:right w:val="nil"/>
            </w:tcBorders>
            <w:shd w:val="clear" w:color="auto" w:fill="auto"/>
            <w:vAlign w:val="center"/>
            <w:hideMark/>
          </w:tcPr>
          <w:p w14:paraId="7D9B0E3E" w14:textId="3772C1A2" w:rsidR="0067556B" w:rsidRPr="00A27896" w:rsidRDefault="0067556B" w:rsidP="0067556B">
            <w:pPr>
              <w:spacing w:after="0" w:line="240" w:lineRule="auto"/>
              <w:rPr>
                <w:rFonts w:eastAsia="Times New Roman" w:cs="Times New Roman"/>
                <w:bCs/>
                <w:color w:val="17365D"/>
                <w:sz w:val="18"/>
                <w:szCs w:val="18"/>
                <w:lang w:eastAsia="lv-LV"/>
              </w:rPr>
            </w:pPr>
            <w:r w:rsidRPr="00A27896">
              <w:rPr>
                <w:rFonts w:cs="Times New Roman"/>
                <w:color w:val="17365D"/>
                <w:sz w:val="18"/>
                <w:szCs w:val="18"/>
              </w:rPr>
              <w:lastRenderedPageBreak/>
              <w:t>Bioloģiskie aktīvi lauksaimnieciskajai darbībai</w:t>
            </w:r>
          </w:p>
        </w:tc>
        <w:tc>
          <w:tcPr>
            <w:tcW w:w="1276" w:type="dxa"/>
            <w:tcBorders>
              <w:top w:val="single" w:sz="4" w:space="0" w:color="17365D"/>
              <w:left w:val="nil"/>
              <w:bottom w:val="single" w:sz="4" w:space="0" w:color="17365D"/>
              <w:right w:val="nil"/>
            </w:tcBorders>
            <w:shd w:val="clear" w:color="auto" w:fill="auto"/>
            <w:vAlign w:val="center"/>
            <w:hideMark/>
          </w:tcPr>
          <w:p w14:paraId="407E52F0" w14:textId="239F449D"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135 350</w:t>
            </w:r>
          </w:p>
        </w:tc>
        <w:tc>
          <w:tcPr>
            <w:tcW w:w="1274" w:type="dxa"/>
            <w:tcBorders>
              <w:top w:val="single" w:sz="4" w:space="0" w:color="17365D"/>
              <w:left w:val="nil"/>
              <w:bottom w:val="single" w:sz="4" w:space="0" w:color="17365D"/>
              <w:right w:val="nil"/>
            </w:tcBorders>
            <w:shd w:val="clear" w:color="auto" w:fill="auto"/>
            <w:vAlign w:val="center"/>
            <w:hideMark/>
          </w:tcPr>
          <w:p w14:paraId="4940A91D" w14:textId="22E7C506"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16 726</w:t>
            </w:r>
          </w:p>
        </w:tc>
        <w:tc>
          <w:tcPr>
            <w:tcW w:w="1209" w:type="dxa"/>
            <w:tcBorders>
              <w:top w:val="single" w:sz="4" w:space="0" w:color="17365D"/>
              <w:left w:val="nil"/>
              <w:bottom w:val="single" w:sz="4" w:space="0" w:color="17365D"/>
              <w:right w:val="nil"/>
            </w:tcBorders>
            <w:shd w:val="clear" w:color="auto" w:fill="auto"/>
            <w:noWrap/>
            <w:vAlign w:val="center"/>
            <w:hideMark/>
          </w:tcPr>
          <w:p w14:paraId="50A494E7" w14:textId="771B43E3"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203</w:t>
            </w:r>
          </w:p>
        </w:tc>
        <w:tc>
          <w:tcPr>
            <w:tcW w:w="1061" w:type="dxa"/>
            <w:tcBorders>
              <w:top w:val="single" w:sz="4" w:space="0" w:color="17365D"/>
              <w:left w:val="nil"/>
              <w:bottom w:val="single" w:sz="4" w:space="0" w:color="17365D"/>
              <w:right w:val="nil"/>
            </w:tcBorders>
            <w:shd w:val="clear" w:color="auto" w:fill="auto"/>
            <w:noWrap/>
            <w:vAlign w:val="center"/>
            <w:hideMark/>
          </w:tcPr>
          <w:p w14:paraId="54F133D0" w14:textId="1939DF2E"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86</w:t>
            </w:r>
          </w:p>
        </w:tc>
        <w:tc>
          <w:tcPr>
            <w:tcW w:w="1070" w:type="dxa"/>
            <w:tcBorders>
              <w:top w:val="single" w:sz="4" w:space="0" w:color="17365D"/>
              <w:left w:val="nil"/>
              <w:bottom w:val="single" w:sz="4" w:space="0" w:color="17365D"/>
              <w:right w:val="nil"/>
            </w:tcBorders>
            <w:shd w:val="clear" w:color="auto" w:fill="auto"/>
            <w:noWrap/>
            <w:vAlign w:val="center"/>
            <w:hideMark/>
          </w:tcPr>
          <w:p w14:paraId="445DA0DB" w14:textId="453C766F"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84</w:t>
            </w:r>
          </w:p>
        </w:tc>
        <w:tc>
          <w:tcPr>
            <w:tcW w:w="1063" w:type="dxa"/>
            <w:tcBorders>
              <w:top w:val="single" w:sz="4" w:space="0" w:color="17365D"/>
              <w:left w:val="nil"/>
              <w:bottom w:val="single" w:sz="4" w:space="0" w:color="17365D"/>
              <w:right w:val="nil"/>
            </w:tcBorders>
            <w:shd w:val="clear" w:color="auto" w:fill="auto"/>
            <w:noWrap/>
            <w:vAlign w:val="center"/>
            <w:hideMark/>
          </w:tcPr>
          <w:p w14:paraId="56F0D9C8" w14:textId="5EC7CEEE"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33</w:t>
            </w:r>
          </w:p>
        </w:tc>
      </w:tr>
      <w:tr w:rsidR="0067556B" w:rsidRPr="00A27896" w14:paraId="7A4650E9" w14:textId="77777777" w:rsidTr="001D1A6D">
        <w:trPr>
          <w:trHeight w:val="342"/>
        </w:trPr>
        <w:tc>
          <w:tcPr>
            <w:tcW w:w="2401" w:type="dxa"/>
            <w:tcBorders>
              <w:top w:val="single" w:sz="4" w:space="0" w:color="17365D"/>
              <w:left w:val="nil"/>
              <w:bottom w:val="single" w:sz="4" w:space="0" w:color="17365D"/>
              <w:right w:val="nil"/>
            </w:tcBorders>
            <w:shd w:val="clear" w:color="auto" w:fill="auto"/>
            <w:vAlign w:val="center"/>
            <w:hideMark/>
          </w:tcPr>
          <w:p w14:paraId="52F7F8F7" w14:textId="216EBD52" w:rsidR="0067556B" w:rsidRPr="00A27896" w:rsidRDefault="0067556B" w:rsidP="0067556B">
            <w:pPr>
              <w:spacing w:after="0" w:line="240" w:lineRule="auto"/>
              <w:rPr>
                <w:rFonts w:eastAsia="Times New Roman" w:cs="Times New Roman"/>
                <w:bCs/>
                <w:color w:val="17365D"/>
                <w:sz w:val="18"/>
                <w:szCs w:val="18"/>
                <w:lang w:eastAsia="lv-LV"/>
              </w:rPr>
            </w:pPr>
            <w:r w:rsidRPr="00A27896">
              <w:rPr>
                <w:rFonts w:cs="Times New Roman"/>
                <w:b/>
                <w:bCs/>
                <w:color w:val="17365D"/>
                <w:sz w:val="18"/>
                <w:szCs w:val="18"/>
              </w:rPr>
              <w:t>Apgrozāmie līdzekļi</w:t>
            </w:r>
          </w:p>
        </w:tc>
        <w:tc>
          <w:tcPr>
            <w:tcW w:w="1276" w:type="dxa"/>
            <w:tcBorders>
              <w:top w:val="single" w:sz="4" w:space="0" w:color="17365D"/>
              <w:left w:val="nil"/>
              <w:bottom w:val="single" w:sz="4" w:space="0" w:color="17365D"/>
              <w:right w:val="nil"/>
            </w:tcBorders>
            <w:shd w:val="clear" w:color="auto" w:fill="auto"/>
            <w:vAlign w:val="center"/>
            <w:hideMark/>
          </w:tcPr>
          <w:p w14:paraId="0E170B9A" w14:textId="40AE2750" w:rsidR="0067556B" w:rsidRPr="00A27896" w:rsidRDefault="0067556B" w:rsidP="001D1A6D">
            <w:pPr>
              <w:spacing w:after="0" w:line="240" w:lineRule="auto"/>
              <w:jc w:val="right"/>
              <w:rPr>
                <w:rFonts w:cs="Times New Roman"/>
                <w:b/>
                <w:bCs/>
                <w:color w:val="17365D"/>
                <w:sz w:val="18"/>
                <w:szCs w:val="18"/>
              </w:rPr>
            </w:pPr>
            <w:r w:rsidRPr="00A27896">
              <w:rPr>
                <w:rFonts w:cs="Times New Roman"/>
                <w:b/>
                <w:bCs/>
                <w:color w:val="17365D"/>
                <w:sz w:val="18"/>
                <w:szCs w:val="18"/>
              </w:rPr>
              <w:t>3 029</w:t>
            </w:r>
          </w:p>
        </w:tc>
        <w:tc>
          <w:tcPr>
            <w:tcW w:w="1274" w:type="dxa"/>
            <w:tcBorders>
              <w:top w:val="single" w:sz="4" w:space="0" w:color="17365D"/>
              <w:left w:val="nil"/>
              <w:bottom w:val="single" w:sz="4" w:space="0" w:color="17365D"/>
              <w:right w:val="nil"/>
            </w:tcBorders>
            <w:shd w:val="clear" w:color="auto" w:fill="auto"/>
            <w:vAlign w:val="center"/>
            <w:hideMark/>
          </w:tcPr>
          <w:p w14:paraId="2524CDB1" w14:textId="17FF46E7" w:rsidR="0067556B" w:rsidRPr="00A27896" w:rsidRDefault="0067556B" w:rsidP="001D1A6D">
            <w:pPr>
              <w:spacing w:after="0" w:line="240" w:lineRule="auto"/>
              <w:jc w:val="right"/>
              <w:rPr>
                <w:rFonts w:cs="Times New Roman"/>
                <w:b/>
                <w:bCs/>
                <w:color w:val="17365D"/>
                <w:sz w:val="18"/>
                <w:szCs w:val="18"/>
              </w:rPr>
            </w:pPr>
            <w:r w:rsidRPr="00A27896">
              <w:rPr>
                <w:rFonts w:cs="Times New Roman"/>
                <w:b/>
                <w:bCs/>
                <w:color w:val="17365D"/>
                <w:sz w:val="18"/>
                <w:szCs w:val="18"/>
              </w:rPr>
              <w:t>6 457</w:t>
            </w:r>
          </w:p>
        </w:tc>
        <w:tc>
          <w:tcPr>
            <w:tcW w:w="1209" w:type="dxa"/>
            <w:tcBorders>
              <w:top w:val="single" w:sz="4" w:space="0" w:color="17365D"/>
              <w:left w:val="nil"/>
              <w:bottom w:val="single" w:sz="4" w:space="0" w:color="17365D"/>
              <w:right w:val="nil"/>
            </w:tcBorders>
            <w:shd w:val="clear" w:color="auto" w:fill="auto"/>
            <w:noWrap/>
            <w:vAlign w:val="center"/>
            <w:hideMark/>
          </w:tcPr>
          <w:p w14:paraId="0FF3C25D" w14:textId="0AF545C7" w:rsidR="0067556B" w:rsidRPr="00A27896" w:rsidRDefault="0067556B" w:rsidP="001D1A6D">
            <w:pPr>
              <w:spacing w:after="0" w:line="240" w:lineRule="auto"/>
              <w:jc w:val="right"/>
              <w:rPr>
                <w:rFonts w:cs="Times New Roman"/>
                <w:b/>
                <w:bCs/>
                <w:color w:val="17365D"/>
                <w:sz w:val="18"/>
                <w:szCs w:val="18"/>
              </w:rPr>
            </w:pPr>
            <w:r w:rsidRPr="00A27896">
              <w:rPr>
                <w:rFonts w:cs="Times New Roman"/>
                <w:b/>
                <w:bCs/>
                <w:color w:val="17365D"/>
                <w:sz w:val="18"/>
                <w:szCs w:val="18"/>
              </w:rPr>
              <w:t>84 508</w:t>
            </w:r>
          </w:p>
        </w:tc>
        <w:tc>
          <w:tcPr>
            <w:tcW w:w="1061" w:type="dxa"/>
            <w:tcBorders>
              <w:top w:val="single" w:sz="4" w:space="0" w:color="17365D"/>
              <w:left w:val="nil"/>
              <w:bottom w:val="single" w:sz="4" w:space="0" w:color="17365D"/>
              <w:right w:val="nil"/>
            </w:tcBorders>
            <w:shd w:val="clear" w:color="auto" w:fill="auto"/>
            <w:noWrap/>
            <w:vAlign w:val="center"/>
            <w:hideMark/>
          </w:tcPr>
          <w:p w14:paraId="15743311" w14:textId="750C7C25" w:rsidR="0067556B" w:rsidRPr="00A27896" w:rsidRDefault="0067556B" w:rsidP="001D1A6D">
            <w:pPr>
              <w:spacing w:after="0" w:line="240" w:lineRule="auto"/>
              <w:jc w:val="right"/>
              <w:rPr>
                <w:rFonts w:cs="Times New Roman"/>
                <w:b/>
                <w:bCs/>
                <w:color w:val="17365D"/>
                <w:sz w:val="18"/>
                <w:szCs w:val="18"/>
              </w:rPr>
            </w:pPr>
            <w:r w:rsidRPr="00A27896">
              <w:rPr>
                <w:rFonts w:cs="Times New Roman"/>
                <w:b/>
                <w:bCs/>
                <w:color w:val="17365D"/>
                <w:sz w:val="18"/>
                <w:szCs w:val="18"/>
              </w:rPr>
              <w:t>37 762</w:t>
            </w:r>
          </w:p>
        </w:tc>
        <w:tc>
          <w:tcPr>
            <w:tcW w:w="1070" w:type="dxa"/>
            <w:tcBorders>
              <w:top w:val="single" w:sz="4" w:space="0" w:color="17365D"/>
              <w:left w:val="nil"/>
              <w:bottom w:val="single" w:sz="4" w:space="0" w:color="17365D"/>
              <w:right w:val="nil"/>
            </w:tcBorders>
            <w:shd w:val="clear" w:color="auto" w:fill="auto"/>
            <w:noWrap/>
            <w:vAlign w:val="center"/>
            <w:hideMark/>
          </w:tcPr>
          <w:p w14:paraId="25D7DF61" w14:textId="54B7DCDC" w:rsidR="0067556B" w:rsidRPr="00A27896" w:rsidRDefault="0067556B" w:rsidP="001D1A6D">
            <w:pPr>
              <w:spacing w:after="0" w:line="240" w:lineRule="auto"/>
              <w:jc w:val="right"/>
              <w:rPr>
                <w:rFonts w:cs="Times New Roman"/>
                <w:b/>
                <w:bCs/>
                <w:color w:val="17365D"/>
                <w:sz w:val="18"/>
                <w:szCs w:val="18"/>
              </w:rPr>
            </w:pPr>
            <w:r w:rsidRPr="00A27896">
              <w:rPr>
                <w:rFonts w:cs="Times New Roman"/>
                <w:b/>
                <w:bCs/>
                <w:color w:val="17365D"/>
                <w:sz w:val="18"/>
                <w:szCs w:val="18"/>
              </w:rPr>
              <w:t>24 601</w:t>
            </w:r>
          </w:p>
        </w:tc>
        <w:tc>
          <w:tcPr>
            <w:tcW w:w="1063" w:type="dxa"/>
            <w:tcBorders>
              <w:top w:val="single" w:sz="4" w:space="0" w:color="17365D"/>
              <w:left w:val="nil"/>
              <w:bottom w:val="single" w:sz="4" w:space="0" w:color="17365D"/>
              <w:right w:val="nil"/>
            </w:tcBorders>
            <w:shd w:val="clear" w:color="auto" w:fill="auto"/>
            <w:noWrap/>
            <w:vAlign w:val="center"/>
            <w:hideMark/>
          </w:tcPr>
          <w:p w14:paraId="65A15BA9" w14:textId="2DA832FF" w:rsidR="0067556B" w:rsidRPr="00A27896" w:rsidRDefault="0067556B" w:rsidP="001D1A6D">
            <w:pPr>
              <w:spacing w:after="0" w:line="240" w:lineRule="auto"/>
              <w:jc w:val="right"/>
              <w:rPr>
                <w:rFonts w:cs="Times New Roman"/>
                <w:b/>
                <w:bCs/>
                <w:color w:val="17365D"/>
                <w:sz w:val="18"/>
                <w:szCs w:val="18"/>
              </w:rPr>
            </w:pPr>
            <w:r w:rsidRPr="00A27896">
              <w:rPr>
                <w:rFonts w:cs="Times New Roman"/>
                <w:b/>
                <w:bCs/>
                <w:color w:val="17365D"/>
                <w:sz w:val="18"/>
                <w:szCs w:val="18"/>
              </w:rPr>
              <w:t>21 005</w:t>
            </w:r>
          </w:p>
        </w:tc>
      </w:tr>
      <w:tr w:rsidR="0067556B" w:rsidRPr="00A27896" w14:paraId="3CE33377" w14:textId="77777777" w:rsidTr="001D1A6D">
        <w:trPr>
          <w:trHeight w:val="191"/>
        </w:trPr>
        <w:tc>
          <w:tcPr>
            <w:tcW w:w="2401" w:type="dxa"/>
            <w:tcBorders>
              <w:top w:val="single" w:sz="4" w:space="0" w:color="17365D"/>
              <w:left w:val="nil"/>
              <w:bottom w:val="single" w:sz="4" w:space="0" w:color="17365D"/>
              <w:right w:val="nil"/>
            </w:tcBorders>
            <w:shd w:val="clear" w:color="auto" w:fill="auto"/>
            <w:vAlign w:val="center"/>
            <w:hideMark/>
          </w:tcPr>
          <w:p w14:paraId="769AF7C6" w14:textId="35EFE1C5" w:rsidR="0067556B" w:rsidRPr="00A27896" w:rsidRDefault="0067556B" w:rsidP="0067556B">
            <w:pPr>
              <w:spacing w:after="0" w:line="240" w:lineRule="auto"/>
              <w:rPr>
                <w:rFonts w:eastAsia="Times New Roman" w:cs="Times New Roman"/>
                <w:b/>
                <w:bCs/>
                <w:color w:val="17365D"/>
                <w:sz w:val="18"/>
                <w:szCs w:val="18"/>
                <w:lang w:eastAsia="lv-LV"/>
              </w:rPr>
            </w:pPr>
            <w:r w:rsidRPr="00A27896">
              <w:rPr>
                <w:rFonts w:cs="Times New Roman"/>
                <w:color w:val="17365D"/>
                <w:sz w:val="18"/>
                <w:szCs w:val="18"/>
              </w:rPr>
              <w:t>Inventārs</w:t>
            </w:r>
          </w:p>
        </w:tc>
        <w:tc>
          <w:tcPr>
            <w:tcW w:w="1276" w:type="dxa"/>
            <w:tcBorders>
              <w:top w:val="single" w:sz="4" w:space="0" w:color="17365D"/>
              <w:left w:val="nil"/>
              <w:bottom w:val="single" w:sz="4" w:space="0" w:color="17365D"/>
              <w:right w:val="nil"/>
            </w:tcBorders>
            <w:shd w:val="clear" w:color="auto" w:fill="auto"/>
            <w:vAlign w:val="center"/>
            <w:hideMark/>
          </w:tcPr>
          <w:p w14:paraId="32204DF5" w14:textId="627B8938"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3 029</w:t>
            </w:r>
          </w:p>
        </w:tc>
        <w:tc>
          <w:tcPr>
            <w:tcW w:w="1274" w:type="dxa"/>
            <w:tcBorders>
              <w:top w:val="single" w:sz="4" w:space="0" w:color="17365D"/>
              <w:left w:val="nil"/>
              <w:bottom w:val="single" w:sz="4" w:space="0" w:color="17365D"/>
              <w:right w:val="nil"/>
            </w:tcBorders>
            <w:shd w:val="clear" w:color="auto" w:fill="auto"/>
            <w:vAlign w:val="center"/>
            <w:hideMark/>
          </w:tcPr>
          <w:p w14:paraId="1C5B808E" w14:textId="58A9E228"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6 457</w:t>
            </w:r>
          </w:p>
        </w:tc>
        <w:tc>
          <w:tcPr>
            <w:tcW w:w="1209" w:type="dxa"/>
            <w:tcBorders>
              <w:top w:val="single" w:sz="4" w:space="0" w:color="17365D"/>
              <w:left w:val="nil"/>
              <w:bottom w:val="single" w:sz="4" w:space="0" w:color="17365D"/>
              <w:right w:val="nil"/>
            </w:tcBorders>
            <w:shd w:val="clear" w:color="auto" w:fill="auto"/>
            <w:noWrap/>
            <w:vAlign w:val="center"/>
            <w:hideMark/>
          </w:tcPr>
          <w:p w14:paraId="7D5F852C" w14:textId="666D9F18"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84 508</w:t>
            </w:r>
          </w:p>
        </w:tc>
        <w:tc>
          <w:tcPr>
            <w:tcW w:w="1061" w:type="dxa"/>
            <w:tcBorders>
              <w:top w:val="single" w:sz="4" w:space="0" w:color="17365D"/>
              <w:left w:val="nil"/>
              <w:bottom w:val="single" w:sz="4" w:space="0" w:color="17365D"/>
              <w:right w:val="nil"/>
            </w:tcBorders>
            <w:shd w:val="clear" w:color="auto" w:fill="auto"/>
            <w:noWrap/>
            <w:vAlign w:val="center"/>
            <w:hideMark/>
          </w:tcPr>
          <w:p w14:paraId="5484F506" w14:textId="5D56F6CA"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37 762</w:t>
            </w:r>
          </w:p>
        </w:tc>
        <w:tc>
          <w:tcPr>
            <w:tcW w:w="1070" w:type="dxa"/>
            <w:tcBorders>
              <w:top w:val="single" w:sz="4" w:space="0" w:color="17365D"/>
              <w:left w:val="nil"/>
              <w:bottom w:val="single" w:sz="4" w:space="0" w:color="17365D"/>
              <w:right w:val="nil"/>
            </w:tcBorders>
            <w:shd w:val="clear" w:color="auto" w:fill="auto"/>
            <w:noWrap/>
            <w:vAlign w:val="center"/>
            <w:hideMark/>
          </w:tcPr>
          <w:p w14:paraId="0BB8D3C1" w14:textId="6BFBCECD"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24 601</w:t>
            </w:r>
          </w:p>
        </w:tc>
        <w:tc>
          <w:tcPr>
            <w:tcW w:w="1063" w:type="dxa"/>
            <w:tcBorders>
              <w:top w:val="single" w:sz="4" w:space="0" w:color="17365D"/>
              <w:left w:val="nil"/>
              <w:bottom w:val="single" w:sz="4" w:space="0" w:color="17365D"/>
              <w:right w:val="nil"/>
            </w:tcBorders>
            <w:shd w:val="clear" w:color="auto" w:fill="auto"/>
            <w:noWrap/>
            <w:vAlign w:val="center"/>
            <w:hideMark/>
          </w:tcPr>
          <w:p w14:paraId="4CA04E28" w14:textId="57296B5B" w:rsidR="0067556B" w:rsidRPr="00A27896" w:rsidRDefault="0067556B" w:rsidP="001D1A6D">
            <w:pPr>
              <w:spacing w:after="0" w:line="240" w:lineRule="auto"/>
              <w:jc w:val="right"/>
              <w:rPr>
                <w:rFonts w:cs="Times New Roman"/>
                <w:color w:val="17365D"/>
                <w:sz w:val="18"/>
                <w:szCs w:val="18"/>
              </w:rPr>
            </w:pPr>
            <w:r w:rsidRPr="00A27896">
              <w:rPr>
                <w:rFonts w:cs="Times New Roman"/>
                <w:color w:val="17365D"/>
                <w:sz w:val="18"/>
                <w:szCs w:val="18"/>
              </w:rPr>
              <w:t>21 005</w:t>
            </w:r>
          </w:p>
        </w:tc>
      </w:tr>
      <w:tr w:rsidR="000C1009" w:rsidRPr="00A27896" w14:paraId="72D8044D" w14:textId="77777777" w:rsidTr="001D1A6D">
        <w:trPr>
          <w:trHeight w:val="182"/>
        </w:trPr>
        <w:tc>
          <w:tcPr>
            <w:tcW w:w="2401" w:type="dxa"/>
            <w:tcBorders>
              <w:top w:val="single" w:sz="4" w:space="0" w:color="17365D"/>
            </w:tcBorders>
            <w:shd w:val="clear" w:color="000000" w:fill="B9CDE5"/>
            <w:vAlign w:val="center"/>
            <w:hideMark/>
          </w:tcPr>
          <w:p w14:paraId="3A60718C" w14:textId="77777777" w:rsidR="007276AD" w:rsidRPr="00A27896" w:rsidRDefault="007276AD" w:rsidP="007276AD">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76" w:type="dxa"/>
            <w:tcBorders>
              <w:top w:val="single" w:sz="4" w:space="0" w:color="17365D"/>
            </w:tcBorders>
            <w:shd w:val="clear" w:color="000000" w:fill="B9CDE5"/>
            <w:noWrap/>
            <w:vAlign w:val="center"/>
            <w:hideMark/>
          </w:tcPr>
          <w:p w14:paraId="20F0CE25" w14:textId="77777777" w:rsidR="007276AD" w:rsidRPr="00A27896" w:rsidRDefault="007276AD" w:rsidP="001D1A6D">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74" w:type="dxa"/>
            <w:tcBorders>
              <w:top w:val="single" w:sz="4" w:space="0" w:color="17365D"/>
            </w:tcBorders>
            <w:shd w:val="clear" w:color="000000" w:fill="B9CDE5"/>
            <w:noWrap/>
            <w:vAlign w:val="center"/>
            <w:hideMark/>
          </w:tcPr>
          <w:p w14:paraId="51212374" w14:textId="77777777" w:rsidR="007276AD" w:rsidRPr="00A27896" w:rsidRDefault="007276AD" w:rsidP="001D1A6D">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09" w:type="dxa"/>
            <w:tcBorders>
              <w:top w:val="single" w:sz="4" w:space="0" w:color="17365D"/>
            </w:tcBorders>
            <w:shd w:val="clear" w:color="000000" w:fill="B9CDE5"/>
            <w:noWrap/>
            <w:vAlign w:val="center"/>
            <w:hideMark/>
          </w:tcPr>
          <w:p w14:paraId="7F59F3F3" w14:textId="77777777" w:rsidR="007276AD" w:rsidRPr="00A27896" w:rsidRDefault="007276AD" w:rsidP="001D1A6D">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061" w:type="dxa"/>
            <w:tcBorders>
              <w:top w:val="single" w:sz="4" w:space="0" w:color="17365D"/>
            </w:tcBorders>
            <w:shd w:val="clear" w:color="000000" w:fill="B9CDE5"/>
            <w:noWrap/>
            <w:vAlign w:val="center"/>
            <w:hideMark/>
          </w:tcPr>
          <w:p w14:paraId="38F0B72D" w14:textId="77777777" w:rsidR="007276AD" w:rsidRPr="00A27896" w:rsidRDefault="007276AD" w:rsidP="001D1A6D">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070" w:type="dxa"/>
            <w:tcBorders>
              <w:top w:val="single" w:sz="4" w:space="0" w:color="17365D"/>
            </w:tcBorders>
            <w:shd w:val="clear" w:color="000000" w:fill="B9CDE5"/>
            <w:noWrap/>
            <w:vAlign w:val="center"/>
            <w:hideMark/>
          </w:tcPr>
          <w:p w14:paraId="05B0039B" w14:textId="77777777" w:rsidR="007276AD" w:rsidRPr="00A27896" w:rsidRDefault="007276AD" w:rsidP="001D1A6D">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063" w:type="dxa"/>
            <w:tcBorders>
              <w:top w:val="single" w:sz="4" w:space="0" w:color="17365D"/>
            </w:tcBorders>
            <w:shd w:val="clear" w:color="000000" w:fill="B9CDE5"/>
            <w:noWrap/>
            <w:vAlign w:val="center"/>
            <w:hideMark/>
          </w:tcPr>
          <w:p w14:paraId="4C870502" w14:textId="77777777" w:rsidR="007276AD" w:rsidRPr="00A27896" w:rsidRDefault="007276AD" w:rsidP="001D1A6D">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01F588DD" w14:textId="783681CB" w:rsidR="007B7D77" w:rsidRPr="00A27896" w:rsidRDefault="007B7D77" w:rsidP="001A60F1">
      <w:pPr>
        <w:pStyle w:val="Heading5"/>
        <w:rPr>
          <w:rFonts w:cs="Times New Roman"/>
        </w:rPr>
      </w:pPr>
      <w:r w:rsidRPr="00A27896">
        <w:rPr>
          <w:rFonts w:cs="Times New Roman"/>
        </w:rPr>
        <w:t>Piezīme</w:t>
      </w:r>
      <w:r w:rsidR="00AC754B" w:rsidRPr="00A27896">
        <w:rPr>
          <w:rFonts w:cs="Times New Roman"/>
        </w:rPr>
        <w:t xml:space="preserve"> Nr.</w:t>
      </w:r>
      <w:r w:rsidRPr="00A27896">
        <w:rPr>
          <w:rFonts w:cs="Times New Roman"/>
        </w:rPr>
        <w:t xml:space="preserve"> V4. Informācija par operatīvajā nomā saņemtajiem aktīviem un veicamajiem maksājumiem</w:t>
      </w:r>
    </w:p>
    <w:p w14:paraId="065290E4" w14:textId="34778EE6" w:rsidR="004071BD" w:rsidRPr="00A27896" w:rsidRDefault="004071BD" w:rsidP="004071BD">
      <w:pPr>
        <w:tabs>
          <w:tab w:val="left" w:pos="284"/>
        </w:tabs>
        <w:spacing w:after="0" w:line="240" w:lineRule="auto"/>
        <w:jc w:val="both"/>
        <w:rPr>
          <w:rFonts w:cs="Times New Roman"/>
          <w:color w:val="17365D"/>
          <w:szCs w:val="24"/>
        </w:rPr>
      </w:pPr>
      <w:r w:rsidRPr="00A27896">
        <w:rPr>
          <w:rFonts w:cs="Times New Roman"/>
          <w:color w:val="17365D"/>
          <w:szCs w:val="24"/>
        </w:rPr>
        <w:tab/>
        <w:t xml:space="preserve">Saskaņā ar ministriju, centrālo valsts iestāžu un pašvaldību sniegto informāciju par operatīvajā nomā saņemtajiem aktīviem pārskata periodā atzītie izdevumi ir </w:t>
      </w:r>
      <w:r w:rsidR="00BB22FD" w:rsidRPr="00A27896">
        <w:rPr>
          <w:rFonts w:cs="Times New Roman"/>
          <w:color w:val="17365D"/>
          <w:szCs w:val="24"/>
        </w:rPr>
        <w:t>70 034 684 </w:t>
      </w:r>
      <w:proofErr w:type="spellStart"/>
      <w:r w:rsidRPr="00A27896">
        <w:rPr>
          <w:rFonts w:cs="Times New Roman"/>
          <w:i/>
          <w:color w:val="17365D"/>
          <w:szCs w:val="24"/>
        </w:rPr>
        <w:t>euro</w:t>
      </w:r>
      <w:proofErr w:type="spellEnd"/>
      <w:r w:rsidRPr="00A27896">
        <w:rPr>
          <w:rFonts w:cs="Times New Roman"/>
          <w:color w:val="17365D"/>
          <w:szCs w:val="24"/>
        </w:rPr>
        <w:t xml:space="preserve"> vērtībā un pārskata perioda beigās neatceļamās nomas maksājumi</w:t>
      </w:r>
      <w:r w:rsidR="00C54D00" w:rsidRPr="00A27896">
        <w:rPr>
          <w:rFonts w:cs="Times New Roman"/>
          <w:color w:val="17365D"/>
          <w:szCs w:val="24"/>
        </w:rPr>
        <w:t xml:space="preserve"> ir</w:t>
      </w:r>
      <w:r w:rsidR="00D50D19" w:rsidRPr="00A27896">
        <w:rPr>
          <w:rFonts w:cs="Times New Roman"/>
          <w:color w:val="17365D"/>
          <w:szCs w:val="24"/>
        </w:rPr>
        <w:t xml:space="preserve"> </w:t>
      </w:r>
      <w:r w:rsidR="00BB22FD" w:rsidRPr="00A27896">
        <w:rPr>
          <w:rFonts w:cs="Times New Roman"/>
          <w:color w:val="17365D"/>
          <w:szCs w:val="24"/>
        </w:rPr>
        <w:t>10 916 559 </w:t>
      </w:r>
      <w:proofErr w:type="spellStart"/>
      <w:r w:rsidRPr="00A27896">
        <w:rPr>
          <w:rFonts w:cs="Times New Roman"/>
          <w:i/>
          <w:color w:val="17365D"/>
          <w:szCs w:val="24"/>
        </w:rPr>
        <w:t>euro</w:t>
      </w:r>
      <w:proofErr w:type="spellEnd"/>
      <w:r w:rsidRPr="00A27896">
        <w:rPr>
          <w:rFonts w:cs="Times New Roman"/>
          <w:color w:val="17365D"/>
          <w:szCs w:val="24"/>
        </w:rPr>
        <w:t xml:space="preserve"> vērtībā, to sadalījums pa aktīvu bilances posteņiem un nākotnes maksājumiem norādīt</w:t>
      </w:r>
      <w:r w:rsidR="00D25B42" w:rsidRPr="00A27896">
        <w:rPr>
          <w:rFonts w:cs="Times New Roman"/>
          <w:color w:val="17365D"/>
          <w:szCs w:val="24"/>
        </w:rPr>
        <w:t>s</w:t>
      </w:r>
      <w:r w:rsidRPr="00A27896">
        <w:rPr>
          <w:rFonts w:cs="Times New Roman"/>
          <w:color w:val="17365D"/>
          <w:szCs w:val="24"/>
        </w:rPr>
        <w:t xml:space="preserve"> </w:t>
      </w:r>
      <w:r w:rsidR="000229AE" w:rsidRPr="00A27896">
        <w:rPr>
          <w:rFonts w:cs="Times New Roman"/>
          <w:color w:val="17365D"/>
          <w:szCs w:val="24"/>
        </w:rPr>
        <w:t>28</w:t>
      </w:r>
      <w:r w:rsidRPr="00A27896">
        <w:rPr>
          <w:rFonts w:cs="Times New Roman"/>
          <w:color w:val="17365D"/>
          <w:szCs w:val="24"/>
        </w:rPr>
        <w:t>.tabulā:</w:t>
      </w:r>
    </w:p>
    <w:p w14:paraId="5E2C9F60" w14:textId="464B139A" w:rsidR="003877C0" w:rsidRPr="00A27896" w:rsidRDefault="000229AE" w:rsidP="004071BD">
      <w:pPr>
        <w:pStyle w:val="Tabulasnosaukums1"/>
        <w:spacing w:before="120" w:line="240" w:lineRule="auto"/>
        <w:rPr>
          <w:rFonts w:cs="Times New Roman"/>
          <w:i/>
          <w:color w:val="17365D"/>
          <w:szCs w:val="22"/>
        </w:rPr>
      </w:pPr>
      <w:r w:rsidRPr="00A27896">
        <w:rPr>
          <w:rFonts w:cs="Times New Roman"/>
          <w:i/>
          <w:color w:val="17365D"/>
          <w:szCs w:val="22"/>
        </w:rPr>
        <w:t>28</w:t>
      </w:r>
      <w:r w:rsidR="00743E0E" w:rsidRPr="00A27896">
        <w:rPr>
          <w:rFonts w:cs="Times New Roman"/>
          <w:i/>
          <w:color w:val="17365D"/>
          <w:szCs w:val="22"/>
        </w:rPr>
        <w:t>. t</w:t>
      </w:r>
      <w:r w:rsidR="006F7CBB" w:rsidRPr="00A27896">
        <w:rPr>
          <w:rFonts w:cs="Times New Roman"/>
          <w:i/>
          <w:color w:val="17365D"/>
          <w:szCs w:val="22"/>
        </w:rPr>
        <w:t>abula</w:t>
      </w:r>
      <w:r w:rsidR="003877C0" w:rsidRPr="00A27896">
        <w:rPr>
          <w:rFonts w:cs="Times New Roman"/>
          <w:i/>
          <w:color w:val="17365D"/>
          <w:szCs w:val="22"/>
        </w:rPr>
        <w:t>.</w:t>
      </w:r>
      <w:r w:rsidR="006F7CBB" w:rsidRPr="00A27896">
        <w:rPr>
          <w:rFonts w:cs="Times New Roman"/>
          <w:i/>
          <w:color w:val="17365D"/>
          <w:szCs w:val="22"/>
        </w:rPr>
        <w:t xml:space="preserve"> Informācija par operatīvajā nomā saņemtajiem </w:t>
      </w:r>
    </w:p>
    <w:p w14:paraId="3A935AE4" w14:textId="757C7F9B" w:rsidR="006F7CBB" w:rsidRPr="00A27896" w:rsidRDefault="006F7CBB" w:rsidP="003877C0">
      <w:pPr>
        <w:pStyle w:val="Tabulasnosaukums1"/>
        <w:spacing w:before="0" w:line="240" w:lineRule="auto"/>
        <w:rPr>
          <w:rFonts w:cs="Times New Roman"/>
          <w:color w:val="17365D"/>
        </w:rPr>
      </w:pPr>
      <w:r w:rsidRPr="00A27896">
        <w:rPr>
          <w:rFonts w:cs="Times New Roman"/>
          <w:i/>
          <w:color w:val="17365D"/>
          <w:szCs w:val="22"/>
        </w:rPr>
        <w:t>aktīviem un veicamajiem maksājumiem (</w:t>
      </w:r>
      <w:proofErr w:type="spellStart"/>
      <w:r w:rsidRPr="00A27896">
        <w:rPr>
          <w:rFonts w:cs="Times New Roman"/>
          <w:i/>
          <w:color w:val="17365D"/>
          <w:szCs w:val="22"/>
        </w:rPr>
        <w:t>euro</w:t>
      </w:r>
      <w:proofErr w:type="spellEnd"/>
      <w:r w:rsidRPr="00A27896">
        <w:rPr>
          <w:rFonts w:cs="Times New Roman"/>
          <w:i/>
          <w:color w:val="17365D"/>
          <w:szCs w:val="22"/>
        </w:rPr>
        <w:t>)</w:t>
      </w:r>
    </w:p>
    <w:tbl>
      <w:tblPr>
        <w:tblW w:w="9356"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942"/>
        <w:gridCol w:w="1296"/>
        <w:gridCol w:w="1340"/>
        <w:gridCol w:w="1036"/>
        <w:gridCol w:w="1134"/>
        <w:gridCol w:w="1474"/>
        <w:gridCol w:w="1134"/>
      </w:tblGrid>
      <w:tr w:rsidR="000C1009" w:rsidRPr="00A27896" w14:paraId="54FC1BD5" w14:textId="77777777" w:rsidTr="000E5114">
        <w:trPr>
          <w:trHeight w:val="465"/>
          <w:tblHeader/>
        </w:trPr>
        <w:tc>
          <w:tcPr>
            <w:tcW w:w="1942" w:type="dxa"/>
            <w:vMerge w:val="restart"/>
            <w:tcBorders>
              <w:top w:val="nil"/>
            </w:tcBorders>
            <w:shd w:val="clear" w:color="000000" w:fill="B9CDE5"/>
            <w:vAlign w:val="center"/>
            <w:hideMark/>
          </w:tcPr>
          <w:p w14:paraId="488478BD"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Kontu grupa</w:t>
            </w:r>
          </w:p>
        </w:tc>
        <w:tc>
          <w:tcPr>
            <w:tcW w:w="1296" w:type="dxa"/>
            <w:vMerge w:val="restart"/>
            <w:tcBorders>
              <w:top w:val="nil"/>
            </w:tcBorders>
            <w:shd w:val="clear" w:color="000000" w:fill="B9CDE5"/>
            <w:vAlign w:val="center"/>
            <w:hideMark/>
          </w:tcPr>
          <w:p w14:paraId="1D18C819"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periodā atzītie izdevumi par nomu</w:t>
            </w:r>
          </w:p>
        </w:tc>
        <w:tc>
          <w:tcPr>
            <w:tcW w:w="4984" w:type="dxa"/>
            <w:gridSpan w:val="4"/>
            <w:tcBorders>
              <w:top w:val="nil"/>
              <w:bottom w:val="single" w:sz="4" w:space="0" w:color="auto"/>
            </w:tcBorders>
            <w:shd w:val="clear" w:color="000000" w:fill="B9CDE5"/>
            <w:vAlign w:val="center"/>
            <w:hideMark/>
          </w:tcPr>
          <w:p w14:paraId="5AC12DF6"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Neatceļamās nomas maksājumi</w:t>
            </w:r>
          </w:p>
        </w:tc>
        <w:tc>
          <w:tcPr>
            <w:tcW w:w="1134" w:type="dxa"/>
            <w:vMerge w:val="restart"/>
            <w:tcBorders>
              <w:top w:val="nil"/>
            </w:tcBorders>
            <w:shd w:val="clear" w:color="000000" w:fill="B9CDE5"/>
            <w:vAlign w:val="center"/>
            <w:hideMark/>
          </w:tcPr>
          <w:p w14:paraId="400D3020" w14:textId="77777777" w:rsidR="006F7CBB" w:rsidRPr="00A27896" w:rsidRDefault="006F7CBB" w:rsidP="006F7CBB">
            <w:pPr>
              <w:spacing w:after="0" w:line="240" w:lineRule="auto"/>
              <w:jc w:val="center"/>
              <w:rPr>
                <w:rFonts w:eastAsia="Times New Roman" w:cs="Times New Roman"/>
                <w:b/>
                <w:bCs/>
                <w:color w:val="17365D"/>
                <w:sz w:val="18"/>
                <w:szCs w:val="18"/>
                <w:highlight w:val="yellow"/>
                <w:lang w:eastAsia="lv-LV"/>
              </w:rPr>
            </w:pPr>
            <w:r w:rsidRPr="00A27896">
              <w:rPr>
                <w:rFonts w:eastAsia="Times New Roman" w:cs="Times New Roman"/>
                <w:b/>
                <w:bCs/>
                <w:color w:val="17365D"/>
                <w:sz w:val="18"/>
                <w:szCs w:val="18"/>
                <w:lang w:eastAsia="lv-LV"/>
              </w:rPr>
              <w:t>Neatceļamā apakšnoma (ieņēmumi)</w:t>
            </w:r>
          </w:p>
        </w:tc>
      </w:tr>
      <w:tr w:rsidR="000C1009" w:rsidRPr="00A27896" w14:paraId="08E81016" w14:textId="77777777" w:rsidTr="000E5114">
        <w:trPr>
          <w:trHeight w:val="425"/>
          <w:tblHeader/>
        </w:trPr>
        <w:tc>
          <w:tcPr>
            <w:tcW w:w="1942" w:type="dxa"/>
            <w:vMerge/>
            <w:tcBorders>
              <w:bottom w:val="single" w:sz="4" w:space="0" w:color="17365D"/>
            </w:tcBorders>
            <w:vAlign w:val="center"/>
            <w:hideMark/>
          </w:tcPr>
          <w:p w14:paraId="66C49CE8" w14:textId="77777777" w:rsidR="006F7CBB" w:rsidRPr="00A27896" w:rsidRDefault="006F7CBB" w:rsidP="006F7CBB">
            <w:pPr>
              <w:spacing w:after="0" w:line="240" w:lineRule="auto"/>
              <w:rPr>
                <w:rFonts w:eastAsia="Times New Roman" w:cs="Times New Roman"/>
                <w:b/>
                <w:bCs/>
                <w:color w:val="17365D"/>
                <w:sz w:val="18"/>
                <w:szCs w:val="18"/>
                <w:lang w:eastAsia="lv-LV"/>
              </w:rPr>
            </w:pPr>
          </w:p>
        </w:tc>
        <w:tc>
          <w:tcPr>
            <w:tcW w:w="1296" w:type="dxa"/>
            <w:vMerge/>
            <w:tcBorders>
              <w:bottom w:val="single" w:sz="4" w:space="0" w:color="17365D"/>
            </w:tcBorders>
            <w:vAlign w:val="center"/>
            <w:hideMark/>
          </w:tcPr>
          <w:p w14:paraId="1FC46B04" w14:textId="77777777" w:rsidR="006F7CBB" w:rsidRPr="00A27896" w:rsidRDefault="006F7CBB" w:rsidP="006F7CBB">
            <w:pPr>
              <w:spacing w:after="0" w:line="240" w:lineRule="auto"/>
              <w:rPr>
                <w:rFonts w:eastAsia="Times New Roman" w:cs="Times New Roman"/>
                <w:b/>
                <w:bCs/>
                <w:color w:val="17365D"/>
                <w:sz w:val="18"/>
                <w:szCs w:val="18"/>
                <w:lang w:eastAsia="lv-LV"/>
              </w:rPr>
            </w:pPr>
          </w:p>
        </w:tc>
        <w:tc>
          <w:tcPr>
            <w:tcW w:w="1340" w:type="dxa"/>
            <w:tcBorders>
              <w:bottom w:val="single" w:sz="4" w:space="0" w:color="auto"/>
            </w:tcBorders>
            <w:shd w:val="clear" w:color="000000" w:fill="B9CDE5"/>
            <w:vAlign w:val="center"/>
            <w:hideMark/>
          </w:tcPr>
          <w:p w14:paraId="4D4A4029"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036" w:type="dxa"/>
            <w:tcBorders>
              <w:bottom w:val="single" w:sz="4" w:space="0" w:color="auto"/>
            </w:tcBorders>
            <w:shd w:val="clear" w:color="000000" w:fill="B9CDE5"/>
            <w:vAlign w:val="center"/>
            <w:hideMark/>
          </w:tcPr>
          <w:p w14:paraId="348C3837" w14:textId="28122218" w:rsidR="006F7CBB" w:rsidRPr="00A27896" w:rsidRDefault="004071BD" w:rsidP="001D1A6D">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1D1A6D" w:rsidRPr="00A27896">
              <w:rPr>
                <w:rFonts w:eastAsia="Times New Roman" w:cs="Times New Roman"/>
                <w:b/>
                <w:bCs/>
                <w:color w:val="17365D"/>
                <w:sz w:val="18"/>
                <w:szCs w:val="18"/>
                <w:lang w:eastAsia="lv-LV"/>
              </w:rPr>
              <w:t>3</w:t>
            </w:r>
          </w:p>
        </w:tc>
        <w:tc>
          <w:tcPr>
            <w:tcW w:w="1134" w:type="dxa"/>
            <w:tcBorders>
              <w:bottom w:val="single" w:sz="4" w:space="0" w:color="auto"/>
            </w:tcBorders>
            <w:shd w:val="clear" w:color="000000" w:fill="B9CDE5"/>
            <w:vAlign w:val="center"/>
            <w:hideMark/>
          </w:tcPr>
          <w:p w14:paraId="02556F39" w14:textId="77562DAA" w:rsidR="006F7CBB" w:rsidRPr="00A27896" w:rsidRDefault="004071BD" w:rsidP="001D1A6D">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1D1A6D" w:rsidRPr="00A27896">
              <w:rPr>
                <w:rFonts w:eastAsia="Times New Roman" w:cs="Times New Roman"/>
                <w:b/>
                <w:bCs/>
                <w:color w:val="17365D"/>
                <w:sz w:val="18"/>
                <w:szCs w:val="18"/>
                <w:lang w:eastAsia="lv-LV"/>
              </w:rPr>
              <w:t>4</w:t>
            </w:r>
          </w:p>
        </w:tc>
        <w:tc>
          <w:tcPr>
            <w:tcW w:w="1474" w:type="dxa"/>
            <w:tcBorders>
              <w:bottom w:val="single" w:sz="4" w:space="0" w:color="auto"/>
            </w:tcBorders>
            <w:shd w:val="clear" w:color="000000" w:fill="B9CDE5"/>
            <w:vAlign w:val="center"/>
            <w:hideMark/>
          </w:tcPr>
          <w:p w14:paraId="22989DFF" w14:textId="57B81A3F" w:rsidR="006F7CBB" w:rsidRPr="00A27896" w:rsidRDefault="004071BD" w:rsidP="001D1A6D">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1D1A6D" w:rsidRPr="00A27896">
              <w:rPr>
                <w:rFonts w:eastAsia="Times New Roman" w:cs="Times New Roman"/>
                <w:b/>
                <w:bCs/>
                <w:color w:val="17365D"/>
                <w:sz w:val="18"/>
                <w:szCs w:val="18"/>
                <w:lang w:eastAsia="lv-LV"/>
              </w:rPr>
              <w:t>5</w:t>
            </w:r>
          </w:p>
        </w:tc>
        <w:tc>
          <w:tcPr>
            <w:tcW w:w="1134" w:type="dxa"/>
            <w:vMerge/>
            <w:tcBorders>
              <w:bottom w:val="single" w:sz="4" w:space="0" w:color="17365D"/>
            </w:tcBorders>
            <w:vAlign w:val="center"/>
            <w:hideMark/>
          </w:tcPr>
          <w:p w14:paraId="53F213A2" w14:textId="77777777" w:rsidR="006F7CBB" w:rsidRPr="00A27896" w:rsidRDefault="006F7CBB" w:rsidP="006F7CBB">
            <w:pPr>
              <w:spacing w:after="0" w:line="240" w:lineRule="auto"/>
              <w:rPr>
                <w:rFonts w:eastAsia="Times New Roman" w:cs="Times New Roman"/>
                <w:b/>
                <w:bCs/>
                <w:color w:val="17365D"/>
                <w:sz w:val="18"/>
                <w:szCs w:val="18"/>
                <w:highlight w:val="yellow"/>
                <w:lang w:eastAsia="lv-LV"/>
              </w:rPr>
            </w:pPr>
          </w:p>
        </w:tc>
      </w:tr>
      <w:tr w:rsidR="000C1009" w:rsidRPr="00A27896" w14:paraId="12A27C1A" w14:textId="77777777" w:rsidTr="000E5114">
        <w:trPr>
          <w:trHeight w:val="64"/>
          <w:tblHeader/>
        </w:trPr>
        <w:tc>
          <w:tcPr>
            <w:tcW w:w="1942" w:type="dxa"/>
            <w:tcBorders>
              <w:top w:val="single" w:sz="4" w:space="0" w:color="17365D"/>
              <w:bottom w:val="single" w:sz="4" w:space="0" w:color="17365D"/>
            </w:tcBorders>
            <w:shd w:val="clear" w:color="auto" w:fill="auto"/>
            <w:vAlign w:val="center"/>
            <w:hideMark/>
          </w:tcPr>
          <w:p w14:paraId="49BDD47D"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296" w:type="dxa"/>
            <w:tcBorders>
              <w:top w:val="single" w:sz="4" w:space="0" w:color="17365D"/>
              <w:bottom w:val="single" w:sz="4" w:space="0" w:color="17365D"/>
            </w:tcBorders>
            <w:shd w:val="clear" w:color="auto" w:fill="auto"/>
            <w:vAlign w:val="center"/>
            <w:hideMark/>
          </w:tcPr>
          <w:p w14:paraId="128D979B"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340" w:type="dxa"/>
            <w:tcBorders>
              <w:top w:val="single" w:sz="4" w:space="0" w:color="auto"/>
              <w:bottom w:val="single" w:sz="4" w:space="0" w:color="17365D"/>
            </w:tcBorders>
            <w:shd w:val="clear" w:color="auto" w:fill="auto"/>
            <w:vAlign w:val="center"/>
            <w:hideMark/>
          </w:tcPr>
          <w:p w14:paraId="5CFDC0C4"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036" w:type="dxa"/>
            <w:tcBorders>
              <w:top w:val="single" w:sz="4" w:space="0" w:color="auto"/>
              <w:bottom w:val="single" w:sz="4" w:space="0" w:color="17365D"/>
            </w:tcBorders>
            <w:shd w:val="clear" w:color="auto" w:fill="auto"/>
            <w:vAlign w:val="center"/>
            <w:hideMark/>
          </w:tcPr>
          <w:p w14:paraId="0DD90688"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134" w:type="dxa"/>
            <w:tcBorders>
              <w:top w:val="single" w:sz="4" w:space="0" w:color="auto"/>
              <w:bottom w:val="single" w:sz="4" w:space="0" w:color="17365D"/>
            </w:tcBorders>
            <w:shd w:val="clear" w:color="auto" w:fill="auto"/>
            <w:vAlign w:val="center"/>
            <w:hideMark/>
          </w:tcPr>
          <w:p w14:paraId="59DC5563"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474" w:type="dxa"/>
            <w:tcBorders>
              <w:top w:val="single" w:sz="4" w:space="0" w:color="auto"/>
              <w:bottom w:val="single" w:sz="4" w:space="0" w:color="17365D"/>
            </w:tcBorders>
            <w:shd w:val="clear" w:color="auto" w:fill="auto"/>
            <w:vAlign w:val="center"/>
            <w:hideMark/>
          </w:tcPr>
          <w:p w14:paraId="74C4A9D4"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134" w:type="dxa"/>
            <w:tcBorders>
              <w:top w:val="single" w:sz="4" w:space="0" w:color="17365D"/>
              <w:bottom w:val="single" w:sz="4" w:space="0" w:color="17365D"/>
            </w:tcBorders>
            <w:shd w:val="clear" w:color="auto" w:fill="auto"/>
            <w:vAlign w:val="center"/>
            <w:hideMark/>
          </w:tcPr>
          <w:p w14:paraId="37B41550"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1D1A6D" w:rsidRPr="00A27896" w14:paraId="3E06560C" w14:textId="77777777" w:rsidTr="001D1A6D">
        <w:trPr>
          <w:trHeight w:val="140"/>
        </w:trPr>
        <w:tc>
          <w:tcPr>
            <w:tcW w:w="1942" w:type="dxa"/>
            <w:tcBorders>
              <w:top w:val="single" w:sz="4" w:space="0" w:color="17365D"/>
              <w:bottom w:val="single" w:sz="4" w:space="0" w:color="17365D"/>
            </w:tcBorders>
            <w:shd w:val="clear" w:color="auto" w:fill="auto"/>
            <w:vAlign w:val="center"/>
          </w:tcPr>
          <w:p w14:paraId="54B9D2D3" w14:textId="5F38ED10" w:rsidR="001D1A6D" w:rsidRPr="00A27896" w:rsidRDefault="001D1A6D" w:rsidP="001D1A6D">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Ilgtermiņa ieguldījumi</w:t>
            </w:r>
          </w:p>
        </w:tc>
        <w:tc>
          <w:tcPr>
            <w:tcW w:w="1296" w:type="dxa"/>
            <w:tcBorders>
              <w:top w:val="single" w:sz="4" w:space="0" w:color="17365D"/>
              <w:bottom w:val="single" w:sz="4" w:space="0" w:color="17365D"/>
            </w:tcBorders>
            <w:shd w:val="clear" w:color="auto" w:fill="auto"/>
            <w:vAlign w:val="center"/>
          </w:tcPr>
          <w:p w14:paraId="77D9BAFF" w14:textId="2033B79A" w:rsidR="001D1A6D" w:rsidRPr="00A27896" w:rsidRDefault="001D1A6D" w:rsidP="001D1A6D">
            <w:pPr>
              <w:spacing w:after="0" w:line="240" w:lineRule="auto"/>
              <w:jc w:val="right"/>
              <w:rPr>
                <w:rFonts w:cs="Times New Roman"/>
                <w:b/>
                <w:bCs/>
                <w:color w:val="17365D"/>
                <w:sz w:val="18"/>
                <w:szCs w:val="18"/>
              </w:rPr>
            </w:pPr>
            <w:r w:rsidRPr="00A27896">
              <w:rPr>
                <w:rFonts w:cs="Times New Roman"/>
                <w:b/>
                <w:bCs/>
                <w:color w:val="17365D"/>
                <w:sz w:val="18"/>
                <w:szCs w:val="18"/>
              </w:rPr>
              <w:t>68 091 502</w:t>
            </w:r>
          </w:p>
        </w:tc>
        <w:tc>
          <w:tcPr>
            <w:tcW w:w="1340" w:type="dxa"/>
            <w:tcBorders>
              <w:top w:val="single" w:sz="4" w:space="0" w:color="17365D"/>
              <w:bottom w:val="single" w:sz="4" w:space="0" w:color="17365D"/>
            </w:tcBorders>
            <w:shd w:val="clear" w:color="auto" w:fill="auto"/>
            <w:vAlign w:val="center"/>
          </w:tcPr>
          <w:p w14:paraId="76E7BA60" w14:textId="49335131" w:rsidR="001D1A6D" w:rsidRPr="00A27896" w:rsidRDefault="001D1A6D" w:rsidP="001D1A6D">
            <w:pPr>
              <w:spacing w:after="0" w:line="240" w:lineRule="auto"/>
              <w:jc w:val="right"/>
              <w:rPr>
                <w:rFonts w:cs="Times New Roman"/>
                <w:b/>
                <w:bCs/>
                <w:color w:val="17365D"/>
                <w:sz w:val="18"/>
                <w:szCs w:val="18"/>
              </w:rPr>
            </w:pPr>
            <w:r w:rsidRPr="00A27896">
              <w:rPr>
                <w:rFonts w:cs="Times New Roman"/>
                <w:b/>
                <w:bCs/>
                <w:color w:val="17365D"/>
                <w:sz w:val="18"/>
                <w:szCs w:val="18"/>
              </w:rPr>
              <w:t>10 786 278</w:t>
            </w:r>
          </w:p>
        </w:tc>
        <w:tc>
          <w:tcPr>
            <w:tcW w:w="1036" w:type="dxa"/>
            <w:tcBorders>
              <w:top w:val="single" w:sz="4" w:space="0" w:color="17365D"/>
              <w:bottom w:val="single" w:sz="4" w:space="0" w:color="17365D"/>
            </w:tcBorders>
            <w:shd w:val="clear" w:color="auto" w:fill="auto"/>
            <w:vAlign w:val="center"/>
          </w:tcPr>
          <w:p w14:paraId="32E5EAE3" w14:textId="396BE72F" w:rsidR="001D1A6D" w:rsidRPr="00A27896" w:rsidRDefault="001D1A6D" w:rsidP="001D1A6D">
            <w:pPr>
              <w:spacing w:after="0" w:line="240" w:lineRule="auto"/>
              <w:jc w:val="right"/>
              <w:rPr>
                <w:rFonts w:cs="Times New Roman"/>
                <w:b/>
                <w:bCs/>
                <w:color w:val="17365D"/>
                <w:sz w:val="18"/>
                <w:szCs w:val="18"/>
              </w:rPr>
            </w:pPr>
            <w:r w:rsidRPr="00A27896">
              <w:rPr>
                <w:rFonts w:cs="Times New Roman"/>
                <w:b/>
                <w:bCs/>
                <w:color w:val="17365D"/>
                <w:sz w:val="18"/>
                <w:szCs w:val="18"/>
              </w:rPr>
              <w:t>17 979 433</w:t>
            </w:r>
          </w:p>
        </w:tc>
        <w:tc>
          <w:tcPr>
            <w:tcW w:w="1134" w:type="dxa"/>
            <w:tcBorders>
              <w:top w:val="single" w:sz="4" w:space="0" w:color="17365D"/>
              <w:bottom w:val="single" w:sz="4" w:space="0" w:color="17365D"/>
            </w:tcBorders>
            <w:shd w:val="clear" w:color="auto" w:fill="auto"/>
            <w:vAlign w:val="center"/>
          </w:tcPr>
          <w:p w14:paraId="3970E39A" w14:textId="7E9EC901" w:rsidR="001D1A6D" w:rsidRPr="00A27896" w:rsidRDefault="001D1A6D" w:rsidP="001D1A6D">
            <w:pPr>
              <w:spacing w:after="0" w:line="240" w:lineRule="auto"/>
              <w:jc w:val="right"/>
              <w:rPr>
                <w:rFonts w:cs="Times New Roman"/>
                <w:b/>
                <w:bCs/>
                <w:color w:val="17365D"/>
                <w:sz w:val="18"/>
                <w:szCs w:val="18"/>
              </w:rPr>
            </w:pPr>
            <w:r w:rsidRPr="00A27896">
              <w:rPr>
                <w:rFonts w:cs="Times New Roman"/>
                <w:b/>
                <w:bCs/>
                <w:color w:val="17365D"/>
                <w:sz w:val="18"/>
                <w:szCs w:val="18"/>
              </w:rPr>
              <w:t>13 770 609</w:t>
            </w:r>
          </w:p>
        </w:tc>
        <w:tc>
          <w:tcPr>
            <w:tcW w:w="1474" w:type="dxa"/>
            <w:tcBorders>
              <w:top w:val="single" w:sz="4" w:space="0" w:color="17365D"/>
              <w:bottom w:val="single" w:sz="4" w:space="0" w:color="17365D"/>
            </w:tcBorders>
            <w:shd w:val="clear" w:color="auto" w:fill="auto"/>
            <w:vAlign w:val="center"/>
          </w:tcPr>
          <w:p w14:paraId="3AD85C51" w14:textId="7B84CF1D" w:rsidR="001D1A6D" w:rsidRPr="00A27896" w:rsidRDefault="001D1A6D" w:rsidP="001D1A6D">
            <w:pPr>
              <w:spacing w:after="0" w:line="240" w:lineRule="auto"/>
              <w:jc w:val="right"/>
              <w:rPr>
                <w:rFonts w:cs="Times New Roman"/>
                <w:b/>
                <w:bCs/>
                <w:color w:val="17365D"/>
                <w:sz w:val="18"/>
                <w:szCs w:val="18"/>
              </w:rPr>
            </w:pPr>
            <w:r w:rsidRPr="00A27896">
              <w:rPr>
                <w:rFonts w:cs="Times New Roman"/>
                <w:b/>
                <w:bCs/>
                <w:color w:val="17365D"/>
                <w:sz w:val="18"/>
                <w:szCs w:val="18"/>
              </w:rPr>
              <w:t>13 197 842</w:t>
            </w:r>
          </w:p>
        </w:tc>
        <w:tc>
          <w:tcPr>
            <w:tcW w:w="1134" w:type="dxa"/>
            <w:tcBorders>
              <w:top w:val="single" w:sz="4" w:space="0" w:color="17365D"/>
              <w:bottom w:val="single" w:sz="4" w:space="0" w:color="17365D"/>
            </w:tcBorders>
            <w:shd w:val="clear" w:color="auto" w:fill="auto"/>
            <w:vAlign w:val="center"/>
          </w:tcPr>
          <w:p w14:paraId="195A734F" w14:textId="3CE38DBB" w:rsidR="001D1A6D" w:rsidRPr="00A27896" w:rsidRDefault="001D1A6D" w:rsidP="001D1A6D">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0</w:t>
            </w:r>
          </w:p>
        </w:tc>
      </w:tr>
      <w:tr w:rsidR="001D1A6D" w:rsidRPr="00A27896" w14:paraId="0FF78867" w14:textId="77777777" w:rsidTr="001D1A6D">
        <w:trPr>
          <w:trHeight w:val="199"/>
        </w:trPr>
        <w:tc>
          <w:tcPr>
            <w:tcW w:w="1942" w:type="dxa"/>
            <w:tcBorders>
              <w:top w:val="single" w:sz="4" w:space="0" w:color="17365D"/>
              <w:bottom w:val="single" w:sz="4" w:space="0" w:color="17365D"/>
            </w:tcBorders>
            <w:shd w:val="clear" w:color="auto" w:fill="auto"/>
            <w:vAlign w:val="center"/>
            <w:hideMark/>
          </w:tcPr>
          <w:p w14:paraId="7E7FA358" w14:textId="00C10E96" w:rsidR="001D1A6D" w:rsidRPr="00A27896" w:rsidRDefault="001D1A6D" w:rsidP="001D1A6D">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Licences, koncesijas un patenti, preču zīmes un tamlīdzīgas tiesības</w:t>
            </w:r>
          </w:p>
        </w:tc>
        <w:tc>
          <w:tcPr>
            <w:tcW w:w="1296" w:type="dxa"/>
            <w:tcBorders>
              <w:top w:val="single" w:sz="4" w:space="0" w:color="17365D"/>
              <w:bottom w:val="single" w:sz="4" w:space="0" w:color="17365D"/>
            </w:tcBorders>
            <w:shd w:val="clear" w:color="auto" w:fill="auto"/>
            <w:vAlign w:val="center"/>
            <w:hideMark/>
          </w:tcPr>
          <w:p w14:paraId="01AA6620" w14:textId="29654B5F"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3 489 057</w:t>
            </w:r>
          </w:p>
        </w:tc>
        <w:tc>
          <w:tcPr>
            <w:tcW w:w="1340" w:type="dxa"/>
            <w:tcBorders>
              <w:top w:val="single" w:sz="4" w:space="0" w:color="17365D"/>
              <w:bottom w:val="single" w:sz="4" w:space="0" w:color="17365D"/>
            </w:tcBorders>
            <w:shd w:val="clear" w:color="auto" w:fill="auto"/>
            <w:vAlign w:val="center"/>
            <w:hideMark/>
          </w:tcPr>
          <w:p w14:paraId="011C968C" w14:textId="371F0F3D"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298 186</w:t>
            </w:r>
          </w:p>
        </w:tc>
        <w:tc>
          <w:tcPr>
            <w:tcW w:w="1036" w:type="dxa"/>
            <w:tcBorders>
              <w:top w:val="single" w:sz="4" w:space="0" w:color="17365D"/>
              <w:bottom w:val="single" w:sz="4" w:space="0" w:color="17365D"/>
            </w:tcBorders>
            <w:shd w:val="clear" w:color="auto" w:fill="auto"/>
            <w:vAlign w:val="center"/>
            <w:hideMark/>
          </w:tcPr>
          <w:p w14:paraId="40C81FD3" w14:textId="1B848690"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172 077</w:t>
            </w:r>
          </w:p>
        </w:tc>
        <w:tc>
          <w:tcPr>
            <w:tcW w:w="1134" w:type="dxa"/>
            <w:tcBorders>
              <w:top w:val="single" w:sz="4" w:space="0" w:color="17365D"/>
              <w:bottom w:val="single" w:sz="4" w:space="0" w:color="17365D"/>
            </w:tcBorders>
            <w:shd w:val="clear" w:color="auto" w:fill="auto"/>
            <w:vAlign w:val="center"/>
            <w:hideMark/>
          </w:tcPr>
          <w:p w14:paraId="5879BD82" w14:textId="7C40543A"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66 760</w:t>
            </w:r>
          </w:p>
        </w:tc>
        <w:tc>
          <w:tcPr>
            <w:tcW w:w="1474" w:type="dxa"/>
            <w:tcBorders>
              <w:top w:val="single" w:sz="4" w:space="0" w:color="17365D"/>
              <w:bottom w:val="single" w:sz="4" w:space="0" w:color="17365D"/>
            </w:tcBorders>
            <w:shd w:val="clear" w:color="auto" w:fill="auto"/>
            <w:vAlign w:val="center"/>
            <w:hideMark/>
          </w:tcPr>
          <w:p w14:paraId="5168057C" w14:textId="641AA0DC"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63 977</w:t>
            </w:r>
          </w:p>
        </w:tc>
        <w:tc>
          <w:tcPr>
            <w:tcW w:w="1134" w:type="dxa"/>
            <w:tcBorders>
              <w:top w:val="single" w:sz="4" w:space="0" w:color="17365D"/>
              <w:bottom w:val="single" w:sz="4" w:space="0" w:color="17365D"/>
            </w:tcBorders>
            <w:shd w:val="clear" w:color="auto" w:fill="auto"/>
            <w:vAlign w:val="center"/>
            <w:hideMark/>
          </w:tcPr>
          <w:p w14:paraId="1EA7370C" w14:textId="69C620D4"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0</w:t>
            </w:r>
          </w:p>
        </w:tc>
      </w:tr>
      <w:tr w:rsidR="001D1A6D" w:rsidRPr="00A27896" w14:paraId="6DB100D1" w14:textId="77777777" w:rsidTr="001D1A6D">
        <w:trPr>
          <w:trHeight w:val="199"/>
        </w:trPr>
        <w:tc>
          <w:tcPr>
            <w:tcW w:w="1942" w:type="dxa"/>
            <w:tcBorders>
              <w:top w:val="single" w:sz="4" w:space="0" w:color="17365D"/>
              <w:bottom w:val="single" w:sz="4" w:space="0" w:color="17365D"/>
            </w:tcBorders>
            <w:shd w:val="clear" w:color="auto" w:fill="auto"/>
            <w:vAlign w:val="center"/>
          </w:tcPr>
          <w:p w14:paraId="6AE63B4B" w14:textId="6BBEE2E9" w:rsidR="001D1A6D" w:rsidRPr="00A27896" w:rsidRDefault="001D1A6D" w:rsidP="001D1A6D">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nemateriālie ieguldījumi</w:t>
            </w:r>
          </w:p>
        </w:tc>
        <w:tc>
          <w:tcPr>
            <w:tcW w:w="1296" w:type="dxa"/>
            <w:tcBorders>
              <w:top w:val="single" w:sz="4" w:space="0" w:color="17365D"/>
              <w:bottom w:val="single" w:sz="4" w:space="0" w:color="17365D"/>
            </w:tcBorders>
            <w:shd w:val="clear" w:color="auto" w:fill="auto"/>
            <w:vAlign w:val="center"/>
          </w:tcPr>
          <w:p w14:paraId="1D7D942D" w14:textId="21E27BAA"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364</w:t>
            </w:r>
          </w:p>
        </w:tc>
        <w:tc>
          <w:tcPr>
            <w:tcW w:w="1340" w:type="dxa"/>
            <w:tcBorders>
              <w:top w:val="single" w:sz="4" w:space="0" w:color="17365D"/>
              <w:bottom w:val="single" w:sz="4" w:space="0" w:color="17365D"/>
            </w:tcBorders>
            <w:shd w:val="clear" w:color="auto" w:fill="auto"/>
            <w:vAlign w:val="center"/>
          </w:tcPr>
          <w:p w14:paraId="75AA336C" w14:textId="0CD3AF62" w:rsidR="001D1A6D" w:rsidRPr="00A27896" w:rsidRDefault="000E5114" w:rsidP="001D1A6D">
            <w:pPr>
              <w:spacing w:after="0" w:line="240" w:lineRule="auto"/>
              <w:jc w:val="right"/>
              <w:rPr>
                <w:rFonts w:cs="Times New Roman"/>
                <w:color w:val="17365D"/>
                <w:sz w:val="18"/>
                <w:szCs w:val="18"/>
              </w:rPr>
            </w:pPr>
            <w:r w:rsidRPr="00A27896">
              <w:rPr>
                <w:rFonts w:cs="Times New Roman"/>
                <w:color w:val="17365D"/>
                <w:sz w:val="18"/>
                <w:szCs w:val="18"/>
              </w:rPr>
              <w:t>0</w:t>
            </w:r>
          </w:p>
        </w:tc>
        <w:tc>
          <w:tcPr>
            <w:tcW w:w="1036" w:type="dxa"/>
            <w:tcBorders>
              <w:top w:val="single" w:sz="4" w:space="0" w:color="17365D"/>
              <w:bottom w:val="single" w:sz="4" w:space="0" w:color="17365D"/>
            </w:tcBorders>
            <w:shd w:val="clear" w:color="auto" w:fill="auto"/>
            <w:vAlign w:val="center"/>
          </w:tcPr>
          <w:p w14:paraId="1D83B577" w14:textId="02A6A682" w:rsidR="001D1A6D" w:rsidRPr="00A27896" w:rsidRDefault="000E5114" w:rsidP="001D1A6D">
            <w:pPr>
              <w:spacing w:after="0" w:line="240" w:lineRule="auto"/>
              <w:jc w:val="right"/>
              <w:rPr>
                <w:rFonts w:cs="Times New Roman"/>
                <w:color w:val="17365D"/>
                <w:sz w:val="18"/>
                <w:szCs w:val="18"/>
              </w:rPr>
            </w:pPr>
            <w:r w:rsidRPr="00A27896">
              <w:rPr>
                <w:rFonts w:cs="Times New Roman"/>
                <w:color w:val="17365D"/>
                <w:sz w:val="18"/>
                <w:szCs w:val="18"/>
              </w:rPr>
              <w:t>0</w:t>
            </w:r>
          </w:p>
        </w:tc>
        <w:tc>
          <w:tcPr>
            <w:tcW w:w="1134" w:type="dxa"/>
            <w:tcBorders>
              <w:top w:val="single" w:sz="4" w:space="0" w:color="17365D"/>
              <w:bottom w:val="single" w:sz="4" w:space="0" w:color="17365D"/>
            </w:tcBorders>
            <w:shd w:val="clear" w:color="auto" w:fill="auto"/>
            <w:vAlign w:val="center"/>
          </w:tcPr>
          <w:p w14:paraId="60D55A30" w14:textId="6469AF02" w:rsidR="001D1A6D" w:rsidRPr="00A27896" w:rsidRDefault="000E5114" w:rsidP="001D1A6D">
            <w:pPr>
              <w:spacing w:after="0" w:line="240" w:lineRule="auto"/>
              <w:jc w:val="right"/>
              <w:rPr>
                <w:rFonts w:cs="Times New Roman"/>
                <w:color w:val="17365D"/>
                <w:sz w:val="18"/>
                <w:szCs w:val="18"/>
              </w:rPr>
            </w:pPr>
            <w:r w:rsidRPr="00A27896">
              <w:rPr>
                <w:rFonts w:cs="Times New Roman"/>
                <w:color w:val="17365D"/>
                <w:sz w:val="18"/>
                <w:szCs w:val="18"/>
              </w:rPr>
              <w:t>0</w:t>
            </w:r>
          </w:p>
        </w:tc>
        <w:tc>
          <w:tcPr>
            <w:tcW w:w="1474" w:type="dxa"/>
            <w:tcBorders>
              <w:top w:val="single" w:sz="4" w:space="0" w:color="17365D"/>
              <w:bottom w:val="single" w:sz="4" w:space="0" w:color="17365D"/>
            </w:tcBorders>
            <w:shd w:val="clear" w:color="auto" w:fill="auto"/>
            <w:vAlign w:val="center"/>
          </w:tcPr>
          <w:p w14:paraId="73F1D9F9" w14:textId="37A7C00B" w:rsidR="001D1A6D" w:rsidRPr="00A27896" w:rsidRDefault="000E5114" w:rsidP="001D1A6D">
            <w:pPr>
              <w:spacing w:after="0" w:line="240" w:lineRule="auto"/>
              <w:jc w:val="right"/>
              <w:rPr>
                <w:rFonts w:cs="Times New Roman"/>
                <w:color w:val="17365D"/>
                <w:sz w:val="18"/>
                <w:szCs w:val="18"/>
              </w:rPr>
            </w:pPr>
            <w:r w:rsidRPr="00A27896">
              <w:rPr>
                <w:rFonts w:cs="Times New Roman"/>
                <w:color w:val="17365D"/>
                <w:sz w:val="18"/>
                <w:szCs w:val="18"/>
              </w:rPr>
              <w:t>0</w:t>
            </w:r>
          </w:p>
        </w:tc>
        <w:tc>
          <w:tcPr>
            <w:tcW w:w="1134" w:type="dxa"/>
            <w:tcBorders>
              <w:top w:val="single" w:sz="4" w:space="0" w:color="17365D"/>
              <w:bottom w:val="single" w:sz="4" w:space="0" w:color="17365D"/>
            </w:tcBorders>
            <w:shd w:val="clear" w:color="auto" w:fill="auto"/>
            <w:vAlign w:val="center"/>
          </w:tcPr>
          <w:p w14:paraId="20440CEF" w14:textId="189E8FF4" w:rsidR="001D1A6D" w:rsidRPr="00A27896" w:rsidRDefault="000E5114" w:rsidP="001D1A6D">
            <w:pPr>
              <w:spacing w:after="0" w:line="240" w:lineRule="auto"/>
              <w:jc w:val="right"/>
              <w:rPr>
                <w:rFonts w:cs="Times New Roman"/>
                <w:color w:val="17365D"/>
                <w:sz w:val="18"/>
                <w:szCs w:val="18"/>
              </w:rPr>
            </w:pPr>
            <w:r w:rsidRPr="00A27896">
              <w:rPr>
                <w:rFonts w:cs="Times New Roman"/>
                <w:color w:val="17365D"/>
                <w:sz w:val="18"/>
                <w:szCs w:val="18"/>
              </w:rPr>
              <w:t>0</w:t>
            </w:r>
          </w:p>
        </w:tc>
      </w:tr>
      <w:tr w:rsidR="001D1A6D" w:rsidRPr="00A27896" w14:paraId="7295427D" w14:textId="77777777" w:rsidTr="001D1A6D">
        <w:trPr>
          <w:trHeight w:val="199"/>
        </w:trPr>
        <w:tc>
          <w:tcPr>
            <w:tcW w:w="1942" w:type="dxa"/>
            <w:tcBorders>
              <w:top w:val="single" w:sz="4" w:space="0" w:color="17365D"/>
              <w:bottom w:val="single" w:sz="4" w:space="0" w:color="17365D"/>
            </w:tcBorders>
            <w:shd w:val="clear" w:color="auto" w:fill="auto"/>
            <w:vAlign w:val="center"/>
          </w:tcPr>
          <w:p w14:paraId="28BA8CEF" w14:textId="70E64D03" w:rsidR="001D1A6D" w:rsidRPr="00A27896" w:rsidRDefault="001D1A6D" w:rsidP="001D1A6D">
            <w:pPr>
              <w:spacing w:after="0" w:line="240" w:lineRule="auto"/>
              <w:rPr>
                <w:rFonts w:eastAsia="Times New Roman" w:cs="Times New Roman"/>
                <w:color w:val="17365D"/>
                <w:sz w:val="18"/>
                <w:szCs w:val="18"/>
                <w:lang w:eastAsia="lv-LV"/>
              </w:rPr>
            </w:pPr>
            <w:r w:rsidRPr="00A27896">
              <w:rPr>
                <w:rFonts w:cs="Times New Roman"/>
                <w:color w:val="17365D"/>
                <w:sz w:val="18"/>
                <w:szCs w:val="18"/>
              </w:rPr>
              <w:t>Zeme un būves</w:t>
            </w:r>
          </w:p>
        </w:tc>
        <w:tc>
          <w:tcPr>
            <w:tcW w:w="1296" w:type="dxa"/>
            <w:tcBorders>
              <w:top w:val="single" w:sz="4" w:space="0" w:color="17365D"/>
              <w:bottom w:val="single" w:sz="4" w:space="0" w:color="17365D"/>
            </w:tcBorders>
            <w:shd w:val="clear" w:color="auto" w:fill="auto"/>
            <w:vAlign w:val="center"/>
          </w:tcPr>
          <w:p w14:paraId="17BD80AC" w14:textId="63035048"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53 620 258</w:t>
            </w:r>
          </w:p>
        </w:tc>
        <w:tc>
          <w:tcPr>
            <w:tcW w:w="1340" w:type="dxa"/>
            <w:tcBorders>
              <w:top w:val="single" w:sz="4" w:space="0" w:color="17365D"/>
              <w:bottom w:val="single" w:sz="4" w:space="0" w:color="17365D"/>
            </w:tcBorders>
            <w:shd w:val="clear" w:color="auto" w:fill="auto"/>
            <w:vAlign w:val="center"/>
          </w:tcPr>
          <w:p w14:paraId="5BFE03C6" w14:textId="55D5C199"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7 763 990</w:t>
            </w:r>
          </w:p>
        </w:tc>
        <w:tc>
          <w:tcPr>
            <w:tcW w:w="1036" w:type="dxa"/>
            <w:tcBorders>
              <w:top w:val="single" w:sz="4" w:space="0" w:color="17365D"/>
              <w:bottom w:val="single" w:sz="4" w:space="0" w:color="17365D"/>
            </w:tcBorders>
            <w:shd w:val="clear" w:color="auto" w:fill="auto"/>
            <w:vAlign w:val="center"/>
          </w:tcPr>
          <w:p w14:paraId="3AE3B319" w14:textId="7D6D2D12"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15 527 319</w:t>
            </w:r>
          </w:p>
        </w:tc>
        <w:tc>
          <w:tcPr>
            <w:tcW w:w="1134" w:type="dxa"/>
            <w:tcBorders>
              <w:top w:val="single" w:sz="4" w:space="0" w:color="17365D"/>
              <w:bottom w:val="single" w:sz="4" w:space="0" w:color="17365D"/>
            </w:tcBorders>
            <w:shd w:val="clear" w:color="auto" w:fill="auto"/>
            <w:vAlign w:val="center"/>
          </w:tcPr>
          <w:p w14:paraId="4C5A9CB3" w14:textId="6BAA903C"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12 046 225</w:t>
            </w:r>
          </w:p>
        </w:tc>
        <w:tc>
          <w:tcPr>
            <w:tcW w:w="1474" w:type="dxa"/>
            <w:tcBorders>
              <w:top w:val="single" w:sz="4" w:space="0" w:color="17365D"/>
              <w:bottom w:val="single" w:sz="4" w:space="0" w:color="17365D"/>
            </w:tcBorders>
            <w:shd w:val="clear" w:color="auto" w:fill="auto"/>
            <w:vAlign w:val="center"/>
          </w:tcPr>
          <w:p w14:paraId="4B3A57F8" w14:textId="1855A611"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11 868 734</w:t>
            </w:r>
          </w:p>
        </w:tc>
        <w:tc>
          <w:tcPr>
            <w:tcW w:w="1134" w:type="dxa"/>
            <w:tcBorders>
              <w:top w:val="single" w:sz="4" w:space="0" w:color="17365D"/>
              <w:bottom w:val="single" w:sz="4" w:space="0" w:color="17365D"/>
            </w:tcBorders>
            <w:shd w:val="clear" w:color="auto" w:fill="auto"/>
            <w:vAlign w:val="center"/>
          </w:tcPr>
          <w:p w14:paraId="184D8FE0" w14:textId="18EDCDCC" w:rsidR="001D1A6D" w:rsidRPr="00A27896" w:rsidRDefault="001D1A6D" w:rsidP="001D1A6D">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0</w:t>
            </w:r>
          </w:p>
        </w:tc>
      </w:tr>
      <w:tr w:rsidR="001D1A6D" w:rsidRPr="00A27896" w14:paraId="20680E6B" w14:textId="77777777" w:rsidTr="001D1A6D">
        <w:trPr>
          <w:trHeight w:val="116"/>
        </w:trPr>
        <w:tc>
          <w:tcPr>
            <w:tcW w:w="1942" w:type="dxa"/>
            <w:tcBorders>
              <w:top w:val="single" w:sz="4" w:space="0" w:color="17365D"/>
              <w:bottom w:val="single" w:sz="4" w:space="0" w:color="17365D"/>
            </w:tcBorders>
            <w:shd w:val="clear" w:color="auto" w:fill="auto"/>
            <w:vAlign w:val="center"/>
            <w:hideMark/>
          </w:tcPr>
          <w:p w14:paraId="26387E02" w14:textId="0D64C33D" w:rsidR="001D1A6D" w:rsidRPr="00A27896" w:rsidRDefault="001D1A6D" w:rsidP="001D1A6D">
            <w:pPr>
              <w:spacing w:after="0" w:line="240" w:lineRule="auto"/>
              <w:rPr>
                <w:rFonts w:eastAsia="Times New Roman" w:cs="Times New Roman"/>
                <w:color w:val="17365D"/>
                <w:sz w:val="18"/>
                <w:szCs w:val="18"/>
                <w:lang w:eastAsia="lv-LV"/>
              </w:rPr>
            </w:pPr>
            <w:r w:rsidRPr="00A27896">
              <w:rPr>
                <w:rFonts w:cs="Times New Roman"/>
                <w:color w:val="17365D"/>
                <w:sz w:val="18"/>
                <w:szCs w:val="18"/>
              </w:rPr>
              <w:t>Tehnoloģiskās iekārtas un mašīnas</w:t>
            </w:r>
          </w:p>
        </w:tc>
        <w:tc>
          <w:tcPr>
            <w:tcW w:w="1296" w:type="dxa"/>
            <w:tcBorders>
              <w:top w:val="single" w:sz="4" w:space="0" w:color="17365D"/>
              <w:bottom w:val="single" w:sz="4" w:space="0" w:color="17365D"/>
            </w:tcBorders>
            <w:shd w:val="clear" w:color="auto" w:fill="auto"/>
            <w:vAlign w:val="center"/>
            <w:hideMark/>
          </w:tcPr>
          <w:p w14:paraId="6046DB1B" w14:textId="298A341A"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422 999</w:t>
            </w:r>
          </w:p>
        </w:tc>
        <w:tc>
          <w:tcPr>
            <w:tcW w:w="1340" w:type="dxa"/>
            <w:tcBorders>
              <w:top w:val="single" w:sz="4" w:space="0" w:color="17365D"/>
              <w:bottom w:val="single" w:sz="4" w:space="0" w:color="17365D"/>
            </w:tcBorders>
            <w:shd w:val="clear" w:color="auto" w:fill="auto"/>
            <w:vAlign w:val="center"/>
            <w:hideMark/>
          </w:tcPr>
          <w:p w14:paraId="1950867C" w14:textId="5C57513F"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30 791</w:t>
            </w:r>
          </w:p>
        </w:tc>
        <w:tc>
          <w:tcPr>
            <w:tcW w:w="1036" w:type="dxa"/>
            <w:tcBorders>
              <w:top w:val="single" w:sz="4" w:space="0" w:color="17365D"/>
              <w:bottom w:val="single" w:sz="4" w:space="0" w:color="17365D"/>
            </w:tcBorders>
            <w:shd w:val="clear" w:color="auto" w:fill="auto"/>
            <w:vAlign w:val="center"/>
            <w:hideMark/>
          </w:tcPr>
          <w:p w14:paraId="4143F732" w14:textId="276B2E50"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42 719</w:t>
            </w:r>
          </w:p>
        </w:tc>
        <w:tc>
          <w:tcPr>
            <w:tcW w:w="1134" w:type="dxa"/>
            <w:tcBorders>
              <w:top w:val="single" w:sz="4" w:space="0" w:color="17365D"/>
              <w:bottom w:val="single" w:sz="4" w:space="0" w:color="17365D"/>
            </w:tcBorders>
            <w:shd w:val="clear" w:color="auto" w:fill="auto"/>
            <w:vAlign w:val="center"/>
            <w:hideMark/>
          </w:tcPr>
          <w:p w14:paraId="676F232F" w14:textId="07671EFE"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455</w:t>
            </w:r>
          </w:p>
        </w:tc>
        <w:tc>
          <w:tcPr>
            <w:tcW w:w="1474" w:type="dxa"/>
            <w:tcBorders>
              <w:top w:val="single" w:sz="4" w:space="0" w:color="17365D"/>
              <w:bottom w:val="single" w:sz="4" w:space="0" w:color="17365D"/>
            </w:tcBorders>
            <w:shd w:val="clear" w:color="auto" w:fill="auto"/>
            <w:vAlign w:val="center"/>
            <w:hideMark/>
          </w:tcPr>
          <w:p w14:paraId="2DA5C31A" w14:textId="593E75B2"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422 999</w:t>
            </w:r>
          </w:p>
        </w:tc>
        <w:tc>
          <w:tcPr>
            <w:tcW w:w="1134" w:type="dxa"/>
            <w:tcBorders>
              <w:top w:val="single" w:sz="4" w:space="0" w:color="17365D"/>
              <w:bottom w:val="single" w:sz="4" w:space="0" w:color="17365D"/>
            </w:tcBorders>
            <w:shd w:val="clear" w:color="auto" w:fill="auto"/>
            <w:vAlign w:val="center"/>
            <w:hideMark/>
          </w:tcPr>
          <w:p w14:paraId="4B3A8E0B" w14:textId="0DFACC4E" w:rsidR="001D1A6D" w:rsidRPr="00A27896" w:rsidRDefault="001D1A6D" w:rsidP="001D1A6D">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1D1A6D" w:rsidRPr="00A27896" w14:paraId="3E09E944" w14:textId="77777777" w:rsidTr="001D1A6D">
        <w:trPr>
          <w:trHeight w:val="223"/>
        </w:trPr>
        <w:tc>
          <w:tcPr>
            <w:tcW w:w="1942" w:type="dxa"/>
            <w:tcBorders>
              <w:top w:val="single" w:sz="4" w:space="0" w:color="17365D"/>
              <w:bottom w:val="single" w:sz="4" w:space="0" w:color="17365D"/>
            </w:tcBorders>
            <w:shd w:val="clear" w:color="auto" w:fill="auto"/>
            <w:vAlign w:val="center"/>
            <w:hideMark/>
          </w:tcPr>
          <w:p w14:paraId="52FDF137" w14:textId="697C87C0" w:rsidR="001D1A6D" w:rsidRPr="00A27896" w:rsidRDefault="001D1A6D" w:rsidP="001D1A6D">
            <w:pPr>
              <w:spacing w:after="0" w:line="240" w:lineRule="auto"/>
              <w:rPr>
                <w:rFonts w:eastAsia="Times New Roman" w:cs="Times New Roman"/>
                <w:color w:val="17365D"/>
                <w:sz w:val="18"/>
                <w:szCs w:val="18"/>
                <w:lang w:eastAsia="lv-LV"/>
              </w:rPr>
            </w:pPr>
            <w:r w:rsidRPr="00A27896">
              <w:rPr>
                <w:rFonts w:cs="Times New Roman"/>
                <w:color w:val="17365D"/>
                <w:sz w:val="18"/>
                <w:szCs w:val="18"/>
              </w:rPr>
              <w:t>Pārējie pamatlīdzekļi</w:t>
            </w:r>
          </w:p>
        </w:tc>
        <w:tc>
          <w:tcPr>
            <w:tcW w:w="1296" w:type="dxa"/>
            <w:tcBorders>
              <w:top w:val="single" w:sz="4" w:space="0" w:color="17365D"/>
              <w:bottom w:val="single" w:sz="4" w:space="0" w:color="17365D"/>
            </w:tcBorders>
            <w:shd w:val="clear" w:color="auto" w:fill="auto"/>
            <w:vAlign w:val="center"/>
            <w:hideMark/>
          </w:tcPr>
          <w:p w14:paraId="731BBCB8" w14:textId="527818D2"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10 440 776</w:t>
            </w:r>
          </w:p>
        </w:tc>
        <w:tc>
          <w:tcPr>
            <w:tcW w:w="1340" w:type="dxa"/>
            <w:tcBorders>
              <w:top w:val="single" w:sz="4" w:space="0" w:color="17365D"/>
              <w:bottom w:val="single" w:sz="4" w:space="0" w:color="17365D"/>
            </w:tcBorders>
            <w:shd w:val="clear" w:color="auto" w:fill="auto"/>
            <w:vAlign w:val="center"/>
            <w:hideMark/>
          </w:tcPr>
          <w:p w14:paraId="0A23D4B6" w14:textId="61883814"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2 693 311</w:t>
            </w:r>
          </w:p>
        </w:tc>
        <w:tc>
          <w:tcPr>
            <w:tcW w:w="1036" w:type="dxa"/>
            <w:tcBorders>
              <w:top w:val="single" w:sz="4" w:space="0" w:color="17365D"/>
              <w:bottom w:val="single" w:sz="4" w:space="0" w:color="17365D"/>
            </w:tcBorders>
            <w:shd w:val="clear" w:color="auto" w:fill="auto"/>
            <w:vAlign w:val="center"/>
            <w:hideMark/>
          </w:tcPr>
          <w:p w14:paraId="1BA3F2F5" w14:textId="3B681B89"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2 237 318</w:t>
            </w:r>
          </w:p>
        </w:tc>
        <w:tc>
          <w:tcPr>
            <w:tcW w:w="1134" w:type="dxa"/>
            <w:tcBorders>
              <w:top w:val="single" w:sz="4" w:space="0" w:color="17365D"/>
              <w:bottom w:val="single" w:sz="4" w:space="0" w:color="17365D"/>
            </w:tcBorders>
            <w:shd w:val="clear" w:color="auto" w:fill="auto"/>
            <w:vAlign w:val="center"/>
            <w:hideMark/>
          </w:tcPr>
          <w:p w14:paraId="7BAC5440" w14:textId="104E02BC"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1 657 169</w:t>
            </w:r>
          </w:p>
        </w:tc>
        <w:tc>
          <w:tcPr>
            <w:tcW w:w="1474" w:type="dxa"/>
            <w:tcBorders>
              <w:top w:val="single" w:sz="4" w:space="0" w:color="17365D"/>
              <w:bottom w:val="single" w:sz="4" w:space="0" w:color="17365D"/>
            </w:tcBorders>
            <w:shd w:val="clear" w:color="auto" w:fill="auto"/>
            <w:vAlign w:val="center"/>
            <w:hideMark/>
          </w:tcPr>
          <w:p w14:paraId="1D2924BF" w14:textId="6EA01E09"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1 265 131</w:t>
            </w:r>
          </w:p>
        </w:tc>
        <w:tc>
          <w:tcPr>
            <w:tcW w:w="1134" w:type="dxa"/>
            <w:tcBorders>
              <w:top w:val="single" w:sz="4" w:space="0" w:color="17365D"/>
              <w:bottom w:val="single" w:sz="4" w:space="0" w:color="17365D"/>
            </w:tcBorders>
            <w:shd w:val="clear" w:color="auto" w:fill="auto"/>
            <w:vAlign w:val="center"/>
            <w:hideMark/>
          </w:tcPr>
          <w:p w14:paraId="4E7372DA" w14:textId="3E7C13EE" w:rsidR="001D1A6D" w:rsidRPr="00A27896" w:rsidRDefault="001D1A6D" w:rsidP="001D1A6D">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1D1A6D" w:rsidRPr="00A27896" w14:paraId="30FA15E1" w14:textId="77777777" w:rsidTr="001D1A6D">
        <w:trPr>
          <w:trHeight w:val="223"/>
        </w:trPr>
        <w:tc>
          <w:tcPr>
            <w:tcW w:w="1942" w:type="dxa"/>
            <w:tcBorders>
              <w:top w:val="single" w:sz="4" w:space="0" w:color="17365D"/>
              <w:bottom w:val="single" w:sz="4" w:space="0" w:color="17365D"/>
            </w:tcBorders>
            <w:shd w:val="clear" w:color="auto" w:fill="auto"/>
            <w:vAlign w:val="center"/>
          </w:tcPr>
          <w:p w14:paraId="70D8F6EC" w14:textId="5B2E141E" w:rsidR="001D1A6D" w:rsidRPr="00A27896" w:rsidRDefault="001D1A6D" w:rsidP="001D1A6D">
            <w:pPr>
              <w:spacing w:after="0" w:line="240" w:lineRule="auto"/>
              <w:rPr>
                <w:rFonts w:cs="Times New Roman"/>
                <w:color w:val="17365D"/>
                <w:sz w:val="18"/>
                <w:szCs w:val="18"/>
              </w:rPr>
            </w:pPr>
            <w:r w:rsidRPr="00A27896">
              <w:rPr>
                <w:rFonts w:cs="Times New Roman"/>
                <w:color w:val="17365D"/>
                <w:sz w:val="18"/>
                <w:szCs w:val="18"/>
              </w:rPr>
              <w:t>Pamatlīdzekļu izveidošana un nepabeigtā būvniecība</w:t>
            </w:r>
          </w:p>
        </w:tc>
        <w:tc>
          <w:tcPr>
            <w:tcW w:w="1296" w:type="dxa"/>
            <w:tcBorders>
              <w:top w:val="single" w:sz="4" w:space="0" w:color="17365D"/>
              <w:bottom w:val="single" w:sz="4" w:space="0" w:color="17365D"/>
            </w:tcBorders>
            <w:shd w:val="clear" w:color="auto" w:fill="auto"/>
            <w:vAlign w:val="center"/>
          </w:tcPr>
          <w:p w14:paraId="4E85A48F" w14:textId="625E2FE6"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105 934</w:t>
            </w:r>
          </w:p>
        </w:tc>
        <w:tc>
          <w:tcPr>
            <w:tcW w:w="1340" w:type="dxa"/>
            <w:tcBorders>
              <w:top w:val="single" w:sz="4" w:space="0" w:color="17365D"/>
              <w:bottom w:val="single" w:sz="4" w:space="0" w:color="17365D"/>
            </w:tcBorders>
            <w:shd w:val="clear" w:color="auto" w:fill="auto"/>
            <w:vAlign w:val="center"/>
          </w:tcPr>
          <w:p w14:paraId="7806E048" w14:textId="3A0BE482" w:rsidR="001D1A6D" w:rsidRPr="00A27896" w:rsidRDefault="000E5114" w:rsidP="001D1A6D">
            <w:pPr>
              <w:spacing w:after="0" w:line="240" w:lineRule="auto"/>
              <w:jc w:val="right"/>
              <w:rPr>
                <w:rFonts w:cs="Times New Roman"/>
                <w:color w:val="17365D"/>
                <w:sz w:val="18"/>
                <w:szCs w:val="18"/>
              </w:rPr>
            </w:pPr>
            <w:r w:rsidRPr="00A27896">
              <w:rPr>
                <w:rFonts w:cs="Times New Roman"/>
                <w:color w:val="17365D"/>
                <w:sz w:val="18"/>
                <w:szCs w:val="18"/>
              </w:rPr>
              <w:t>0</w:t>
            </w:r>
          </w:p>
        </w:tc>
        <w:tc>
          <w:tcPr>
            <w:tcW w:w="1036" w:type="dxa"/>
            <w:tcBorders>
              <w:top w:val="single" w:sz="4" w:space="0" w:color="17365D"/>
              <w:bottom w:val="single" w:sz="4" w:space="0" w:color="17365D"/>
            </w:tcBorders>
            <w:shd w:val="clear" w:color="auto" w:fill="auto"/>
            <w:vAlign w:val="center"/>
          </w:tcPr>
          <w:p w14:paraId="3AD71E4C" w14:textId="6946AE92" w:rsidR="001D1A6D" w:rsidRPr="00A27896" w:rsidRDefault="000E5114" w:rsidP="001D1A6D">
            <w:pPr>
              <w:spacing w:after="0" w:line="240" w:lineRule="auto"/>
              <w:jc w:val="right"/>
              <w:rPr>
                <w:rFonts w:cs="Times New Roman"/>
                <w:color w:val="17365D"/>
                <w:sz w:val="18"/>
                <w:szCs w:val="18"/>
              </w:rPr>
            </w:pPr>
            <w:r w:rsidRPr="00A27896">
              <w:rPr>
                <w:rFonts w:cs="Times New Roman"/>
                <w:color w:val="17365D"/>
                <w:sz w:val="18"/>
                <w:szCs w:val="18"/>
              </w:rPr>
              <w:t>0</w:t>
            </w:r>
          </w:p>
        </w:tc>
        <w:tc>
          <w:tcPr>
            <w:tcW w:w="1134" w:type="dxa"/>
            <w:tcBorders>
              <w:top w:val="single" w:sz="4" w:space="0" w:color="17365D"/>
              <w:bottom w:val="single" w:sz="4" w:space="0" w:color="17365D"/>
            </w:tcBorders>
            <w:shd w:val="clear" w:color="auto" w:fill="auto"/>
            <w:vAlign w:val="center"/>
          </w:tcPr>
          <w:p w14:paraId="69B21210" w14:textId="5AD379C8" w:rsidR="001D1A6D" w:rsidRPr="00A27896" w:rsidRDefault="000E5114" w:rsidP="001D1A6D">
            <w:pPr>
              <w:spacing w:after="0" w:line="240" w:lineRule="auto"/>
              <w:jc w:val="right"/>
              <w:rPr>
                <w:rFonts w:cs="Times New Roman"/>
                <w:color w:val="17365D"/>
                <w:sz w:val="18"/>
                <w:szCs w:val="18"/>
              </w:rPr>
            </w:pPr>
            <w:r w:rsidRPr="00A27896">
              <w:rPr>
                <w:rFonts w:cs="Times New Roman"/>
                <w:color w:val="17365D"/>
                <w:sz w:val="18"/>
                <w:szCs w:val="18"/>
              </w:rPr>
              <w:t>0</w:t>
            </w:r>
          </w:p>
        </w:tc>
        <w:tc>
          <w:tcPr>
            <w:tcW w:w="1474" w:type="dxa"/>
            <w:tcBorders>
              <w:top w:val="single" w:sz="4" w:space="0" w:color="17365D"/>
              <w:bottom w:val="single" w:sz="4" w:space="0" w:color="17365D"/>
            </w:tcBorders>
            <w:shd w:val="clear" w:color="auto" w:fill="auto"/>
            <w:vAlign w:val="center"/>
          </w:tcPr>
          <w:p w14:paraId="6F6BE273" w14:textId="129B9D23" w:rsidR="001D1A6D" w:rsidRPr="00A27896" w:rsidRDefault="000E5114" w:rsidP="001D1A6D">
            <w:pPr>
              <w:spacing w:after="0" w:line="240" w:lineRule="auto"/>
              <w:jc w:val="right"/>
              <w:rPr>
                <w:rFonts w:cs="Times New Roman"/>
                <w:color w:val="17365D"/>
                <w:sz w:val="18"/>
                <w:szCs w:val="18"/>
              </w:rPr>
            </w:pPr>
            <w:r w:rsidRPr="00A27896">
              <w:rPr>
                <w:rFonts w:cs="Times New Roman"/>
                <w:color w:val="17365D"/>
                <w:sz w:val="18"/>
                <w:szCs w:val="18"/>
              </w:rPr>
              <w:t>0</w:t>
            </w:r>
          </w:p>
        </w:tc>
        <w:tc>
          <w:tcPr>
            <w:tcW w:w="1134" w:type="dxa"/>
            <w:tcBorders>
              <w:top w:val="single" w:sz="4" w:space="0" w:color="17365D"/>
              <w:bottom w:val="single" w:sz="4" w:space="0" w:color="17365D"/>
            </w:tcBorders>
            <w:shd w:val="clear" w:color="auto" w:fill="auto"/>
            <w:vAlign w:val="center"/>
          </w:tcPr>
          <w:p w14:paraId="18DB5289" w14:textId="5928CD39" w:rsidR="001D1A6D" w:rsidRPr="00A27896" w:rsidRDefault="000E5114" w:rsidP="001D1A6D">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1D1A6D" w:rsidRPr="00A27896" w14:paraId="312992A7" w14:textId="77777777" w:rsidTr="001D1A6D">
        <w:trPr>
          <w:trHeight w:val="74"/>
        </w:trPr>
        <w:tc>
          <w:tcPr>
            <w:tcW w:w="1942" w:type="dxa"/>
            <w:tcBorders>
              <w:top w:val="single" w:sz="4" w:space="0" w:color="17365D"/>
              <w:bottom w:val="single" w:sz="4" w:space="0" w:color="17365D"/>
            </w:tcBorders>
            <w:shd w:val="clear" w:color="auto" w:fill="auto"/>
            <w:vAlign w:val="center"/>
            <w:hideMark/>
          </w:tcPr>
          <w:p w14:paraId="1D46A7E7" w14:textId="06F5CCCF" w:rsidR="001D1A6D" w:rsidRPr="00A27896" w:rsidRDefault="001D1A6D" w:rsidP="001D1A6D">
            <w:pPr>
              <w:spacing w:after="0" w:line="240" w:lineRule="auto"/>
              <w:rPr>
                <w:rFonts w:eastAsia="Times New Roman" w:cs="Times New Roman"/>
                <w:color w:val="17365D"/>
                <w:sz w:val="18"/>
                <w:szCs w:val="18"/>
                <w:lang w:eastAsia="lv-LV"/>
              </w:rPr>
            </w:pPr>
            <w:r w:rsidRPr="00A27896">
              <w:rPr>
                <w:rFonts w:cs="Times New Roman"/>
                <w:color w:val="17365D"/>
                <w:sz w:val="18"/>
                <w:szCs w:val="18"/>
              </w:rPr>
              <w:t>Bioloģiskie un pazemes aktīvi</w:t>
            </w:r>
          </w:p>
        </w:tc>
        <w:tc>
          <w:tcPr>
            <w:tcW w:w="1296" w:type="dxa"/>
            <w:tcBorders>
              <w:top w:val="single" w:sz="4" w:space="0" w:color="17365D"/>
              <w:bottom w:val="single" w:sz="4" w:space="0" w:color="17365D"/>
            </w:tcBorders>
            <w:shd w:val="clear" w:color="auto" w:fill="auto"/>
            <w:vAlign w:val="center"/>
            <w:hideMark/>
          </w:tcPr>
          <w:p w14:paraId="3AA4065C" w14:textId="301A25D2" w:rsidR="001D1A6D" w:rsidRPr="00A27896" w:rsidRDefault="001D1A6D" w:rsidP="001D1A6D">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100</w:t>
            </w:r>
          </w:p>
        </w:tc>
        <w:tc>
          <w:tcPr>
            <w:tcW w:w="1340" w:type="dxa"/>
            <w:tcBorders>
              <w:top w:val="single" w:sz="4" w:space="0" w:color="17365D"/>
              <w:bottom w:val="single" w:sz="4" w:space="0" w:color="17365D"/>
            </w:tcBorders>
            <w:shd w:val="clear" w:color="auto" w:fill="auto"/>
            <w:vAlign w:val="center"/>
            <w:hideMark/>
          </w:tcPr>
          <w:p w14:paraId="4194CF2A" w14:textId="608DD537" w:rsidR="001D1A6D" w:rsidRPr="00A27896" w:rsidRDefault="001D1A6D" w:rsidP="001D1A6D">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0</w:t>
            </w:r>
          </w:p>
        </w:tc>
        <w:tc>
          <w:tcPr>
            <w:tcW w:w="1036" w:type="dxa"/>
            <w:tcBorders>
              <w:top w:val="single" w:sz="4" w:space="0" w:color="17365D"/>
              <w:bottom w:val="single" w:sz="4" w:space="0" w:color="17365D"/>
            </w:tcBorders>
            <w:shd w:val="clear" w:color="auto" w:fill="auto"/>
            <w:vAlign w:val="center"/>
            <w:hideMark/>
          </w:tcPr>
          <w:p w14:paraId="04DC4CA3" w14:textId="08B6AA19" w:rsidR="001D1A6D" w:rsidRPr="00A27896" w:rsidRDefault="001D1A6D" w:rsidP="001D1A6D">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0</w:t>
            </w:r>
          </w:p>
        </w:tc>
        <w:tc>
          <w:tcPr>
            <w:tcW w:w="1134" w:type="dxa"/>
            <w:tcBorders>
              <w:top w:val="single" w:sz="4" w:space="0" w:color="17365D"/>
              <w:bottom w:val="single" w:sz="4" w:space="0" w:color="17365D"/>
            </w:tcBorders>
            <w:shd w:val="clear" w:color="auto" w:fill="auto"/>
            <w:vAlign w:val="center"/>
            <w:hideMark/>
          </w:tcPr>
          <w:p w14:paraId="1274BC8B" w14:textId="678DFF4B" w:rsidR="001D1A6D" w:rsidRPr="00A27896" w:rsidRDefault="001D1A6D" w:rsidP="001D1A6D">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0</w:t>
            </w:r>
          </w:p>
        </w:tc>
        <w:tc>
          <w:tcPr>
            <w:tcW w:w="1474" w:type="dxa"/>
            <w:tcBorders>
              <w:top w:val="single" w:sz="4" w:space="0" w:color="17365D"/>
              <w:bottom w:val="single" w:sz="4" w:space="0" w:color="17365D"/>
            </w:tcBorders>
            <w:shd w:val="clear" w:color="auto" w:fill="auto"/>
            <w:vAlign w:val="center"/>
            <w:hideMark/>
          </w:tcPr>
          <w:p w14:paraId="2371E43C" w14:textId="7097EF00" w:rsidR="001D1A6D" w:rsidRPr="00A27896" w:rsidRDefault="001D1A6D" w:rsidP="001D1A6D">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0</w:t>
            </w:r>
          </w:p>
        </w:tc>
        <w:tc>
          <w:tcPr>
            <w:tcW w:w="1134" w:type="dxa"/>
            <w:tcBorders>
              <w:top w:val="single" w:sz="4" w:space="0" w:color="17365D"/>
              <w:bottom w:val="single" w:sz="4" w:space="0" w:color="17365D"/>
            </w:tcBorders>
            <w:shd w:val="clear" w:color="auto" w:fill="auto"/>
            <w:vAlign w:val="center"/>
            <w:hideMark/>
          </w:tcPr>
          <w:p w14:paraId="634D8D10" w14:textId="7FDC047E" w:rsidR="001D1A6D" w:rsidRPr="00A27896" w:rsidRDefault="001D1A6D" w:rsidP="001D1A6D">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0C1009" w:rsidRPr="00A27896" w14:paraId="782F274C" w14:textId="77777777" w:rsidTr="001D1A6D">
        <w:trPr>
          <w:trHeight w:val="74"/>
        </w:trPr>
        <w:tc>
          <w:tcPr>
            <w:tcW w:w="1942" w:type="dxa"/>
            <w:tcBorders>
              <w:top w:val="single" w:sz="4" w:space="0" w:color="17365D"/>
              <w:bottom w:val="single" w:sz="4" w:space="0" w:color="17365D"/>
            </w:tcBorders>
            <w:shd w:val="clear" w:color="auto" w:fill="auto"/>
            <w:vAlign w:val="center"/>
          </w:tcPr>
          <w:p w14:paraId="093E5D7A" w14:textId="36A54438" w:rsidR="00C54D00" w:rsidRPr="00A27896" w:rsidRDefault="00DD0340" w:rsidP="000E6BA5">
            <w:pPr>
              <w:spacing w:after="0" w:line="240" w:lineRule="auto"/>
              <w:rPr>
                <w:rFonts w:eastAsia="Times New Roman" w:cs="Times New Roman"/>
                <w:color w:val="17365D"/>
                <w:sz w:val="18"/>
                <w:szCs w:val="18"/>
                <w:lang w:eastAsia="lv-LV"/>
              </w:rPr>
            </w:pPr>
            <w:r w:rsidRPr="00A27896">
              <w:rPr>
                <w:rFonts w:cs="Times New Roman"/>
                <w:color w:val="17365D"/>
                <w:sz w:val="18"/>
                <w:szCs w:val="18"/>
              </w:rPr>
              <w:t>Ilgtermiņa ieguldījumi nomātajos pamatlīdzekļos</w:t>
            </w:r>
          </w:p>
        </w:tc>
        <w:tc>
          <w:tcPr>
            <w:tcW w:w="1296" w:type="dxa"/>
            <w:tcBorders>
              <w:top w:val="single" w:sz="4" w:space="0" w:color="17365D"/>
              <w:bottom w:val="single" w:sz="4" w:space="0" w:color="17365D"/>
            </w:tcBorders>
            <w:shd w:val="clear" w:color="auto" w:fill="auto"/>
            <w:vAlign w:val="center"/>
          </w:tcPr>
          <w:p w14:paraId="3894B8BC" w14:textId="408804D0" w:rsidR="00C54D00" w:rsidRPr="00A27896" w:rsidRDefault="001D1A6D" w:rsidP="000E5114">
            <w:pPr>
              <w:spacing w:after="0" w:line="240" w:lineRule="auto"/>
              <w:jc w:val="right"/>
              <w:rPr>
                <w:rFonts w:cs="Times New Roman"/>
                <w:color w:val="17365D"/>
                <w:sz w:val="18"/>
                <w:szCs w:val="18"/>
              </w:rPr>
            </w:pPr>
            <w:r w:rsidRPr="00A27896">
              <w:rPr>
                <w:rFonts w:cs="Times New Roman"/>
                <w:color w:val="17365D"/>
                <w:sz w:val="18"/>
                <w:szCs w:val="18"/>
              </w:rPr>
              <w:t>12 014</w:t>
            </w:r>
          </w:p>
        </w:tc>
        <w:tc>
          <w:tcPr>
            <w:tcW w:w="1340" w:type="dxa"/>
            <w:tcBorders>
              <w:top w:val="single" w:sz="4" w:space="0" w:color="17365D"/>
              <w:bottom w:val="single" w:sz="4" w:space="0" w:color="17365D"/>
            </w:tcBorders>
            <w:shd w:val="clear" w:color="auto" w:fill="auto"/>
            <w:vAlign w:val="center"/>
          </w:tcPr>
          <w:p w14:paraId="3C7FCC9A" w14:textId="605DB807" w:rsidR="00C54D00" w:rsidRPr="00A27896" w:rsidRDefault="00DD0340" w:rsidP="001D1A6D">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0</w:t>
            </w:r>
          </w:p>
        </w:tc>
        <w:tc>
          <w:tcPr>
            <w:tcW w:w="1036" w:type="dxa"/>
            <w:tcBorders>
              <w:top w:val="single" w:sz="4" w:space="0" w:color="17365D"/>
              <w:bottom w:val="single" w:sz="4" w:space="0" w:color="17365D"/>
            </w:tcBorders>
            <w:shd w:val="clear" w:color="auto" w:fill="auto"/>
            <w:vAlign w:val="center"/>
          </w:tcPr>
          <w:p w14:paraId="0DD914A7" w14:textId="0669BD7D" w:rsidR="00C54D00" w:rsidRPr="00A27896" w:rsidRDefault="00DD0340" w:rsidP="001D1A6D">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0</w:t>
            </w:r>
          </w:p>
        </w:tc>
        <w:tc>
          <w:tcPr>
            <w:tcW w:w="1134" w:type="dxa"/>
            <w:tcBorders>
              <w:top w:val="single" w:sz="4" w:space="0" w:color="17365D"/>
              <w:bottom w:val="single" w:sz="4" w:space="0" w:color="17365D"/>
            </w:tcBorders>
            <w:shd w:val="clear" w:color="auto" w:fill="auto"/>
            <w:vAlign w:val="center"/>
          </w:tcPr>
          <w:p w14:paraId="5BFA02F0" w14:textId="219708D4" w:rsidR="00C54D00" w:rsidRPr="00A27896" w:rsidRDefault="00DD0340" w:rsidP="001D1A6D">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0</w:t>
            </w:r>
          </w:p>
        </w:tc>
        <w:tc>
          <w:tcPr>
            <w:tcW w:w="1474" w:type="dxa"/>
            <w:tcBorders>
              <w:top w:val="single" w:sz="4" w:space="0" w:color="17365D"/>
              <w:bottom w:val="single" w:sz="4" w:space="0" w:color="17365D"/>
            </w:tcBorders>
            <w:shd w:val="clear" w:color="auto" w:fill="auto"/>
            <w:vAlign w:val="center"/>
          </w:tcPr>
          <w:p w14:paraId="214F9AD7" w14:textId="3A3A6B22" w:rsidR="00C54D00" w:rsidRPr="00A27896" w:rsidRDefault="00DD0340" w:rsidP="001D1A6D">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0</w:t>
            </w:r>
          </w:p>
        </w:tc>
        <w:tc>
          <w:tcPr>
            <w:tcW w:w="1134" w:type="dxa"/>
            <w:tcBorders>
              <w:top w:val="single" w:sz="4" w:space="0" w:color="17365D"/>
              <w:bottom w:val="single" w:sz="4" w:space="0" w:color="17365D"/>
            </w:tcBorders>
            <w:shd w:val="clear" w:color="auto" w:fill="auto"/>
            <w:vAlign w:val="center"/>
          </w:tcPr>
          <w:p w14:paraId="05F3E1EE" w14:textId="6E2CC114" w:rsidR="00C54D00" w:rsidRPr="00A27896" w:rsidRDefault="00DD0340" w:rsidP="001D1A6D">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0</w:t>
            </w:r>
          </w:p>
        </w:tc>
      </w:tr>
      <w:tr w:rsidR="001D1A6D" w:rsidRPr="00A27896" w14:paraId="7CC61397" w14:textId="77777777" w:rsidTr="001D1A6D">
        <w:trPr>
          <w:trHeight w:val="275"/>
        </w:trPr>
        <w:tc>
          <w:tcPr>
            <w:tcW w:w="1942" w:type="dxa"/>
            <w:tcBorders>
              <w:top w:val="single" w:sz="4" w:space="0" w:color="17365D"/>
              <w:bottom w:val="single" w:sz="4" w:space="0" w:color="17365D"/>
            </w:tcBorders>
            <w:shd w:val="clear" w:color="auto" w:fill="auto"/>
            <w:vAlign w:val="center"/>
            <w:hideMark/>
          </w:tcPr>
          <w:p w14:paraId="22EBE377" w14:textId="3E7A57D1" w:rsidR="001D1A6D" w:rsidRPr="00A27896" w:rsidRDefault="001D1A6D" w:rsidP="001D1A6D">
            <w:pPr>
              <w:spacing w:after="0" w:line="240" w:lineRule="auto"/>
              <w:rPr>
                <w:rFonts w:eastAsia="Times New Roman" w:cs="Times New Roman"/>
                <w:color w:val="17365D"/>
                <w:sz w:val="18"/>
                <w:szCs w:val="18"/>
                <w:lang w:eastAsia="lv-LV"/>
              </w:rPr>
            </w:pPr>
            <w:r w:rsidRPr="00A27896">
              <w:rPr>
                <w:rFonts w:cs="Times New Roman"/>
                <w:b/>
                <w:bCs/>
                <w:color w:val="17365D"/>
                <w:sz w:val="18"/>
                <w:szCs w:val="18"/>
              </w:rPr>
              <w:t>Apgrozāmie līdzekļi</w:t>
            </w:r>
          </w:p>
        </w:tc>
        <w:tc>
          <w:tcPr>
            <w:tcW w:w="1296" w:type="dxa"/>
            <w:tcBorders>
              <w:top w:val="single" w:sz="4" w:space="0" w:color="17365D"/>
              <w:bottom w:val="single" w:sz="4" w:space="0" w:color="17365D"/>
            </w:tcBorders>
            <w:shd w:val="clear" w:color="auto" w:fill="auto"/>
            <w:vAlign w:val="center"/>
            <w:hideMark/>
          </w:tcPr>
          <w:p w14:paraId="4E821B0E" w14:textId="2B0FDFFC" w:rsidR="001D1A6D" w:rsidRPr="00A27896" w:rsidRDefault="001D1A6D" w:rsidP="001D1A6D">
            <w:pPr>
              <w:spacing w:after="0" w:line="240" w:lineRule="auto"/>
              <w:jc w:val="right"/>
              <w:rPr>
                <w:rFonts w:cs="Times New Roman"/>
                <w:b/>
                <w:bCs/>
                <w:color w:val="17365D"/>
                <w:sz w:val="18"/>
                <w:szCs w:val="18"/>
              </w:rPr>
            </w:pPr>
            <w:r w:rsidRPr="00A27896">
              <w:rPr>
                <w:rFonts w:cs="Times New Roman"/>
                <w:b/>
                <w:bCs/>
                <w:color w:val="17365D"/>
                <w:sz w:val="18"/>
                <w:szCs w:val="18"/>
              </w:rPr>
              <w:t>1 943 182</w:t>
            </w:r>
          </w:p>
        </w:tc>
        <w:tc>
          <w:tcPr>
            <w:tcW w:w="1340" w:type="dxa"/>
            <w:tcBorders>
              <w:top w:val="single" w:sz="4" w:space="0" w:color="17365D"/>
              <w:bottom w:val="single" w:sz="4" w:space="0" w:color="17365D"/>
            </w:tcBorders>
            <w:shd w:val="clear" w:color="auto" w:fill="auto"/>
            <w:vAlign w:val="center"/>
            <w:hideMark/>
          </w:tcPr>
          <w:p w14:paraId="7054C538" w14:textId="64E36A4B" w:rsidR="001D1A6D" w:rsidRPr="00A27896" w:rsidRDefault="001D1A6D" w:rsidP="001D1A6D">
            <w:pPr>
              <w:spacing w:after="0" w:line="240" w:lineRule="auto"/>
              <w:jc w:val="right"/>
              <w:rPr>
                <w:rFonts w:cs="Times New Roman"/>
                <w:b/>
                <w:bCs/>
                <w:color w:val="17365D"/>
                <w:sz w:val="18"/>
                <w:szCs w:val="18"/>
              </w:rPr>
            </w:pPr>
            <w:r w:rsidRPr="00A27896">
              <w:rPr>
                <w:rFonts w:cs="Times New Roman"/>
                <w:b/>
                <w:bCs/>
                <w:color w:val="17365D"/>
                <w:sz w:val="18"/>
                <w:szCs w:val="18"/>
              </w:rPr>
              <w:t>130 281</w:t>
            </w:r>
          </w:p>
        </w:tc>
        <w:tc>
          <w:tcPr>
            <w:tcW w:w="1036" w:type="dxa"/>
            <w:tcBorders>
              <w:top w:val="single" w:sz="4" w:space="0" w:color="17365D"/>
              <w:bottom w:val="single" w:sz="4" w:space="0" w:color="17365D"/>
            </w:tcBorders>
            <w:shd w:val="clear" w:color="auto" w:fill="auto"/>
            <w:vAlign w:val="center"/>
            <w:hideMark/>
          </w:tcPr>
          <w:p w14:paraId="7F1EED13" w14:textId="3C82BF31" w:rsidR="001D1A6D" w:rsidRPr="00A27896" w:rsidRDefault="001D1A6D" w:rsidP="001D1A6D">
            <w:pPr>
              <w:spacing w:after="0" w:line="240" w:lineRule="auto"/>
              <w:jc w:val="right"/>
              <w:rPr>
                <w:rFonts w:cs="Times New Roman"/>
                <w:b/>
                <w:bCs/>
                <w:color w:val="17365D"/>
                <w:sz w:val="18"/>
                <w:szCs w:val="18"/>
              </w:rPr>
            </w:pPr>
            <w:r w:rsidRPr="00A27896">
              <w:rPr>
                <w:rFonts w:cs="Times New Roman"/>
                <w:b/>
                <w:bCs/>
                <w:color w:val="17365D"/>
                <w:sz w:val="18"/>
                <w:szCs w:val="18"/>
              </w:rPr>
              <w:t>600 642</w:t>
            </w:r>
          </w:p>
        </w:tc>
        <w:tc>
          <w:tcPr>
            <w:tcW w:w="1134" w:type="dxa"/>
            <w:tcBorders>
              <w:top w:val="single" w:sz="4" w:space="0" w:color="17365D"/>
              <w:bottom w:val="single" w:sz="4" w:space="0" w:color="17365D"/>
            </w:tcBorders>
            <w:shd w:val="clear" w:color="auto" w:fill="auto"/>
            <w:vAlign w:val="center"/>
            <w:hideMark/>
          </w:tcPr>
          <w:p w14:paraId="6079FC4B" w14:textId="7CC519BA" w:rsidR="001D1A6D" w:rsidRPr="00A27896" w:rsidRDefault="001D1A6D" w:rsidP="001D1A6D">
            <w:pPr>
              <w:spacing w:after="0" w:line="240" w:lineRule="auto"/>
              <w:jc w:val="right"/>
              <w:rPr>
                <w:rFonts w:cs="Times New Roman"/>
                <w:b/>
                <w:bCs/>
                <w:color w:val="17365D"/>
                <w:sz w:val="18"/>
                <w:szCs w:val="18"/>
              </w:rPr>
            </w:pPr>
            <w:r w:rsidRPr="00A27896">
              <w:rPr>
                <w:rFonts w:cs="Times New Roman"/>
                <w:b/>
                <w:bCs/>
                <w:color w:val="17365D"/>
                <w:sz w:val="18"/>
                <w:szCs w:val="18"/>
              </w:rPr>
              <w:t>557 118</w:t>
            </w:r>
          </w:p>
        </w:tc>
        <w:tc>
          <w:tcPr>
            <w:tcW w:w="1474" w:type="dxa"/>
            <w:tcBorders>
              <w:top w:val="single" w:sz="4" w:space="0" w:color="17365D"/>
              <w:bottom w:val="single" w:sz="4" w:space="0" w:color="17365D"/>
            </w:tcBorders>
            <w:shd w:val="clear" w:color="auto" w:fill="auto"/>
            <w:vAlign w:val="center"/>
            <w:hideMark/>
          </w:tcPr>
          <w:p w14:paraId="42D0B5F8" w14:textId="2BE89AF4" w:rsidR="001D1A6D" w:rsidRPr="00A27896" w:rsidRDefault="001D1A6D" w:rsidP="001D1A6D">
            <w:pPr>
              <w:spacing w:after="0" w:line="240" w:lineRule="auto"/>
              <w:jc w:val="right"/>
              <w:rPr>
                <w:rFonts w:cs="Times New Roman"/>
                <w:b/>
                <w:bCs/>
                <w:color w:val="17365D"/>
                <w:sz w:val="18"/>
                <w:szCs w:val="18"/>
              </w:rPr>
            </w:pPr>
            <w:r w:rsidRPr="00A27896">
              <w:rPr>
                <w:rFonts w:cs="Times New Roman"/>
                <w:b/>
                <w:bCs/>
                <w:color w:val="17365D"/>
                <w:sz w:val="18"/>
                <w:szCs w:val="18"/>
              </w:rPr>
              <w:t>586 088</w:t>
            </w:r>
          </w:p>
        </w:tc>
        <w:tc>
          <w:tcPr>
            <w:tcW w:w="1134" w:type="dxa"/>
            <w:tcBorders>
              <w:top w:val="single" w:sz="4" w:space="0" w:color="17365D"/>
              <w:bottom w:val="single" w:sz="4" w:space="0" w:color="17365D"/>
            </w:tcBorders>
            <w:shd w:val="clear" w:color="auto" w:fill="auto"/>
            <w:vAlign w:val="center"/>
            <w:hideMark/>
          </w:tcPr>
          <w:p w14:paraId="5BE1B413" w14:textId="15FE88A2" w:rsidR="001D1A6D" w:rsidRPr="00A27896" w:rsidRDefault="001D1A6D" w:rsidP="001D1A6D">
            <w:pPr>
              <w:spacing w:after="0" w:line="240" w:lineRule="auto"/>
              <w:jc w:val="right"/>
              <w:rPr>
                <w:rFonts w:eastAsia="Times New Roman" w:cs="Times New Roman"/>
                <w:color w:val="17365D"/>
                <w:sz w:val="18"/>
                <w:szCs w:val="18"/>
                <w:lang w:eastAsia="lv-LV"/>
              </w:rPr>
            </w:pPr>
            <w:r w:rsidRPr="00A27896">
              <w:rPr>
                <w:rFonts w:cs="Times New Roman"/>
                <w:b/>
                <w:bCs/>
                <w:color w:val="17365D"/>
                <w:sz w:val="18"/>
                <w:szCs w:val="18"/>
              </w:rPr>
              <w:t>0</w:t>
            </w:r>
          </w:p>
        </w:tc>
      </w:tr>
      <w:tr w:rsidR="001D1A6D" w:rsidRPr="00A27896" w14:paraId="749FAE68" w14:textId="77777777" w:rsidTr="001D1A6D">
        <w:trPr>
          <w:trHeight w:val="111"/>
        </w:trPr>
        <w:tc>
          <w:tcPr>
            <w:tcW w:w="1942" w:type="dxa"/>
            <w:tcBorders>
              <w:top w:val="single" w:sz="4" w:space="0" w:color="17365D"/>
              <w:bottom w:val="single" w:sz="4" w:space="0" w:color="17365D"/>
            </w:tcBorders>
            <w:shd w:val="clear" w:color="auto" w:fill="auto"/>
            <w:vAlign w:val="center"/>
            <w:hideMark/>
          </w:tcPr>
          <w:p w14:paraId="55EA8E20" w14:textId="60CC6DB7" w:rsidR="001D1A6D" w:rsidRPr="00A27896" w:rsidRDefault="001D1A6D" w:rsidP="001D1A6D">
            <w:pPr>
              <w:spacing w:after="0" w:line="240" w:lineRule="auto"/>
              <w:rPr>
                <w:rFonts w:eastAsia="Times New Roman" w:cs="Times New Roman"/>
                <w:color w:val="17365D"/>
                <w:sz w:val="18"/>
                <w:szCs w:val="18"/>
                <w:lang w:eastAsia="lv-LV"/>
              </w:rPr>
            </w:pPr>
            <w:r w:rsidRPr="00A27896">
              <w:rPr>
                <w:rFonts w:cs="Times New Roman"/>
                <w:color w:val="17365D"/>
                <w:sz w:val="18"/>
                <w:szCs w:val="18"/>
              </w:rPr>
              <w:t>Inventārs</w:t>
            </w:r>
          </w:p>
        </w:tc>
        <w:tc>
          <w:tcPr>
            <w:tcW w:w="1296" w:type="dxa"/>
            <w:tcBorders>
              <w:top w:val="single" w:sz="4" w:space="0" w:color="17365D"/>
              <w:bottom w:val="single" w:sz="4" w:space="0" w:color="17365D"/>
            </w:tcBorders>
            <w:shd w:val="clear" w:color="auto" w:fill="auto"/>
            <w:vAlign w:val="center"/>
            <w:hideMark/>
          </w:tcPr>
          <w:p w14:paraId="225B4EA6" w14:textId="79FDA5E3"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1 943 182</w:t>
            </w:r>
          </w:p>
        </w:tc>
        <w:tc>
          <w:tcPr>
            <w:tcW w:w="1340" w:type="dxa"/>
            <w:tcBorders>
              <w:top w:val="single" w:sz="4" w:space="0" w:color="17365D"/>
              <w:bottom w:val="single" w:sz="4" w:space="0" w:color="17365D"/>
            </w:tcBorders>
            <w:shd w:val="clear" w:color="auto" w:fill="auto"/>
            <w:vAlign w:val="center"/>
            <w:hideMark/>
          </w:tcPr>
          <w:p w14:paraId="23E4F4CC" w14:textId="1C882A56"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130 281</w:t>
            </w:r>
          </w:p>
        </w:tc>
        <w:tc>
          <w:tcPr>
            <w:tcW w:w="1036" w:type="dxa"/>
            <w:tcBorders>
              <w:top w:val="single" w:sz="4" w:space="0" w:color="17365D"/>
              <w:bottom w:val="single" w:sz="4" w:space="0" w:color="17365D"/>
            </w:tcBorders>
            <w:shd w:val="clear" w:color="auto" w:fill="auto"/>
            <w:vAlign w:val="center"/>
            <w:hideMark/>
          </w:tcPr>
          <w:p w14:paraId="218FFC52" w14:textId="0418B738"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600 642</w:t>
            </w:r>
          </w:p>
        </w:tc>
        <w:tc>
          <w:tcPr>
            <w:tcW w:w="1134" w:type="dxa"/>
            <w:tcBorders>
              <w:top w:val="single" w:sz="4" w:space="0" w:color="17365D"/>
              <w:bottom w:val="single" w:sz="4" w:space="0" w:color="17365D"/>
            </w:tcBorders>
            <w:shd w:val="clear" w:color="auto" w:fill="auto"/>
            <w:vAlign w:val="center"/>
            <w:hideMark/>
          </w:tcPr>
          <w:p w14:paraId="2BCF90D6" w14:textId="105E0F83"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557 118</w:t>
            </w:r>
          </w:p>
        </w:tc>
        <w:tc>
          <w:tcPr>
            <w:tcW w:w="1474" w:type="dxa"/>
            <w:tcBorders>
              <w:top w:val="single" w:sz="4" w:space="0" w:color="17365D"/>
              <w:bottom w:val="single" w:sz="4" w:space="0" w:color="17365D"/>
            </w:tcBorders>
            <w:shd w:val="clear" w:color="auto" w:fill="auto"/>
            <w:vAlign w:val="center"/>
            <w:hideMark/>
          </w:tcPr>
          <w:p w14:paraId="54F41A50" w14:textId="3D986E83" w:rsidR="001D1A6D" w:rsidRPr="00A27896" w:rsidRDefault="001D1A6D" w:rsidP="001D1A6D">
            <w:pPr>
              <w:spacing w:after="0" w:line="240" w:lineRule="auto"/>
              <w:jc w:val="right"/>
              <w:rPr>
                <w:rFonts w:cs="Times New Roman"/>
                <w:color w:val="17365D"/>
                <w:sz w:val="18"/>
                <w:szCs w:val="18"/>
              </w:rPr>
            </w:pPr>
            <w:r w:rsidRPr="00A27896">
              <w:rPr>
                <w:rFonts w:cs="Times New Roman"/>
                <w:color w:val="17365D"/>
                <w:sz w:val="18"/>
                <w:szCs w:val="18"/>
              </w:rPr>
              <w:t>586 088</w:t>
            </w:r>
          </w:p>
        </w:tc>
        <w:tc>
          <w:tcPr>
            <w:tcW w:w="1134" w:type="dxa"/>
            <w:tcBorders>
              <w:top w:val="single" w:sz="4" w:space="0" w:color="17365D"/>
              <w:bottom w:val="single" w:sz="4" w:space="0" w:color="17365D"/>
            </w:tcBorders>
            <w:shd w:val="clear" w:color="auto" w:fill="auto"/>
            <w:vAlign w:val="center"/>
            <w:hideMark/>
          </w:tcPr>
          <w:p w14:paraId="33A24E39" w14:textId="49A2F9ED" w:rsidR="001D1A6D" w:rsidRPr="00A27896" w:rsidRDefault="001D1A6D" w:rsidP="001D1A6D">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0C1009" w:rsidRPr="00A27896" w14:paraId="1E763144" w14:textId="77777777" w:rsidTr="00281697">
        <w:trPr>
          <w:trHeight w:val="60"/>
        </w:trPr>
        <w:tc>
          <w:tcPr>
            <w:tcW w:w="1942" w:type="dxa"/>
            <w:tcBorders>
              <w:top w:val="single" w:sz="4" w:space="0" w:color="17365D"/>
              <w:bottom w:val="nil"/>
            </w:tcBorders>
            <w:shd w:val="clear" w:color="000000" w:fill="B9CDE5"/>
            <w:vAlign w:val="center"/>
            <w:hideMark/>
          </w:tcPr>
          <w:p w14:paraId="3588C284" w14:textId="77777777" w:rsidR="006F7CBB" w:rsidRPr="00A27896" w:rsidRDefault="006F7CBB" w:rsidP="006F7CBB">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96" w:type="dxa"/>
            <w:tcBorders>
              <w:top w:val="single" w:sz="4" w:space="0" w:color="17365D"/>
              <w:bottom w:val="nil"/>
            </w:tcBorders>
            <w:shd w:val="clear" w:color="000000" w:fill="B9CDE5"/>
            <w:vAlign w:val="center"/>
            <w:hideMark/>
          </w:tcPr>
          <w:p w14:paraId="5A9B0889" w14:textId="77777777" w:rsidR="006F7CBB" w:rsidRPr="00A27896" w:rsidRDefault="006F7CBB" w:rsidP="006F7CBB">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340" w:type="dxa"/>
            <w:tcBorders>
              <w:top w:val="single" w:sz="4" w:space="0" w:color="17365D"/>
              <w:bottom w:val="nil"/>
            </w:tcBorders>
            <w:shd w:val="clear" w:color="000000" w:fill="B9CDE5"/>
            <w:noWrap/>
            <w:vAlign w:val="center"/>
            <w:hideMark/>
          </w:tcPr>
          <w:p w14:paraId="08A34DA9" w14:textId="77777777" w:rsidR="006F7CBB" w:rsidRPr="00A27896" w:rsidRDefault="006F7CBB" w:rsidP="006F7CBB">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036" w:type="dxa"/>
            <w:tcBorders>
              <w:top w:val="single" w:sz="4" w:space="0" w:color="17365D"/>
              <w:bottom w:val="nil"/>
            </w:tcBorders>
            <w:shd w:val="clear" w:color="000000" w:fill="B9CDE5"/>
            <w:noWrap/>
            <w:vAlign w:val="center"/>
            <w:hideMark/>
          </w:tcPr>
          <w:p w14:paraId="7BE6F05B" w14:textId="77777777" w:rsidR="006F7CBB" w:rsidRPr="00A27896" w:rsidRDefault="006F7CBB" w:rsidP="006F7CB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bottom w:val="nil"/>
            </w:tcBorders>
            <w:shd w:val="clear" w:color="000000" w:fill="B9CDE5"/>
            <w:noWrap/>
            <w:vAlign w:val="center"/>
            <w:hideMark/>
          </w:tcPr>
          <w:p w14:paraId="659FDA74" w14:textId="77777777" w:rsidR="006F7CBB" w:rsidRPr="00A27896" w:rsidRDefault="006F7CBB" w:rsidP="006F7CB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474" w:type="dxa"/>
            <w:tcBorders>
              <w:top w:val="single" w:sz="4" w:space="0" w:color="17365D"/>
              <w:bottom w:val="nil"/>
            </w:tcBorders>
            <w:shd w:val="clear" w:color="000000" w:fill="B9CDE5"/>
            <w:noWrap/>
            <w:vAlign w:val="center"/>
            <w:hideMark/>
          </w:tcPr>
          <w:p w14:paraId="408C76AC" w14:textId="77777777" w:rsidR="006F7CBB" w:rsidRPr="00A27896" w:rsidRDefault="006F7CBB" w:rsidP="006F7CB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bottom w:val="nil"/>
            </w:tcBorders>
            <w:shd w:val="clear" w:color="000000" w:fill="B9CDE5"/>
            <w:noWrap/>
            <w:vAlign w:val="center"/>
            <w:hideMark/>
          </w:tcPr>
          <w:p w14:paraId="67B178DA" w14:textId="77777777" w:rsidR="006F7CBB" w:rsidRPr="00A27896" w:rsidRDefault="006F7CBB" w:rsidP="006F7CB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3C4B0671" w14:textId="05032393" w:rsidR="00735C41" w:rsidRPr="00A27896" w:rsidRDefault="00735C41" w:rsidP="00572E7A">
      <w:pPr>
        <w:pStyle w:val="Heading4"/>
        <w:spacing w:line="240" w:lineRule="auto"/>
        <w:jc w:val="both"/>
        <w:rPr>
          <w:rFonts w:cs="Times New Roman"/>
        </w:rPr>
      </w:pPr>
      <w:r w:rsidRPr="00A27896">
        <w:rPr>
          <w:rFonts w:cs="Times New Roman"/>
        </w:rPr>
        <w:t xml:space="preserve">Piezīme Nr. V5. </w:t>
      </w:r>
      <w:r w:rsidR="005D56E1" w:rsidRPr="00A27896">
        <w:rPr>
          <w:rFonts w:cs="Times New Roman"/>
        </w:rPr>
        <w:t>Valsts ieņēmumu dienesta administrēto nodokļu, nodevu un citu tā administrēto uz valsts budžetu attiecināmu maksājumu rezultāts</w:t>
      </w:r>
    </w:p>
    <w:p w14:paraId="673F9353" w14:textId="65089D66" w:rsidR="008B1A32" w:rsidRPr="00A27896" w:rsidRDefault="008B1A32" w:rsidP="00572E7A">
      <w:pPr>
        <w:pStyle w:val="Pamatteksts"/>
        <w:ind w:firstLine="284"/>
        <w:rPr>
          <w:rFonts w:eastAsiaTheme="minorHAnsi"/>
          <w:color w:val="17365D"/>
          <w:lang w:eastAsia="en-US"/>
        </w:rPr>
      </w:pPr>
      <w:r w:rsidRPr="00A27896">
        <w:rPr>
          <w:rFonts w:eastAsiaTheme="minorHAnsi"/>
          <w:color w:val="17365D"/>
          <w:lang w:eastAsia="en-US"/>
        </w:rPr>
        <w:t xml:space="preserve">Pārskata gada beigās nodokļu prasību bruto summa ir </w:t>
      </w:r>
      <w:r w:rsidR="006931A9" w:rsidRPr="006931A9">
        <w:rPr>
          <w:rFonts w:eastAsia="Calibri"/>
          <w:noProof w:val="0"/>
          <w:color w:val="17365D"/>
          <w:szCs w:val="22"/>
          <w:lang w:eastAsia="en-US"/>
        </w:rPr>
        <w:t>2</w:t>
      </w:r>
      <w:r w:rsidR="006931A9">
        <w:rPr>
          <w:rFonts w:eastAsia="Calibri"/>
          <w:noProof w:val="0"/>
          <w:color w:val="17365D"/>
          <w:szCs w:val="22"/>
          <w:lang w:eastAsia="en-US"/>
        </w:rPr>
        <w:t> </w:t>
      </w:r>
      <w:r w:rsidR="006931A9" w:rsidRPr="006931A9">
        <w:rPr>
          <w:rFonts w:eastAsia="Calibri"/>
          <w:noProof w:val="0"/>
          <w:color w:val="17365D"/>
          <w:szCs w:val="22"/>
          <w:lang w:eastAsia="en-US"/>
        </w:rPr>
        <w:t>292</w:t>
      </w:r>
      <w:r w:rsidR="006931A9">
        <w:rPr>
          <w:rFonts w:eastAsia="Calibri"/>
          <w:noProof w:val="0"/>
          <w:color w:val="17365D"/>
          <w:szCs w:val="22"/>
          <w:lang w:eastAsia="en-US"/>
        </w:rPr>
        <w:t> </w:t>
      </w:r>
      <w:r w:rsidR="006931A9" w:rsidRPr="006931A9">
        <w:rPr>
          <w:rFonts w:eastAsia="Calibri"/>
          <w:noProof w:val="0"/>
          <w:color w:val="17365D"/>
          <w:szCs w:val="22"/>
          <w:lang w:eastAsia="en-US"/>
        </w:rPr>
        <w:t>455</w:t>
      </w:r>
      <w:r w:rsidR="006931A9">
        <w:rPr>
          <w:rFonts w:eastAsia="Calibri"/>
          <w:noProof w:val="0"/>
          <w:color w:val="17365D"/>
          <w:szCs w:val="22"/>
          <w:lang w:eastAsia="en-US"/>
        </w:rPr>
        <w:t> </w:t>
      </w:r>
      <w:r w:rsidR="006931A9" w:rsidRPr="006931A9">
        <w:rPr>
          <w:rFonts w:eastAsia="Calibri"/>
          <w:noProof w:val="0"/>
          <w:color w:val="17365D"/>
          <w:szCs w:val="22"/>
          <w:lang w:eastAsia="en-US"/>
        </w:rPr>
        <w:t xml:space="preserve">136 </w:t>
      </w:r>
      <w:r w:rsidRPr="00A27896">
        <w:rPr>
          <w:rFonts w:eastAsiaTheme="minorHAnsi"/>
          <w:i/>
          <w:color w:val="17365D"/>
          <w:lang w:eastAsia="en-US"/>
        </w:rPr>
        <w:t>euro</w:t>
      </w:r>
      <w:r w:rsidRPr="00A27896">
        <w:rPr>
          <w:rFonts w:eastAsiaTheme="minorHAnsi"/>
          <w:color w:val="17365D"/>
          <w:lang w:eastAsia="en-US"/>
        </w:rPr>
        <w:t xml:space="preserve">, bet nodokļu </w:t>
      </w:r>
      <w:r w:rsidR="0014394B" w:rsidRPr="00A27896">
        <w:rPr>
          <w:rFonts w:eastAsiaTheme="minorHAnsi"/>
          <w:color w:val="17365D"/>
          <w:lang w:eastAsia="en-US"/>
        </w:rPr>
        <w:t xml:space="preserve">saistību summa ir </w:t>
      </w:r>
      <w:r w:rsidR="006931A9" w:rsidRPr="006931A9">
        <w:rPr>
          <w:rFonts w:eastAsiaTheme="minorHAnsi"/>
          <w:color w:val="17365D"/>
          <w:lang w:eastAsia="en-US"/>
        </w:rPr>
        <w:t>1</w:t>
      </w:r>
      <w:r w:rsidR="006931A9">
        <w:rPr>
          <w:rFonts w:eastAsiaTheme="minorHAnsi"/>
          <w:color w:val="17365D"/>
          <w:lang w:eastAsia="en-US"/>
        </w:rPr>
        <w:t> </w:t>
      </w:r>
      <w:r w:rsidR="006931A9" w:rsidRPr="006931A9">
        <w:rPr>
          <w:rFonts w:eastAsiaTheme="minorHAnsi"/>
          <w:color w:val="17365D"/>
          <w:lang w:eastAsia="en-US"/>
        </w:rPr>
        <w:t>274</w:t>
      </w:r>
      <w:r w:rsidR="006931A9">
        <w:rPr>
          <w:rFonts w:eastAsiaTheme="minorHAnsi"/>
          <w:color w:val="17365D"/>
          <w:lang w:eastAsia="en-US"/>
        </w:rPr>
        <w:t> </w:t>
      </w:r>
      <w:r w:rsidR="006931A9" w:rsidRPr="006931A9">
        <w:rPr>
          <w:rFonts w:eastAsiaTheme="minorHAnsi"/>
          <w:color w:val="17365D"/>
          <w:lang w:eastAsia="en-US"/>
        </w:rPr>
        <w:t>577</w:t>
      </w:r>
      <w:r w:rsidR="006931A9">
        <w:rPr>
          <w:rFonts w:eastAsiaTheme="minorHAnsi"/>
          <w:color w:val="17365D"/>
          <w:lang w:eastAsia="en-US"/>
        </w:rPr>
        <w:t> </w:t>
      </w:r>
      <w:r w:rsidR="006931A9" w:rsidRPr="006931A9">
        <w:rPr>
          <w:rFonts w:eastAsiaTheme="minorHAnsi"/>
          <w:color w:val="17365D"/>
          <w:lang w:eastAsia="en-US"/>
        </w:rPr>
        <w:t xml:space="preserve">964 </w:t>
      </w:r>
      <w:r w:rsidRPr="00A27896">
        <w:rPr>
          <w:rFonts w:eastAsiaTheme="minorHAnsi"/>
          <w:i/>
          <w:color w:val="17365D"/>
          <w:lang w:eastAsia="en-US"/>
        </w:rPr>
        <w:t>euro</w:t>
      </w:r>
      <w:r w:rsidRPr="00A27896">
        <w:rPr>
          <w:rFonts w:eastAsiaTheme="minorHAnsi"/>
          <w:color w:val="17365D"/>
          <w:lang w:eastAsia="en-US"/>
        </w:rPr>
        <w:t>, kas veido lielāko daļu no valsts budžeta ieņēmumu prasībām un saistībām.</w:t>
      </w:r>
    </w:p>
    <w:p w14:paraId="496FFAC5" w14:textId="377359CE" w:rsidR="00FF42D5" w:rsidRPr="00A27896" w:rsidRDefault="008B1A32" w:rsidP="00572E7A">
      <w:pPr>
        <w:pStyle w:val="Pamatteksts"/>
        <w:ind w:firstLine="284"/>
        <w:rPr>
          <w:rFonts w:eastAsiaTheme="minorHAnsi"/>
          <w:color w:val="17365D"/>
          <w:lang w:eastAsia="en-US"/>
        </w:rPr>
      </w:pPr>
      <w:r w:rsidRPr="00A27896">
        <w:rPr>
          <w:rFonts w:eastAsiaTheme="minorHAnsi"/>
          <w:color w:val="17365D"/>
          <w:lang w:eastAsia="en-US"/>
        </w:rPr>
        <w:t>Nodokļu prasību kopsumma pret nodokļu maksātājiem,</w:t>
      </w:r>
      <w:r w:rsidR="00FF42D5" w:rsidRPr="00A27896">
        <w:rPr>
          <w:rFonts w:eastAsiaTheme="minorHAnsi"/>
          <w:color w:val="17365D"/>
          <w:lang w:eastAsia="en-US"/>
        </w:rPr>
        <w:t xml:space="preserve"> pret</w:t>
      </w:r>
      <w:r w:rsidRPr="00A27896">
        <w:rPr>
          <w:rFonts w:eastAsiaTheme="minorHAnsi"/>
          <w:color w:val="17365D"/>
          <w:lang w:eastAsia="en-US"/>
        </w:rPr>
        <w:t xml:space="preserve"> kur</w:t>
      </w:r>
      <w:r w:rsidR="00FF42D5" w:rsidRPr="00A27896">
        <w:rPr>
          <w:rFonts w:eastAsiaTheme="minorHAnsi"/>
          <w:color w:val="17365D"/>
          <w:lang w:eastAsia="en-US"/>
        </w:rPr>
        <w:t>iem</w:t>
      </w:r>
      <w:r w:rsidRPr="00A27896">
        <w:rPr>
          <w:rFonts w:eastAsiaTheme="minorHAnsi"/>
          <w:color w:val="17365D"/>
          <w:lang w:eastAsia="en-US"/>
        </w:rPr>
        <w:t xml:space="preserve"> prasības apjoms pārsniedz 1 mlj. </w:t>
      </w:r>
      <w:r w:rsidR="00FF42D5" w:rsidRPr="00A27896">
        <w:rPr>
          <w:rFonts w:eastAsiaTheme="minorHAnsi"/>
          <w:i/>
          <w:color w:val="17365D"/>
          <w:lang w:eastAsia="en-US"/>
        </w:rPr>
        <w:t>e</w:t>
      </w:r>
      <w:r w:rsidRPr="00A27896">
        <w:rPr>
          <w:rFonts w:eastAsiaTheme="minorHAnsi"/>
          <w:i/>
          <w:color w:val="17365D"/>
          <w:lang w:eastAsia="en-US"/>
        </w:rPr>
        <w:t>uro</w:t>
      </w:r>
      <w:r w:rsidRPr="00A27896">
        <w:rPr>
          <w:rFonts w:eastAsiaTheme="minorHAnsi"/>
          <w:color w:val="17365D"/>
          <w:lang w:eastAsia="en-US"/>
        </w:rPr>
        <w:t xml:space="preserve">, </w:t>
      </w:r>
      <w:r w:rsidR="00FF42D5" w:rsidRPr="00A27896">
        <w:rPr>
          <w:rFonts w:eastAsiaTheme="minorHAnsi"/>
          <w:color w:val="17365D"/>
          <w:lang w:eastAsia="en-US"/>
        </w:rPr>
        <w:t xml:space="preserve">ir </w:t>
      </w:r>
      <w:r w:rsidR="006931A9" w:rsidRPr="006931A9">
        <w:rPr>
          <w:rFonts w:eastAsia="Calibri"/>
          <w:noProof w:val="0"/>
          <w:color w:val="17365D"/>
          <w:szCs w:val="22"/>
          <w:lang w:eastAsia="en-US"/>
        </w:rPr>
        <w:t>299</w:t>
      </w:r>
      <w:r w:rsidR="00BF3AD6">
        <w:rPr>
          <w:rFonts w:eastAsia="Calibri"/>
          <w:noProof w:val="0"/>
          <w:color w:val="17365D"/>
          <w:szCs w:val="22"/>
          <w:lang w:eastAsia="en-US"/>
        </w:rPr>
        <w:t> </w:t>
      </w:r>
      <w:r w:rsidR="006931A9" w:rsidRPr="006931A9">
        <w:rPr>
          <w:rFonts w:eastAsia="Calibri"/>
          <w:noProof w:val="0"/>
          <w:color w:val="17365D"/>
          <w:szCs w:val="22"/>
          <w:lang w:eastAsia="en-US"/>
        </w:rPr>
        <w:t>807</w:t>
      </w:r>
      <w:r w:rsidR="00BF3AD6">
        <w:rPr>
          <w:lang w:eastAsia="en-US"/>
        </w:rPr>
        <w:t> </w:t>
      </w:r>
      <w:r w:rsidR="006931A9" w:rsidRPr="006931A9">
        <w:rPr>
          <w:rFonts w:eastAsia="Calibri"/>
          <w:noProof w:val="0"/>
          <w:color w:val="17365D"/>
          <w:szCs w:val="22"/>
          <w:lang w:eastAsia="en-US"/>
        </w:rPr>
        <w:t xml:space="preserve">159 </w:t>
      </w:r>
      <w:r w:rsidR="00FF42D5" w:rsidRPr="00A27896">
        <w:rPr>
          <w:rFonts w:eastAsiaTheme="minorHAnsi"/>
          <w:i/>
          <w:color w:val="17365D"/>
          <w:lang w:eastAsia="en-US"/>
        </w:rPr>
        <w:t>euro</w:t>
      </w:r>
      <w:r w:rsidR="00FF42D5" w:rsidRPr="00A27896">
        <w:rPr>
          <w:rFonts w:eastAsiaTheme="minorHAnsi"/>
          <w:color w:val="17365D"/>
          <w:lang w:eastAsia="en-US"/>
        </w:rPr>
        <w:t>.</w:t>
      </w:r>
      <w:r w:rsidRPr="00A27896">
        <w:rPr>
          <w:rFonts w:eastAsiaTheme="minorHAnsi"/>
          <w:color w:val="17365D"/>
          <w:lang w:eastAsia="en-US"/>
        </w:rPr>
        <w:t xml:space="preserve"> </w:t>
      </w:r>
      <w:r w:rsidR="00FF42D5" w:rsidRPr="00A27896">
        <w:rPr>
          <w:rFonts w:eastAsiaTheme="minorHAnsi"/>
          <w:color w:val="17365D"/>
          <w:lang w:eastAsia="en-US"/>
        </w:rPr>
        <w:t>Lielākā daļa nodokļu prasību apmaksas termiņš ir viena gada laikā pēc bilances datuma.</w:t>
      </w:r>
    </w:p>
    <w:p w14:paraId="2B038FCB" w14:textId="0A09075A" w:rsidR="00735C41" w:rsidRPr="00A27896" w:rsidRDefault="00FF42D5" w:rsidP="00572E7A">
      <w:pPr>
        <w:pStyle w:val="Pamatteksts"/>
        <w:ind w:firstLine="284"/>
        <w:rPr>
          <w:rFonts w:eastAsiaTheme="minorHAnsi"/>
          <w:color w:val="17365D"/>
          <w:lang w:eastAsia="en-US"/>
        </w:rPr>
      </w:pPr>
      <w:r w:rsidRPr="00A27896">
        <w:rPr>
          <w:rFonts w:eastAsiaTheme="minorHAnsi"/>
          <w:color w:val="17365D"/>
          <w:lang w:eastAsia="en-US"/>
        </w:rPr>
        <w:lastRenderedPageBreak/>
        <w:t>D</w:t>
      </w:r>
      <w:r w:rsidR="008B1A32" w:rsidRPr="00A27896">
        <w:rPr>
          <w:rFonts w:eastAsiaTheme="minorHAnsi"/>
          <w:color w:val="17365D"/>
          <w:lang w:eastAsia="en-US"/>
        </w:rPr>
        <w:t>etalizēta informācija par nodokļu prasību sadalījumu atbilstoši apmaksas termiņiem, nodokļu prasību struktūras izmaiņām un prasībām, kas pārsniedz 1 000 000 </w:t>
      </w:r>
      <w:r w:rsidR="008B1A32" w:rsidRPr="00A27896">
        <w:rPr>
          <w:rFonts w:eastAsiaTheme="minorHAnsi"/>
          <w:i/>
          <w:color w:val="17365D"/>
          <w:lang w:eastAsia="en-US"/>
        </w:rPr>
        <w:t>euro</w:t>
      </w:r>
      <w:r w:rsidR="008B1A32" w:rsidRPr="00A27896">
        <w:rPr>
          <w:rFonts w:eastAsiaTheme="minorHAnsi"/>
          <w:color w:val="17365D"/>
          <w:lang w:eastAsia="en-US"/>
        </w:rPr>
        <w:t xml:space="preserve">, </w:t>
      </w:r>
      <w:r w:rsidRPr="00A27896">
        <w:rPr>
          <w:rFonts w:eastAsiaTheme="minorHAnsi"/>
          <w:color w:val="17365D"/>
          <w:lang w:eastAsia="en-US"/>
        </w:rPr>
        <w:t xml:space="preserve">ir pieejama </w:t>
      </w:r>
      <w:r w:rsidR="00B814D6" w:rsidRPr="00A27896">
        <w:rPr>
          <w:rFonts w:eastAsiaTheme="minorHAnsi"/>
          <w:color w:val="17365D"/>
          <w:lang w:eastAsia="en-US"/>
        </w:rPr>
        <w:t>Valsts kases tīmekļvietnē sadaļā “Pārskati un tāmes</w:t>
      </w:r>
      <w:r w:rsidR="00B814D6" w:rsidRPr="00A27896">
        <w:rPr>
          <w:rFonts w:eastAsiaTheme="minorHAnsi"/>
          <w:noProof w:val="0"/>
          <w:color w:val="17365D"/>
          <w:lang w:eastAsia="en-US"/>
        </w:rPr>
        <w:t>”</w:t>
      </w:r>
      <w:r w:rsidR="0014394B" w:rsidRPr="00A27896">
        <w:rPr>
          <w:rFonts w:eastAsiaTheme="minorHAnsi"/>
          <w:noProof w:val="0"/>
          <w:color w:val="17365D"/>
          <w:lang w:eastAsia="en-US"/>
        </w:rPr>
        <w:t xml:space="preserve"> </w:t>
      </w:r>
      <w:r w:rsidR="00D9706D" w:rsidRPr="00A27896">
        <w:rPr>
          <w:rFonts w:eastAsiaTheme="minorHAnsi"/>
          <w:noProof w:val="0"/>
          <w:color w:val="17365D"/>
          <w:lang w:eastAsia="en-US"/>
        </w:rPr>
        <w:sym w:font="Wingdings" w:char="F0E0"/>
      </w:r>
      <w:r w:rsidR="0014394B" w:rsidRPr="00A27896">
        <w:rPr>
          <w:rFonts w:eastAsiaTheme="minorHAnsi"/>
          <w:noProof w:val="0"/>
          <w:color w:val="17365D"/>
          <w:lang w:eastAsia="en-US"/>
        </w:rPr>
        <w:t xml:space="preserve"> </w:t>
      </w:r>
      <w:r w:rsidR="00B814D6" w:rsidRPr="00A27896">
        <w:rPr>
          <w:rFonts w:eastAsiaTheme="minorHAnsi"/>
          <w:color w:val="17365D"/>
          <w:lang w:eastAsia="en-US"/>
        </w:rPr>
        <w:t>Latvijas Republikas gada pārskats</w:t>
      </w:r>
      <w:r w:rsidR="00D9706D" w:rsidRPr="00A27896">
        <w:rPr>
          <w:rFonts w:eastAsiaTheme="minorHAnsi"/>
          <w:noProof w:val="0"/>
          <w:color w:val="17365D"/>
          <w:lang w:eastAsia="en-US"/>
        </w:rPr>
        <w:sym w:font="Wingdings" w:char="F0E0"/>
      </w:r>
      <w:r w:rsidR="0014394B" w:rsidRPr="00A27896">
        <w:rPr>
          <w:rFonts w:eastAsiaTheme="minorHAnsi"/>
          <w:noProof w:val="0"/>
          <w:color w:val="17365D"/>
          <w:lang w:eastAsia="en-US"/>
        </w:rPr>
        <w:t xml:space="preserve"> </w:t>
      </w:r>
      <w:r w:rsidR="00F41931" w:rsidRPr="00A27896">
        <w:rPr>
          <w:rFonts w:eastAsiaTheme="minorHAnsi"/>
          <w:noProof w:val="0"/>
          <w:color w:val="17365D"/>
          <w:lang w:eastAsia="en-US"/>
        </w:rPr>
        <w:t>2022</w:t>
      </w:r>
      <w:r w:rsidR="000C1009" w:rsidRPr="00A27896">
        <w:rPr>
          <w:rFonts w:eastAsiaTheme="minorHAnsi"/>
          <w:noProof w:val="0"/>
          <w:color w:val="17365D"/>
          <w:lang w:eastAsia="en-US"/>
        </w:rPr>
        <w:t>. gad</w:t>
      </w:r>
      <w:r w:rsidR="0014394B" w:rsidRPr="00A27896">
        <w:rPr>
          <w:rFonts w:eastAsiaTheme="minorHAnsi"/>
          <w:noProof w:val="0"/>
          <w:color w:val="17365D"/>
          <w:lang w:eastAsia="en-US"/>
        </w:rPr>
        <w:t xml:space="preserve">a pārskats </w:t>
      </w:r>
      <w:r w:rsidR="0014394B" w:rsidRPr="00A27896">
        <w:rPr>
          <w:rFonts w:eastAsiaTheme="minorHAnsi"/>
          <w:noProof w:val="0"/>
          <w:color w:val="17365D"/>
          <w:lang w:eastAsia="en-US"/>
        </w:rPr>
        <w:sym w:font="Wingdings" w:char="F0E0"/>
      </w:r>
      <w:r w:rsidR="0014394B" w:rsidRPr="00A27896">
        <w:rPr>
          <w:rFonts w:eastAsiaTheme="minorHAnsi"/>
          <w:noProof w:val="0"/>
          <w:color w:val="17365D"/>
          <w:lang w:eastAsia="en-US"/>
        </w:rPr>
        <w:t xml:space="preserve"> </w:t>
      </w:r>
      <w:r w:rsidR="00B814D6" w:rsidRPr="00A27896">
        <w:rPr>
          <w:rFonts w:eastAsiaTheme="minorHAnsi"/>
          <w:color w:val="17365D"/>
          <w:lang w:eastAsia="en-US"/>
        </w:rPr>
        <w:t>ePārskatu informācija</w:t>
      </w:r>
      <w:r w:rsidR="0014394B" w:rsidRPr="00A27896">
        <w:rPr>
          <w:rFonts w:eastAsiaTheme="minorHAnsi"/>
          <w:color w:val="17365D"/>
          <w:lang w:eastAsia="en-US"/>
        </w:rPr>
        <w:t xml:space="preserve"> </w:t>
      </w:r>
      <w:r w:rsidR="00D9706D" w:rsidRPr="00A27896">
        <w:rPr>
          <w:rFonts w:eastAsiaTheme="minorHAnsi"/>
          <w:noProof w:val="0"/>
          <w:color w:val="17365D"/>
          <w:lang w:eastAsia="en-US"/>
        </w:rPr>
        <w:sym w:font="Wingdings" w:char="F0E0"/>
      </w:r>
      <w:r w:rsidR="0014394B" w:rsidRPr="00A27896">
        <w:rPr>
          <w:rFonts w:eastAsiaTheme="minorHAnsi"/>
          <w:noProof w:val="0"/>
          <w:color w:val="17365D"/>
          <w:lang w:eastAsia="en-US"/>
        </w:rPr>
        <w:t xml:space="preserve"> </w:t>
      </w:r>
      <w:r w:rsidR="00B814D6" w:rsidRPr="00A27896">
        <w:rPr>
          <w:rFonts w:eastAsiaTheme="minorHAnsi"/>
          <w:color w:val="17365D"/>
          <w:lang w:eastAsia="en-US"/>
        </w:rPr>
        <w:t>Finanšu pārskata posteņu skaidrojums</w:t>
      </w:r>
      <w:r w:rsidR="0014394B" w:rsidRPr="00A27896">
        <w:rPr>
          <w:rFonts w:eastAsiaTheme="minorHAnsi"/>
          <w:color w:val="17365D"/>
          <w:lang w:eastAsia="en-US"/>
        </w:rPr>
        <w:t xml:space="preserve"> </w:t>
      </w:r>
      <w:r w:rsidR="00D9706D" w:rsidRPr="00A27896">
        <w:rPr>
          <w:rFonts w:eastAsiaTheme="minorHAnsi"/>
          <w:noProof w:val="0"/>
          <w:color w:val="17365D"/>
          <w:lang w:eastAsia="en-US"/>
        </w:rPr>
        <w:sym w:font="Wingdings" w:char="F0E0"/>
      </w:r>
      <w:r w:rsidR="0014394B" w:rsidRPr="00A27896">
        <w:rPr>
          <w:rFonts w:eastAsiaTheme="minorHAnsi"/>
          <w:noProof w:val="0"/>
          <w:color w:val="17365D"/>
          <w:lang w:eastAsia="en-US"/>
        </w:rPr>
        <w:t xml:space="preserve"> </w:t>
      </w:r>
      <w:r w:rsidR="00B814D6" w:rsidRPr="00A27896">
        <w:rPr>
          <w:rFonts w:eastAsiaTheme="minorHAnsi"/>
          <w:color w:val="17365D"/>
          <w:lang w:eastAsia="en-US"/>
        </w:rPr>
        <w:t>V5.piezīme.</w:t>
      </w:r>
    </w:p>
    <w:p w14:paraId="2E119ADC" w14:textId="0AA30500" w:rsidR="007B7D77" w:rsidRPr="00A27896" w:rsidRDefault="007B7D77" w:rsidP="000229AE">
      <w:pPr>
        <w:pStyle w:val="Heading4"/>
        <w:rPr>
          <w:rFonts w:cs="Times New Roman"/>
        </w:rPr>
      </w:pPr>
      <w:r w:rsidRPr="00A27896">
        <w:rPr>
          <w:rFonts w:cs="Times New Roman"/>
        </w:rPr>
        <w:t xml:space="preserve">Piezīme </w:t>
      </w:r>
      <w:r w:rsidR="00AC754B" w:rsidRPr="00A27896">
        <w:rPr>
          <w:rFonts w:cs="Times New Roman"/>
        </w:rPr>
        <w:t xml:space="preserve">Nr. </w:t>
      </w:r>
      <w:r w:rsidRPr="00A27896">
        <w:rPr>
          <w:rFonts w:cs="Times New Roman"/>
        </w:rPr>
        <w:t>V6. Tiesvedības</w:t>
      </w:r>
    </w:p>
    <w:p w14:paraId="64C569AE" w14:textId="657C6D79" w:rsidR="00AC754B" w:rsidRPr="00A27896" w:rsidRDefault="00CF154C" w:rsidP="00BA279A">
      <w:pPr>
        <w:spacing w:after="120" w:line="240" w:lineRule="auto"/>
        <w:ind w:firstLine="284"/>
        <w:jc w:val="both"/>
        <w:rPr>
          <w:rFonts w:cs="Times New Roman"/>
          <w:color w:val="17365D"/>
          <w:szCs w:val="24"/>
        </w:rPr>
      </w:pPr>
      <w:r w:rsidRPr="00A27896">
        <w:rPr>
          <w:rFonts w:cs="Times New Roman"/>
          <w:color w:val="17365D"/>
          <w:szCs w:val="24"/>
        </w:rPr>
        <w:t>Saskaņā ar budžeta iestāžu novērtējumu un sniegto informāciju ā</w:t>
      </w:r>
      <w:r w:rsidR="00713D41" w:rsidRPr="00A27896">
        <w:rPr>
          <w:rFonts w:cs="Times New Roman"/>
          <w:color w:val="17365D"/>
          <w:szCs w:val="24"/>
        </w:rPr>
        <w:t>rvalstu un s</w:t>
      </w:r>
      <w:r w:rsidR="004A55BE" w:rsidRPr="00A27896">
        <w:rPr>
          <w:rFonts w:cs="Times New Roman"/>
          <w:color w:val="17365D"/>
          <w:szCs w:val="24"/>
        </w:rPr>
        <w:t>tarptautisk</w:t>
      </w:r>
      <w:r w:rsidR="00713D41" w:rsidRPr="00A27896">
        <w:rPr>
          <w:rFonts w:cs="Times New Roman"/>
          <w:color w:val="17365D"/>
          <w:szCs w:val="24"/>
        </w:rPr>
        <w:t>aj</w:t>
      </w:r>
      <w:r w:rsidR="004A55BE" w:rsidRPr="00A27896">
        <w:rPr>
          <w:rFonts w:cs="Times New Roman"/>
          <w:color w:val="17365D"/>
          <w:szCs w:val="24"/>
        </w:rPr>
        <w:t xml:space="preserve">ās </w:t>
      </w:r>
      <w:r w:rsidR="00713D41" w:rsidRPr="00A27896">
        <w:rPr>
          <w:rFonts w:cs="Times New Roman"/>
          <w:color w:val="17365D"/>
          <w:szCs w:val="24"/>
        </w:rPr>
        <w:t xml:space="preserve">tiesu institūcijās notiekošām tiesvedībām </w:t>
      </w:r>
      <w:r w:rsidR="004626BD" w:rsidRPr="00A27896">
        <w:rPr>
          <w:rFonts w:cs="Times New Roman"/>
          <w:color w:val="17365D"/>
          <w:szCs w:val="24"/>
        </w:rPr>
        <w:t xml:space="preserve">izveidoti uzkrājumi 4 717 065 </w:t>
      </w:r>
      <w:proofErr w:type="spellStart"/>
      <w:r w:rsidR="004626BD" w:rsidRPr="00A27896">
        <w:rPr>
          <w:rFonts w:cs="Times New Roman"/>
          <w:i/>
          <w:color w:val="17365D"/>
          <w:szCs w:val="24"/>
        </w:rPr>
        <w:t>euro</w:t>
      </w:r>
      <w:proofErr w:type="spellEnd"/>
      <w:r w:rsidR="004626BD" w:rsidRPr="00A27896">
        <w:rPr>
          <w:rFonts w:cs="Times New Roman"/>
          <w:color w:val="17365D"/>
          <w:szCs w:val="24"/>
        </w:rPr>
        <w:t xml:space="preserve"> vērtībā, lielākie uzkrājumi izveidoti Ogres novada pašvaldībai</w:t>
      </w:r>
      <w:r w:rsidR="00713D41" w:rsidRPr="00A27896">
        <w:rPr>
          <w:rFonts w:cs="Times New Roman"/>
          <w:color w:val="17365D"/>
          <w:szCs w:val="24"/>
        </w:rPr>
        <w:t xml:space="preserve">. Citām tiesvedībām </w:t>
      </w:r>
      <w:r w:rsidR="001F2268" w:rsidRPr="00A27896">
        <w:rPr>
          <w:rFonts w:cs="Times New Roman"/>
          <w:color w:val="17365D"/>
          <w:szCs w:val="24"/>
        </w:rPr>
        <w:t xml:space="preserve">lielākie </w:t>
      </w:r>
      <w:r w:rsidR="00713D41" w:rsidRPr="00A27896">
        <w:rPr>
          <w:rFonts w:cs="Times New Roman"/>
          <w:color w:val="17365D"/>
          <w:szCs w:val="24"/>
        </w:rPr>
        <w:t xml:space="preserve">uzkrājumi </w:t>
      </w:r>
      <w:r w:rsidR="001F2268" w:rsidRPr="00A27896">
        <w:rPr>
          <w:rFonts w:cs="Times New Roman"/>
          <w:color w:val="17365D"/>
          <w:szCs w:val="24"/>
        </w:rPr>
        <w:t xml:space="preserve">izveidoti </w:t>
      </w:r>
      <w:r w:rsidR="00713D41" w:rsidRPr="00A27896">
        <w:rPr>
          <w:rFonts w:cs="Times New Roman"/>
          <w:color w:val="17365D"/>
          <w:szCs w:val="24"/>
        </w:rPr>
        <w:t>Jūrmalas pilsē</w:t>
      </w:r>
      <w:r w:rsidR="00BE1DE8" w:rsidRPr="00A27896">
        <w:rPr>
          <w:rFonts w:cs="Times New Roman"/>
          <w:color w:val="17365D"/>
          <w:szCs w:val="24"/>
        </w:rPr>
        <w:t>tas pašvaldībai 4 </w:t>
      </w:r>
      <w:r w:rsidR="004626BD" w:rsidRPr="00A27896">
        <w:rPr>
          <w:rFonts w:cs="Times New Roman"/>
          <w:color w:val="17365D"/>
          <w:szCs w:val="24"/>
        </w:rPr>
        <w:t>236</w:t>
      </w:r>
      <w:r w:rsidR="008C33BC" w:rsidRPr="00A27896">
        <w:rPr>
          <w:rFonts w:cs="Times New Roman"/>
          <w:color w:val="17365D"/>
          <w:szCs w:val="24"/>
        </w:rPr>
        <w:t> </w:t>
      </w:r>
      <w:r w:rsidR="004626BD" w:rsidRPr="00A27896">
        <w:rPr>
          <w:rFonts w:cs="Times New Roman"/>
          <w:color w:val="17365D"/>
          <w:szCs w:val="24"/>
        </w:rPr>
        <w:t>837</w:t>
      </w:r>
      <w:r w:rsidR="008C33BC" w:rsidRPr="00A27896">
        <w:rPr>
          <w:rFonts w:cs="Times New Roman"/>
          <w:color w:val="17365D"/>
          <w:szCs w:val="24"/>
        </w:rPr>
        <w:t xml:space="preserve"> </w:t>
      </w:r>
      <w:proofErr w:type="spellStart"/>
      <w:r w:rsidR="00713D41" w:rsidRPr="00A27896">
        <w:rPr>
          <w:rFonts w:cs="Times New Roman"/>
          <w:i/>
          <w:color w:val="17365D"/>
          <w:szCs w:val="24"/>
        </w:rPr>
        <w:t>euro</w:t>
      </w:r>
      <w:proofErr w:type="spellEnd"/>
      <w:r w:rsidR="00713D41" w:rsidRPr="00A27896">
        <w:rPr>
          <w:rFonts w:cs="Times New Roman"/>
          <w:color w:val="17365D"/>
          <w:szCs w:val="24"/>
        </w:rPr>
        <w:t xml:space="preserve"> vērtībā. </w:t>
      </w:r>
      <w:r w:rsidR="004A55BE" w:rsidRPr="00A27896">
        <w:rPr>
          <w:rFonts w:cs="Times New Roman"/>
          <w:color w:val="17365D"/>
          <w:szCs w:val="24"/>
        </w:rPr>
        <w:t>Lielākās zembilances saistības par citām tiesvedībām uzskaitītas Rīgas</w:t>
      </w:r>
      <w:r w:rsidR="00BE1DE8" w:rsidRPr="00A27896">
        <w:rPr>
          <w:rFonts w:cs="Times New Roman"/>
          <w:color w:val="17365D"/>
          <w:szCs w:val="24"/>
        </w:rPr>
        <w:t xml:space="preserve"> pilsētas pašvaldībai </w:t>
      </w:r>
      <w:r w:rsidR="00316F3A" w:rsidRPr="00A27896">
        <w:rPr>
          <w:rFonts w:cs="Times New Roman"/>
          <w:color w:val="17365D"/>
          <w:szCs w:val="24"/>
        </w:rPr>
        <w:t>1</w:t>
      </w:r>
      <w:r w:rsidR="00BE1DE8" w:rsidRPr="00A27896">
        <w:rPr>
          <w:rFonts w:cs="Times New Roman"/>
          <w:color w:val="17365D"/>
          <w:szCs w:val="24"/>
        </w:rPr>
        <w:t> </w:t>
      </w:r>
      <w:r w:rsidR="00316F3A" w:rsidRPr="00A27896">
        <w:rPr>
          <w:rFonts w:cs="Times New Roman"/>
          <w:color w:val="17365D"/>
          <w:szCs w:val="24"/>
        </w:rPr>
        <w:t>159</w:t>
      </w:r>
      <w:r w:rsidR="00D22C74" w:rsidRPr="00A27896">
        <w:rPr>
          <w:rFonts w:cs="Times New Roman"/>
          <w:color w:val="17365D"/>
          <w:szCs w:val="24"/>
        </w:rPr>
        <w:t> </w:t>
      </w:r>
      <w:r w:rsidR="00316F3A" w:rsidRPr="00A27896">
        <w:rPr>
          <w:rFonts w:cs="Times New Roman"/>
          <w:color w:val="17365D"/>
          <w:szCs w:val="24"/>
        </w:rPr>
        <w:t>023</w:t>
      </w:r>
      <w:r w:rsidR="00D22C74" w:rsidRPr="00A27896">
        <w:rPr>
          <w:rFonts w:cs="Times New Roman"/>
          <w:color w:val="17365D"/>
          <w:szCs w:val="24"/>
        </w:rPr>
        <w:t> </w:t>
      </w:r>
      <w:proofErr w:type="spellStart"/>
      <w:r w:rsidR="004A55BE" w:rsidRPr="00A27896">
        <w:rPr>
          <w:rFonts w:cs="Times New Roman"/>
          <w:i/>
          <w:color w:val="17365D"/>
          <w:szCs w:val="24"/>
        </w:rPr>
        <w:t>euro</w:t>
      </w:r>
      <w:proofErr w:type="spellEnd"/>
      <w:r w:rsidR="004A55BE" w:rsidRPr="00A27896">
        <w:rPr>
          <w:rFonts w:cs="Times New Roman"/>
          <w:color w:val="17365D"/>
          <w:szCs w:val="24"/>
        </w:rPr>
        <w:t xml:space="preserve"> vērtībā, </w:t>
      </w:r>
      <w:r w:rsidR="00035DD5" w:rsidRPr="00A27896">
        <w:rPr>
          <w:rFonts w:cs="Times New Roman"/>
          <w:color w:val="17365D"/>
          <w:szCs w:val="24"/>
        </w:rPr>
        <w:t xml:space="preserve">Ekonomikas ministrijai </w:t>
      </w:r>
      <w:r w:rsidR="008C33BC" w:rsidRPr="00A27896">
        <w:rPr>
          <w:rFonts w:cs="Times New Roman"/>
          <w:color w:val="17365D"/>
          <w:szCs w:val="24"/>
        </w:rPr>
        <w:t>2</w:t>
      </w:r>
      <w:r w:rsidR="004626BD" w:rsidRPr="00A27896">
        <w:rPr>
          <w:rFonts w:cs="Times New Roman"/>
          <w:color w:val="17365D"/>
          <w:szCs w:val="24"/>
        </w:rPr>
        <w:t> 647 925</w:t>
      </w:r>
      <w:r w:rsidR="00035DD5" w:rsidRPr="00A27896">
        <w:rPr>
          <w:rFonts w:cs="Times New Roman"/>
          <w:color w:val="17365D"/>
          <w:szCs w:val="24"/>
        </w:rPr>
        <w:t> </w:t>
      </w:r>
      <w:proofErr w:type="spellStart"/>
      <w:r w:rsidR="00035DD5" w:rsidRPr="00A27896">
        <w:rPr>
          <w:rFonts w:cs="Times New Roman"/>
          <w:i/>
          <w:color w:val="17365D"/>
          <w:szCs w:val="24"/>
        </w:rPr>
        <w:t>euro</w:t>
      </w:r>
      <w:proofErr w:type="spellEnd"/>
      <w:r w:rsidR="00035DD5" w:rsidRPr="00A27896">
        <w:rPr>
          <w:rFonts w:cs="Times New Roman"/>
          <w:i/>
          <w:color w:val="17365D"/>
          <w:szCs w:val="24"/>
        </w:rPr>
        <w:t xml:space="preserve"> </w:t>
      </w:r>
      <w:r w:rsidR="00035DD5" w:rsidRPr="00A27896">
        <w:rPr>
          <w:rFonts w:cs="Times New Roman"/>
          <w:color w:val="17365D"/>
          <w:szCs w:val="24"/>
        </w:rPr>
        <w:t xml:space="preserve">un </w:t>
      </w:r>
      <w:r w:rsidR="004A55BE" w:rsidRPr="00A27896">
        <w:rPr>
          <w:rFonts w:cs="Times New Roman"/>
          <w:color w:val="17365D"/>
          <w:szCs w:val="24"/>
        </w:rPr>
        <w:t xml:space="preserve">Finanšu ministrijai </w:t>
      </w:r>
      <w:r w:rsidR="004626BD" w:rsidRPr="00A27896">
        <w:rPr>
          <w:rFonts w:cs="Times New Roman"/>
          <w:color w:val="17365D"/>
          <w:szCs w:val="24"/>
        </w:rPr>
        <w:t>4</w:t>
      </w:r>
      <w:r w:rsidR="008C33BC" w:rsidRPr="00A27896">
        <w:rPr>
          <w:rFonts w:cs="Times New Roman"/>
          <w:color w:val="17365D"/>
          <w:szCs w:val="24"/>
        </w:rPr>
        <w:t> </w:t>
      </w:r>
      <w:r w:rsidR="004626BD" w:rsidRPr="00A27896">
        <w:rPr>
          <w:rFonts w:cs="Times New Roman"/>
          <w:color w:val="17365D"/>
          <w:szCs w:val="24"/>
        </w:rPr>
        <w:t>059</w:t>
      </w:r>
      <w:r w:rsidR="008C33BC" w:rsidRPr="00A27896">
        <w:rPr>
          <w:rFonts w:cs="Times New Roman"/>
          <w:color w:val="17365D"/>
          <w:szCs w:val="24"/>
        </w:rPr>
        <w:t> </w:t>
      </w:r>
      <w:r w:rsidR="004626BD" w:rsidRPr="00A27896">
        <w:rPr>
          <w:rFonts w:cs="Times New Roman"/>
          <w:color w:val="17365D"/>
          <w:szCs w:val="24"/>
        </w:rPr>
        <w:t>094</w:t>
      </w:r>
      <w:r w:rsidR="008C33BC" w:rsidRPr="00A27896">
        <w:rPr>
          <w:rFonts w:cs="Times New Roman"/>
          <w:color w:val="17365D"/>
          <w:szCs w:val="24"/>
        </w:rPr>
        <w:t xml:space="preserve"> </w:t>
      </w:r>
      <w:proofErr w:type="spellStart"/>
      <w:r w:rsidR="004A55BE" w:rsidRPr="00A27896">
        <w:rPr>
          <w:rFonts w:cs="Times New Roman"/>
          <w:i/>
          <w:color w:val="17365D"/>
          <w:szCs w:val="24"/>
        </w:rPr>
        <w:t>euro</w:t>
      </w:r>
      <w:proofErr w:type="spellEnd"/>
      <w:r w:rsidR="004A55BE" w:rsidRPr="00A27896">
        <w:rPr>
          <w:rFonts w:cs="Times New Roman"/>
          <w:color w:val="17365D"/>
          <w:szCs w:val="24"/>
        </w:rPr>
        <w:t xml:space="preserve"> vērtībā.</w:t>
      </w:r>
    </w:p>
    <w:p w14:paraId="3A66C0FA" w14:textId="77777777" w:rsidR="0019458D" w:rsidRPr="00A27896" w:rsidRDefault="0019458D" w:rsidP="005A3758">
      <w:pPr>
        <w:pStyle w:val="Heading4"/>
        <w:rPr>
          <w:rFonts w:cs="Times New Roman"/>
        </w:rPr>
      </w:pPr>
      <w:r w:rsidRPr="00A27896">
        <w:rPr>
          <w:rFonts w:cs="Times New Roman"/>
        </w:rPr>
        <w:t>Piezīme Nr. V7. Informācija par publisko un privāto partnerību</w:t>
      </w:r>
    </w:p>
    <w:p w14:paraId="4FF002EC" w14:textId="337CDDB7" w:rsidR="000E0ECD" w:rsidRPr="00A27896" w:rsidRDefault="0094412C" w:rsidP="00514C3E">
      <w:pPr>
        <w:pStyle w:val="Heading5"/>
        <w:rPr>
          <w:rFonts w:cs="Times New Roman"/>
        </w:rPr>
      </w:pPr>
      <w:r w:rsidRPr="00A27896">
        <w:rPr>
          <w:rFonts w:cs="Times New Roman"/>
        </w:rPr>
        <w:t xml:space="preserve">Piezīme </w:t>
      </w:r>
      <w:r w:rsidR="00AC754B" w:rsidRPr="00A27896">
        <w:rPr>
          <w:rFonts w:cs="Times New Roman"/>
        </w:rPr>
        <w:t xml:space="preserve">Nr. </w:t>
      </w:r>
      <w:r w:rsidRPr="00A27896">
        <w:rPr>
          <w:rFonts w:cs="Times New Roman"/>
        </w:rPr>
        <w:t>V7. Informācija par partnerības līgumu</w:t>
      </w:r>
      <w:r w:rsidR="00186738" w:rsidRPr="00A27896">
        <w:rPr>
          <w:rFonts w:cs="Times New Roman"/>
        </w:rPr>
        <w:t xml:space="preserve"> </w:t>
      </w:r>
    </w:p>
    <w:p w14:paraId="71C7A39E" w14:textId="00719DD3" w:rsidR="00FB6674" w:rsidRPr="00A27896" w:rsidRDefault="00477828" w:rsidP="00FB6674">
      <w:pPr>
        <w:spacing w:after="120" w:line="240" w:lineRule="auto"/>
        <w:ind w:firstLine="284"/>
        <w:jc w:val="both"/>
        <w:rPr>
          <w:rFonts w:cs="Times New Roman"/>
          <w:color w:val="17365D"/>
          <w:szCs w:val="24"/>
        </w:rPr>
      </w:pPr>
      <w:r w:rsidRPr="00A27896">
        <w:rPr>
          <w:rFonts w:cs="Times New Roman"/>
          <w:color w:val="17365D"/>
          <w:szCs w:val="24"/>
        </w:rPr>
        <w:t>Publiskās un privātās partnerības līgumus par pirmsskola</w:t>
      </w:r>
      <w:r w:rsidR="000E0ECD" w:rsidRPr="00A27896">
        <w:rPr>
          <w:rFonts w:cs="Times New Roman"/>
          <w:color w:val="17365D"/>
          <w:szCs w:val="24"/>
        </w:rPr>
        <w:t>s izglītības iestāžu būvniecību</w:t>
      </w:r>
      <w:r w:rsidR="0020116D" w:rsidRPr="00A27896">
        <w:rPr>
          <w:rFonts w:cs="Times New Roman"/>
          <w:color w:val="17365D"/>
          <w:szCs w:val="24"/>
        </w:rPr>
        <w:t xml:space="preserve"> īstenojušas</w:t>
      </w:r>
      <w:r w:rsidRPr="00A27896">
        <w:rPr>
          <w:rFonts w:cs="Times New Roman"/>
          <w:color w:val="17365D"/>
          <w:szCs w:val="24"/>
        </w:rPr>
        <w:t xml:space="preserve"> Mārupes novada pašvald</w:t>
      </w:r>
      <w:r w:rsidR="0020116D" w:rsidRPr="00A27896">
        <w:rPr>
          <w:rFonts w:cs="Times New Roman"/>
          <w:color w:val="17365D"/>
          <w:szCs w:val="24"/>
        </w:rPr>
        <w:t xml:space="preserve">ība saskaņā ar </w:t>
      </w:r>
      <w:r w:rsidR="000E0ECD" w:rsidRPr="00A27896">
        <w:rPr>
          <w:rFonts w:cs="Times New Roman"/>
          <w:color w:val="17365D"/>
          <w:szCs w:val="24"/>
        </w:rPr>
        <w:t>līgumu</w:t>
      </w:r>
      <w:r w:rsidRPr="00A27896">
        <w:rPr>
          <w:rFonts w:cs="Times New Roman"/>
          <w:color w:val="17365D"/>
          <w:szCs w:val="24"/>
        </w:rPr>
        <w:t xml:space="preserve"> Nr.</w:t>
      </w:r>
      <w:r w:rsidR="00FB6674" w:rsidRPr="00A27896">
        <w:rPr>
          <w:rFonts w:cs="Times New Roman"/>
          <w:color w:val="17365D"/>
          <w:szCs w:val="24"/>
        </w:rPr>
        <w:t xml:space="preserve">5-25/134-2009, Ķekavas novada pašvaldība – līgums Nr.133/2009 un Tukuma novada pašvaldība – līgums Nr.391. </w:t>
      </w:r>
    </w:p>
    <w:p w14:paraId="09CB7EEB" w14:textId="79C60CC0" w:rsidR="002B6495" w:rsidRPr="00A27896" w:rsidRDefault="00477828" w:rsidP="00CF0F04">
      <w:pPr>
        <w:spacing w:after="120" w:line="240" w:lineRule="auto"/>
        <w:ind w:firstLine="284"/>
        <w:jc w:val="both"/>
        <w:rPr>
          <w:rFonts w:cs="Times New Roman"/>
          <w:color w:val="17365D"/>
        </w:rPr>
      </w:pPr>
      <w:r w:rsidRPr="00A27896">
        <w:rPr>
          <w:rFonts w:cs="Times New Roman"/>
          <w:color w:val="17365D"/>
          <w:szCs w:val="24"/>
        </w:rPr>
        <w:t xml:space="preserve">Publiskās un privātās partnerības līgumu </w:t>
      </w:r>
      <w:r w:rsidR="0033772A" w:rsidRPr="00A27896">
        <w:rPr>
          <w:rFonts w:cs="Times New Roman"/>
          <w:color w:val="17365D"/>
          <w:szCs w:val="24"/>
        </w:rPr>
        <w:t xml:space="preserve">par </w:t>
      </w:r>
      <w:r w:rsidR="00572E7A" w:rsidRPr="00A27896">
        <w:rPr>
          <w:rFonts w:cs="Times New Roman"/>
          <w:color w:val="17365D"/>
          <w:szCs w:val="24"/>
        </w:rPr>
        <w:t xml:space="preserve">autoceļa </w:t>
      </w:r>
      <w:r w:rsidR="0033772A" w:rsidRPr="00A27896">
        <w:rPr>
          <w:rFonts w:cs="Times New Roman"/>
          <w:color w:val="17365D"/>
          <w:szCs w:val="24"/>
        </w:rPr>
        <w:t>E67/A7 Rīga-Bauska-Lietuvas robeža posma (Ķekavas apvedceļa) projektēšanu, būvniecību un uzturēšanu</w:t>
      </w:r>
      <w:r w:rsidR="002B6495" w:rsidRPr="00A27896">
        <w:rPr>
          <w:rFonts w:cs="Times New Roman"/>
          <w:color w:val="17365D"/>
          <w:szCs w:val="24"/>
        </w:rPr>
        <w:t xml:space="preserve"> saskaņā ar līgumu Nr. SM2021/-26 </w:t>
      </w:r>
      <w:r w:rsidR="007F3D3D" w:rsidRPr="00A27896">
        <w:rPr>
          <w:rFonts w:cs="Times New Roman"/>
          <w:color w:val="17365D"/>
          <w:szCs w:val="24"/>
        </w:rPr>
        <w:t>noslēgusi</w:t>
      </w:r>
      <w:r w:rsidR="002B6495" w:rsidRPr="00A27896">
        <w:rPr>
          <w:rFonts w:cs="Times New Roman"/>
          <w:color w:val="17365D"/>
          <w:szCs w:val="24"/>
        </w:rPr>
        <w:t xml:space="preserve"> </w:t>
      </w:r>
      <w:r w:rsidR="002B6495" w:rsidRPr="00A27896">
        <w:rPr>
          <w:rFonts w:cs="Times New Roman"/>
          <w:color w:val="17365D"/>
        </w:rPr>
        <w:t>Satiksmes ministrija.</w:t>
      </w:r>
    </w:p>
    <w:p w14:paraId="62E9EABE" w14:textId="77777777" w:rsidR="005E3A38" w:rsidRPr="00A27896" w:rsidRDefault="003B6C8A" w:rsidP="00514C3E">
      <w:pPr>
        <w:pStyle w:val="Heading5"/>
        <w:rPr>
          <w:rFonts w:cs="Times New Roman"/>
        </w:rPr>
      </w:pPr>
      <w:r w:rsidRPr="00A27896">
        <w:rPr>
          <w:rFonts w:cs="Times New Roman"/>
        </w:rPr>
        <w:t>Piezīme Nr.</w:t>
      </w:r>
      <w:r w:rsidR="005A010F" w:rsidRPr="00A27896">
        <w:rPr>
          <w:rFonts w:cs="Times New Roman"/>
        </w:rPr>
        <w:t>V7.</w:t>
      </w:r>
      <w:r w:rsidR="000E0ECD" w:rsidRPr="00A27896">
        <w:rPr>
          <w:rFonts w:cs="Times New Roman"/>
        </w:rPr>
        <w:t xml:space="preserve"> </w:t>
      </w:r>
      <w:r w:rsidR="00DE4C7C" w:rsidRPr="00A27896">
        <w:rPr>
          <w:rFonts w:cs="Times New Roman"/>
        </w:rPr>
        <w:t>Informācija par pamatlīdzekļiem, kas analītiski nodalīti par partnerības aktīviem</w:t>
      </w:r>
      <w:r w:rsidR="005E3A38" w:rsidRPr="00A27896">
        <w:rPr>
          <w:rFonts w:cs="Times New Roman"/>
        </w:rPr>
        <w:t xml:space="preserve"> </w:t>
      </w:r>
    </w:p>
    <w:p w14:paraId="342AAD9C" w14:textId="3857A8C6" w:rsidR="005A010F" w:rsidRPr="00A27896" w:rsidRDefault="005E3A38" w:rsidP="00034664">
      <w:pPr>
        <w:spacing w:after="0" w:line="240" w:lineRule="auto"/>
        <w:ind w:firstLine="284"/>
        <w:jc w:val="both"/>
        <w:rPr>
          <w:rFonts w:cs="Times New Roman"/>
          <w:color w:val="17365D"/>
          <w:szCs w:val="24"/>
        </w:rPr>
      </w:pPr>
      <w:r w:rsidRPr="00A27896">
        <w:rPr>
          <w:rFonts w:cs="Times New Roman"/>
          <w:color w:val="17365D"/>
          <w:szCs w:val="24"/>
        </w:rPr>
        <w:t xml:space="preserve">Pārskata gadā </w:t>
      </w:r>
      <w:r w:rsidR="004E7DAA" w:rsidRPr="00A27896">
        <w:rPr>
          <w:rFonts w:cs="Times New Roman"/>
          <w:color w:val="17365D"/>
          <w:szCs w:val="24"/>
        </w:rPr>
        <w:t>atbilstoši noslēgtajam līgumam Satiksmes minis</w:t>
      </w:r>
      <w:r w:rsidR="000C1009" w:rsidRPr="00A27896">
        <w:rPr>
          <w:rFonts w:cs="Times New Roman"/>
          <w:color w:val="17365D"/>
          <w:szCs w:val="24"/>
        </w:rPr>
        <w:t>t</w:t>
      </w:r>
      <w:r w:rsidR="004E7DAA" w:rsidRPr="00A27896">
        <w:rPr>
          <w:rFonts w:cs="Times New Roman"/>
          <w:color w:val="17365D"/>
          <w:szCs w:val="24"/>
        </w:rPr>
        <w:t xml:space="preserve">rijas </w:t>
      </w:r>
      <w:r w:rsidR="00F75CE1" w:rsidRPr="00A27896">
        <w:rPr>
          <w:rFonts w:cs="Times New Roman"/>
          <w:color w:val="17365D"/>
          <w:szCs w:val="24"/>
        </w:rPr>
        <w:t xml:space="preserve">un pašvaldību </w:t>
      </w:r>
      <w:r w:rsidR="004E7DAA" w:rsidRPr="00A27896">
        <w:rPr>
          <w:rFonts w:cs="Times New Roman"/>
          <w:color w:val="17365D"/>
          <w:szCs w:val="24"/>
        </w:rPr>
        <w:t xml:space="preserve">uzskaitē </w:t>
      </w:r>
      <w:r w:rsidRPr="00A27896">
        <w:rPr>
          <w:rFonts w:cs="Times New Roman"/>
          <w:color w:val="17365D"/>
          <w:szCs w:val="24"/>
        </w:rPr>
        <w:t>analītiski nodalīt</w:t>
      </w:r>
      <w:r w:rsidR="00F75CE1" w:rsidRPr="00A27896">
        <w:rPr>
          <w:rFonts w:cs="Times New Roman"/>
          <w:color w:val="17365D"/>
          <w:szCs w:val="24"/>
        </w:rPr>
        <w:t>i</w:t>
      </w:r>
      <w:r w:rsidRPr="00A27896">
        <w:rPr>
          <w:rFonts w:cs="Times New Roman"/>
          <w:color w:val="17365D"/>
          <w:szCs w:val="24"/>
        </w:rPr>
        <w:t xml:space="preserve"> partnerības akt</w:t>
      </w:r>
      <w:r w:rsidR="001F557E" w:rsidRPr="00A27896">
        <w:rPr>
          <w:rFonts w:cs="Times New Roman"/>
          <w:color w:val="17365D"/>
          <w:szCs w:val="24"/>
        </w:rPr>
        <w:t>īv</w:t>
      </w:r>
      <w:r w:rsidR="00F75CE1" w:rsidRPr="00A27896">
        <w:rPr>
          <w:rFonts w:cs="Times New Roman"/>
          <w:color w:val="17365D"/>
          <w:szCs w:val="24"/>
        </w:rPr>
        <w:t>i un</w:t>
      </w:r>
      <w:r w:rsidR="004E7DAA" w:rsidRPr="00A27896">
        <w:rPr>
          <w:rFonts w:cs="Times New Roman"/>
          <w:color w:val="17365D"/>
          <w:szCs w:val="24"/>
        </w:rPr>
        <w:t xml:space="preserve"> nepabeigtā būvniecība</w:t>
      </w:r>
      <w:r w:rsidR="00034664" w:rsidRPr="00A27896">
        <w:rPr>
          <w:rFonts w:cs="Times New Roman"/>
          <w:color w:val="17365D"/>
          <w:szCs w:val="24"/>
        </w:rPr>
        <w:t>, par ko sniegta informā</w:t>
      </w:r>
      <w:r w:rsidR="009169B4" w:rsidRPr="00A27896">
        <w:rPr>
          <w:rFonts w:cs="Times New Roman"/>
          <w:color w:val="17365D"/>
          <w:szCs w:val="24"/>
        </w:rPr>
        <w:t>c</w:t>
      </w:r>
      <w:r w:rsidR="00034664" w:rsidRPr="00A27896">
        <w:rPr>
          <w:rFonts w:cs="Times New Roman"/>
          <w:color w:val="17365D"/>
          <w:szCs w:val="24"/>
        </w:rPr>
        <w:t xml:space="preserve">ija </w:t>
      </w:r>
      <w:r w:rsidR="000229AE" w:rsidRPr="00A27896">
        <w:rPr>
          <w:rFonts w:cs="Times New Roman"/>
          <w:color w:val="17365D"/>
          <w:szCs w:val="24"/>
        </w:rPr>
        <w:t>29</w:t>
      </w:r>
      <w:r w:rsidR="00034664" w:rsidRPr="00A27896">
        <w:rPr>
          <w:rFonts w:cs="Times New Roman"/>
          <w:color w:val="17365D"/>
          <w:szCs w:val="24"/>
        </w:rPr>
        <w:t>.tabulā</w:t>
      </w:r>
      <w:r w:rsidR="001F557E" w:rsidRPr="00A27896">
        <w:rPr>
          <w:rFonts w:cs="Times New Roman"/>
          <w:color w:val="17365D"/>
          <w:szCs w:val="24"/>
        </w:rPr>
        <w:t>.</w:t>
      </w:r>
    </w:p>
    <w:p w14:paraId="1261AC8A" w14:textId="77777777" w:rsidR="00792FC6" w:rsidRPr="00A27896" w:rsidRDefault="00792FC6" w:rsidP="003877C0">
      <w:pPr>
        <w:pStyle w:val="Tabulasnosaukums1"/>
        <w:spacing w:before="0" w:line="240" w:lineRule="auto"/>
        <w:rPr>
          <w:rFonts w:cs="Times New Roman"/>
          <w:i/>
          <w:color w:val="17365D"/>
          <w:szCs w:val="22"/>
        </w:rPr>
      </w:pPr>
    </w:p>
    <w:p w14:paraId="2CCBEC4E" w14:textId="52D43F64" w:rsidR="003877C0" w:rsidRPr="00A27896" w:rsidRDefault="000229AE" w:rsidP="003877C0">
      <w:pPr>
        <w:pStyle w:val="Tabulasnosaukums1"/>
        <w:spacing w:before="0" w:line="240" w:lineRule="auto"/>
        <w:rPr>
          <w:rFonts w:cs="Times New Roman"/>
          <w:i/>
          <w:color w:val="17365D"/>
          <w:szCs w:val="22"/>
        </w:rPr>
      </w:pPr>
      <w:r w:rsidRPr="00A27896">
        <w:rPr>
          <w:rFonts w:cs="Times New Roman"/>
          <w:i/>
          <w:color w:val="17365D"/>
          <w:szCs w:val="22"/>
        </w:rPr>
        <w:t>29</w:t>
      </w:r>
      <w:r w:rsidR="005E3A38" w:rsidRPr="00A27896">
        <w:rPr>
          <w:rFonts w:cs="Times New Roman"/>
          <w:i/>
          <w:color w:val="17365D"/>
          <w:szCs w:val="22"/>
        </w:rPr>
        <w:t>. tabula</w:t>
      </w:r>
      <w:r w:rsidR="003877C0" w:rsidRPr="00A27896">
        <w:rPr>
          <w:rFonts w:cs="Times New Roman"/>
          <w:i/>
          <w:color w:val="17365D"/>
          <w:szCs w:val="22"/>
        </w:rPr>
        <w:t>.</w:t>
      </w:r>
      <w:r w:rsidR="005E3A38" w:rsidRPr="00A27896">
        <w:rPr>
          <w:rFonts w:cs="Times New Roman"/>
          <w:i/>
          <w:color w:val="17365D"/>
          <w:szCs w:val="22"/>
        </w:rPr>
        <w:t xml:space="preserve"> Informācija par </w:t>
      </w:r>
      <w:r w:rsidR="00DE4C7C" w:rsidRPr="00A27896">
        <w:rPr>
          <w:rFonts w:cs="Times New Roman"/>
          <w:i/>
          <w:color w:val="17365D"/>
          <w:szCs w:val="22"/>
        </w:rPr>
        <w:t xml:space="preserve">pamatlīdzekļiem, </w:t>
      </w:r>
    </w:p>
    <w:p w14:paraId="5178C18D" w14:textId="73E82B24" w:rsidR="005E3A38" w:rsidRPr="00A27896" w:rsidRDefault="00DE4C7C" w:rsidP="003877C0">
      <w:pPr>
        <w:pStyle w:val="Tabulasnosaukums1"/>
        <w:spacing w:before="0" w:line="240" w:lineRule="auto"/>
        <w:rPr>
          <w:rFonts w:cs="Times New Roman"/>
          <w:i/>
          <w:color w:val="17365D"/>
          <w:szCs w:val="22"/>
        </w:rPr>
      </w:pPr>
      <w:r w:rsidRPr="00A27896">
        <w:rPr>
          <w:rFonts w:cs="Times New Roman"/>
          <w:i/>
          <w:color w:val="17365D"/>
          <w:szCs w:val="22"/>
        </w:rPr>
        <w:t>kas analītiski nodalīti par partnerības aktīviem</w:t>
      </w:r>
      <w:r w:rsidR="005E3A38" w:rsidRPr="00A27896">
        <w:rPr>
          <w:rFonts w:cs="Times New Roman"/>
          <w:i/>
          <w:color w:val="17365D"/>
          <w:szCs w:val="22"/>
        </w:rPr>
        <w:t xml:space="preserve"> (</w:t>
      </w:r>
      <w:proofErr w:type="spellStart"/>
      <w:r w:rsidR="005E3A38" w:rsidRPr="00A27896">
        <w:rPr>
          <w:rFonts w:cs="Times New Roman"/>
          <w:i/>
          <w:color w:val="17365D"/>
          <w:szCs w:val="22"/>
        </w:rPr>
        <w:t>euro</w:t>
      </w:r>
      <w:proofErr w:type="spellEnd"/>
      <w:r w:rsidR="005E3A38" w:rsidRPr="00A27896">
        <w:rPr>
          <w:rFonts w:cs="Times New Roman"/>
          <w:i/>
          <w:color w:val="17365D"/>
          <w:szCs w:val="22"/>
        </w:rPr>
        <w:t>)</w:t>
      </w:r>
    </w:p>
    <w:tbl>
      <w:tblPr>
        <w:tblW w:w="9498" w:type="dxa"/>
        <w:tblInd w:w="-5"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2093"/>
        <w:gridCol w:w="1280"/>
        <w:gridCol w:w="1150"/>
        <w:gridCol w:w="1342"/>
        <w:gridCol w:w="1166"/>
        <w:gridCol w:w="1150"/>
        <w:gridCol w:w="1317"/>
      </w:tblGrid>
      <w:tr w:rsidR="000C1009" w:rsidRPr="00A27896" w14:paraId="44BDBF0C" w14:textId="77777777" w:rsidTr="00F75CE1">
        <w:trPr>
          <w:trHeight w:val="300"/>
        </w:trPr>
        <w:tc>
          <w:tcPr>
            <w:tcW w:w="2093" w:type="dxa"/>
            <w:vMerge w:val="restart"/>
            <w:tcBorders>
              <w:top w:val="nil"/>
            </w:tcBorders>
            <w:shd w:val="clear" w:color="auto" w:fill="B8CCE4" w:themeFill="accent1" w:themeFillTint="66"/>
            <w:vAlign w:val="center"/>
            <w:hideMark/>
          </w:tcPr>
          <w:p w14:paraId="4FBC26D7"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Konta nosaukums</w:t>
            </w:r>
          </w:p>
        </w:tc>
        <w:tc>
          <w:tcPr>
            <w:tcW w:w="3772" w:type="dxa"/>
            <w:gridSpan w:val="3"/>
            <w:tcBorders>
              <w:top w:val="nil"/>
            </w:tcBorders>
            <w:shd w:val="clear" w:color="auto" w:fill="B8CCE4" w:themeFill="accent1" w:themeFillTint="66"/>
            <w:vAlign w:val="center"/>
            <w:hideMark/>
          </w:tcPr>
          <w:p w14:paraId="002AEB7D"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periodā</w:t>
            </w:r>
          </w:p>
        </w:tc>
        <w:tc>
          <w:tcPr>
            <w:tcW w:w="3633" w:type="dxa"/>
            <w:gridSpan w:val="3"/>
            <w:tcBorders>
              <w:top w:val="nil"/>
            </w:tcBorders>
            <w:shd w:val="clear" w:color="auto" w:fill="B8CCE4" w:themeFill="accent1" w:themeFillTint="66"/>
            <w:vAlign w:val="center"/>
            <w:hideMark/>
          </w:tcPr>
          <w:p w14:paraId="0998C4AC"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Iepriekšējā pārskata periodā</w:t>
            </w:r>
          </w:p>
        </w:tc>
      </w:tr>
      <w:tr w:rsidR="000C1009" w:rsidRPr="00A27896" w14:paraId="0F97599B" w14:textId="77777777" w:rsidTr="00F75CE1">
        <w:trPr>
          <w:trHeight w:val="792"/>
        </w:trPr>
        <w:tc>
          <w:tcPr>
            <w:tcW w:w="2093" w:type="dxa"/>
            <w:vMerge/>
            <w:tcBorders>
              <w:bottom w:val="single" w:sz="4" w:space="0" w:color="17365D"/>
            </w:tcBorders>
            <w:shd w:val="clear" w:color="auto" w:fill="B8CCE4" w:themeFill="accent1" w:themeFillTint="66"/>
            <w:vAlign w:val="center"/>
            <w:hideMark/>
          </w:tcPr>
          <w:p w14:paraId="3E56F8EE"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p>
        </w:tc>
        <w:tc>
          <w:tcPr>
            <w:tcW w:w="1280" w:type="dxa"/>
            <w:tcBorders>
              <w:bottom w:val="single" w:sz="4" w:space="0" w:color="17365D"/>
            </w:tcBorders>
            <w:shd w:val="clear" w:color="auto" w:fill="B8CCE4" w:themeFill="accent1" w:themeFillTint="66"/>
            <w:vAlign w:val="center"/>
            <w:hideMark/>
          </w:tcPr>
          <w:p w14:paraId="29989B41"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sākotnējā vērtība (+)</w:t>
            </w:r>
          </w:p>
        </w:tc>
        <w:tc>
          <w:tcPr>
            <w:tcW w:w="1150" w:type="dxa"/>
            <w:tcBorders>
              <w:bottom w:val="single" w:sz="4" w:space="0" w:color="17365D"/>
            </w:tcBorders>
            <w:shd w:val="clear" w:color="auto" w:fill="B8CCE4" w:themeFill="accent1" w:themeFillTint="66"/>
            <w:vAlign w:val="center"/>
            <w:hideMark/>
          </w:tcPr>
          <w:p w14:paraId="5E88C974"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nolietojums (-)</w:t>
            </w:r>
          </w:p>
        </w:tc>
        <w:tc>
          <w:tcPr>
            <w:tcW w:w="1342" w:type="dxa"/>
            <w:tcBorders>
              <w:bottom w:val="single" w:sz="4" w:space="0" w:color="17365D"/>
            </w:tcBorders>
            <w:shd w:val="clear" w:color="auto" w:fill="B8CCE4" w:themeFill="accent1" w:themeFillTint="66"/>
            <w:vAlign w:val="center"/>
            <w:hideMark/>
          </w:tcPr>
          <w:p w14:paraId="40A553DD"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vērtības samazinājums (+,-)</w:t>
            </w:r>
          </w:p>
        </w:tc>
        <w:tc>
          <w:tcPr>
            <w:tcW w:w="1166" w:type="dxa"/>
            <w:tcBorders>
              <w:bottom w:val="single" w:sz="4" w:space="0" w:color="17365D"/>
            </w:tcBorders>
            <w:shd w:val="clear" w:color="auto" w:fill="B8CCE4" w:themeFill="accent1" w:themeFillTint="66"/>
            <w:vAlign w:val="center"/>
            <w:hideMark/>
          </w:tcPr>
          <w:p w14:paraId="218F0E44"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sākotnējā vērtība (+)</w:t>
            </w:r>
          </w:p>
        </w:tc>
        <w:tc>
          <w:tcPr>
            <w:tcW w:w="1150" w:type="dxa"/>
            <w:tcBorders>
              <w:bottom w:val="single" w:sz="4" w:space="0" w:color="17365D"/>
            </w:tcBorders>
            <w:shd w:val="clear" w:color="auto" w:fill="B8CCE4" w:themeFill="accent1" w:themeFillTint="66"/>
            <w:vAlign w:val="center"/>
            <w:hideMark/>
          </w:tcPr>
          <w:p w14:paraId="08231D66"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nolietojums (-)</w:t>
            </w:r>
          </w:p>
        </w:tc>
        <w:tc>
          <w:tcPr>
            <w:tcW w:w="1317" w:type="dxa"/>
            <w:tcBorders>
              <w:bottom w:val="single" w:sz="4" w:space="0" w:color="17365D"/>
            </w:tcBorders>
            <w:shd w:val="clear" w:color="auto" w:fill="B8CCE4" w:themeFill="accent1" w:themeFillTint="66"/>
            <w:vAlign w:val="center"/>
            <w:hideMark/>
          </w:tcPr>
          <w:p w14:paraId="462B8B99"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vērtības samazinājums (+,-)</w:t>
            </w:r>
          </w:p>
        </w:tc>
      </w:tr>
      <w:tr w:rsidR="00A27896" w:rsidRPr="00A27896" w14:paraId="2897CE60" w14:textId="77777777" w:rsidTr="00603FE0">
        <w:trPr>
          <w:trHeight w:val="288"/>
        </w:trPr>
        <w:tc>
          <w:tcPr>
            <w:tcW w:w="2093" w:type="dxa"/>
            <w:tcBorders>
              <w:top w:val="single" w:sz="4" w:space="0" w:color="17365D"/>
              <w:bottom w:val="single" w:sz="4" w:space="0" w:color="17365D"/>
            </w:tcBorders>
            <w:shd w:val="clear" w:color="auto" w:fill="auto"/>
            <w:vAlign w:val="center"/>
            <w:hideMark/>
          </w:tcPr>
          <w:p w14:paraId="3C554DCD" w14:textId="697634B9"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280" w:type="dxa"/>
            <w:tcBorders>
              <w:top w:val="single" w:sz="4" w:space="0" w:color="17365D"/>
              <w:bottom w:val="single" w:sz="4" w:space="0" w:color="17365D"/>
            </w:tcBorders>
            <w:shd w:val="clear" w:color="auto" w:fill="auto"/>
            <w:vAlign w:val="center"/>
            <w:hideMark/>
          </w:tcPr>
          <w:p w14:paraId="2F9677AF" w14:textId="58FE0DCC"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150" w:type="dxa"/>
            <w:tcBorders>
              <w:top w:val="single" w:sz="4" w:space="0" w:color="17365D"/>
              <w:bottom w:val="single" w:sz="4" w:space="0" w:color="17365D"/>
            </w:tcBorders>
            <w:shd w:val="clear" w:color="auto" w:fill="auto"/>
            <w:vAlign w:val="center"/>
            <w:hideMark/>
          </w:tcPr>
          <w:p w14:paraId="3A7A2F9E" w14:textId="4FA45C1A"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342" w:type="dxa"/>
            <w:tcBorders>
              <w:top w:val="single" w:sz="4" w:space="0" w:color="17365D"/>
              <w:bottom w:val="single" w:sz="4" w:space="0" w:color="17365D"/>
            </w:tcBorders>
            <w:shd w:val="clear" w:color="auto" w:fill="auto"/>
            <w:vAlign w:val="center"/>
            <w:hideMark/>
          </w:tcPr>
          <w:p w14:paraId="7C819F54" w14:textId="4D242DAE"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166" w:type="dxa"/>
            <w:tcBorders>
              <w:top w:val="single" w:sz="4" w:space="0" w:color="17365D"/>
              <w:bottom w:val="single" w:sz="4" w:space="0" w:color="17365D"/>
            </w:tcBorders>
            <w:shd w:val="clear" w:color="auto" w:fill="auto"/>
            <w:vAlign w:val="center"/>
            <w:hideMark/>
          </w:tcPr>
          <w:p w14:paraId="13CA5F0A" w14:textId="1F820E67"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150" w:type="dxa"/>
            <w:tcBorders>
              <w:top w:val="single" w:sz="4" w:space="0" w:color="17365D"/>
              <w:bottom w:val="single" w:sz="4" w:space="0" w:color="17365D"/>
            </w:tcBorders>
            <w:shd w:val="clear" w:color="auto" w:fill="auto"/>
            <w:vAlign w:val="center"/>
            <w:hideMark/>
          </w:tcPr>
          <w:p w14:paraId="55ACD07B" w14:textId="40C0D8B0"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317" w:type="dxa"/>
            <w:tcBorders>
              <w:top w:val="single" w:sz="4" w:space="0" w:color="17365D"/>
              <w:bottom w:val="single" w:sz="4" w:space="0" w:color="17365D"/>
            </w:tcBorders>
            <w:shd w:val="clear" w:color="auto" w:fill="auto"/>
            <w:vAlign w:val="center"/>
            <w:hideMark/>
          </w:tcPr>
          <w:p w14:paraId="61C6F452" w14:textId="716DBD38"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A27896" w:rsidRPr="00A27896" w14:paraId="7FDD42AF" w14:textId="77777777" w:rsidTr="00603FE0">
        <w:trPr>
          <w:trHeight w:val="300"/>
        </w:trPr>
        <w:tc>
          <w:tcPr>
            <w:tcW w:w="2093" w:type="dxa"/>
            <w:tcBorders>
              <w:top w:val="single" w:sz="4" w:space="0" w:color="17365D"/>
              <w:bottom w:val="single" w:sz="4" w:space="0" w:color="17365D"/>
            </w:tcBorders>
            <w:shd w:val="clear" w:color="auto" w:fill="auto"/>
            <w:vAlign w:val="center"/>
            <w:hideMark/>
          </w:tcPr>
          <w:p w14:paraId="62D4F185" w14:textId="77777777" w:rsidR="00F75CE1" w:rsidRPr="00A27896" w:rsidRDefault="00F75CE1" w:rsidP="00F75CE1">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Pamatlīdzekļi</w:t>
            </w:r>
          </w:p>
        </w:tc>
        <w:tc>
          <w:tcPr>
            <w:tcW w:w="1280" w:type="dxa"/>
            <w:tcBorders>
              <w:top w:val="single" w:sz="4" w:space="0" w:color="17365D"/>
              <w:bottom w:val="single" w:sz="4" w:space="0" w:color="17365D"/>
            </w:tcBorders>
            <w:shd w:val="clear" w:color="auto" w:fill="auto"/>
            <w:vAlign w:val="center"/>
            <w:hideMark/>
          </w:tcPr>
          <w:p w14:paraId="1E426172" w14:textId="7EA96929" w:rsidR="00F75CE1" w:rsidRPr="00A27896" w:rsidRDefault="00F75CE1" w:rsidP="00F75CE1">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25 273 603</w:t>
            </w:r>
          </w:p>
        </w:tc>
        <w:tc>
          <w:tcPr>
            <w:tcW w:w="1150" w:type="dxa"/>
            <w:tcBorders>
              <w:top w:val="single" w:sz="4" w:space="0" w:color="17365D"/>
              <w:bottom w:val="single" w:sz="4" w:space="0" w:color="17365D"/>
            </w:tcBorders>
            <w:shd w:val="clear" w:color="auto" w:fill="auto"/>
            <w:vAlign w:val="center"/>
            <w:hideMark/>
          </w:tcPr>
          <w:p w14:paraId="73A11BFE" w14:textId="21EC56C9" w:rsidR="00F75CE1" w:rsidRPr="00A27896" w:rsidRDefault="00F75CE1" w:rsidP="00F75CE1">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-2 111 583</w:t>
            </w:r>
          </w:p>
        </w:tc>
        <w:tc>
          <w:tcPr>
            <w:tcW w:w="1342" w:type="dxa"/>
            <w:tcBorders>
              <w:top w:val="single" w:sz="4" w:space="0" w:color="17365D"/>
              <w:bottom w:val="single" w:sz="4" w:space="0" w:color="17365D"/>
            </w:tcBorders>
            <w:shd w:val="clear" w:color="auto" w:fill="auto"/>
            <w:vAlign w:val="center"/>
            <w:hideMark/>
          </w:tcPr>
          <w:p w14:paraId="06BBC75A" w14:textId="77777777" w:rsidR="00F75CE1" w:rsidRPr="00A27896" w:rsidRDefault="00F75CE1" w:rsidP="00F75CE1">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0</w:t>
            </w:r>
          </w:p>
        </w:tc>
        <w:tc>
          <w:tcPr>
            <w:tcW w:w="1166" w:type="dxa"/>
            <w:tcBorders>
              <w:top w:val="single" w:sz="4" w:space="0" w:color="17365D"/>
              <w:bottom w:val="single" w:sz="4" w:space="0" w:color="17365D"/>
            </w:tcBorders>
            <w:shd w:val="clear" w:color="auto" w:fill="auto"/>
            <w:vAlign w:val="center"/>
            <w:hideMark/>
          </w:tcPr>
          <w:p w14:paraId="6CDB86B5" w14:textId="0156DDE4" w:rsidR="00F75CE1" w:rsidRPr="00A27896" w:rsidRDefault="00F75CE1" w:rsidP="00F75CE1">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7 251 180</w:t>
            </w:r>
          </w:p>
        </w:tc>
        <w:tc>
          <w:tcPr>
            <w:tcW w:w="1150" w:type="dxa"/>
            <w:tcBorders>
              <w:top w:val="single" w:sz="4" w:space="0" w:color="17365D"/>
              <w:bottom w:val="single" w:sz="4" w:space="0" w:color="17365D"/>
            </w:tcBorders>
            <w:shd w:val="clear" w:color="auto" w:fill="auto"/>
            <w:vAlign w:val="center"/>
            <w:hideMark/>
          </w:tcPr>
          <w:p w14:paraId="3CCBC4BE" w14:textId="01476ED3" w:rsidR="00F75CE1" w:rsidRPr="00A27896" w:rsidRDefault="00F75CE1" w:rsidP="00F75CE1">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-1 590 649</w:t>
            </w:r>
          </w:p>
        </w:tc>
        <w:tc>
          <w:tcPr>
            <w:tcW w:w="1317" w:type="dxa"/>
            <w:tcBorders>
              <w:top w:val="single" w:sz="4" w:space="0" w:color="17365D"/>
              <w:bottom w:val="single" w:sz="4" w:space="0" w:color="17365D"/>
            </w:tcBorders>
            <w:shd w:val="clear" w:color="auto" w:fill="auto"/>
            <w:vAlign w:val="center"/>
            <w:hideMark/>
          </w:tcPr>
          <w:p w14:paraId="70477195" w14:textId="77777777" w:rsidR="00F75CE1" w:rsidRPr="00A27896" w:rsidRDefault="00F75CE1" w:rsidP="00F75CE1">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0</w:t>
            </w:r>
          </w:p>
        </w:tc>
      </w:tr>
      <w:tr w:rsidR="00A27896" w:rsidRPr="00A27896" w14:paraId="68BD8970" w14:textId="77777777" w:rsidTr="00603FE0">
        <w:trPr>
          <w:trHeight w:val="288"/>
        </w:trPr>
        <w:tc>
          <w:tcPr>
            <w:tcW w:w="2093" w:type="dxa"/>
            <w:tcBorders>
              <w:top w:val="single" w:sz="4" w:space="0" w:color="17365D"/>
              <w:bottom w:val="single" w:sz="4" w:space="0" w:color="17365D"/>
            </w:tcBorders>
            <w:shd w:val="clear" w:color="auto" w:fill="auto"/>
            <w:vAlign w:val="center"/>
            <w:hideMark/>
          </w:tcPr>
          <w:p w14:paraId="66542098" w14:textId="77777777" w:rsidR="00F75CE1" w:rsidRPr="00A27896" w:rsidRDefault="00F75CE1" w:rsidP="00F75CE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Zeme un būves</w:t>
            </w:r>
          </w:p>
        </w:tc>
        <w:tc>
          <w:tcPr>
            <w:tcW w:w="1280" w:type="dxa"/>
            <w:tcBorders>
              <w:top w:val="single" w:sz="4" w:space="0" w:color="17365D"/>
              <w:bottom w:val="single" w:sz="4" w:space="0" w:color="17365D"/>
            </w:tcBorders>
            <w:shd w:val="clear" w:color="auto" w:fill="auto"/>
            <w:vAlign w:val="center"/>
            <w:hideMark/>
          </w:tcPr>
          <w:p w14:paraId="44734C26" w14:textId="60228D5E" w:rsidR="00F75CE1" w:rsidRPr="00A27896" w:rsidRDefault="00F75CE1" w:rsidP="00F75CE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9 011 522</w:t>
            </w:r>
          </w:p>
        </w:tc>
        <w:tc>
          <w:tcPr>
            <w:tcW w:w="1150" w:type="dxa"/>
            <w:tcBorders>
              <w:top w:val="single" w:sz="4" w:space="0" w:color="17365D"/>
              <w:bottom w:val="single" w:sz="4" w:space="0" w:color="17365D"/>
            </w:tcBorders>
            <w:shd w:val="clear" w:color="auto" w:fill="auto"/>
            <w:vAlign w:val="center"/>
            <w:hideMark/>
          </w:tcPr>
          <w:p w14:paraId="163D1AFC" w14:textId="23562798" w:rsidR="00F75CE1" w:rsidRPr="00A27896" w:rsidRDefault="00F75CE1" w:rsidP="00F75CE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-1 741 721</w:t>
            </w:r>
          </w:p>
        </w:tc>
        <w:tc>
          <w:tcPr>
            <w:tcW w:w="1342" w:type="dxa"/>
            <w:tcBorders>
              <w:top w:val="single" w:sz="4" w:space="0" w:color="17365D"/>
              <w:bottom w:val="single" w:sz="4" w:space="0" w:color="17365D"/>
            </w:tcBorders>
            <w:shd w:val="clear" w:color="auto" w:fill="auto"/>
            <w:vAlign w:val="center"/>
            <w:hideMark/>
          </w:tcPr>
          <w:p w14:paraId="4140EC78" w14:textId="77777777" w:rsidR="00F75CE1" w:rsidRPr="00A27896" w:rsidRDefault="00F75CE1" w:rsidP="00F75CE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66" w:type="dxa"/>
            <w:tcBorders>
              <w:top w:val="single" w:sz="4" w:space="0" w:color="17365D"/>
              <w:bottom w:val="single" w:sz="4" w:space="0" w:color="17365D"/>
            </w:tcBorders>
            <w:shd w:val="clear" w:color="auto" w:fill="auto"/>
            <w:vAlign w:val="center"/>
            <w:hideMark/>
          </w:tcPr>
          <w:p w14:paraId="72BC96E6" w14:textId="5ECFC359" w:rsidR="00F75CE1" w:rsidRPr="00A27896" w:rsidRDefault="00F75CE1" w:rsidP="00F75CE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5 510 966</w:t>
            </w:r>
          </w:p>
        </w:tc>
        <w:tc>
          <w:tcPr>
            <w:tcW w:w="1150" w:type="dxa"/>
            <w:tcBorders>
              <w:top w:val="single" w:sz="4" w:space="0" w:color="17365D"/>
              <w:bottom w:val="single" w:sz="4" w:space="0" w:color="17365D"/>
            </w:tcBorders>
            <w:shd w:val="clear" w:color="auto" w:fill="auto"/>
            <w:vAlign w:val="center"/>
            <w:hideMark/>
          </w:tcPr>
          <w:p w14:paraId="47F5F78E" w14:textId="2C20A2DE" w:rsidR="00F75CE1" w:rsidRPr="00A27896" w:rsidRDefault="00F75CE1" w:rsidP="00F75CE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-1 140 035</w:t>
            </w:r>
          </w:p>
        </w:tc>
        <w:tc>
          <w:tcPr>
            <w:tcW w:w="1317" w:type="dxa"/>
            <w:tcBorders>
              <w:top w:val="single" w:sz="4" w:space="0" w:color="17365D"/>
              <w:bottom w:val="single" w:sz="4" w:space="0" w:color="17365D"/>
            </w:tcBorders>
            <w:shd w:val="clear" w:color="auto" w:fill="auto"/>
            <w:vAlign w:val="center"/>
            <w:hideMark/>
          </w:tcPr>
          <w:p w14:paraId="4226E21F" w14:textId="77777777" w:rsidR="00F75CE1" w:rsidRPr="00A27896" w:rsidRDefault="00F75CE1" w:rsidP="00F75CE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A27896" w:rsidRPr="00A27896" w14:paraId="42A86208" w14:textId="77777777" w:rsidTr="00603FE0">
        <w:trPr>
          <w:trHeight w:val="288"/>
        </w:trPr>
        <w:tc>
          <w:tcPr>
            <w:tcW w:w="2093" w:type="dxa"/>
            <w:tcBorders>
              <w:top w:val="single" w:sz="4" w:space="0" w:color="17365D"/>
              <w:bottom w:val="single" w:sz="4" w:space="0" w:color="17365D"/>
            </w:tcBorders>
            <w:shd w:val="clear" w:color="auto" w:fill="auto"/>
            <w:vAlign w:val="center"/>
            <w:hideMark/>
          </w:tcPr>
          <w:p w14:paraId="4A4E8725" w14:textId="77777777" w:rsidR="00F75CE1" w:rsidRPr="00A27896" w:rsidRDefault="00F75CE1" w:rsidP="00F75CE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pamatlīdzekļi</w:t>
            </w:r>
          </w:p>
        </w:tc>
        <w:tc>
          <w:tcPr>
            <w:tcW w:w="1280" w:type="dxa"/>
            <w:tcBorders>
              <w:top w:val="single" w:sz="4" w:space="0" w:color="17365D"/>
              <w:bottom w:val="single" w:sz="4" w:space="0" w:color="17365D"/>
            </w:tcBorders>
            <w:shd w:val="clear" w:color="auto" w:fill="auto"/>
            <w:vAlign w:val="center"/>
            <w:hideMark/>
          </w:tcPr>
          <w:p w14:paraId="41A38124" w14:textId="63355504" w:rsidR="00F75CE1" w:rsidRPr="00A27896" w:rsidRDefault="00F75CE1" w:rsidP="00F75CE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435 652</w:t>
            </w:r>
          </w:p>
        </w:tc>
        <w:tc>
          <w:tcPr>
            <w:tcW w:w="1150" w:type="dxa"/>
            <w:tcBorders>
              <w:top w:val="single" w:sz="4" w:space="0" w:color="17365D"/>
              <w:bottom w:val="single" w:sz="4" w:space="0" w:color="17365D"/>
            </w:tcBorders>
            <w:shd w:val="clear" w:color="auto" w:fill="auto"/>
            <w:vAlign w:val="center"/>
            <w:hideMark/>
          </w:tcPr>
          <w:p w14:paraId="389E0EBB" w14:textId="2181C6D2" w:rsidR="00F75CE1" w:rsidRPr="00A27896" w:rsidRDefault="00F75CE1" w:rsidP="00F75CE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-369 862</w:t>
            </w:r>
          </w:p>
        </w:tc>
        <w:tc>
          <w:tcPr>
            <w:tcW w:w="1342" w:type="dxa"/>
            <w:tcBorders>
              <w:top w:val="single" w:sz="4" w:space="0" w:color="17365D"/>
              <w:bottom w:val="single" w:sz="4" w:space="0" w:color="17365D"/>
            </w:tcBorders>
            <w:shd w:val="clear" w:color="auto" w:fill="auto"/>
            <w:vAlign w:val="center"/>
            <w:hideMark/>
          </w:tcPr>
          <w:p w14:paraId="22A7EECE" w14:textId="77777777" w:rsidR="00F75CE1" w:rsidRPr="00A27896" w:rsidRDefault="00F75CE1" w:rsidP="00F75CE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66" w:type="dxa"/>
            <w:tcBorders>
              <w:top w:val="single" w:sz="4" w:space="0" w:color="17365D"/>
              <w:bottom w:val="single" w:sz="4" w:space="0" w:color="17365D"/>
            </w:tcBorders>
            <w:shd w:val="clear" w:color="auto" w:fill="auto"/>
            <w:vAlign w:val="center"/>
            <w:hideMark/>
          </w:tcPr>
          <w:p w14:paraId="1F812AA2" w14:textId="4C9975F1" w:rsidR="00F75CE1" w:rsidRPr="00A27896" w:rsidRDefault="00F75CE1" w:rsidP="00F75CE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496 216</w:t>
            </w:r>
          </w:p>
        </w:tc>
        <w:tc>
          <w:tcPr>
            <w:tcW w:w="1150" w:type="dxa"/>
            <w:tcBorders>
              <w:top w:val="single" w:sz="4" w:space="0" w:color="17365D"/>
              <w:bottom w:val="single" w:sz="4" w:space="0" w:color="17365D"/>
            </w:tcBorders>
            <w:shd w:val="clear" w:color="auto" w:fill="auto"/>
            <w:vAlign w:val="center"/>
            <w:hideMark/>
          </w:tcPr>
          <w:p w14:paraId="394D3B81" w14:textId="79F1F711" w:rsidR="00F75CE1" w:rsidRPr="00A27896" w:rsidRDefault="00F75CE1" w:rsidP="00F75CE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-450 614</w:t>
            </w:r>
          </w:p>
        </w:tc>
        <w:tc>
          <w:tcPr>
            <w:tcW w:w="1317" w:type="dxa"/>
            <w:tcBorders>
              <w:top w:val="single" w:sz="4" w:space="0" w:color="17365D"/>
              <w:bottom w:val="single" w:sz="4" w:space="0" w:color="17365D"/>
            </w:tcBorders>
            <w:shd w:val="clear" w:color="auto" w:fill="auto"/>
            <w:vAlign w:val="center"/>
            <w:hideMark/>
          </w:tcPr>
          <w:p w14:paraId="62F0959C" w14:textId="77777777" w:rsidR="00F75CE1" w:rsidRPr="00A27896" w:rsidRDefault="00F75CE1" w:rsidP="00F75CE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A27896" w:rsidRPr="00A27896" w14:paraId="5FB26A84" w14:textId="77777777" w:rsidTr="00603FE0">
        <w:trPr>
          <w:trHeight w:val="528"/>
        </w:trPr>
        <w:tc>
          <w:tcPr>
            <w:tcW w:w="2093" w:type="dxa"/>
            <w:tcBorders>
              <w:top w:val="single" w:sz="4" w:space="0" w:color="17365D"/>
              <w:bottom w:val="single" w:sz="4" w:space="0" w:color="17365D"/>
            </w:tcBorders>
            <w:shd w:val="clear" w:color="auto" w:fill="auto"/>
            <w:vAlign w:val="center"/>
            <w:hideMark/>
          </w:tcPr>
          <w:p w14:paraId="50C59702" w14:textId="77777777" w:rsidR="005B6245" w:rsidRPr="00A27896" w:rsidRDefault="005B6245" w:rsidP="00163BA8">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Pamatlīdzekļu izveidošana un nepabeigtā būvniecība</w:t>
            </w:r>
          </w:p>
        </w:tc>
        <w:tc>
          <w:tcPr>
            <w:tcW w:w="1280" w:type="dxa"/>
            <w:tcBorders>
              <w:top w:val="single" w:sz="4" w:space="0" w:color="17365D"/>
              <w:bottom w:val="single" w:sz="4" w:space="0" w:color="17365D"/>
            </w:tcBorders>
            <w:shd w:val="clear" w:color="auto" w:fill="auto"/>
            <w:vAlign w:val="center"/>
            <w:hideMark/>
          </w:tcPr>
          <w:p w14:paraId="473F1A38" w14:textId="025B3037" w:rsidR="005B6245" w:rsidRPr="00A27896" w:rsidRDefault="00F75CE1" w:rsidP="005B624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15 806 007</w:t>
            </w:r>
          </w:p>
        </w:tc>
        <w:tc>
          <w:tcPr>
            <w:tcW w:w="1150" w:type="dxa"/>
            <w:tcBorders>
              <w:top w:val="single" w:sz="4" w:space="0" w:color="17365D"/>
              <w:bottom w:val="single" w:sz="4" w:space="0" w:color="17365D"/>
            </w:tcBorders>
            <w:shd w:val="clear" w:color="auto" w:fill="auto"/>
            <w:vAlign w:val="center"/>
            <w:hideMark/>
          </w:tcPr>
          <w:p w14:paraId="5ADD9ECC" w14:textId="77777777" w:rsidR="005B6245" w:rsidRPr="00A27896" w:rsidRDefault="005B6245" w:rsidP="005B624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42" w:type="dxa"/>
            <w:tcBorders>
              <w:top w:val="single" w:sz="4" w:space="0" w:color="17365D"/>
              <w:bottom w:val="single" w:sz="4" w:space="0" w:color="17365D"/>
            </w:tcBorders>
            <w:shd w:val="clear" w:color="auto" w:fill="auto"/>
            <w:vAlign w:val="center"/>
            <w:hideMark/>
          </w:tcPr>
          <w:p w14:paraId="0321EAC1" w14:textId="77777777" w:rsidR="005B6245" w:rsidRPr="00A27896" w:rsidRDefault="005B6245" w:rsidP="005B624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66" w:type="dxa"/>
            <w:tcBorders>
              <w:top w:val="single" w:sz="4" w:space="0" w:color="17365D"/>
              <w:bottom w:val="single" w:sz="4" w:space="0" w:color="17365D"/>
            </w:tcBorders>
            <w:shd w:val="clear" w:color="auto" w:fill="auto"/>
            <w:vAlign w:val="center"/>
            <w:hideMark/>
          </w:tcPr>
          <w:p w14:paraId="47379E24" w14:textId="00F81E66" w:rsidR="005B6245" w:rsidRPr="00A27896" w:rsidRDefault="00F75CE1" w:rsidP="00F75CE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1 223 576</w:t>
            </w:r>
          </w:p>
        </w:tc>
        <w:tc>
          <w:tcPr>
            <w:tcW w:w="1150" w:type="dxa"/>
            <w:tcBorders>
              <w:top w:val="single" w:sz="4" w:space="0" w:color="17365D"/>
              <w:bottom w:val="single" w:sz="4" w:space="0" w:color="17365D"/>
            </w:tcBorders>
            <w:shd w:val="clear" w:color="auto" w:fill="auto"/>
            <w:vAlign w:val="center"/>
            <w:hideMark/>
          </w:tcPr>
          <w:p w14:paraId="3BBAB57B" w14:textId="77777777" w:rsidR="005B6245" w:rsidRPr="00A27896" w:rsidRDefault="005B6245" w:rsidP="005B624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17" w:type="dxa"/>
            <w:tcBorders>
              <w:top w:val="single" w:sz="4" w:space="0" w:color="17365D"/>
              <w:bottom w:val="single" w:sz="4" w:space="0" w:color="17365D"/>
            </w:tcBorders>
            <w:shd w:val="clear" w:color="auto" w:fill="auto"/>
            <w:vAlign w:val="center"/>
            <w:hideMark/>
          </w:tcPr>
          <w:p w14:paraId="04D0F778" w14:textId="77777777" w:rsidR="005B6245" w:rsidRPr="00A27896" w:rsidRDefault="005B6245" w:rsidP="005B624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A27896" w:rsidRPr="00A27896" w14:paraId="4A7A5CBC" w14:textId="77777777" w:rsidTr="00603FE0">
        <w:trPr>
          <w:trHeight w:val="288"/>
        </w:trPr>
        <w:tc>
          <w:tcPr>
            <w:tcW w:w="2093" w:type="dxa"/>
            <w:tcBorders>
              <w:top w:val="single" w:sz="4" w:space="0" w:color="17365D"/>
              <w:bottom w:val="single" w:sz="4" w:space="0" w:color="17365D"/>
            </w:tcBorders>
            <w:shd w:val="clear" w:color="auto" w:fill="auto"/>
            <w:vAlign w:val="center"/>
            <w:hideMark/>
          </w:tcPr>
          <w:p w14:paraId="5AAD456F" w14:textId="77777777" w:rsidR="005B6245" w:rsidRPr="00A27896" w:rsidRDefault="005B6245" w:rsidP="00163BA8">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Bioloģiskie un pazemes aktīvi</w:t>
            </w:r>
          </w:p>
        </w:tc>
        <w:tc>
          <w:tcPr>
            <w:tcW w:w="1280" w:type="dxa"/>
            <w:tcBorders>
              <w:top w:val="single" w:sz="4" w:space="0" w:color="17365D"/>
              <w:bottom w:val="single" w:sz="4" w:space="0" w:color="17365D"/>
            </w:tcBorders>
            <w:shd w:val="clear" w:color="auto" w:fill="auto"/>
            <w:vAlign w:val="center"/>
            <w:hideMark/>
          </w:tcPr>
          <w:p w14:paraId="444D9A5A" w14:textId="28DB0042" w:rsidR="005B6245" w:rsidRPr="00A27896" w:rsidRDefault="003F2DB9" w:rsidP="005B624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20 422</w:t>
            </w:r>
          </w:p>
        </w:tc>
        <w:tc>
          <w:tcPr>
            <w:tcW w:w="1150" w:type="dxa"/>
            <w:tcBorders>
              <w:top w:val="single" w:sz="4" w:space="0" w:color="17365D"/>
              <w:bottom w:val="single" w:sz="4" w:space="0" w:color="17365D"/>
            </w:tcBorders>
            <w:shd w:val="clear" w:color="auto" w:fill="auto"/>
            <w:vAlign w:val="center"/>
            <w:hideMark/>
          </w:tcPr>
          <w:p w14:paraId="70273F2A" w14:textId="77777777" w:rsidR="005B6245" w:rsidRPr="00A27896" w:rsidRDefault="005B6245" w:rsidP="005B624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42" w:type="dxa"/>
            <w:tcBorders>
              <w:top w:val="single" w:sz="4" w:space="0" w:color="17365D"/>
              <w:bottom w:val="single" w:sz="4" w:space="0" w:color="17365D"/>
            </w:tcBorders>
            <w:shd w:val="clear" w:color="auto" w:fill="auto"/>
            <w:vAlign w:val="center"/>
            <w:hideMark/>
          </w:tcPr>
          <w:p w14:paraId="2CAF319C" w14:textId="77777777" w:rsidR="005B6245" w:rsidRPr="00A27896" w:rsidRDefault="005B6245" w:rsidP="005B624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66" w:type="dxa"/>
            <w:tcBorders>
              <w:top w:val="single" w:sz="4" w:space="0" w:color="17365D"/>
              <w:bottom w:val="single" w:sz="4" w:space="0" w:color="17365D"/>
            </w:tcBorders>
            <w:shd w:val="clear" w:color="auto" w:fill="auto"/>
            <w:vAlign w:val="center"/>
            <w:hideMark/>
          </w:tcPr>
          <w:p w14:paraId="580EF12E" w14:textId="77777777" w:rsidR="005B6245" w:rsidRPr="00A27896" w:rsidRDefault="005B6245" w:rsidP="005B624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20 422</w:t>
            </w:r>
          </w:p>
        </w:tc>
        <w:tc>
          <w:tcPr>
            <w:tcW w:w="1150" w:type="dxa"/>
            <w:tcBorders>
              <w:top w:val="single" w:sz="4" w:space="0" w:color="17365D"/>
              <w:bottom w:val="single" w:sz="4" w:space="0" w:color="17365D"/>
            </w:tcBorders>
            <w:shd w:val="clear" w:color="auto" w:fill="auto"/>
            <w:vAlign w:val="center"/>
            <w:hideMark/>
          </w:tcPr>
          <w:p w14:paraId="504764CD" w14:textId="77777777" w:rsidR="005B6245" w:rsidRPr="00A27896" w:rsidRDefault="005B6245" w:rsidP="005B624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17" w:type="dxa"/>
            <w:tcBorders>
              <w:top w:val="single" w:sz="4" w:space="0" w:color="17365D"/>
              <w:bottom w:val="single" w:sz="4" w:space="0" w:color="17365D"/>
            </w:tcBorders>
            <w:shd w:val="clear" w:color="auto" w:fill="auto"/>
            <w:vAlign w:val="center"/>
            <w:hideMark/>
          </w:tcPr>
          <w:p w14:paraId="5DF2E64F" w14:textId="77777777" w:rsidR="005B6245" w:rsidRPr="00A27896" w:rsidRDefault="005B6245" w:rsidP="005B6245">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0C1009" w:rsidRPr="00A27896" w14:paraId="067FF419" w14:textId="77777777" w:rsidTr="00F75CE1">
        <w:trPr>
          <w:trHeight w:val="184"/>
        </w:trPr>
        <w:tc>
          <w:tcPr>
            <w:tcW w:w="2093" w:type="dxa"/>
            <w:tcBorders>
              <w:top w:val="single" w:sz="4" w:space="0" w:color="17365D"/>
              <w:bottom w:val="nil"/>
            </w:tcBorders>
            <w:shd w:val="clear" w:color="auto" w:fill="B8CCE4" w:themeFill="accent1" w:themeFillTint="66"/>
            <w:vAlign w:val="center"/>
          </w:tcPr>
          <w:p w14:paraId="47EF327F" w14:textId="77777777" w:rsidR="00163BA8" w:rsidRPr="00A27896" w:rsidRDefault="00163BA8" w:rsidP="005B6245">
            <w:pPr>
              <w:spacing w:after="0" w:line="240" w:lineRule="auto"/>
              <w:rPr>
                <w:rFonts w:eastAsia="Times New Roman" w:cs="Times New Roman"/>
                <w:color w:val="17365D"/>
                <w:sz w:val="20"/>
                <w:szCs w:val="20"/>
                <w:lang w:eastAsia="lv-LV"/>
              </w:rPr>
            </w:pPr>
          </w:p>
        </w:tc>
        <w:tc>
          <w:tcPr>
            <w:tcW w:w="1280" w:type="dxa"/>
            <w:tcBorders>
              <w:top w:val="single" w:sz="4" w:space="0" w:color="17365D"/>
              <w:bottom w:val="nil"/>
            </w:tcBorders>
            <w:shd w:val="clear" w:color="auto" w:fill="B8CCE4" w:themeFill="accent1" w:themeFillTint="66"/>
            <w:vAlign w:val="center"/>
          </w:tcPr>
          <w:p w14:paraId="3E711BB6"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150" w:type="dxa"/>
            <w:tcBorders>
              <w:top w:val="single" w:sz="4" w:space="0" w:color="17365D"/>
              <w:bottom w:val="nil"/>
            </w:tcBorders>
            <w:shd w:val="clear" w:color="auto" w:fill="B8CCE4" w:themeFill="accent1" w:themeFillTint="66"/>
            <w:vAlign w:val="center"/>
          </w:tcPr>
          <w:p w14:paraId="1440EC56"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342" w:type="dxa"/>
            <w:tcBorders>
              <w:top w:val="single" w:sz="4" w:space="0" w:color="17365D"/>
              <w:bottom w:val="nil"/>
            </w:tcBorders>
            <w:shd w:val="clear" w:color="auto" w:fill="B8CCE4" w:themeFill="accent1" w:themeFillTint="66"/>
            <w:vAlign w:val="center"/>
          </w:tcPr>
          <w:p w14:paraId="19B76334"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166" w:type="dxa"/>
            <w:tcBorders>
              <w:top w:val="single" w:sz="4" w:space="0" w:color="17365D"/>
              <w:bottom w:val="nil"/>
            </w:tcBorders>
            <w:shd w:val="clear" w:color="auto" w:fill="B8CCE4" w:themeFill="accent1" w:themeFillTint="66"/>
            <w:vAlign w:val="center"/>
          </w:tcPr>
          <w:p w14:paraId="2B659211"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150" w:type="dxa"/>
            <w:tcBorders>
              <w:top w:val="single" w:sz="4" w:space="0" w:color="17365D"/>
              <w:bottom w:val="nil"/>
            </w:tcBorders>
            <w:shd w:val="clear" w:color="auto" w:fill="B8CCE4" w:themeFill="accent1" w:themeFillTint="66"/>
            <w:vAlign w:val="center"/>
          </w:tcPr>
          <w:p w14:paraId="72A15749"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317" w:type="dxa"/>
            <w:tcBorders>
              <w:top w:val="single" w:sz="4" w:space="0" w:color="17365D"/>
              <w:bottom w:val="nil"/>
            </w:tcBorders>
            <w:shd w:val="clear" w:color="auto" w:fill="B8CCE4" w:themeFill="accent1" w:themeFillTint="66"/>
            <w:vAlign w:val="center"/>
          </w:tcPr>
          <w:p w14:paraId="329E85CE"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r>
    </w:tbl>
    <w:p w14:paraId="2EABE18A" w14:textId="5EBEFCCF" w:rsidR="005B6245" w:rsidRPr="00A27896" w:rsidRDefault="005B6245" w:rsidP="003877C0">
      <w:pPr>
        <w:pStyle w:val="Tabulasnosaukums1"/>
        <w:spacing w:before="0" w:line="240" w:lineRule="auto"/>
        <w:rPr>
          <w:rFonts w:cs="Times New Roman"/>
          <w:color w:val="17365D"/>
        </w:rPr>
      </w:pPr>
    </w:p>
    <w:p w14:paraId="60A4EB55" w14:textId="4FE63F37" w:rsidR="005A010F" w:rsidRPr="00A27896" w:rsidRDefault="00715EF2" w:rsidP="00185DCE">
      <w:pPr>
        <w:pStyle w:val="Heading5"/>
        <w:spacing w:before="240"/>
        <w:rPr>
          <w:rFonts w:cs="Times New Roman"/>
        </w:rPr>
      </w:pPr>
      <w:r w:rsidRPr="00A27896">
        <w:rPr>
          <w:rFonts w:cs="Times New Roman"/>
        </w:rPr>
        <w:t xml:space="preserve">Piezīme Nr. </w:t>
      </w:r>
      <w:r w:rsidR="0045219A" w:rsidRPr="00A27896">
        <w:rPr>
          <w:rFonts w:cs="Times New Roman"/>
        </w:rPr>
        <w:t>V7.</w:t>
      </w:r>
      <w:r w:rsidR="00350716" w:rsidRPr="00A27896">
        <w:rPr>
          <w:rFonts w:cs="Times New Roman"/>
        </w:rPr>
        <w:t xml:space="preserve"> </w:t>
      </w:r>
      <w:r w:rsidR="00DE4C7C" w:rsidRPr="00A27896">
        <w:rPr>
          <w:rFonts w:cs="Times New Roman"/>
        </w:rPr>
        <w:t>Informācija par saistībām un privātā partnera sniegtajiem pakalpojumiem partnerības līguma ietvaros</w:t>
      </w:r>
    </w:p>
    <w:p w14:paraId="072210EE" w14:textId="59EF1B05" w:rsidR="005861EC" w:rsidRPr="00A27896" w:rsidRDefault="005861EC" w:rsidP="005861EC">
      <w:pPr>
        <w:spacing w:after="0" w:line="240" w:lineRule="auto"/>
        <w:ind w:firstLine="284"/>
        <w:jc w:val="both"/>
        <w:rPr>
          <w:rFonts w:cs="Times New Roman"/>
          <w:color w:val="17365D"/>
          <w:szCs w:val="24"/>
        </w:rPr>
      </w:pPr>
      <w:r w:rsidRPr="00A27896">
        <w:rPr>
          <w:rFonts w:cs="Times New Roman"/>
          <w:color w:val="17365D"/>
          <w:szCs w:val="24"/>
        </w:rPr>
        <w:t xml:space="preserve">Pārskata gada beigās partnerības līguma ietvaros saistības pret piegādātājiem un darbuzņēmējiem par sniegtajiem pakalpojumiem ir atzītas </w:t>
      </w:r>
      <w:r w:rsidR="003F2DB9" w:rsidRPr="00A27896">
        <w:rPr>
          <w:rFonts w:cs="Times New Roman"/>
          <w:color w:val="17365D"/>
          <w:szCs w:val="24"/>
        </w:rPr>
        <w:t>4 795 400 </w:t>
      </w:r>
      <w:proofErr w:type="spellStart"/>
      <w:r w:rsidRPr="00A27896">
        <w:rPr>
          <w:rFonts w:cs="Times New Roman"/>
          <w:i/>
          <w:color w:val="17365D"/>
          <w:szCs w:val="24"/>
        </w:rPr>
        <w:t>euro</w:t>
      </w:r>
      <w:proofErr w:type="spellEnd"/>
      <w:r w:rsidRPr="00A27896">
        <w:rPr>
          <w:rFonts w:cs="Times New Roman"/>
          <w:color w:val="17365D"/>
          <w:szCs w:val="24"/>
        </w:rPr>
        <w:t xml:space="preserve"> vērtībā un 3</w:t>
      </w:r>
      <w:r w:rsidR="000229AE" w:rsidRPr="00A27896">
        <w:rPr>
          <w:rFonts w:cs="Times New Roman"/>
          <w:color w:val="17365D"/>
          <w:szCs w:val="24"/>
        </w:rPr>
        <w:t>0</w:t>
      </w:r>
      <w:r w:rsidRPr="00A27896">
        <w:rPr>
          <w:rFonts w:cs="Times New Roman"/>
          <w:color w:val="17365D"/>
          <w:szCs w:val="24"/>
        </w:rPr>
        <w:t>. tabulā sniegta informācija par to nākotnes maksājumiem un par izdevumiem līdz līguma termiņa beigām.</w:t>
      </w:r>
    </w:p>
    <w:p w14:paraId="49055ACC" w14:textId="1A787A44" w:rsidR="005E3A38" w:rsidRPr="00A27896" w:rsidRDefault="005E3A38" w:rsidP="005E3A38">
      <w:pPr>
        <w:pStyle w:val="Tabulasnosaukums1"/>
        <w:spacing w:before="0" w:line="240" w:lineRule="auto"/>
        <w:rPr>
          <w:rFonts w:cs="Times New Roman"/>
          <w:i/>
          <w:color w:val="17365D"/>
          <w:szCs w:val="22"/>
        </w:rPr>
      </w:pPr>
      <w:r w:rsidRPr="00A27896">
        <w:rPr>
          <w:rFonts w:cs="Times New Roman"/>
          <w:i/>
          <w:color w:val="17365D"/>
          <w:szCs w:val="22"/>
        </w:rPr>
        <w:lastRenderedPageBreak/>
        <w:t>3</w:t>
      </w:r>
      <w:r w:rsidR="000229AE" w:rsidRPr="00A27896">
        <w:rPr>
          <w:rFonts w:cs="Times New Roman"/>
          <w:i/>
          <w:color w:val="17365D"/>
          <w:szCs w:val="22"/>
        </w:rPr>
        <w:t>0</w:t>
      </w:r>
      <w:r w:rsidRPr="00A27896">
        <w:rPr>
          <w:rFonts w:cs="Times New Roman"/>
          <w:i/>
          <w:color w:val="17365D"/>
          <w:szCs w:val="22"/>
        </w:rPr>
        <w:t>. tabula</w:t>
      </w:r>
      <w:r w:rsidR="003877C0" w:rsidRPr="00A27896">
        <w:rPr>
          <w:rFonts w:cs="Times New Roman"/>
          <w:i/>
          <w:color w:val="17365D"/>
          <w:szCs w:val="22"/>
        </w:rPr>
        <w:t>.</w:t>
      </w:r>
      <w:r w:rsidRPr="00A27896">
        <w:rPr>
          <w:rFonts w:cs="Times New Roman"/>
          <w:i/>
          <w:color w:val="17365D"/>
          <w:szCs w:val="22"/>
        </w:rPr>
        <w:t xml:space="preserve"> Informācija par saistībām un privātā partnera </w:t>
      </w:r>
    </w:p>
    <w:p w14:paraId="2AEBC1FD" w14:textId="68817228" w:rsidR="005E3A38" w:rsidRPr="00A27896" w:rsidRDefault="005E3A38" w:rsidP="005E3A38">
      <w:pPr>
        <w:pStyle w:val="Tabulasnosaukums1"/>
        <w:spacing w:before="0" w:line="240" w:lineRule="auto"/>
        <w:rPr>
          <w:rFonts w:cs="Times New Roman"/>
          <w:color w:val="17365D"/>
        </w:rPr>
      </w:pPr>
      <w:r w:rsidRPr="00A27896">
        <w:rPr>
          <w:rFonts w:cs="Times New Roman"/>
          <w:i/>
          <w:color w:val="17365D"/>
          <w:szCs w:val="22"/>
        </w:rPr>
        <w:t>sniegtajiem pakalpojumiem partnerības līguma ietvaros (</w:t>
      </w:r>
      <w:proofErr w:type="spellStart"/>
      <w:r w:rsidRPr="00A27896">
        <w:rPr>
          <w:rFonts w:cs="Times New Roman"/>
          <w:i/>
          <w:color w:val="17365D"/>
          <w:szCs w:val="22"/>
        </w:rPr>
        <w:t>euro</w:t>
      </w:r>
      <w:proofErr w:type="spellEnd"/>
      <w:r w:rsidRPr="00A27896">
        <w:rPr>
          <w:rFonts w:cs="Times New Roman"/>
          <w:i/>
          <w:color w:val="17365D"/>
          <w:szCs w:val="22"/>
        </w:rPr>
        <w:t>)</w:t>
      </w:r>
    </w:p>
    <w:tbl>
      <w:tblPr>
        <w:tblW w:w="9367" w:type="dxa"/>
        <w:tblBorders>
          <w:insideH w:val="single" w:sz="4" w:space="0" w:color="17365D"/>
        </w:tblBorders>
        <w:tblLayout w:type="fixed"/>
        <w:tblLook w:val="04A0" w:firstRow="1" w:lastRow="0" w:firstColumn="1" w:lastColumn="0" w:noHBand="0" w:noVBand="1"/>
      </w:tblPr>
      <w:tblGrid>
        <w:gridCol w:w="1858"/>
        <w:gridCol w:w="694"/>
        <w:gridCol w:w="810"/>
        <w:gridCol w:w="351"/>
        <w:gridCol w:w="1107"/>
        <w:gridCol w:w="649"/>
        <w:gridCol w:w="627"/>
        <w:gridCol w:w="713"/>
        <w:gridCol w:w="279"/>
        <w:gridCol w:w="757"/>
        <w:gridCol w:w="377"/>
        <w:gridCol w:w="1134"/>
        <w:gridCol w:w="11"/>
      </w:tblGrid>
      <w:tr w:rsidR="000C1009" w:rsidRPr="00A27896" w14:paraId="1CBD077D" w14:textId="77777777" w:rsidTr="00163BA8">
        <w:trPr>
          <w:gridAfter w:val="1"/>
          <w:wAfter w:w="11" w:type="dxa"/>
          <w:trHeight w:val="260"/>
          <w:tblHeader/>
        </w:trPr>
        <w:tc>
          <w:tcPr>
            <w:tcW w:w="2552" w:type="dxa"/>
            <w:gridSpan w:val="2"/>
            <w:vMerge w:val="restart"/>
            <w:shd w:val="clear" w:color="000000" w:fill="B9CDE5"/>
            <w:vAlign w:val="center"/>
          </w:tcPr>
          <w:p w14:paraId="37C44DD9" w14:textId="06644C87"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color w:val="17365D"/>
                <w:sz w:val="18"/>
                <w:szCs w:val="18"/>
                <w:lang w:eastAsia="lv-LV"/>
              </w:rPr>
              <w:t>Konta un izdevumu klasifikācijas koda nosaukums</w:t>
            </w:r>
          </w:p>
        </w:tc>
        <w:tc>
          <w:tcPr>
            <w:tcW w:w="2268" w:type="dxa"/>
            <w:gridSpan w:val="3"/>
            <w:shd w:val="clear" w:color="000000" w:fill="B9CDE5"/>
            <w:vAlign w:val="center"/>
          </w:tcPr>
          <w:p w14:paraId="11CF73A9" w14:textId="02C7A098"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Uzskaites vērtība</w:t>
            </w:r>
          </w:p>
        </w:tc>
        <w:tc>
          <w:tcPr>
            <w:tcW w:w="4536" w:type="dxa"/>
            <w:gridSpan w:val="7"/>
            <w:shd w:val="clear" w:color="000000" w:fill="B9CDE5"/>
            <w:vAlign w:val="center"/>
          </w:tcPr>
          <w:p w14:paraId="5C92958E" w14:textId="7F036688" w:rsidR="00835357" w:rsidRPr="00A27896" w:rsidRDefault="00835357" w:rsidP="005E3A3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Nākotnes maksājumi</w:t>
            </w:r>
          </w:p>
        </w:tc>
      </w:tr>
      <w:tr w:rsidR="000C1009" w:rsidRPr="00A27896" w14:paraId="441A602D" w14:textId="77777777" w:rsidTr="00FE5EB1">
        <w:trPr>
          <w:gridAfter w:val="1"/>
          <w:wAfter w:w="11" w:type="dxa"/>
          <w:trHeight w:val="616"/>
          <w:tblHeader/>
        </w:trPr>
        <w:tc>
          <w:tcPr>
            <w:tcW w:w="2552" w:type="dxa"/>
            <w:gridSpan w:val="2"/>
            <w:vMerge/>
          </w:tcPr>
          <w:p w14:paraId="1AD51A42" w14:textId="3DCF7886" w:rsidR="00835357" w:rsidRPr="00A27896" w:rsidRDefault="00835357" w:rsidP="008D562C">
            <w:pPr>
              <w:spacing w:after="0" w:line="240" w:lineRule="auto"/>
              <w:rPr>
                <w:rFonts w:eastAsia="Times New Roman" w:cs="Times New Roman"/>
                <w:b/>
                <w:bCs/>
                <w:color w:val="17365D"/>
                <w:sz w:val="18"/>
                <w:szCs w:val="18"/>
                <w:lang w:eastAsia="lv-LV"/>
              </w:rPr>
            </w:pPr>
          </w:p>
        </w:tc>
        <w:tc>
          <w:tcPr>
            <w:tcW w:w="1161" w:type="dxa"/>
            <w:gridSpan w:val="2"/>
            <w:shd w:val="clear" w:color="000000" w:fill="B9CDE5"/>
            <w:vAlign w:val="center"/>
          </w:tcPr>
          <w:p w14:paraId="45470739" w14:textId="4A1D2912"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color w:val="17365D"/>
                <w:sz w:val="18"/>
                <w:szCs w:val="18"/>
                <w:lang w:eastAsia="lv-LV"/>
              </w:rPr>
              <w:t>pārskata perioda beigās</w:t>
            </w:r>
          </w:p>
        </w:tc>
        <w:tc>
          <w:tcPr>
            <w:tcW w:w="1107" w:type="dxa"/>
            <w:shd w:val="clear" w:color="000000" w:fill="B9CDE5"/>
            <w:vAlign w:val="center"/>
          </w:tcPr>
          <w:p w14:paraId="2987B31F" w14:textId="32BA6618"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c>
          <w:tcPr>
            <w:tcW w:w="1276" w:type="dxa"/>
            <w:gridSpan w:val="2"/>
            <w:shd w:val="clear" w:color="000000" w:fill="B9CDE5"/>
            <w:vAlign w:val="center"/>
            <w:hideMark/>
          </w:tcPr>
          <w:p w14:paraId="19B907E0" w14:textId="7519C37B"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 līdz līguma termiņa beigām</w:t>
            </w:r>
          </w:p>
        </w:tc>
        <w:tc>
          <w:tcPr>
            <w:tcW w:w="992" w:type="dxa"/>
            <w:gridSpan w:val="2"/>
            <w:shd w:val="clear" w:color="000000" w:fill="B9CDE5"/>
            <w:vAlign w:val="center"/>
            <w:hideMark/>
          </w:tcPr>
          <w:p w14:paraId="6A6FCCB4" w14:textId="12EB3C9B" w:rsidR="00835357" w:rsidRPr="00A27896" w:rsidRDefault="005861EC" w:rsidP="003F2DB9">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3F2DB9" w:rsidRPr="00A27896">
              <w:rPr>
                <w:rFonts w:eastAsia="Times New Roman" w:cs="Times New Roman"/>
                <w:b/>
                <w:bCs/>
                <w:color w:val="17365D"/>
                <w:sz w:val="18"/>
                <w:szCs w:val="18"/>
                <w:lang w:eastAsia="lv-LV"/>
              </w:rPr>
              <w:t>3</w:t>
            </w:r>
          </w:p>
        </w:tc>
        <w:tc>
          <w:tcPr>
            <w:tcW w:w="1134" w:type="dxa"/>
            <w:gridSpan w:val="2"/>
            <w:shd w:val="clear" w:color="000000" w:fill="B9CDE5"/>
            <w:vAlign w:val="center"/>
            <w:hideMark/>
          </w:tcPr>
          <w:p w14:paraId="5E0CF54C" w14:textId="2AE432E1" w:rsidR="00835357" w:rsidRPr="00A27896" w:rsidRDefault="005861EC" w:rsidP="003F2DB9">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3F2DB9" w:rsidRPr="00A27896">
              <w:rPr>
                <w:rFonts w:eastAsia="Times New Roman" w:cs="Times New Roman"/>
                <w:b/>
                <w:bCs/>
                <w:color w:val="17365D"/>
                <w:sz w:val="18"/>
                <w:szCs w:val="18"/>
                <w:lang w:eastAsia="lv-LV"/>
              </w:rPr>
              <w:t>4</w:t>
            </w:r>
          </w:p>
        </w:tc>
        <w:tc>
          <w:tcPr>
            <w:tcW w:w="1134" w:type="dxa"/>
            <w:shd w:val="clear" w:color="000000" w:fill="B9CDE5"/>
            <w:vAlign w:val="center"/>
            <w:hideMark/>
          </w:tcPr>
          <w:p w14:paraId="322B51A2" w14:textId="6714C567" w:rsidR="00835357" w:rsidRPr="00A27896" w:rsidRDefault="005861EC" w:rsidP="003F2DB9">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3F2DB9" w:rsidRPr="00A27896">
              <w:rPr>
                <w:rFonts w:eastAsia="Times New Roman" w:cs="Times New Roman"/>
                <w:b/>
                <w:bCs/>
                <w:color w:val="17365D"/>
                <w:sz w:val="18"/>
                <w:szCs w:val="18"/>
                <w:lang w:eastAsia="lv-LV"/>
              </w:rPr>
              <w:t>5</w:t>
            </w:r>
          </w:p>
        </w:tc>
      </w:tr>
      <w:tr w:rsidR="00A27896" w:rsidRPr="00A27896" w14:paraId="0689C152" w14:textId="77777777" w:rsidTr="00603FE0">
        <w:trPr>
          <w:gridAfter w:val="1"/>
          <w:wAfter w:w="11" w:type="dxa"/>
          <w:trHeight w:val="269"/>
          <w:tblHeader/>
        </w:trPr>
        <w:tc>
          <w:tcPr>
            <w:tcW w:w="2552" w:type="dxa"/>
            <w:gridSpan w:val="2"/>
            <w:vAlign w:val="center"/>
          </w:tcPr>
          <w:p w14:paraId="42E87FC1" w14:textId="1DC2FC1F"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161" w:type="dxa"/>
            <w:gridSpan w:val="2"/>
            <w:vAlign w:val="center"/>
          </w:tcPr>
          <w:p w14:paraId="2F18A3BA" w14:textId="0ED75447"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107" w:type="dxa"/>
            <w:vAlign w:val="center"/>
          </w:tcPr>
          <w:p w14:paraId="5FFE505E" w14:textId="33451E39"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276" w:type="dxa"/>
            <w:gridSpan w:val="2"/>
            <w:shd w:val="clear" w:color="auto" w:fill="auto"/>
            <w:vAlign w:val="center"/>
            <w:hideMark/>
          </w:tcPr>
          <w:p w14:paraId="1CAE2185" w14:textId="6A97DB88"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992" w:type="dxa"/>
            <w:gridSpan w:val="2"/>
            <w:shd w:val="clear" w:color="auto" w:fill="auto"/>
            <w:vAlign w:val="center"/>
            <w:hideMark/>
          </w:tcPr>
          <w:p w14:paraId="5F48B92A" w14:textId="56B3F41C"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134" w:type="dxa"/>
            <w:gridSpan w:val="2"/>
            <w:shd w:val="clear" w:color="auto" w:fill="auto"/>
            <w:vAlign w:val="center"/>
            <w:hideMark/>
          </w:tcPr>
          <w:p w14:paraId="03F475E6" w14:textId="6471828F"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134" w:type="dxa"/>
            <w:shd w:val="clear" w:color="auto" w:fill="auto"/>
            <w:vAlign w:val="center"/>
            <w:hideMark/>
          </w:tcPr>
          <w:p w14:paraId="545BB2C6" w14:textId="3D3722D6"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A27896" w:rsidRPr="00A27896" w14:paraId="4FDFCC16" w14:textId="77777777" w:rsidTr="00603FE0">
        <w:trPr>
          <w:gridAfter w:val="1"/>
          <w:wAfter w:w="11" w:type="dxa"/>
          <w:trHeight w:val="246"/>
        </w:trPr>
        <w:tc>
          <w:tcPr>
            <w:tcW w:w="2552" w:type="dxa"/>
            <w:gridSpan w:val="2"/>
            <w:vAlign w:val="center"/>
          </w:tcPr>
          <w:p w14:paraId="6AB30889" w14:textId="2BDF5E9C" w:rsidR="005C239B" w:rsidRPr="00A27896" w:rsidRDefault="005C239B" w:rsidP="005C239B">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Saistības pret piegādātājiem un darbuzņēmējiem</w:t>
            </w:r>
          </w:p>
        </w:tc>
        <w:tc>
          <w:tcPr>
            <w:tcW w:w="1161" w:type="dxa"/>
            <w:gridSpan w:val="2"/>
            <w:vAlign w:val="center"/>
          </w:tcPr>
          <w:p w14:paraId="715B70DE" w14:textId="5F469330" w:rsidR="005C239B" w:rsidRPr="00A27896" w:rsidRDefault="005C239B" w:rsidP="005C239B">
            <w:pPr>
              <w:spacing w:after="0" w:line="240" w:lineRule="auto"/>
              <w:ind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4 795 400</w:t>
            </w:r>
          </w:p>
        </w:tc>
        <w:tc>
          <w:tcPr>
            <w:tcW w:w="1107" w:type="dxa"/>
            <w:vAlign w:val="center"/>
          </w:tcPr>
          <w:p w14:paraId="5C05F393" w14:textId="009E8338" w:rsidR="005C239B" w:rsidRPr="00A27896" w:rsidRDefault="005C239B" w:rsidP="005C239B">
            <w:pPr>
              <w:spacing w:after="0" w:line="240" w:lineRule="auto"/>
              <w:ind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5 380 070</w:t>
            </w:r>
          </w:p>
        </w:tc>
        <w:tc>
          <w:tcPr>
            <w:tcW w:w="1276" w:type="dxa"/>
            <w:gridSpan w:val="2"/>
            <w:shd w:val="clear" w:color="auto" w:fill="auto"/>
            <w:vAlign w:val="center"/>
          </w:tcPr>
          <w:p w14:paraId="6B5E4337" w14:textId="6540D557" w:rsidR="005C239B" w:rsidRPr="00A27896" w:rsidRDefault="005C239B" w:rsidP="00460497">
            <w:pPr>
              <w:spacing w:after="0" w:line="240" w:lineRule="auto"/>
              <w:ind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27</w:t>
            </w:r>
            <w:r w:rsidR="00460497" w:rsidRPr="00A27896">
              <w:rPr>
                <w:rFonts w:eastAsia="Times New Roman" w:cs="Times New Roman"/>
                <w:color w:val="17365D"/>
                <w:sz w:val="18"/>
                <w:szCs w:val="18"/>
                <w:lang w:eastAsia="lv-LV"/>
              </w:rPr>
              <w:t>3</w:t>
            </w:r>
            <w:r w:rsidRPr="00A27896">
              <w:rPr>
                <w:rFonts w:eastAsia="Times New Roman" w:cs="Times New Roman"/>
                <w:color w:val="17365D"/>
                <w:sz w:val="18"/>
                <w:szCs w:val="18"/>
                <w:lang w:eastAsia="lv-LV"/>
              </w:rPr>
              <w:t xml:space="preserve"> </w:t>
            </w:r>
            <w:r w:rsidR="00460497" w:rsidRPr="00A27896">
              <w:rPr>
                <w:rFonts w:eastAsia="Times New Roman" w:cs="Times New Roman"/>
                <w:color w:val="17365D"/>
                <w:sz w:val="18"/>
                <w:szCs w:val="18"/>
                <w:lang w:eastAsia="lv-LV"/>
              </w:rPr>
              <w:t>038</w:t>
            </w:r>
            <w:r w:rsidRPr="00A27896">
              <w:rPr>
                <w:rFonts w:eastAsia="Times New Roman" w:cs="Times New Roman"/>
                <w:color w:val="17365D"/>
                <w:sz w:val="18"/>
                <w:szCs w:val="18"/>
                <w:lang w:eastAsia="lv-LV"/>
              </w:rPr>
              <w:t xml:space="preserve"> </w:t>
            </w:r>
            <w:r w:rsidR="00460497" w:rsidRPr="00A27896">
              <w:rPr>
                <w:rFonts w:eastAsia="Times New Roman" w:cs="Times New Roman"/>
                <w:color w:val="17365D"/>
                <w:sz w:val="18"/>
                <w:szCs w:val="18"/>
                <w:lang w:eastAsia="lv-LV"/>
              </w:rPr>
              <w:t>426</w:t>
            </w:r>
          </w:p>
        </w:tc>
        <w:tc>
          <w:tcPr>
            <w:tcW w:w="992" w:type="dxa"/>
            <w:gridSpan w:val="2"/>
            <w:shd w:val="clear" w:color="auto" w:fill="auto"/>
            <w:vAlign w:val="center"/>
          </w:tcPr>
          <w:p w14:paraId="1A4575A4" w14:textId="4BF48109" w:rsidR="005C239B" w:rsidRPr="00A27896" w:rsidRDefault="005C239B" w:rsidP="005C239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2 981 798</w:t>
            </w:r>
          </w:p>
        </w:tc>
        <w:tc>
          <w:tcPr>
            <w:tcW w:w="1134" w:type="dxa"/>
            <w:gridSpan w:val="2"/>
            <w:shd w:val="clear" w:color="auto" w:fill="auto"/>
            <w:vAlign w:val="center"/>
          </w:tcPr>
          <w:p w14:paraId="75BED457" w14:textId="7E0719EC" w:rsidR="005C239B" w:rsidRPr="00A27896" w:rsidRDefault="005C239B" w:rsidP="005C239B">
            <w:pPr>
              <w:spacing w:after="0" w:line="240" w:lineRule="auto"/>
              <w:ind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12 307 914</w:t>
            </w:r>
          </w:p>
        </w:tc>
        <w:tc>
          <w:tcPr>
            <w:tcW w:w="1134" w:type="dxa"/>
            <w:shd w:val="clear" w:color="auto" w:fill="auto"/>
            <w:vAlign w:val="center"/>
          </w:tcPr>
          <w:p w14:paraId="34E4FD8D" w14:textId="717A62E6" w:rsidR="005C239B" w:rsidRPr="00A27896" w:rsidRDefault="005C239B" w:rsidP="005C239B">
            <w:pPr>
              <w:spacing w:after="0" w:line="240" w:lineRule="auto"/>
              <w:ind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12 329 238</w:t>
            </w:r>
          </w:p>
        </w:tc>
      </w:tr>
      <w:tr w:rsidR="00A27896" w:rsidRPr="00A27896" w14:paraId="5F4B7556" w14:textId="77777777" w:rsidTr="00603FE0">
        <w:trPr>
          <w:gridAfter w:val="1"/>
          <w:wAfter w:w="11" w:type="dxa"/>
          <w:trHeight w:val="142"/>
        </w:trPr>
        <w:tc>
          <w:tcPr>
            <w:tcW w:w="2552" w:type="dxa"/>
            <w:gridSpan w:val="2"/>
            <w:vAlign w:val="center"/>
          </w:tcPr>
          <w:p w14:paraId="04D364D0" w14:textId="2FA87348" w:rsidR="005C239B" w:rsidRPr="00A27896" w:rsidRDefault="005C239B" w:rsidP="005C239B">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Izdevumi</w:t>
            </w:r>
          </w:p>
        </w:tc>
        <w:tc>
          <w:tcPr>
            <w:tcW w:w="1161" w:type="dxa"/>
            <w:gridSpan w:val="2"/>
            <w:vAlign w:val="center"/>
          </w:tcPr>
          <w:p w14:paraId="3CCF2B9F" w14:textId="3115466E" w:rsidR="005C239B" w:rsidRPr="00A27896" w:rsidRDefault="005C239B" w:rsidP="005C239B">
            <w:pPr>
              <w:spacing w:after="0" w:line="240" w:lineRule="auto"/>
              <w:ind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x</w:t>
            </w:r>
          </w:p>
        </w:tc>
        <w:tc>
          <w:tcPr>
            <w:tcW w:w="1107" w:type="dxa"/>
            <w:vAlign w:val="center"/>
          </w:tcPr>
          <w:p w14:paraId="72C9451B" w14:textId="183BAFCC" w:rsidR="005C239B" w:rsidRPr="00A27896" w:rsidRDefault="005C239B" w:rsidP="005C239B">
            <w:pPr>
              <w:spacing w:after="0" w:line="240" w:lineRule="auto"/>
              <w:ind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x</w:t>
            </w:r>
          </w:p>
        </w:tc>
        <w:tc>
          <w:tcPr>
            <w:tcW w:w="1276" w:type="dxa"/>
            <w:gridSpan w:val="2"/>
            <w:vAlign w:val="center"/>
          </w:tcPr>
          <w:p w14:paraId="2E6D0E8D" w14:textId="3F3219CE" w:rsidR="005C239B" w:rsidRPr="00A27896" w:rsidRDefault="005C239B" w:rsidP="005C239B">
            <w:pPr>
              <w:spacing w:after="0" w:line="240" w:lineRule="auto"/>
              <w:ind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4 481 447</w:t>
            </w:r>
          </w:p>
        </w:tc>
        <w:tc>
          <w:tcPr>
            <w:tcW w:w="992" w:type="dxa"/>
            <w:gridSpan w:val="2"/>
            <w:shd w:val="clear" w:color="auto" w:fill="auto"/>
            <w:vAlign w:val="center"/>
          </w:tcPr>
          <w:p w14:paraId="28D406E0" w14:textId="0014D4DF" w:rsidR="005C239B" w:rsidRPr="00A27896" w:rsidRDefault="005C239B" w:rsidP="005C239B">
            <w:pPr>
              <w:spacing w:after="0" w:line="240" w:lineRule="auto"/>
              <w:ind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605 299</w:t>
            </w:r>
          </w:p>
        </w:tc>
        <w:tc>
          <w:tcPr>
            <w:tcW w:w="1134" w:type="dxa"/>
            <w:gridSpan w:val="2"/>
            <w:shd w:val="clear" w:color="auto" w:fill="auto"/>
            <w:vAlign w:val="center"/>
          </w:tcPr>
          <w:p w14:paraId="69187612" w14:textId="3A372B1B" w:rsidR="005C239B" w:rsidRPr="00A27896" w:rsidRDefault="005C239B" w:rsidP="005C239B">
            <w:pPr>
              <w:spacing w:after="0" w:line="240" w:lineRule="auto"/>
              <w:ind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620 876</w:t>
            </w:r>
          </w:p>
        </w:tc>
        <w:tc>
          <w:tcPr>
            <w:tcW w:w="1134" w:type="dxa"/>
            <w:shd w:val="clear" w:color="auto" w:fill="auto"/>
            <w:vAlign w:val="center"/>
          </w:tcPr>
          <w:p w14:paraId="6A76814E" w14:textId="717D7835" w:rsidR="005C239B" w:rsidRPr="00A27896" w:rsidRDefault="005C239B" w:rsidP="005C239B">
            <w:pPr>
              <w:spacing w:after="0" w:line="240" w:lineRule="auto"/>
              <w:ind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637 232</w:t>
            </w:r>
          </w:p>
        </w:tc>
      </w:tr>
      <w:tr w:rsidR="000C1009" w:rsidRPr="00A27896" w14:paraId="16389C52" w14:textId="77777777" w:rsidTr="00163BA8">
        <w:trPr>
          <w:trHeight w:val="60"/>
        </w:trPr>
        <w:tc>
          <w:tcPr>
            <w:tcW w:w="1858" w:type="dxa"/>
            <w:shd w:val="clear" w:color="auto" w:fill="B9CDE5"/>
            <w:vAlign w:val="center"/>
          </w:tcPr>
          <w:p w14:paraId="436D93CD" w14:textId="77777777" w:rsidR="003569CE" w:rsidRPr="00A27896" w:rsidRDefault="003569CE" w:rsidP="001F557E">
            <w:pPr>
              <w:spacing w:after="0" w:line="240" w:lineRule="auto"/>
              <w:rPr>
                <w:rFonts w:eastAsia="Times New Roman" w:cs="Times New Roman"/>
                <w:color w:val="17365D"/>
                <w:sz w:val="18"/>
                <w:szCs w:val="18"/>
                <w:lang w:eastAsia="lv-LV"/>
              </w:rPr>
            </w:pPr>
          </w:p>
        </w:tc>
        <w:tc>
          <w:tcPr>
            <w:tcW w:w="1504" w:type="dxa"/>
            <w:gridSpan w:val="2"/>
            <w:shd w:val="clear" w:color="auto" w:fill="B9CDE5"/>
            <w:vAlign w:val="center"/>
            <w:hideMark/>
          </w:tcPr>
          <w:p w14:paraId="276A4666" w14:textId="4FDB13E9" w:rsidR="003569CE" w:rsidRPr="00A27896" w:rsidRDefault="003569CE" w:rsidP="001F557E">
            <w:pPr>
              <w:spacing w:after="0" w:line="240" w:lineRule="auto"/>
              <w:rPr>
                <w:rFonts w:eastAsia="Times New Roman" w:cs="Times New Roman"/>
                <w:color w:val="17365D"/>
                <w:sz w:val="18"/>
                <w:szCs w:val="18"/>
                <w:lang w:eastAsia="lv-LV"/>
              </w:rPr>
            </w:pPr>
          </w:p>
        </w:tc>
        <w:tc>
          <w:tcPr>
            <w:tcW w:w="1458" w:type="dxa"/>
            <w:gridSpan w:val="2"/>
            <w:shd w:val="clear" w:color="auto" w:fill="B9CDE5"/>
            <w:vAlign w:val="center"/>
          </w:tcPr>
          <w:p w14:paraId="0777E6B1" w14:textId="77777777" w:rsidR="003569CE" w:rsidRPr="00A27896" w:rsidRDefault="003569CE" w:rsidP="001F557E">
            <w:pPr>
              <w:spacing w:after="0" w:line="240" w:lineRule="auto"/>
              <w:jc w:val="center"/>
              <w:rPr>
                <w:rFonts w:eastAsia="Times New Roman" w:cs="Times New Roman"/>
                <w:color w:val="17365D"/>
                <w:sz w:val="18"/>
                <w:szCs w:val="18"/>
                <w:lang w:eastAsia="lv-LV"/>
              </w:rPr>
            </w:pPr>
          </w:p>
        </w:tc>
        <w:tc>
          <w:tcPr>
            <w:tcW w:w="649" w:type="dxa"/>
            <w:shd w:val="clear" w:color="auto" w:fill="B9CDE5"/>
            <w:vAlign w:val="center"/>
          </w:tcPr>
          <w:p w14:paraId="5BDAE250" w14:textId="2116EC67" w:rsidR="003569CE" w:rsidRPr="00A27896" w:rsidRDefault="003569CE" w:rsidP="001F557E">
            <w:pPr>
              <w:spacing w:after="0" w:line="240" w:lineRule="auto"/>
              <w:jc w:val="center"/>
              <w:rPr>
                <w:rFonts w:eastAsia="Times New Roman" w:cs="Times New Roman"/>
                <w:color w:val="17365D"/>
                <w:sz w:val="18"/>
                <w:szCs w:val="18"/>
                <w:lang w:eastAsia="lv-LV"/>
              </w:rPr>
            </w:pPr>
          </w:p>
        </w:tc>
        <w:tc>
          <w:tcPr>
            <w:tcW w:w="1340" w:type="dxa"/>
            <w:gridSpan w:val="2"/>
            <w:shd w:val="clear" w:color="auto" w:fill="B9CDE5"/>
            <w:noWrap/>
            <w:vAlign w:val="center"/>
            <w:hideMark/>
          </w:tcPr>
          <w:p w14:paraId="41144F93" w14:textId="2297BD52" w:rsidR="003569CE" w:rsidRPr="00A27896" w:rsidRDefault="003569CE" w:rsidP="001F557E">
            <w:pPr>
              <w:spacing w:after="0" w:line="240" w:lineRule="auto"/>
              <w:jc w:val="center"/>
              <w:rPr>
                <w:rFonts w:eastAsia="Times New Roman" w:cs="Times New Roman"/>
                <w:color w:val="17365D"/>
                <w:sz w:val="18"/>
                <w:szCs w:val="18"/>
                <w:lang w:eastAsia="lv-LV"/>
              </w:rPr>
            </w:pPr>
          </w:p>
        </w:tc>
        <w:tc>
          <w:tcPr>
            <w:tcW w:w="1036" w:type="dxa"/>
            <w:gridSpan w:val="2"/>
            <w:shd w:val="clear" w:color="auto" w:fill="B9CDE5"/>
            <w:noWrap/>
            <w:vAlign w:val="center"/>
            <w:hideMark/>
          </w:tcPr>
          <w:p w14:paraId="433D8DF3" w14:textId="3246A6F1" w:rsidR="003569CE" w:rsidRPr="00A27896" w:rsidRDefault="003569CE" w:rsidP="001F557E">
            <w:pPr>
              <w:spacing w:after="0" w:line="240" w:lineRule="auto"/>
              <w:jc w:val="right"/>
              <w:rPr>
                <w:rFonts w:eastAsia="Times New Roman" w:cs="Times New Roman"/>
                <w:color w:val="17365D"/>
                <w:sz w:val="18"/>
                <w:szCs w:val="18"/>
                <w:lang w:eastAsia="lv-LV"/>
              </w:rPr>
            </w:pPr>
          </w:p>
        </w:tc>
        <w:tc>
          <w:tcPr>
            <w:tcW w:w="1522" w:type="dxa"/>
            <w:gridSpan w:val="3"/>
            <w:shd w:val="clear" w:color="auto" w:fill="B9CDE5"/>
            <w:noWrap/>
            <w:vAlign w:val="center"/>
            <w:hideMark/>
          </w:tcPr>
          <w:p w14:paraId="2B7B6B0F" w14:textId="5B7F2F36" w:rsidR="003569CE" w:rsidRPr="00A27896" w:rsidRDefault="003569CE" w:rsidP="00790209">
            <w:pPr>
              <w:spacing w:after="0" w:line="240" w:lineRule="auto"/>
              <w:jc w:val="center"/>
              <w:rPr>
                <w:rFonts w:eastAsia="Times New Roman" w:cs="Times New Roman"/>
                <w:color w:val="17365D"/>
                <w:sz w:val="18"/>
                <w:szCs w:val="18"/>
                <w:lang w:eastAsia="lv-LV"/>
              </w:rPr>
            </w:pPr>
          </w:p>
        </w:tc>
      </w:tr>
    </w:tbl>
    <w:p w14:paraId="0D09D8D6" w14:textId="0F57018F" w:rsidR="00743E0E" w:rsidRPr="00A27896" w:rsidRDefault="00743E0E" w:rsidP="000229AE">
      <w:pPr>
        <w:pStyle w:val="Heading4"/>
        <w:rPr>
          <w:rFonts w:cs="Times New Roman"/>
        </w:rPr>
      </w:pPr>
      <w:r w:rsidRPr="00A27896">
        <w:rPr>
          <w:rFonts w:cs="Times New Roman"/>
        </w:rPr>
        <w:t xml:space="preserve">Piezīme </w:t>
      </w:r>
      <w:r w:rsidR="00AC754B" w:rsidRPr="00A27896">
        <w:rPr>
          <w:rFonts w:cs="Times New Roman"/>
        </w:rPr>
        <w:t xml:space="preserve">Nr. </w:t>
      </w:r>
      <w:r w:rsidRPr="00A27896">
        <w:rPr>
          <w:rFonts w:cs="Times New Roman"/>
        </w:rPr>
        <w:t xml:space="preserve">V8. Informācija par </w:t>
      </w:r>
      <w:r w:rsidR="00890698" w:rsidRPr="00A27896">
        <w:rPr>
          <w:rFonts w:cs="Times New Roman"/>
        </w:rPr>
        <w:t xml:space="preserve">radniecīgo un asociēto </w:t>
      </w:r>
      <w:r w:rsidRPr="00A27896">
        <w:rPr>
          <w:rFonts w:cs="Times New Roman"/>
        </w:rPr>
        <w:t>kapitālsabiedrību pārvaldību</w:t>
      </w:r>
    </w:p>
    <w:p w14:paraId="72472759" w14:textId="1530D3BF" w:rsidR="004A0420" w:rsidRPr="00A27896" w:rsidRDefault="0019458D" w:rsidP="0019458D">
      <w:pPr>
        <w:spacing w:after="0" w:line="240" w:lineRule="auto"/>
        <w:jc w:val="both"/>
        <w:rPr>
          <w:rFonts w:cs="Times New Roman"/>
          <w:color w:val="17365D"/>
          <w:szCs w:val="24"/>
        </w:rPr>
      </w:pPr>
      <w:r w:rsidRPr="00A27896">
        <w:rPr>
          <w:rFonts w:cs="Times New Roman"/>
          <w:color w:val="17365D"/>
          <w:szCs w:val="24"/>
        </w:rPr>
        <w:t xml:space="preserve">Saskaņā ar </w:t>
      </w:r>
      <w:r w:rsidR="009373AF" w:rsidRPr="00A27896">
        <w:rPr>
          <w:rFonts w:cs="Times New Roman"/>
          <w:color w:val="17365D"/>
          <w:szCs w:val="24"/>
        </w:rPr>
        <w:t>ministriju</w:t>
      </w:r>
      <w:r w:rsidRPr="00A27896">
        <w:rPr>
          <w:rFonts w:cs="Times New Roman"/>
          <w:color w:val="17365D"/>
          <w:szCs w:val="24"/>
        </w:rPr>
        <w:t xml:space="preserve"> un pašvaldību sniegto informāciju </w:t>
      </w:r>
      <w:r w:rsidR="00934C2E" w:rsidRPr="00A27896">
        <w:rPr>
          <w:rFonts w:cs="Times New Roman"/>
          <w:color w:val="17365D"/>
          <w:szCs w:val="24"/>
        </w:rPr>
        <w:t>nākamajos pārskata gados plānot</w:t>
      </w:r>
      <w:r w:rsidR="004A0420" w:rsidRPr="00A27896">
        <w:rPr>
          <w:rFonts w:cs="Times New Roman"/>
          <w:color w:val="17365D"/>
          <w:szCs w:val="24"/>
        </w:rPr>
        <w:t>ais</w:t>
      </w:r>
      <w:r w:rsidR="00934C2E" w:rsidRPr="00A27896">
        <w:rPr>
          <w:rFonts w:cs="Times New Roman"/>
          <w:color w:val="17365D"/>
          <w:szCs w:val="24"/>
        </w:rPr>
        <w:t xml:space="preserve"> </w:t>
      </w:r>
      <w:r w:rsidR="004A0420" w:rsidRPr="00A27896">
        <w:rPr>
          <w:rFonts w:cs="Times New Roman"/>
          <w:color w:val="17365D"/>
          <w:szCs w:val="24"/>
        </w:rPr>
        <w:t xml:space="preserve">finansējums </w:t>
      </w:r>
      <w:r w:rsidR="00934C2E" w:rsidRPr="00A27896">
        <w:rPr>
          <w:rFonts w:cs="Times New Roman"/>
          <w:color w:val="17365D"/>
          <w:szCs w:val="24"/>
        </w:rPr>
        <w:t>kapitālsabiedr</w:t>
      </w:r>
      <w:r w:rsidR="004A0420" w:rsidRPr="00A27896">
        <w:rPr>
          <w:rFonts w:cs="Times New Roman"/>
          <w:color w:val="17365D"/>
          <w:szCs w:val="24"/>
        </w:rPr>
        <w:t>ībām</w:t>
      </w:r>
      <w:r w:rsidR="00934C2E" w:rsidRPr="00A27896">
        <w:rPr>
          <w:rFonts w:cs="Times New Roman"/>
          <w:color w:val="17365D"/>
          <w:szCs w:val="24"/>
        </w:rPr>
        <w:t xml:space="preserve"> </w:t>
      </w:r>
      <w:r w:rsidR="004A0420" w:rsidRPr="00A27896">
        <w:rPr>
          <w:rFonts w:cs="Times New Roman"/>
          <w:color w:val="17365D"/>
          <w:szCs w:val="24"/>
        </w:rPr>
        <w:t xml:space="preserve"> ir apkopots </w:t>
      </w:r>
      <w:r w:rsidRPr="00A27896">
        <w:rPr>
          <w:rFonts w:cs="Times New Roman"/>
          <w:color w:val="17365D"/>
          <w:szCs w:val="24"/>
        </w:rPr>
        <w:t>3</w:t>
      </w:r>
      <w:r w:rsidR="000229AE" w:rsidRPr="00A27896">
        <w:rPr>
          <w:rFonts w:cs="Times New Roman"/>
          <w:color w:val="17365D"/>
          <w:szCs w:val="24"/>
        </w:rPr>
        <w:t>1</w:t>
      </w:r>
      <w:r w:rsidRPr="00A27896">
        <w:rPr>
          <w:rFonts w:cs="Times New Roman"/>
          <w:color w:val="17365D"/>
          <w:szCs w:val="24"/>
        </w:rPr>
        <w:t>.tabulā</w:t>
      </w:r>
      <w:r w:rsidR="004A0420" w:rsidRPr="00A27896">
        <w:rPr>
          <w:rFonts w:cs="Times New Roman"/>
          <w:color w:val="17365D"/>
          <w:szCs w:val="24"/>
        </w:rPr>
        <w:t>:</w:t>
      </w:r>
      <w:r w:rsidRPr="00A27896">
        <w:rPr>
          <w:rFonts w:cs="Times New Roman"/>
          <w:color w:val="17365D"/>
          <w:szCs w:val="24"/>
        </w:rPr>
        <w:t xml:space="preserve"> </w:t>
      </w:r>
    </w:p>
    <w:p w14:paraId="5AD5CB8B" w14:textId="77777777" w:rsidR="004A0420" w:rsidRPr="00A27896" w:rsidRDefault="004A0420" w:rsidP="004A0420">
      <w:pPr>
        <w:pStyle w:val="Tabulasnosaukums1"/>
        <w:spacing w:before="120" w:line="240" w:lineRule="auto"/>
        <w:rPr>
          <w:rFonts w:cs="Times New Roman"/>
          <w:color w:val="17365D"/>
        </w:rPr>
      </w:pPr>
      <w:r w:rsidRPr="00A27896">
        <w:rPr>
          <w:rFonts w:cs="Times New Roman"/>
          <w:i/>
          <w:color w:val="17365D"/>
          <w:szCs w:val="22"/>
        </w:rPr>
        <w:t>31. tabula. Informācija par kapitālsabiedrību pārvaldību (</w:t>
      </w:r>
      <w:proofErr w:type="spellStart"/>
      <w:r w:rsidRPr="00A27896">
        <w:rPr>
          <w:rFonts w:cs="Times New Roman"/>
          <w:i/>
          <w:color w:val="17365D"/>
          <w:szCs w:val="22"/>
        </w:rPr>
        <w:t>euro</w:t>
      </w:r>
      <w:proofErr w:type="spellEnd"/>
      <w:r w:rsidRPr="00A27896">
        <w:rPr>
          <w:rFonts w:cs="Times New Roman"/>
          <w:i/>
          <w:color w:val="17365D"/>
          <w:szCs w:val="22"/>
        </w:rPr>
        <w:t>)</w:t>
      </w:r>
    </w:p>
    <w:tbl>
      <w:tblPr>
        <w:tblW w:w="9355" w:type="dxa"/>
        <w:tblBorders>
          <w:insideH w:val="single" w:sz="4" w:space="0" w:color="17365D"/>
        </w:tblBorders>
        <w:tblLook w:val="04A0" w:firstRow="1" w:lastRow="0" w:firstColumn="1" w:lastColumn="0" w:noHBand="0" w:noVBand="1"/>
      </w:tblPr>
      <w:tblGrid>
        <w:gridCol w:w="3402"/>
        <w:gridCol w:w="2551"/>
        <w:gridCol w:w="1701"/>
        <w:gridCol w:w="1701"/>
      </w:tblGrid>
      <w:tr w:rsidR="004A0420" w:rsidRPr="00A27896" w14:paraId="046410CA" w14:textId="77777777" w:rsidTr="00685872">
        <w:trPr>
          <w:trHeight w:val="329"/>
        </w:trPr>
        <w:tc>
          <w:tcPr>
            <w:tcW w:w="3402" w:type="dxa"/>
            <w:vMerge w:val="restart"/>
            <w:shd w:val="clear" w:color="000000" w:fill="B9CDE5"/>
            <w:vAlign w:val="center"/>
            <w:hideMark/>
          </w:tcPr>
          <w:p w14:paraId="56EE6B03"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Finansējuma veids</w:t>
            </w:r>
          </w:p>
        </w:tc>
        <w:tc>
          <w:tcPr>
            <w:tcW w:w="5953" w:type="dxa"/>
            <w:gridSpan w:val="3"/>
            <w:shd w:val="clear" w:color="000000" w:fill="B9CDE5"/>
            <w:vAlign w:val="center"/>
            <w:hideMark/>
          </w:tcPr>
          <w:p w14:paraId="138C31ED"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Apstiprinātais finansējums</w:t>
            </w:r>
          </w:p>
        </w:tc>
      </w:tr>
      <w:tr w:rsidR="004A0420" w:rsidRPr="00A27896" w14:paraId="6956BED8" w14:textId="77777777" w:rsidTr="00F86B01">
        <w:trPr>
          <w:trHeight w:val="270"/>
        </w:trPr>
        <w:tc>
          <w:tcPr>
            <w:tcW w:w="3402" w:type="dxa"/>
            <w:vMerge/>
            <w:vAlign w:val="center"/>
            <w:hideMark/>
          </w:tcPr>
          <w:p w14:paraId="0DE4D7FF" w14:textId="77777777" w:rsidR="004A0420" w:rsidRPr="00A27896" w:rsidRDefault="004A0420" w:rsidP="00F86B01">
            <w:pPr>
              <w:spacing w:after="0" w:line="240" w:lineRule="auto"/>
              <w:rPr>
                <w:rFonts w:eastAsia="Times New Roman" w:cs="Times New Roman"/>
                <w:b/>
                <w:bCs/>
                <w:color w:val="17365D"/>
                <w:sz w:val="18"/>
                <w:szCs w:val="18"/>
                <w:lang w:eastAsia="lv-LV"/>
              </w:rPr>
            </w:pPr>
          </w:p>
        </w:tc>
        <w:tc>
          <w:tcPr>
            <w:tcW w:w="2551" w:type="dxa"/>
            <w:shd w:val="clear" w:color="000000" w:fill="B9CDE5"/>
            <w:vAlign w:val="center"/>
            <w:hideMark/>
          </w:tcPr>
          <w:p w14:paraId="1F3F1779"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2023 </w:t>
            </w:r>
          </w:p>
        </w:tc>
        <w:tc>
          <w:tcPr>
            <w:tcW w:w="1701" w:type="dxa"/>
            <w:shd w:val="clear" w:color="000000" w:fill="B9CDE5"/>
            <w:vAlign w:val="center"/>
            <w:hideMark/>
          </w:tcPr>
          <w:p w14:paraId="52743B85"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2024</w:t>
            </w:r>
          </w:p>
        </w:tc>
        <w:tc>
          <w:tcPr>
            <w:tcW w:w="1701" w:type="dxa"/>
            <w:shd w:val="clear" w:color="000000" w:fill="B9CDE5"/>
            <w:vAlign w:val="center"/>
            <w:hideMark/>
          </w:tcPr>
          <w:p w14:paraId="501C50DB"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2025</w:t>
            </w:r>
          </w:p>
        </w:tc>
      </w:tr>
      <w:tr w:rsidR="004A0420" w:rsidRPr="00A27896" w14:paraId="5BFA6034" w14:textId="77777777" w:rsidTr="00685872">
        <w:trPr>
          <w:trHeight w:val="118"/>
        </w:trPr>
        <w:tc>
          <w:tcPr>
            <w:tcW w:w="3402" w:type="dxa"/>
            <w:shd w:val="clear" w:color="auto" w:fill="auto"/>
            <w:vAlign w:val="center"/>
            <w:hideMark/>
          </w:tcPr>
          <w:p w14:paraId="3FE443C7"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2551" w:type="dxa"/>
            <w:shd w:val="clear" w:color="auto" w:fill="auto"/>
            <w:vAlign w:val="center"/>
            <w:hideMark/>
          </w:tcPr>
          <w:p w14:paraId="330904EE"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701" w:type="dxa"/>
            <w:shd w:val="clear" w:color="auto" w:fill="auto"/>
            <w:vAlign w:val="center"/>
            <w:hideMark/>
          </w:tcPr>
          <w:p w14:paraId="7C0EFDEB"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701" w:type="dxa"/>
            <w:shd w:val="clear" w:color="auto" w:fill="auto"/>
            <w:vAlign w:val="center"/>
            <w:hideMark/>
          </w:tcPr>
          <w:p w14:paraId="663009F1"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r>
      <w:tr w:rsidR="004A0420" w:rsidRPr="00A27896" w14:paraId="67483ADC" w14:textId="77777777" w:rsidTr="00685872">
        <w:trPr>
          <w:trHeight w:val="288"/>
        </w:trPr>
        <w:tc>
          <w:tcPr>
            <w:tcW w:w="3402" w:type="dxa"/>
            <w:shd w:val="clear" w:color="auto" w:fill="auto"/>
            <w:vAlign w:val="center"/>
            <w:hideMark/>
          </w:tcPr>
          <w:p w14:paraId="2F499C2F" w14:textId="77777777" w:rsidR="004A0420" w:rsidRPr="00A27896" w:rsidRDefault="004A0420" w:rsidP="00F86B0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Aizņēmums</w:t>
            </w:r>
            <w:r w:rsidRPr="00A27896">
              <w:rPr>
                <w:rFonts w:cs="Times New Roman"/>
                <w:color w:val="17365D"/>
              </w:rPr>
              <w:t xml:space="preserve"> </w:t>
            </w:r>
            <w:r w:rsidRPr="00A27896">
              <w:rPr>
                <w:rFonts w:eastAsia="Times New Roman" w:cs="Times New Roman"/>
                <w:color w:val="17365D"/>
                <w:sz w:val="18"/>
                <w:szCs w:val="18"/>
                <w:lang w:eastAsia="lv-LV"/>
              </w:rPr>
              <w:t>no valsts budžeta vai komercbankām</w:t>
            </w:r>
          </w:p>
        </w:tc>
        <w:tc>
          <w:tcPr>
            <w:tcW w:w="2551" w:type="dxa"/>
            <w:shd w:val="clear" w:color="auto" w:fill="auto"/>
            <w:vAlign w:val="center"/>
            <w:hideMark/>
          </w:tcPr>
          <w:p w14:paraId="35F98321" w14:textId="77777777" w:rsidR="004A0420" w:rsidRPr="00A27896" w:rsidRDefault="004A0420" w:rsidP="00F86B0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713 873 262</w:t>
            </w:r>
          </w:p>
        </w:tc>
        <w:tc>
          <w:tcPr>
            <w:tcW w:w="1701" w:type="dxa"/>
            <w:shd w:val="clear" w:color="auto" w:fill="auto"/>
            <w:vAlign w:val="center"/>
            <w:hideMark/>
          </w:tcPr>
          <w:p w14:paraId="40284A7A" w14:textId="77777777" w:rsidR="004A0420" w:rsidRPr="00A27896" w:rsidRDefault="004A0420" w:rsidP="00F86B0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785 049 141</w:t>
            </w:r>
          </w:p>
        </w:tc>
        <w:tc>
          <w:tcPr>
            <w:tcW w:w="1701" w:type="dxa"/>
            <w:shd w:val="clear" w:color="auto" w:fill="auto"/>
            <w:vAlign w:val="center"/>
            <w:hideMark/>
          </w:tcPr>
          <w:p w14:paraId="64BDFAB7" w14:textId="77777777" w:rsidR="004A0420" w:rsidRPr="00A27896" w:rsidRDefault="004A0420" w:rsidP="00F86B0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993 940 093</w:t>
            </w:r>
          </w:p>
        </w:tc>
      </w:tr>
      <w:tr w:rsidR="004A0420" w:rsidRPr="00A27896" w14:paraId="26DC0CA9" w14:textId="77777777" w:rsidTr="00F86B01">
        <w:trPr>
          <w:trHeight w:val="138"/>
        </w:trPr>
        <w:tc>
          <w:tcPr>
            <w:tcW w:w="3402" w:type="dxa"/>
            <w:shd w:val="clear" w:color="auto" w:fill="auto"/>
            <w:vAlign w:val="center"/>
            <w:hideMark/>
          </w:tcPr>
          <w:p w14:paraId="5906F7D7" w14:textId="77777777" w:rsidR="004A0420" w:rsidRPr="00A27896" w:rsidRDefault="004A0420" w:rsidP="00F86B0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Subsīdijas, dotācijas, ieguldījums kapitālā</w:t>
            </w:r>
          </w:p>
        </w:tc>
        <w:tc>
          <w:tcPr>
            <w:tcW w:w="2551" w:type="dxa"/>
            <w:shd w:val="clear" w:color="auto" w:fill="auto"/>
            <w:hideMark/>
          </w:tcPr>
          <w:p w14:paraId="7B5EDED9" w14:textId="77777777" w:rsidR="004A0420" w:rsidRPr="00A27896" w:rsidRDefault="004A0420" w:rsidP="00F86B0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1 169 037 655</w:t>
            </w:r>
          </w:p>
        </w:tc>
        <w:tc>
          <w:tcPr>
            <w:tcW w:w="1701" w:type="dxa"/>
            <w:shd w:val="clear" w:color="auto" w:fill="auto"/>
            <w:hideMark/>
          </w:tcPr>
          <w:p w14:paraId="019832AE" w14:textId="77777777" w:rsidR="004A0420" w:rsidRPr="00A27896" w:rsidRDefault="004A0420" w:rsidP="00F86B0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517 297 604</w:t>
            </w:r>
          </w:p>
        </w:tc>
        <w:tc>
          <w:tcPr>
            <w:tcW w:w="1701" w:type="dxa"/>
            <w:shd w:val="clear" w:color="auto" w:fill="auto"/>
            <w:hideMark/>
          </w:tcPr>
          <w:p w14:paraId="46DCFCD3" w14:textId="77777777" w:rsidR="004A0420" w:rsidRPr="00A27896" w:rsidRDefault="004A0420" w:rsidP="00F86B0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481 146 902</w:t>
            </w:r>
          </w:p>
        </w:tc>
      </w:tr>
      <w:tr w:rsidR="004A0420" w:rsidRPr="00A27896" w14:paraId="3FA7D9E9" w14:textId="77777777" w:rsidTr="00F86B01">
        <w:trPr>
          <w:trHeight w:val="198"/>
        </w:trPr>
        <w:tc>
          <w:tcPr>
            <w:tcW w:w="3402" w:type="dxa"/>
            <w:shd w:val="clear" w:color="auto" w:fill="auto"/>
            <w:vAlign w:val="center"/>
            <w:hideMark/>
          </w:tcPr>
          <w:p w14:paraId="62DE84D0" w14:textId="77777777" w:rsidR="004A0420" w:rsidRPr="00A27896" w:rsidRDefault="004A0420" w:rsidP="00F86B0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Pārējais finansējums</w:t>
            </w:r>
          </w:p>
        </w:tc>
        <w:tc>
          <w:tcPr>
            <w:tcW w:w="2551" w:type="dxa"/>
            <w:shd w:val="clear" w:color="auto" w:fill="auto"/>
            <w:vAlign w:val="center"/>
            <w:hideMark/>
          </w:tcPr>
          <w:p w14:paraId="0D99FC1A" w14:textId="77777777" w:rsidR="004A0420" w:rsidRPr="00A27896" w:rsidRDefault="004A0420" w:rsidP="00F86B0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106 255</w:t>
            </w:r>
          </w:p>
        </w:tc>
        <w:tc>
          <w:tcPr>
            <w:tcW w:w="1701" w:type="dxa"/>
            <w:shd w:val="clear" w:color="auto" w:fill="auto"/>
            <w:vAlign w:val="center"/>
            <w:hideMark/>
          </w:tcPr>
          <w:p w14:paraId="6769316F" w14:textId="77777777" w:rsidR="004A0420" w:rsidRPr="00A27896" w:rsidRDefault="004A0420" w:rsidP="00F86B0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701" w:type="dxa"/>
            <w:shd w:val="clear" w:color="auto" w:fill="auto"/>
            <w:vAlign w:val="center"/>
            <w:hideMark/>
          </w:tcPr>
          <w:p w14:paraId="499A4DCF" w14:textId="77777777" w:rsidR="004A0420" w:rsidRPr="00A27896" w:rsidRDefault="004A0420" w:rsidP="00F86B01">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4A0420" w:rsidRPr="00A27896" w14:paraId="012ED6ED" w14:textId="77777777" w:rsidTr="00F86B01">
        <w:trPr>
          <w:trHeight w:val="255"/>
        </w:trPr>
        <w:tc>
          <w:tcPr>
            <w:tcW w:w="3402" w:type="dxa"/>
            <w:shd w:val="clear" w:color="000000" w:fill="B9CDE5"/>
            <w:vAlign w:val="center"/>
            <w:hideMark/>
          </w:tcPr>
          <w:p w14:paraId="255FA613" w14:textId="77777777" w:rsidR="004A0420" w:rsidRPr="00A27896" w:rsidRDefault="004A0420" w:rsidP="00F86B01">
            <w:pPr>
              <w:spacing w:after="0" w:line="240" w:lineRule="auto"/>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w:t>
            </w:r>
          </w:p>
        </w:tc>
        <w:tc>
          <w:tcPr>
            <w:tcW w:w="2551" w:type="dxa"/>
            <w:shd w:val="clear" w:color="000000" w:fill="B9CDE5"/>
            <w:hideMark/>
          </w:tcPr>
          <w:p w14:paraId="6172E5FE" w14:textId="77777777" w:rsidR="004A0420" w:rsidRPr="00A27896" w:rsidRDefault="004A0420" w:rsidP="00F86B01">
            <w:pPr>
              <w:spacing w:after="0" w:line="240" w:lineRule="auto"/>
              <w:jc w:val="right"/>
              <w:rPr>
                <w:rFonts w:cs="Times New Roman"/>
                <w:b/>
                <w:bCs/>
                <w:color w:val="17365D"/>
                <w:sz w:val="18"/>
                <w:szCs w:val="18"/>
              </w:rPr>
            </w:pPr>
            <w:r w:rsidRPr="00A27896">
              <w:rPr>
                <w:rFonts w:cs="Times New Roman"/>
                <w:b/>
                <w:bCs/>
                <w:color w:val="17365D"/>
                <w:sz w:val="18"/>
                <w:szCs w:val="18"/>
              </w:rPr>
              <w:t>1 883 017 172</w:t>
            </w:r>
          </w:p>
        </w:tc>
        <w:tc>
          <w:tcPr>
            <w:tcW w:w="1701" w:type="dxa"/>
            <w:shd w:val="clear" w:color="000000" w:fill="B9CDE5"/>
            <w:hideMark/>
          </w:tcPr>
          <w:p w14:paraId="0FEE18DE" w14:textId="77777777" w:rsidR="004A0420" w:rsidRPr="00A27896" w:rsidRDefault="004A0420" w:rsidP="00F86B01">
            <w:pPr>
              <w:spacing w:after="0" w:line="240" w:lineRule="auto"/>
              <w:jc w:val="right"/>
              <w:rPr>
                <w:rFonts w:cs="Times New Roman"/>
                <w:b/>
                <w:bCs/>
                <w:color w:val="17365D"/>
                <w:sz w:val="18"/>
                <w:szCs w:val="18"/>
              </w:rPr>
            </w:pPr>
            <w:r w:rsidRPr="00A27896">
              <w:rPr>
                <w:rFonts w:cs="Times New Roman"/>
                <w:b/>
                <w:bCs/>
                <w:color w:val="17365D"/>
                <w:sz w:val="18"/>
                <w:szCs w:val="18"/>
              </w:rPr>
              <w:t>1 302 346 745</w:t>
            </w:r>
          </w:p>
        </w:tc>
        <w:tc>
          <w:tcPr>
            <w:tcW w:w="1701" w:type="dxa"/>
            <w:shd w:val="clear" w:color="000000" w:fill="B9CDE5"/>
            <w:hideMark/>
          </w:tcPr>
          <w:p w14:paraId="3C3CBD16" w14:textId="77777777" w:rsidR="004A0420" w:rsidRPr="00A27896" w:rsidRDefault="004A0420" w:rsidP="00F86B01">
            <w:pPr>
              <w:spacing w:after="0" w:line="240" w:lineRule="auto"/>
              <w:jc w:val="right"/>
              <w:rPr>
                <w:rFonts w:cs="Times New Roman"/>
                <w:b/>
                <w:bCs/>
                <w:color w:val="17365D"/>
                <w:sz w:val="18"/>
                <w:szCs w:val="18"/>
              </w:rPr>
            </w:pPr>
            <w:r w:rsidRPr="00A27896">
              <w:rPr>
                <w:rFonts w:cs="Times New Roman"/>
                <w:b/>
                <w:bCs/>
                <w:color w:val="17365D"/>
                <w:sz w:val="18"/>
                <w:szCs w:val="18"/>
              </w:rPr>
              <w:t>1 475 086 995</w:t>
            </w:r>
          </w:p>
        </w:tc>
      </w:tr>
    </w:tbl>
    <w:p w14:paraId="7CF80515" w14:textId="77777777" w:rsidR="004A0420" w:rsidRPr="00A27896" w:rsidRDefault="004A0420" w:rsidP="004A0420">
      <w:pPr>
        <w:pStyle w:val="Pamatteksts"/>
        <w:spacing w:after="0"/>
        <w:rPr>
          <w:color w:val="17365D"/>
          <w:sz w:val="16"/>
        </w:rPr>
      </w:pPr>
    </w:p>
    <w:p w14:paraId="2FFF62C2" w14:textId="43A64D4E" w:rsidR="0019458D" w:rsidRPr="00A27896" w:rsidRDefault="004A0420" w:rsidP="0019458D">
      <w:pPr>
        <w:spacing w:after="0" w:line="240" w:lineRule="auto"/>
        <w:jc w:val="both"/>
        <w:rPr>
          <w:rFonts w:cs="Times New Roman"/>
          <w:color w:val="17365D"/>
          <w:szCs w:val="24"/>
        </w:rPr>
      </w:pPr>
      <w:r w:rsidRPr="00A27896">
        <w:rPr>
          <w:rFonts w:cs="Times New Roman"/>
          <w:color w:val="17365D"/>
          <w:szCs w:val="24"/>
        </w:rPr>
        <w:t>L</w:t>
      </w:r>
      <w:r w:rsidR="0019458D" w:rsidRPr="00A27896">
        <w:rPr>
          <w:rFonts w:cs="Times New Roman"/>
          <w:color w:val="17365D"/>
          <w:szCs w:val="24"/>
        </w:rPr>
        <w:t>ielākie aizņēmumi nākamajā gadā plānoti:</w:t>
      </w:r>
    </w:p>
    <w:p w14:paraId="0BD4DC1E" w14:textId="4C821E6B" w:rsidR="0019458D" w:rsidRPr="00A27896" w:rsidRDefault="0019458D" w:rsidP="00603FE0">
      <w:pPr>
        <w:pStyle w:val="ListParagraph"/>
        <w:numPr>
          <w:ilvl w:val="0"/>
          <w:numId w:val="30"/>
        </w:numPr>
        <w:spacing w:after="0" w:line="240" w:lineRule="auto"/>
        <w:ind w:left="851"/>
        <w:contextualSpacing w:val="0"/>
        <w:rPr>
          <w:rFonts w:cs="Times New Roman"/>
          <w:color w:val="17365D"/>
          <w:szCs w:val="24"/>
        </w:rPr>
      </w:pPr>
      <w:r w:rsidRPr="00A27896">
        <w:rPr>
          <w:rFonts w:cs="Times New Roman"/>
          <w:color w:val="17365D"/>
          <w:szCs w:val="24"/>
        </w:rPr>
        <w:t xml:space="preserve">AS “Latvenergo” </w:t>
      </w:r>
      <w:r w:rsidR="008F2B8C" w:rsidRPr="00A27896">
        <w:rPr>
          <w:rFonts w:cs="Times New Roman"/>
          <w:color w:val="17365D"/>
          <w:szCs w:val="24"/>
        </w:rPr>
        <w:t xml:space="preserve">570 933 526 </w:t>
      </w:r>
      <w:proofErr w:type="spellStart"/>
      <w:r w:rsidRPr="00A27896">
        <w:rPr>
          <w:rFonts w:cs="Times New Roman"/>
          <w:i/>
          <w:color w:val="17365D"/>
          <w:szCs w:val="24"/>
        </w:rPr>
        <w:t>euro</w:t>
      </w:r>
      <w:proofErr w:type="spellEnd"/>
      <w:r w:rsidRPr="00A27896">
        <w:rPr>
          <w:rFonts w:cs="Times New Roman"/>
          <w:color w:val="17365D"/>
          <w:szCs w:val="24"/>
        </w:rPr>
        <w:t xml:space="preserve"> vērtībā investīciju projektu realizēšanai;</w:t>
      </w:r>
    </w:p>
    <w:p w14:paraId="7D8E0EA4" w14:textId="68A62E4D" w:rsidR="0021162E" w:rsidRPr="00A27896" w:rsidRDefault="0021162E" w:rsidP="00603FE0">
      <w:pPr>
        <w:pStyle w:val="ListParagraph"/>
        <w:numPr>
          <w:ilvl w:val="0"/>
          <w:numId w:val="30"/>
        </w:numPr>
        <w:spacing w:after="0" w:line="240" w:lineRule="auto"/>
        <w:ind w:left="851"/>
        <w:contextualSpacing w:val="0"/>
        <w:rPr>
          <w:rFonts w:cs="Times New Roman"/>
          <w:color w:val="17365D"/>
          <w:szCs w:val="24"/>
        </w:rPr>
      </w:pPr>
      <w:r w:rsidRPr="00A27896">
        <w:rPr>
          <w:rFonts w:cs="Times New Roman"/>
          <w:color w:val="17365D"/>
          <w:szCs w:val="24"/>
        </w:rPr>
        <w:t xml:space="preserve">SIA “Rīgas ūdens” </w:t>
      </w:r>
      <w:r w:rsidR="008F2B8C" w:rsidRPr="00A27896">
        <w:rPr>
          <w:rFonts w:cs="Times New Roman"/>
          <w:color w:val="17365D"/>
          <w:szCs w:val="24"/>
        </w:rPr>
        <w:t>33</w:t>
      </w:r>
      <w:r w:rsidRPr="00A27896">
        <w:rPr>
          <w:rFonts w:cs="Times New Roman"/>
          <w:color w:val="17365D"/>
          <w:szCs w:val="24"/>
        </w:rPr>
        <w:t xml:space="preserve"> 000 000 </w:t>
      </w:r>
      <w:proofErr w:type="spellStart"/>
      <w:r w:rsidRPr="00A27896">
        <w:rPr>
          <w:rFonts w:cs="Times New Roman"/>
          <w:i/>
          <w:color w:val="17365D"/>
          <w:szCs w:val="24"/>
        </w:rPr>
        <w:t>euro</w:t>
      </w:r>
      <w:proofErr w:type="spellEnd"/>
      <w:r w:rsidRPr="00A27896">
        <w:rPr>
          <w:rFonts w:cs="Times New Roman"/>
          <w:i/>
          <w:color w:val="17365D"/>
          <w:szCs w:val="24"/>
        </w:rPr>
        <w:t xml:space="preserve"> </w:t>
      </w:r>
      <w:r w:rsidRPr="00A27896">
        <w:rPr>
          <w:rFonts w:cs="Times New Roman"/>
          <w:color w:val="17365D"/>
          <w:szCs w:val="24"/>
        </w:rPr>
        <w:t>vērtībā ūdenssaimniecības infrastruktūras investīciju projektu finansēšanai;</w:t>
      </w:r>
    </w:p>
    <w:p w14:paraId="3CBE2C87" w14:textId="2D218A71" w:rsidR="007F5DFA" w:rsidRPr="00A27896" w:rsidRDefault="009951EA" w:rsidP="00603FE0">
      <w:pPr>
        <w:pStyle w:val="ListParagraph"/>
        <w:numPr>
          <w:ilvl w:val="0"/>
          <w:numId w:val="30"/>
        </w:numPr>
        <w:spacing w:after="0" w:line="240" w:lineRule="auto"/>
        <w:ind w:left="851"/>
        <w:contextualSpacing w:val="0"/>
        <w:rPr>
          <w:rFonts w:cs="Times New Roman"/>
          <w:color w:val="17365D"/>
          <w:szCs w:val="24"/>
        </w:rPr>
      </w:pPr>
      <w:r w:rsidRPr="00A27896">
        <w:rPr>
          <w:rFonts w:cs="Times New Roman"/>
          <w:color w:val="17365D"/>
          <w:szCs w:val="24"/>
        </w:rPr>
        <w:t xml:space="preserve">AS “Attīstības finanšu institūcija </w:t>
      </w:r>
      <w:proofErr w:type="spellStart"/>
      <w:r w:rsidRPr="00A27896">
        <w:rPr>
          <w:rFonts w:cs="Times New Roman"/>
          <w:color w:val="17365D"/>
          <w:szCs w:val="24"/>
        </w:rPr>
        <w:t>Altum</w:t>
      </w:r>
      <w:proofErr w:type="spellEnd"/>
      <w:r w:rsidRPr="00A27896">
        <w:rPr>
          <w:rFonts w:cs="Times New Roman"/>
          <w:color w:val="17365D"/>
          <w:szCs w:val="24"/>
        </w:rPr>
        <w:t xml:space="preserve">” </w:t>
      </w:r>
      <w:r w:rsidR="007F5DFA" w:rsidRPr="00A27896">
        <w:rPr>
          <w:rFonts w:cs="Times New Roman"/>
          <w:color w:val="17365D"/>
          <w:szCs w:val="24"/>
        </w:rPr>
        <w:t>30</w:t>
      </w:r>
      <w:r w:rsidR="0021162E" w:rsidRPr="00A27896">
        <w:rPr>
          <w:rFonts w:cs="Times New Roman"/>
          <w:color w:val="17365D"/>
          <w:szCs w:val="24"/>
        </w:rPr>
        <w:t> </w:t>
      </w:r>
      <w:r w:rsidR="007F5DFA" w:rsidRPr="00A27896">
        <w:rPr>
          <w:rFonts w:cs="Times New Roman"/>
          <w:color w:val="17365D"/>
          <w:szCs w:val="24"/>
        </w:rPr>
        <w:t>00</w:t>
      </w:r>
      <w:r w:rsidR="0021162E" w:rsidRPr="00A27896">
        <w:rPr>
          <w:rFonts w:cs="Times New Roman"/>
          <w:color w:val="17365D"/>
          <w:szCs w:val="24"/>
        </w:rPr>
        <w:t xml:space="preserve">0 000 </w:t>
      </w:r>
      <w:proofErr w:type="spellStart"/>
      <w:r w:rsidRPr="00A27896">
        <w:rPr>
          <w:rFonts w:cs="Times New Roman"/>
          <w:i/>
          <w:color w:val="17365D"/>
          <w:szCs w:val="24"/>
        </w:rPr>
        <w:t>euro</w:t>
      </w:r>
      <w:proofErr w:type="spellEnd"/>
      <w:r w:rsidRPr="00A27896">
        <w:rPr>
          <w:rFonts w:cs="Times New Roman"/>
          <w:color w:val="17365D"/>
          <w:szCs w:val="24"/>
        </w:rPr>
        <w:t xml:space="preserve"> </w:t>
      </w:r>
      <w:r w:rsidR="00572E7A" w:rsidRPr="00A27896">
        <w:rPr>
          <w:rFonts w:cs="Times New Roman"/>
          <w:color w:val="17365D"/>
          <w:szCs w:val="24"/>
        </w:rPr>
        <w:t xml:space="preserve">vērtībā </w:t>
      </w:r>
      <w:r w:rsidRPr="00A27896">
        <w:rPr>
          <w:rFonts w:cs="Times New Roman"/>
          <w:color w:val="17365D"/>
          <w:szCs w:val="24"/>
        </w:rPr>
        <w:t>valsts atbalsta programmu realizēšanai, finanšu pieejamības uzņēmējdarbībā veicināšanai un tautsai</w:t>
      </w:r>
      <w:r w:rsidR="007F5DFA" w:rsidRPr="00A27896">
        <w:rPr>
          <w:rFonts w:cs="Times New Roman"/>
          <w:color w:val="17365D"/>
          <w:szCs w:val="24"/>
        </w:rPr>
        <w:t>mniecības attīstības sekmēšanai;</w:t>
      </w:r>
    </w:p>
    <w:p w14:paraId="2ADC5576" w14:textId="4208C85C" w:rsidR="009951EA" w:rsidRPr="00A27896" w:rsidRDefault="007F5DFA" w:rsidP="00603FE0">
      <w:pPr>
        <w:pStyle w:val="ListParagraph"/>
        <w:numPr>
          <w:ilvl w:val="0"/>
          <w:numId w:val="30"/>
        </w:numPr>
        <w:spacing w:after="0" w:line="240" w:lineRule="auto"/>
        <w:ind w:left="851"/>
        <w:contextualSpacing w:val="0"/>
        <w:rPr>
          <w:rFonts w:cs="Times New Roman"/>
          <w:color w:val="17365D"/>
          <w:szCs w:val="24"/>
        </w:rPr>
      </w:pPr>
      <w:r w:rsidRPr="00A27896">
        <w:rPr>
          <w:rFonts w:cs="Times New Roman"/>
          <w:color w:val="17365D"/>
          <w:szCs w:val="24"/>
        </w:rPr>
        <w:t xml:space="preserve">VAS “Latvijas dzelzceļš” 20 000 000 </w:t>
      </w:r>
      <w:proofErr w:type="spellStart"/>
      <w:r w:rsidRPr="00A27896">
        <w:rPr>
          <w:rFonts w:cs="Times New Roman"/>
          <w:i/>
          <w:color w:val="17365D"/>
          <w:szCs w:val="24"/>
        </w:rPr>
        <w:t>euro</w:t>
      </w:r>
      <w:proofErr w:type="spellEnd"/>
      <w:r w:rsidRPr="00A27896">
        <w:rPr>
          <w:rFonts w:cs="Times New Roman"/>
          <w:i/>
          <w:color w:val="17365D"/>
          <w:szCs w:val="24"/>
        </w:rPr>
        <w:t xml:space="preserve"> </w:t>
      </w:r>
      <w:r w:rsidRPr="00A27896">
        <w:rPr>
          <w:rFonts w:cs="Times New Roman"/>
          <w:color w:val="17365D"/>
          <w:szCs w:val="24"/>
        </w:rPr>
        <w:t>vērtībā investīciju projektu finansēšanai un kapitālieguldījumu</w:t>
      </w:r>
      <w:r w:rsidR="00E173A7" w:rsidRPr="00A27896">
        <w:rPr>
          <w:rFonts w:cs="Times New Roman"/>
          <w:color w:val="17365D"/>
          <w:szCs w:val="24"/>
        </w:rPr>
        <w:t xml:space="preserve"> </w:t>
      </w:r>
      <w:r w:rsidRPr="00A27896">
        <w:rPr>
          <w:rFonts w:cs="Times New Roman"/>
          <w:color w:val="17365D"/>
          <w:szCs w:val="24"/>
        </w:rPr>
        <w:t>programmā iekļauto projektu realizēšana.</w:t>
      </w:r>
    </w:p>
    <w:p w14:paraId="13670E22" w14:textId="418321C7" w:rsidR="0019458D" w:rsidRPr="00A27896" w:rsidRDefault="0019458D" w:rsidP="0019458D">
      <w:pPr>
        <w:spacing w:after="0" w:line="240" w:lineRule="auto"/>
        <w:jc w:val="both"/>
        <w:rPr>
          <w:rFonts w:cs="Times New Roman"/>
          <w:color w:val="17365D"/>
          <w:szCs w:val="24"/>
        </w:rPr>
      </w:pPr>
      <w:r w:rsidRPr="00A27896">
        <w:rPr>
          <w:rFonts w:cs="Times New Roman"/>
          <w:color w:val="17365D"/>
          <w:szCs w:val="24"/>
        </w:rPr>
        <w:t>Lielākais finansējums subsīdiju, dotāciju un ieguldījumu veidā nākam</w:t>
      </w:r>
      <w:r w:rsidR="00572E7A" w:rsidRPr="00A27896">
        <w:rPr>
          <w:rFonts w:cs="Times New Roman"/>
          <w:color w:val="17365D"/>
          <w:szCs w:val="24"/>
        </w:rPr>
        <w:t>a</w:t>
      </w:r>
      <w:r w:rsidRPr="00A27896">
        <w:rPr>
          <w:rFonts w:cs="Times New Roman"/>
          <w:color w:val="17365D"/>
          <w:szCs w:val="24"/>
        </w:rPr>
        <w:t>jā gadā plānots:</w:t>
      </w:r>
    </w:p>
    <w:p w14:paraId="5718C727" w14:textId="2FE7482C" w:rsidR="00CC6120" w:rsidRPr="00A27896" w:rsidRDefault="00CC6120" w:rsidP="00603FE0">
      <w:pPr>
        <w:pStyle w:val="ListParagraph"/>
        <w:numPr>
          <w:ilvl w:val="0"/>
          <w:numId w:val="30"/>
        </w:numPr>
        <w:spacing w:after="0" w:line="240" w:lineRule="auto"/>
        <w:ind w:left="851"/>
        <w:contextualSpacing w:val="0"/>
        <w:rPr>
          <w:rFonts w:cs="Times New Roman"/>
          <w:color w:val="17365D"/>
          <w:szCs w:val="24"/>
        </w:rPr>
      </w:pPr>
      <w:r w:rsidRPr="00A27896">
        <w:rPr>
          <w:rFonts w:cs="Times New Roman"/>
          <w:color w:val="17365D"/>
          <w:szCs w:val="24"/>
        </w:rPr>
        <w:t xml:space="preserve">VAS “Latvijas Valsts ceļi” </w:t>
      </w:r>
      <w:r w:rsidR="007F5DFA" w:rsidRPr="00A27896">
        <w:rPr>
          <w:rFonts w:cs="Times New Roman"/>
          <w:color w:val="17365D"/>
          <w:szCs w:val="24"/>
        </w:rPr>
        <w:t xml:space="preserve">221 162 088 </w:t>
      </w:r>
      <w:proofErr w:type="spellStart"/>
      <w:r w:rsidRPr="00A27896">
        <w:rPr>
          <w:rFonts w:cs="Times New Roman"/>
          <w:i/>
          <w:color w:val="17365D"/>
          <w:szCs w:val="24"/>
        </w:rPr>
        <w:t>euro</w:t>
      </w:r>
      <w:proofErr w:type="spellEnd"/>
      <w:r w:rsidRPr="00A27896">
        <w:rPr>
          <w:rFonts w:cs="Times New Roman"/>
          <w:color w:val="17365D"/>
          <w:szCs w:val="24"/>
        </w:rPr>
        <w:t xml:space="preserve"> vērtībā valsts autoceļu uzturēšanai un atjaunošanai;</w:t>
      </w:r>
    </w:p>
    <w:p w14:paraId="2FCD1CCC" w14:textId="76AB1D8F" w:rsidR="00B15D69" w:rsidRPr="00A27896" w:rsidRDefault="00B15D69" w:rsidP="00603FE0">
      <w:pPr>
        <w:pStyle w:val="ListParagraph"/>
        <w:numPr>
          <w:ilvl w:val="0"/>
          <w:numId w:val="30"/>
        </w:numPr>
        <w:spacing w:after="0" w:line="240" w:lineRule="auto"/>
        <w:ind w:left="851"/>
        <w:contextualSpacing w:val="0"/>
        <w:rPr>
          <w:rFonts w:cs="Times New Roman"/>
          <w:color w:val="17365D"/>
          <w:szCs w:val="24"/>
        </w:rPr>
      </w:pPr>
      <w:r w:rsidRPr="00A27896">
        <w:rPr>
          <w:rFonts w:cs="Times New Roman"/>
          <w:color w:val="17365D"/>
          <w:szCs w:val="24"/>
        </w:rPr>
        <w:t xml:space="preserve">SIA “Rīgas Austrumu klīniskā universitātes slimnīca” </w:t>
      </w:r>
      <w:r w:rsidR="007F5DFA" w:rsidRPr="00A27896">
        <w:rPr>
          <w:rFonts w:cs="Times New Roman"/>
          <w:color w:val="17365D"/>
          <w:szCs w:val="24"/>
        </w:rPr>
        <w:t>166 168 726</w:t>
      </w:r>
      <w:r w:rsidR="00CC6120" w:rsidRPr="00A27896">
        <w:rPr>
          <w:rFonts w:cs="Times New Roman"/>
          <w:color w:val="17365D"/>
          <w:szCs w:val="24"/>
        </w:rPr>
        <w:t xml:space="preserve"> </w:t>
      </w:r>
      <w:proofErr w:type="spellStart"/>
      <w:r w:rsidRPr="00A27896">
        <w:rPr>
          <w:rFonts w:cs="Times New Roman"/>
          <w:i/>
          <w:color w:val="17365D"/>
          <w:szCs w:val="24"/>
        </w:rPr>
        <w:t>euro</w:t>
      </w:r>
      <w:proofErr w:type="spellEnd"/>
      <w:r w:rsidRPr="00A27896">
        <w:rPr>
          <w:rFonts w:cs="Times New Roman"/>
          <w:color w:val="17365D"/>
          <w:szCs w:val="24"/>
        </w:rPr>
        <w:t xml:space="preserve"> vērtībā stacionārai un ambulatorai palīdzībai</w:t>
      </w:r>
      <w:r w:rsidR="007F5DFA" w:rsidRPr="00A27896">
        <w:rPr>
          <w:rFonts w:cs="Times New Roman"/>
          <w:color w:val="17365D"/>
          <w:szCs w:val="24"/>
        </w:rPr>
        <w:t xml:space="preserve"> un citiem pakalpojumiem</w:t>
      </w:r>
      <w:r w:rsidRPr="00A27896">
        <w:rPr>
          <w:rFonts w:cs="Times New Roman"/>
          <w:color w:val="17365D"/>
          <w:szCs w:val="24"/>
        </w:rPr>
        <w:t>;</w:t>
      </w:r>
    </w:p>
    <w:p w14:paraId="4B77A95B" w14:textId="1D7EAEB9" w:rsidR="00CC6120" w:rsidRPr="00A27896" w:rsidRDefault="007F5DFA" w:rsidP="00603FE0">
      <w:pPr>
        <w:pStyle w:val="ListParagraph"/>
        <w:numPr>
          <w:ilvl w:val="0"/>
          <w:numId w:val="30"/>
        </w:numPr>
        <w:spacing w:after="0" w:line="240" w:lineRule="auto"/>
        <w:ind w:left="851"/>
        <w:contextualSpacing w:val="0"/>
        <w:rPr>
          <w:rFonts w:cs="Times New Roman"/>
          <w:color w:val="17365D"/>
          <w:szCs w:val="24"/>
        </w:rPr>
      </w:pPr>
      <w:r w:rsidRPr="00A27896">
        <w:rPr>
          <w:rFonts w:cs="Times New Roman"/>
          <w:color w:val="17365D"/>
          <w:szCs w:val="24"/>
        </w:rPr>
        <w:t xml:space="preserve">Rīgas pašvaldības SIA “Rīgas satiksme” 150 782 809 </w:t>
      </w:r>
      <w:proofErr w:type="spellStart"/>
      <w:r w:rsidRPr="00A27896">
        <w:rPr>
          <w:rFonts w:cs="Times New Roman"/>
          <w:i/>
          <w:color w:val="17365D"/>
          <w:szCs w:val="24"/>
        </w:rPr>
        <w:t>euro</w:t>
      </w:r>
      <w:proofErr w:type="spellEnd"/>
      <w:r w:rsidRPr="00A27896">
        <w:rPr>
          <w:rFonts w:cs="Times New Roman"/>
          <w:color w:val="17365D"/>
          <w:szCs w:val="24"/>
        </w:rPr>
        <w:t xml:space="preserve"> vērtībā sabiedriskā transporta pakalpojumu sniegšanai Rīgas pilsētas sabiedriskā transporta maršrutu tīklā;</w:t>
      </w:r>
    </w:p>
    <w:p w14:paraId="3CAF5262" w14:textId="69DCC72B" w:rsidR="0019458D" w:rsidRPr="00A27896" w:rsidRDefault="00CC6120" w:rsidP="00603FE0">
      <w:pPr>
        <w:pStyle w:val="ListParagraph"/>
        <w:numPr>
          <w:ilvl w:val="0"/>
          <w:numId w:val="30"/>
        </w:numPr>
        <w:spacing w:after="0" w:line="240" w:lineRule="auto"/>
        <w:ind w:left="851"/>
        <w:contextualSpacing w:val="0"/>
        <w:rPr>
          <w:rFonts w:cs="Times New Roman"/>
          <w:color w:val="17365D"/>
        </w:rPr>
      </w:pPr>
      <w:r w:rsidRPr="00A27896">
        <w:rPr>
          <w:rFonts w:cs="Times New Roman"/>
          <w:color w:val="17365D"/>
          <w:szCs w:val="24"/>
        </w:rPr>
        <w:t xml:space="preserve">VSIA “Paula Stradiņa klīniskā universitātes slimnīca” </w:t>
      </w:r>
      <w:r w:rsidR="007F5DFA" w:rsidRPr="00A27896">
        <w:rPr>
          <w:rFonts w:cs="Times New Roman"/>
          <w:color w:val="17365D"/>
          <w:szCs w:val="24"/>
        </w:rPr>
        <w:t xml:space="preserve">131 489 878 </w:t>
      </w:r>
      <w:proofErr w:type="spellStart"/>
      <w:r w:rsidRPr="00A27896">
        <w:rPr>
          <w:rFonts w:cs="Times New Roman"/>
          <w:i/>
          <w:color w:val="17365D"/>
          <w:szCs w:val="24"/>
        </w:rPr>
        <w:t>euro</w:t>
      </w:r>
      <w:proofErr w:type="spellEnd"/>
      <w:r w:rsidRPr="00A27896">
        <w:rPr>
          <w:rFonts w:cs="Times New Roman"/>
          <w:i/>
          <w:color w:val="17365D"/>
          <w:szCs w:val="24"/>
        </w:rPr>
        <w:t xml:space="preserve"> </w:t>
      </w:r>
      <w:r w:rsidRPr="00A27896">
        <w:rPr>
          <w:rFonts w:cs="Times New Roman"/>
          <w:color w:val="17365D"/>
          <w:szCs w:val="24"/>
        </w:rPr>
        <w:t>vērtībā stacionārai un ambulatorai palīdzībai</w:t>
      </w:r>
      <w:r w:rsidR="007F5DFA" w:rsidRPr="00A27896">
        <w:rPr>
          <w:rFonts w:cs="Times New Roman"/>
          <w:color w:val="17365D"/>
          <w:szCs w:val="24"/>
        </w:rPr>
        <w:t xml:space="preserve"> un citiem pakalpojumiem</w:t>
      </w:r>
      <w:r w:rsidRPr="00A27896">
        <w:rPr>
          <w:rFonts w:cs="Times New Roman"/>
          <w:color w:val="17365D"/>
          <w:szCs w:val="24"/>
        </w:rPr>
        <w:t>.</w:t>
      </w:r>
    </w:p>
    <w:p w14:paraId="6F310B76" w14:textId="77777777" w:rsidR="00CE6289" w:rsidRPr="00A27896" w:rsidRDefault="00CE6289" w:rsidP="00CE6289">
      <w:pPr>
        <w:spacing w:after="0" w:line="240" w:lineRule="auto"/>
        <w:jc w:val="both"/>
        <w:rPr>
          <w:rFonts w:cs="Times New Roman"/>
          <w:color w:val="17365D"/>
          <w:sz w:val="22"/>
        </w:rPr>
      </w:pPr>
    </w:p>
    <w:p w14:paraId="73EDBF87" w14:textId="2B5CB9FF" w:rsidR="0019458D" w:rsidRPr="00A27896" w:rsidRDefault="0019458D" w:rsidP="00D55685">
      <w:pPr>
        <w:pStyle w:val="Heading4"/>
        <w:spacing w:line="240" w:lineRule="auto"/>
        <w:rPr>
          <w:rFonts w:cs="Times New Roman"/>
        </w:rPr>
      </w:pPr>
      <w:r w:rsidRPr="00A27896">
        <w:rPr>
          <w:rFonts w:cs="Times New Roman"/>
        </w:rPr>
        <w:t>Piezīme Nr. V9. Informācija par finanšu instrumentiem</w:t>
      </w:r>
    </w:p>
    <w:p w14:paraId="2FBCF433" w14:textId="2EC3797D" w:rsidR="00AC754B" w:rsidRPr="00A27896" w:rsidRDefault="00AC754B" w:rsidP="00514C3E">
      <w:pPr>
        <w:pStyle w:val="Heading5"/>
        <w:rPr>
          <w:rFonts w:cs="Times New Roman"/>
        </w:rPr>
      </w:pPr>
      <w:r w:rsidRPr="00A27896">
        <w:rPr>
          <w:rFonts w:cs="Times New Roman"/>
        </w:rPr>
        <w:t>Piezīme Nr. V9. Informācija par finanšu aktīvu un finanšu saistību sadalījumu pa finanšu instrumentu kategorijām un instrumentiem un cita informācija</w:t>
      </w:r>
    </w:p>
    <w:p w14:paraId="3A922D71" w14:textId="566A7E2D" w:rsidR="005861EC" w:rsidRPr="00A27896" w:rsidRDefault="005861EC" w:rsidP="0019458D">
      <w:pPr>
        <w:spacing w:after="0" w:line="240" w:lineRule="auto"/>
        <w:ind w:firstLine="284"/>
        <w:jc w:val="both"/>
        <w:rPr>
          <w:rFonts w:cs="Times New Roman"/>
          <w:color w:val="17365D"/>
          <w:szCs w:val="24"/>
        </w:rPr>
      </w:pPr>
      <w:r w:rsidRPr="00A27896">
        <w:rPr>
          <w:rFonts w:cs="Times New Roman"/>
          <w:color w:val="17365D"/>
          <w:szCs w:val="24"/>
        </w:rPr>
        <w:t>Informācija par ministriju, centrālo valsts iestāžu, pašvaldību un valsts</w:t>
      </w:r>
      <w:r w:rsidR="00BA279A" w:rsidRPr="00A27896">
        <w:rPr>
          <w:rFonts w:cs="Times New Roman"/>
          <w:color w:val="17365D"/>
          <w:szCs w:val="24"/>
        </w:rPr>
        <w:t xml:space="preserve"> budžeta finanšu uzskaitē atzītiem</w:t>
      </w:r>
      <w:r w:rsidRPr="00A27896">
        <w:rPr>
          <w:rFonts w:cs="Times New Roman"/>
          <w:color w:val="17365D"/>
          <w:szCs w:val="24"/>
        </w:rPr>
        <w:t xml:space="preserve"> </w:t>
      </w:r>
      <w:r w:rsidR="00BA279A" w:rsidRPr="00A27896">
        <w:rPr>
          <w:rFonts w:cs="Times New Roman"/>
          <w:color w:val="17365D"/>
          <w:szCs w:val="24"/>
        </w:rPr>
        <w:t>finanšu aktīviem un finanšu saistībām sniegta</w:t>
      </w:r>
      <w:r w:rsidRPr="00A27896">
        <w:rPr>
          <w:rFonts w:cs="Times New Roman"/>
          <w:color w:val="17365D"/>
          <w:szCs w:val="24"/>
        </w:rPr>
        <w:t xml:space="preserve"> 3</w:t>
      </w:r>
      <w:r w:rsidR="000229AE" w:rsidRPr="00A27896">
        <w:rPr>
          <w:rFonts w:cs="Times New Roman"/>
          <w:color w:val="17365D"/>
          <w:szCs w:val="24"/>
        </w:rPr>
        <w:t>2</w:t>
      </w:r>
      <w:r w:rsidRPr="00A27896">
        <w:rPr>
          <w:rFonts w:cs="Times New Roman"/>
          <w:color w:val="17365D"/>
          <w:szCs w:val="24"/>
        </w:rPr>
        <w:t xml:space="preserve">.tabulā </w:t>
      </w:r>
      <w:r w:rsidR="00BA279A" w:rsidRPr="00A27896">
        <w:rPr>
          <w:rFonts w:cs="Times New Roman"/>
          <w:color w:val="17365D"/>
          <w:szCs w:val="24"/>
        </w:rPr>
        <w:t>sadalījumā</w:t>
      </w:r>
      <w:r w:rsidRPr="00A27896">
        <w:rPr>
          <w:rFonts w:cs="Times New Roman"/>
          <w:color w:val="17365D"/>
          <w:szCs w:val="24"/>
        </w:rPr>
        <w:t xml:space="preserve"> pa:</w:t>
      </w:r>
    </w:p>
    <w:p w14:paraId="14E62D48" w14:textId="77777777" w:rsidR="005861EC" w:rsidRPr="00A27896" w:rsidRDefault="005861EC" w:rsidP="007C6C15">
      <w:pPr>
        <w:pStyle w:val="ListParagraph"/>
        <w:numPr>
          <w:ilvl w:val="0"/>
          <w:numId w:val="30"/>
        </w:numPr>
        <w:spacing w:after="0" w:line="240" w:lineRule="auto"/>
        <w:ind w:left="851"/>
        <w:contextualSpacing w:val="0"/>
        <w:rPr>
          <w:rFonts w:cs="Times New Roman"/>
          <w:color w:val="17365D"/>
          <w:szCs w:val="24"/>
        </w:rPr>
      </w:pPr>
      <w:r w:rsidRPr="00A27896">
        <w:rPr>
          <w:rFonts w:cs="Times New Roman"/>
          <w:color w:val="17365D"/>
          <w:szCs w:val="24"/>
        </w:rPr>
        <w:t>finanšu instrumentu kategorijām;</w:t>
      </w:r>
    </w:p>
    <w:p w14:paraId="5D63E5D7" w14:textId="308C4EFC" w:rsidR="005861EC" w:rsidRPr="00A27896" w:rsidRDefault="005861EC" w:rsidP="007C6C15">
      <w:pPr>
        <w:pStyle w:val="ListParagraph"/>
        <w:numPr>
          <w:ilvl w:val="0"/>
          <w:numId w:val="30"/>
        </w:numPr>
        <w:spacing w:after="0" w:line="240" w:lineRule="auto"/>
        <w:ind w:left="851"/>
        <w:contextualSpacing w:val="0"/>
        <w:rPr>
          <w:rFonts w:cs="Times New Roman"/>
          <w:color w:val="17365D"/>
          <w:szCs w:val="24"/>
        </w:rPr>
      </w:pPr>
      <w:r w:rsidRPr="00A27896">
        <w:rPr>
          <w:rFonts w:cs="Times New Roman"/>
          <w:color w:val="17365D"/>
          <w:szCs w:val="24"/>
        </w:rPr>
        <w:t>finanšu instrumentiem.</w:t>
      </w:r>
      <w:r w:rsidRPr="00A27896" w:rsidDel="00B339DF">
        <w:rPr>
          <w:rFonts w:cs="Times New Roman"/>
          <w:color w:val="17365D"/>
          <w:szCs w:val="24"/>
        </w:rPr>
        <w:t xml:space="preserve"> </w:t>
      </w:r>
    </w:p>
    <w:p w14:paraId="5C755C45" w14:textId="4AE5A677" w:rsidR="005861EC" w:rsidRPr="00A27896" w:rsidRDefault="005861EC" w:rsidP="00BA279A">
      <w:pPr>
        <w:spacing w:before="120" w:after="0" w:line="240" w:lineRule="auto"/>
        <w:jc w:val="both"/>
        <w:rPr>
          <w:rFonts w:cs="Times New Roman"/>
          <w:color w:val="17365D"/>
        </w:rPr>
      </w:pPr>
      <w:r w:rsidRPr="00A27896">
        <w:rPr>
          <w:rFonts w:cs="Times New Roman"/>
          <w:color w:val="17365D"/>
        </w:rPr>
        <w:lastRenderedPageBreak/>
        <w:t xml:space="preserve">Informācija </w:t>
      </w:r>
      <w:r w:rsidR="00BA279A" w:rsidRPr="00A27896">
        <w:rPr>
          <w:rFonts w:cs="Times New Roman"/>
          <w:color w:val="17365D"/>
        </w:rPr>
        <w:t>piezīmē</w:t>
      </w:r>
      <w:r w:rsidRPr="00A27896">
        <w:rPr>
          <w:rFonts w:cs="Times New Roman"/>
          <w:color w:val="17365D"/>
        </w:rPr>
        <w:t xml:space="preserve"> konsolidēta par </w:t>
      </w:r>
      <w:r w:rsidR="00DB637B" w:rsidRPr="00A27896">
        <w:rPr>
          <w:rFonts w:cs="Times New Roman"/>
          <w:color w:val="17365D"/>
        </w:rPr>
        <w:t xml:space="preserve">savstarpējiem valsts budžeta (Valsts kases) un ministriju un pašvaldību </w:t>
      </w:r>
      <w:r w:rsidRPr="00A27896">
        <w:rPr>
          <w:rFonts w:cs="Times New Roman"/>
          <w:color w:val="17365D"/>
        </w:rPr>
        <w:t>atlikumiem.</w:t>
      </w:r>
    </w:p>
    <w:p w14:paraId="0D599445" w14:textId="76DE480C" w:rsidR="00185E10" w:rsidRPr="00A27896" w:rsidRDefault="00185E10" w:rsidP="0019458D">
      <w:pPr>
        <w:pStyle w:val="Tabulasnosaukums1"/>
        <w:spacing w:before="120" w:line="240" w:lineRule="auto"/>
        <w:rPr>
          <w:rFonts w:cs="Times New Roman"/>
          <w:i/>
          <w:color w:val="17365D"/>
          <w:szCs w:val="22"/>
        </w:rPr>
      </w:pPr>
      <w:r w:rsidRPr="00A27896">
        <w:rPr>
          <w:rFonts w:cs="Times New Roman"/>
          <w:i/>
          <w:color w:val="17365D"/>
          <w:szCs w:val="22"/>
        </w:rPr>
        <w:t>3</w:t>
      </w:r>
      <w:r w:rsidR="000229AE" w:rsidRPr="00A27896">
        <w:rPr>
          <w:rFonts w:cs="Times New Roman"/>
          <w:i/>
          <w:color w:val="17365D"/>
          <w:szCs w:val="22"/>
        </w:rPr>
        <w:t>2</w:t>
      </w:r>
      <w:r w:rsidRPr="00A27896">
        <w:rPr>
          <w:rFonts w:cs="Times New Roman"/>
          <w:i/>
          <w:color w:val="17365D"/>
          <w:szCs w:val="22"/>
        </w:rPr>
        <w:t>. tabula</w:t>
      </w:r>
      <w:r w:rsidR="003877C0" w:rsidRPr="00A27896">
        <w:rPr>
          <w:rFonts w:cs="Times New Roman"/>
          <w:i/>
          <w:color w:val="17365D"/>
          <w:szCs w:val="22"/>
        </w:rPr>
        <w:t>.</w:t>
      </w:r>
      <w:r w:rsidRPr="00A27896">
        <w:rPr>
          <w:rFonts w:cs="Times New Roman"/>
          <w:i/>
          <w:color w:val="17365D"/>
          <w:szCs w:val="22"/>
        </w:rPr>
        <w:t xml:space="preserve"> Informācija par finanšu aktīvu un finanšu saistību sadalījumu</w:t>
      </w:r>
    </w:p>
    <w:p w14:paraId="5CD44065" w14:textId="7837BCF9" w:rsidR="00185E10" w:rsidRPr="00A27896" w:rsidRDefault="00185E10" w:rsidP="00185E10">
      <w:pPr>
        <w:pStyle w:val="Tabulasnosaukums1"/>
        <w:spacing w:before="0" w:line="240" w:lineRule="auto"/>
        <w:rPr>
          <w:rFonts w:cs="Times New Roman"/>
          <w:i/>
          <w:color w:val="17365D"/>
          <w:szCs w:val="22"/>
        </w:rPr>
      </w:pPr>
      <w:r w:rsidRPr="00A27896">
        <w:rPr>
          <w:rFonts w:cs="Times New Roman"/>
          <w:i/>
          <w:color w:val="17365D"/>
          <w:szCs w:val="22"/>
        </w:rPr>
        <w:t xml:space="preserve"> pa finanšu instrumentu kategorijām un instrumentiem un cita informācija (</w:t>
      </w:r>
      <w:proofErr w:type="spellStart"/>
      <w:r w:rsidRPr="00A27896">
        <w:rPr>
          <w:rFonts w:cs="Times New Roman"/>
          <w:i/>
          <w:color w:val="17365D"/>
          <w:szCs w:val="22"/>
        </w:rPr>
        <w:t>euro</w:t>
      </w:r>
      <w:proofErr w:type="spellEnd"/>
      <w:r w:rsidRPr="00A27896">
        <w:rPr>
          <w:rFonts w:cs="Times New Roman"/>
          <w:i/>
          <w:color w:val="17365D"/>
          <w:szCs w:val="22"/>
        </w:rPr>
        <w:t>)</w:t>
      </w:r>
    </w:p>
    <w:tbl>
      <w:tblPr>
        <w:tblW w:w="9389" w:type="dxa"/>
        <w:tblBorders>
          <w:insideH w:val="single" w:sz="4" w:space="0" w:color="17365D"/>
        </w:tblBorders>
        <w:tblLook w:val="04A0" w:firstRow="1" w:lastRow="0" w:firstColumn="1" w:lastColumn="0" w:noHBand="0" w:noVBand="1"/>
      </w:tblPr>
      <w:tblGrid>
        <w:gridCol w:w="2520"/>
        <w:gridCol w:w="3434"/>
        <w:gridCol w:w="1526"/>
        <w:gridCol w:w="175"/>
        <w:gridCol w:w="1734"/>
      </w:tblGrid>
      <w:tr w:rsidR="000C1009" w:rsidRPr="00A27896" w14:paraId="307B55CC" w14:textId="77777777" w:rsidTr="008E472F">
        <w:trPr>
          <w:trHeight w:val="717"/>
          <w:tblHeader/>
        </w:trPr>
        <w:tc>
          <w:tcPr>
            <w:tcW w:w="5954" w:type="dxa"/>
            <w:gridSpan w:val="2"/>
            <w:shd w:val="clear" w:color="000000" w:fill="B9CDE5"/>
            <w:vAlign w:val="center"/>
            <w:hideMark/>
          </w:tcPr>
          <w:p w14:paraId="3EA10657"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Finanšu instrumentu kategorijas</w:t>
            </w:r>
          </w:p>
          <w:p w14:paraId="427CFAE4"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 un finanšu instrumenta nosaukums</w:t>
            </w:r>
          </w:p>
        </w:tc>
        <w:tc>
          <w:tcPr>
            <w:tcW w:w="1701" w:type="dxa"/>
            <w:gridSpan w:val="2"/>
            <w:shd w:val="clear" w:color="000000" w:fill="B9CDE5"/>
            <w:vAlign w:val="center"/>
            <w:hideMark/>
          </w:tcPr>
          <w:p w14:paraId="4FB1DB03"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734" w:type="dxa"/>
            <w:shd w:val="clear" w:color="000000" w:fill="B9CDE5"/>
            <w:vAlign w:val="center"/>
            <w:hideMark/>
          </w:tcPr>
          <w:p w14:paraId="752BE84A"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2372C82F" w14:textId="77777777" w:rsidTr="001C6602">
        <w:trPr>
          <w:trHeight w:val="204"/>
          <w:tblHeader/>
        </w:trPr>
        <w:tc>
          <w:tcPr>
            <w:tcW w:w="5954" w:type="dxa"/>
            <w:gridSpan w:val="2"/>
            <w:tcBorders>
              <w:bottom w:val="single" w:sz="4" w:space="0" w:color="17365D"/>
            </w:tcBorders>
            <w:shd w:val="clear" w:color="auto" w:fill="auto"/>
            <w:vAlign w:val="center"/>
            <w:hideMark/>
          </w:tcPr>
          <w:p w14:paraId="069730C7"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701" w:type="dxa"/>
            <w:gridSpan w:val="2"/>
            <w:tcBorders>
              <w:bottom w:val="single" w:sz="4" w:space="0" w:color="17365D"/>
            </w:tcBorders>
            <w:shd w:val="clear" w:color="auto" w:fill="auto"/>
            <w:vAlign w:val="center"/>
            <w:hideMark/>
          </w:tcPr>
          <w:p w14:paraId="71370893"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734" w:type="dxa"/>
            <w:tcBorders>
              <w:bottom w:val="single" w:sz="4" w:space="0" w:color="17365D"/>
            </w:tcBorders>
            <w:shd w:val="clear" w:color="auto" w:fill="auto"/>
            <w:vAlign w:val="center"/>
            <w:hideMark/>
          </w:tcPr>
          <w:p w14:paraId="6750D7C6"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r>
      <w:tr w:rsidR="00EA50D1" w:rsidRPr="00A27896" w14:paraId="4133569F"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05767337" w14:textId="597567E8" w:rsidR="00EA50D1" w:rsidRPr="00A27896" w:rsidRDefault="00EA50D1" w:rsidP="00EA50D1">
            <w:pPr>
              <w:spacing w:after="0" w:line="240" w:lineRule="auto"/>
              <w:ind w:right="57"/>
              <w:rPr>
                <w:rFonts w:eastAsia="Times New Roman" w:cs="Times New Roman"/>
                <w:b/>
                <w:color w:val="17365D"/>
                <w:sz w:val="18"/>
                <w:szCs w:val="18"/>
                <w:lang w:eastAsia="lv-LV"/>
              </w:rPr>
            </w:pPr>
            <w:r w:rsidRPr="00A27896">
              <w:rPr>
                <w:rFonts w:cs="Times New Roman"/>
                <w:b/>
                <w:bCs/>
                <w:color w:val="17365D"/>
                <w:sz w:val="18"/>
                <w:szCs w:val="18"/>
              </w:rPr>
              <w:t>Finanšu aktīvi</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2C2ECB0A" w14:textId="451849CE" w:rsidR="00EA50D1" w:rsidRPr="00A27896" w:rsidRDefault="00EA50D1" w:rsidP="00EA50D1">
            <w:pPr>
              <w:spacing w:after="0" w:line="240" w:lineRule="auto"/>
              <w:ind w:right="57"/>
              <w:jc w:val="right"/>
              <w:rPr>
                <w:rFonts w:cs="Times New Roman"/>
                <w:b/>
                <w:bCs/>
                <w:color w:val="17365D"/>
                <w:sz w:val="18"/>
                <w:szCs w:val="18"/>
              </w:rPr>
            </w:pPr>
            <w:r w:rsidRPr="00A27896">
              <w:rPr>
                <w:rFonts w:cs="Times New Roman"/>
                <w:b/>
                <w:bCs/>
                <w:color w:val="17365D"/>
                <w:sz w:val="18"/>
                <w:szCs w:val="18"/>
              </w:rPr>
              <w:t>1 153 878 029</w:t>
            </w:r>
          </w:p>
        </w:tc>
        <w:tc>
          <w:tcPr>
            <w:tcW w:w="1734" w:type="dxa"/>
            <w:tcBorders>
              <w:top w:val="single" w:sz="4" w:space="0" w:color="17365D"/>
              <w:left w:val="nil"/>
              <w:bottom w:val="single" w:sz="4" w:space="0" w:color="17365D"/>
              <w:right w:val="nil"/>
            </w:tcBorders>
            <w:shd w:val="clear" w:color="auto" w:fill="auto"/>
            <w:noWrap/>
            <w:vAlign w:val="center"/>
            <w:hideMark/>
          </w:tcPr>
          <w:p w14:paraId="1A30121B" w14:textId="1C96CFC1" w:rsidR="00EA50D1" w:rsidRPr="00A27896" w:rsidRDefault="00EA50D1" w:rsidP="00EA50D1">
            <w:pPr>
              <w:spacing w:after="0" w:line="240" w:lineRule="auto"/>
              <w:ind w:right="57"/>
              <w:jc w:val="right"/>
              <w:rPr>
                <w:rFonts w:cs="Times New Roman"/>
                <w:b/>
                <w:bCs/>
                <w:color w:val="17365D"/>
                <w:sz w:val="18"/>
                <w:szCs w:val="18"/>
              </w:rPr>
            </w:pPr>
            <w:r w:rsidRPr="00A27896">
              <w:rPr>
                <w:rFonts w:cs="Times New Roman"/>
                <w:b/>
                <w:bCs/>
                <w:color w:val="17365D"/>
                <w:sz w:val="18"/>
                <w:szCs w:val="18"/>
              </w:rPr>
              <w:t>1 096 917 333</w:t>
            </w:r>
          </w:p>
        </w:tc>
      </w:tr>
      <w:tr w:rsidR="00EA50D1" w:rsidRPr="00A27896" w14:paraId="3F2541FA"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698EF02B" w14:textId="28BA7BEF" w:rsidR="00EA50D1" w:rsidRPr="00A27896" w:rsidRDefault="00EA50D1" w:rsidP="00EA50D1">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Patiesajā vērtībā novērtēti finanšu aktīvi</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2BA09CBB" w14:textId="62E18549"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6 133</w:t>
            </w:r>
          </w:p>
        </w:tc>
        <w:tc>
          <w:tcPr>
            <w:tcW w:w="1734" w:type="dxa"/>
            <w:tcBorders>
              <w:top w:val="single" w:sz="4" w:space="0" w:color="17365D"/>
              <w:left w:val="nil"/>
              <w:bottom w:val="single" w:sz="4" w:space="0" w:color="17365D"/>
              <w:right w:val="nil"/>
            </w:tcBorders>
            <w:shd w:val="clear" w:color="auto" w:fill="auto"/>
            <w:noWrap/>
            <w:vAlign w:val="center"/>
            <w:hideMark/>
          </w:tcPr>
          <w:p w14:paraId="4BA9761E" w14:textId="1CE1EF4B" w:rsidR="00EA50D1" w:rsidRPr="00A27896" w:rsidRDefault="009D56DB" w:rsidP="009D56DB">
            <w:pPr>
              <w:spacing w:after="0" w:line="240" w:lineRule="auto"/>
              <w:ind w:right="57"/>
              <w:jc w:val="right"/>
              <w:rPr>
                <w:rFonts w:cs="Times New Roman"/>
                <w:color w:val="17365D"/>
                <w:sz w:val="18"/>
                <w:szCs w:val="18"/>
              </w:rPr>
            </w:pPr>
            <w:r w:rsidRPr="00A27896">
              <w:rPr>
                <w:rFonts w:cs="Times New Roman"/>
                <w:color w:val="17365D"/>
                <w:sz w:val="18"/>
                <w:szCs w:val="18"/>
              </w:rPr>
              <w:t>5 559</w:t>
            </w:r>
          </w:p>
        </w:tc>
      </w:tr>
      <w:tr w:rsidR="00EA50D1" w:rsidRPr="00A27896" w14:paraId="3BC54EF6"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4463A1F2" w14:textId="0FF944CE" w:rsidR="00EA50D1" w:rsidRPr="00A27896" w:rsidRDefault="00EA50D1" w:rsidP="00EA50D1">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Vērtspapīri</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3D4887DF" w14:textId="1814A635"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6 133</w:t>
            </w:r>
          </w:p>
        </w:tc>
        <w:tc>
          <w:tcPr>
            <w:tcW w:w="1734" w:type="dxa"/>
            <w:tcBorders>
              <w:top w:val="single" w:sz="4" w:space="0" w:color="17365D"/>
              <w:left w:val="nil"/>
              <w:bottom w:val="single" w:sz="4" w:space="0" w:color="17365D"/>
              <w:right w:val="nil"/>
            </w:tcBorders>
            <w:shd w:val="clear" w:color="auto" w:fill="auto"/>
            <w:noWrap/>
            <w:vAlign w:val="center"/>
            <w:hideMark/>
          </w:tcPr>
          <w:p w14:paraId="22915061" w14:textId="22A5D961" w:rsidR="00EA50D1" w:rsidRPr="00A27896" w:rsidRDefault="009D56DB" w:rsidP="009D56DB">
            <w:pPr>
              <w:spacing w:after="0" w:line="240" w:lineRule="auto"/>
              <w:ind w:right="57"/>
              <w:jc w:val="right"/>
              <w:rPr>
                <w:rFonts w:cs="Times New Roman"/>
                <w:color w:val="17365D"/>
                <w:sz w:val="18"/>
                <w:szCs w:val="18"/>
              </w:rPr>
            </w:pPr>
            <w:r w:rsidRPr="00A27896">
              <w:rPr>
                <w:rFonts w:cs="Times New Roman"/>
                <w:color w:val="17365D"/>
                <w:sz w:val="18"/>
                <w:szCs w:val="18"/>
              </w:rPr>
              <w:t>5 559</w:t>
            </w:r>
          </w:p>
        </w:tc>
      </w:tr>
      <w:tr w:rsidR="00EA50D1" w:rsidRPr="00A27896" w14:paraId="2F7ECE2C"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1B731646" w14:textId="28B8410E" w:rsidR="00EA50D1" w:rsidRPr="00A27896" w:rsidRDefault="00EA50D1" w:rsidP="00EA50D1">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Līdz termiņa beigām turēti ieguldījumi</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292A4C47" w14:textId="13EF6EAD"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5 314</w:t>
            </w:r>
          </w:p>
        </w:tc>
        <w:tc>
          <w:tcPr>
            <w:tcW w:w="1734" w:type="dxa"/>
            <w:tcBorders>
              <w:top w:val="single" w:sz="4" w:space="0" w:color="17365D"/>
              <w:left w:val="nil"/>
              <w:bottom w:val="single" w:sz="4" w:space="0" w:color="17365D"/>
              <w:right w:val="nil"/>
            </w:tcBorders>
            <w:shd w:val="clear" w:color="auto" w:fill="auto"/>
            <w:noWrap/>
            <w:vAlign w:val="center"/>
            <w:hideMark/>
          </w:tcPr>
          <w:p w14:paraId="56BD1942" w14:textId="4F913382" w:rsidR="00EA50D1" w:rsidRPr="00A27896" w:rsidRDefault="009D56DB" w:rsidP="00EA50D1">
            <w:pPr>
              <w:spacing w:after="0" w:line="240" w:lineRule="auto"/>
              <w:ind w:right="57"/>
              <w:jc w:val="right"/>
              <w:rPr>
                <w:rFonts w:cs="Times New Roman"/>
                <w:color w:val="17365D"/>
                <w:sz w:val="18"/>
                <w:szCs w:val="18"/>
              </w:rPr>
            </w:pPr>
            <w:r w:rsidRPr="00A27896">
              <w:rPr>
                <w:rFonts w:cs="Times New Roman"/>
                <w:color w:val="17365D"/>
                <w:sz w:val="18"/>
                <w:szCs w:val="18"/>
              </w:rPr>
              <w:t>6 590</w:t>
            </w:r>
          </w:p>
        </w:tc>
      </w:tr>
      <w:tr w:rsidR="00C81633" w:rsidRPr="00A27896" w14:paraId="03F9D9E1"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tcPr>
          <w:p w14:paraId="094E606B" w14:textId="521F76A9" w:rsidR="00C81633" w:rsidRPr="00A27896" w:rsidRDefault="00C81633" w:rsidP="00EA50D1">
            <w:pPr>
              <w:spacing w:after="0" w:line="240" w:lineRule="auto"/>
              <w:ind w:right="57"/>
              <w:rPr>
                <w:rFonts w:cs="Times New Roman"/>
                <w:color w:val="17365D"/>
                <w:sz w:val="18"/>
                <w:szCs w:val="18"/>
              </w:rPr>
            </w:pPr>
            <w:r w:rsidRPr="00A27896">
              <w:rPr>
                <w:rFonts w:cs="Times New Roman"/>
                <w:color w:val="17365D"/>
                <w:sz w:val="18"/>
                <w:szCs w:val="18"/>
              </w:rPr>
              <w:t xml:space="preserve">  Vērtspapīri</w:t>
            </w:r>
          </w:p>
        </w:tc>
        <w:tc>
          <w:tcPr>
            <w:tcW w:w="1701" w:type="dxa"/>
            <w:gridSpan w:val="2"/>
            <w:tcBorders>
              <w:top w:val="single" w:sz="4" w:space="0" w:color="17365D"/>
              <w:left w:val="nil"/>
              <w:bottom w:val="single" w:sz="4" w:space="0" w:color="17365D"/>
              <w:right w:val="nil"/>
            </w:tcBorders>
            <w:shd w:val="clear" w:color="auto" w:fill="auto"/>
            <w:noWrap/>
            <w:vAlign w:val="center"/>
          </w:tcPr>
          <w:p w14:paraId="1ED59827" w14:textId="327B86D5" w:rsidR="00C81633" w:rsidRPr="00A27896" w:rsidRDefault="00C81633" w:rsidP="00EA50D1">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1734" w:type="dxa"/>
            <w:tcBorders>
              <w:top w:val="single" w:sz="4" w:space="0" w:color="17365D"/>
              <w:left w:val="nil"/>
              <w:bottom w:val="single" w:sz="4" w:space="0" w:color="17365D"/>
              <w:right w:val="nil"/>
            </w:tcBorders>
            <w:shd w:val="clear" w:color="auto" w:fill="auto"/>
            <w:noWrap/>
            <w:vAlign w:val="center"/>
          </w:tcPr>
          <w:p w14:paraId="033ADB40" w14:textId="0C8D64A5" w:rsidR="00C81633" w:rsidRPr="00A27896" w:rsidDel="009D56DB" w:rsidRDefault="00C81633" w:rsidP="00EA50D1">
            <w:pPr>
              <w:spacing w:after="0" w:line="240" w:lineRule="auto"/>
              <w:ind w:right="57"/>
              <w:jc w:val="right"/>
              <w:rPr>
                <w:rFonts w:cs="Times New Roman"/>
                <w:color w:val="17365D"/>
                <w:sz w:val="18"/>
                <w:szCs w:val="18"/>
              </w:rPr>
            </w:pPr>
            <w:r w:rsidRPr="00A27896">
              <w:rPr>
                <w:rFonts w:cs="Times New Roman"/>
                <w:color w:val="17365D"/>
                <w:sz w:val="18"/>
                <w:szCs w:val="18"/>
              </w:rPr>
              <w:t>1252</w:t>
            </w:r>
          </w:p>
        </w:tc>
      </w:tr>
      <w:tr w:rsidR="00EA50D1" w:rsidRPr="00A27896" w14:paraId="0F18B924"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4AE62809" w14:textId="02E7FD21" w:rsidR="00EA50D1" w:rsidRPr="00A27896" w:rsidRDefault="00EA50D1" w:rsidP="00EA50D1">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Noguldījumi</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7A9AB8DC" w14:textId="175BC4E7"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5 314</w:t>
            </w:r>
          </w:p>
        </w:tc>
        <w:tc>
          <w:tcPr>
            <w:tcW w:w="1734" w:type="dxa"/>
            <w:tcBorders>
              <w:top w:val="single" w:sz="4" w:space="0" w:color="17365D"/>
              <w:left w:val="nil"/>
              <w:bottom w:val="single" w:sz="4" w:space="0" w:color="17365D"/>
              <w:right w:val="nil"/>
            </w:tcBorders>
            <w:shd w:val="clear" w:color="auto" w:fill="auto"/>
            <w:noWrap/>
            <w:vAlign w:val="center"/>
            <w:hideMark/>
          </w:tcPr>
          <w:p w14:paraId="1CB2B6BA" w14:textId="54E51BEC"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5 338</w:t>
            </w:r>
          </w:p>
        </w:tc>
      </w:tr>
      <w:tr w:rsidR="00EA50D1" w:rsidRPr="00A27896" w14:paraId="76138958"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42835D10" w14:textId="35BB03AA" w:rsidR="00EA50D1" w:rsidRPr="00A27896" w:rsidRDefault="00EA50D1" w:rsidP="00EA50D1">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Aizdevumi un prasības</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4496177D" w14:textId="16799D61"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385 694 221</w:t>
            </w:r>
          </w:p>
        </w:tc>
        <w:tc>
          <w:tcPr>
            <w:tcW w:w="1734" w:type="dxa"/>
            <w:tcBorders>
              <w:top w:val="single" w:sz="4" w:space="0" w:color="17365D"/>
              <w:left w:val="nil"/>
              <w:bottom w:val="single" w:sz="4" w:space="0" w:color="17365D"/>
              <w:right w:val="nil"/>
            </w:tcBorders>
            <w:shd w:val="clear" w:color="auto" w:fill="auto"/>
            <w:noWrap/>
            <w:vAlign w:val="center"/>
            <w:hideMark/>
          </w:tcPr>
          <w:p w14:paraId="4D0FE6BC" w14:textId="0FF8938D"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336 098 185</w:t>
            </w:r>
          </w:p>
        </w:tc>
      </w:tr>
      <w:tr w:rsidR="00EA50D1" w:rsidRPr="00A27896" w14:paraId="66DE02EA"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6688E702" w14:textId="7EF26595" w:rsidR="00EA50D1" w:rsidRPr="00A27896" w:rsidRDefault="00EA50D1" w:rsidP="00EA50D1">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Aizdevumi</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2D132340" w14:textId="3B4AE948"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382 058 989</w:t>
            </w:r>
          </w:p>
        </w:tc>
        <w:tc>
          <w:tcPr>
            <w:tcW w:w="1734" w:type="dxa"/>
            <w:tcBorders>
              <w:top w:val="single" w:sz="4" w:space="0" w:color="17365D"/>
              <w:left w:val="nil"/>
              <w:bottom w:val="single" w:sz="4" w:space="0" w:color="17365D"/>
              <w:right w:val="nil"/>
            </w:tcBorders>
            <w:shd w:val="clear" w:color="auto" w:fill="auto"/>
            <w:noWrap/>
            <w:vAlign w:val="center"/>
            <w:hideMark/>
          </w:tcPr>
          <w:p w14:paraId="523C1AD3" w14:textId="2667009B"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332 636 358</w:t>
            </w:r>
          </w:p>
        </w:tc>
      </w:tr>
      <w:tr w:rsidR="00EA50D1" w:rsidRPr="00A27896" w14:paraId="346E93BB"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6E22CB48" w14:textId="37DD7622" w:rsidR="00EA50D1" w:rsidRPr="00A27896" w:rsidRDefault="00EA50D1" w:rsidP="00EA50D1">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Prasības, kas ir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47DD8829" w14:textId="01476709"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3 633 328</w:t>
            </w:r>
          </w:p>
        </w:tc>
        <w:tc>
          <w:tcPr>
            <w:tcW w:w="1734" w:type="dxa"/>
            <w:tcBorders>
              <w:top w:val="single" w:sz="4" w:space="0" w:color="17365D"/>
              <w:left w:val="nil"/>
              <w:bottom w:val="single" w:sz="4" w:space="0" w:color="17365D"/>
              <w:right w:val="nil"/>
            </w:tcBorders>
            <w:shd w:val="clear" w:color="auto" w:fill="auto"/>
            <w:noWrap/>
            <w:vAlign w:val="center"/>
            <w:hideMark/>
          </w:tcPr>
          <w:p w14:paraId="18BD623E" w14:textId="174BDEDF"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3 458 962</w:t>
            </w:r>
          </w:p>
        </w:tc>
      </w:tr>
      <w:tr w:rsidR="00EA50D1" w:rsidRPr="00A27896" w14:paraId="73F672AA"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1126310C" w14:textId="56BC76AE" w:rsidR="00EA50D1" w:rsidRPr="00A27896" w:rsidRDefault="00EA50D1" w:rsidP="00EA50D1">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Pārējie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0134511C" w14:textId="44B2FB29"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1 904</w:t>
            </w:r>
          </w:p>
        </w:tc>
        <w:tc>
          <w:tcPr>
            <w:tcW w:w="1734" w:type="dxa"/>
            <w:tcBorders>
              <w:top w:val="single" w:sz="4" w:space="0" w:color="17365D"/>
              <w:left w:val="nil"/>
              <w:bottom w:val="single" w:sz="4" w:space="0" w:color="17365D"/>
              <w:right w:val="nil"/>
            </w:tcBorders>
            <w:shd w:val="clear" w:color="auto" w:fill="auto"/>
            <w:noWrap/>
            <w:vAlign w:val="center"/>
            <w:hideMark/>
          </w:tcPr>
          <w:p w14:paraId="4F18580B" w14:textId="1D34647A"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2 865</w:t>
            </w:r>
          </w:p>
        </w:tc>
      </w:tr>
      <w:tr w:rsidR="00EA50D1" w:rsidRPr="00A27896" w14:paraId="7851F4C0"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5099D2CD" w14:textId="74F770EF" w:rsidR="00EA50D1" w:rsidRPr="00A27896" w:rsidRDefault="00EA50D1" w:rsidP="00EA50D1">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Pārdošanai pieejami finanšu aktīvi</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3838E3CE" w14:textId="4A3FCD44"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768 172 361</w:t>
            </w:r>
          </w:p>
        </w:tc>
        <w:tc>
          <w:tcPr>
            <w:tcW w:w="1734" w:type="dxa"/>
            <w:tcBorders>
              <w:top w:val="single" w:sz="4" w:space="0" w:color="17365D"/>
              <w:left w:val="nil"/>
              <w:bottom w:val="single" w:sz="4" w:space="0" w:color="17365D"/>
              <w:right w:val="nil"/>
            </w:tcBorders>
            <w:shd w:val="clear" w:color="auto" w:fill="auto"/>
            <w:noWrap/>
            <w:vAlign w:val="center"/>
            <w:hideMark/>
          </w:tcPr>
          <w:p w14:paraId="79882DCC" w14:textId="3A589B8B"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760 806 999</w:t>
            </w:r>
          </w:p>
        </w:tc>
      </w:tr>
      <w:tr w:rsidR="00EA50D1" w:rsidRPr="00A27896" w14:paraId="17A23578"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7B275D83" w14:textId="0FD8B99F" w:rsidR="00EA50D1" w:rsidRPr="00A27896" w:rsidRDefault="00EA50D1" w:rsidP="00EA50D1">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Pārējie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303B5CDB" w14:textId="5580DA09"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768 172 361</w:t>
            </w:r>
          </w:p>
        </w:tc>
        <w:tc>
          <w:tcPr>
            <w:tcW w:w="1734" w:type="dxa"/>
            <w:tcBorders>
              <w:top w:val="single" w:sz="4" w:space="0" w:color="17365D"/>
              <w:left w:val="nil"/>
              <w:bottom w:val="single" w:sz="4" w:space="0" w:color="17365D"/>
              <w:right w:val="nil"/>
            </w:tcBorders>
            <w:shd w:val="clear" w:color="auto" w:fill="auto"/>
            <w:noWrap/>
            <w:vAlign w:val="center"/>
            <w:hideMark/>
          </w:tcPr>
          <w:p w14:paraId="7066178B" w14:textId="728FC45C"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760 806 999</w:t>
            </w:r>
          </w:p>
        </w:tc>
      </w:tr>
      <w:tr w:rsidR="00EA50D1" w:rsidRPr="00A27896" w14:paraId="432F0C3F"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44EA0DBE" w14:textId="50D50A9D" w:rsidR="00EA50D1" w:rsidRPr="00A27896" w:rsidRDefault="00EA50D1" w:rsidP="00EA50D1">
            <w:pPr>
              <w:spacing w:after="0" w:line="240" w:lineRule="auto"/>
              <w:ind w:right="57"/>
              <w:rPr>
                <w:rFonts w:eastAsia="Times New Roman" w:cs="Times New Roman"/>
                <w:b/>
                <w:color w:val="17365D"/>
                <w:sz w:val="18"/>
                <w:szCs w:val="18"/>
                <w:lang w:eastAsia="lv-LV"/>
              </w:rPr>
            </w:pPr>
            <w:r w:rsidRPr="00A27896">
              <w:rPr>
                <w:rFonts w:cs="Times New Roman"/>
                <w:b/>
                <w:bCs/>
                <w:color w:val="17365D"/>
                <w:sz w:val="18"/>
                <w:szCs w:val="18"/>
              </w:rPr>
              <w:t>Finanšu saistības</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621E00FF" w14:textId="6D6014AF" w:rsidR="00EA50D1" w:rsidRPr="00A27896" w:rsidRDefault="00EA50D1" w:rsidP="00EA50D1">
            <w:pPr>
              <w:spacing w:after="0" w:line="240" w:lineRule="auto"/>
              <w:ind w:right="57"/>
              <w:jc w:val="right"/>
              <w:rPr>
                <w:rFonts w:cs="Times New Roman"/>
                <w:b/>
                <w:color w:val="17365D"/>
                <w:sz w:val="18"/>
                <w:szCs w:val="18"/>
              </w:rPr>
            </w:pPr>
            <w:r w:rsidRPr="00A27896">
              <w:rPr>
                <w:rFonts w:cs="Times New Roman"/>
                <w:b/>
                <w:color w:val="17365D"/>
                <w:sz w:val="18"/>
                <w:szCs w:val="18"/>
              </w:rPr>
              <w:t>15 872 374 788</w:t>
            </w:r>
          </w:p>
        </w:tc>
        <w:tc>
          <w:tcPr>
            <w:tcW w:w="1734" w:type="dxa"/>
            <w:tcBorders>
              <w:top w:val="single" w:sz="4" w:space="0" w:color="17365D"/>
              <w:left w:val="nil"/>
              <w:bottom w:val="single" w:sz="4" w:space="0" w:color="17365D"/>
              <w:right w:val="nil"/>
            </w:tcBorders>
            <w:shd w:val="clear" w:color="auto" w:fill="auto"/>
            <w:vAlign w:val="center"/>
            <w:hideMark/>
          </w:tcPr>
          <w:p w14:paraId="341921B6" w14:textId="023A1954" w:rsidR="00EA50D1" w:rsidRPr="00A27896" w:rsidRDefault="00EA50D1" w:rsidP="00EA50D1">
            <w:pPr>
              <w:spacing w:after="0" w:line="240" w:lineRule="auto"/>
              <w:ind w:right="57"/>
              <w:jc w:val="right"/>
              <w:rPr>
                <w:rFonts w:cs="Times New Roman"/>
                <w:b/>
                <w:color w:val="17365D"/>
                <w:sz w:val="18"/>
                <w:szCs w:val="18"/>
              </w:rPr>
            </w:pPr>
            <w:r w:rsidRPr="00A27896">
              <w:rPr>
                <w:rFonts w:cs="Times New Roman"/>
                <w:b/>
                <w:color w:val="17365D"/>
                <w:sz w:val="18"/>
                <w:szCs w:val="18"/>
              </w:rPr>
              <w:t>14 413 009 145</w:t>
            </w:r>
          </w:p>
        </w:tc>
      </w:tr>
      <w:tr w:rsidR="00EA50D1" w:rsidRPr="00A27896" w14:paraId="397BAA2C"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7EF5B183" w14:textId="62296447" w:rsidR="00EA50D1" w:rsidRPr="00A27896" w:rsidRDefault="00EA50D1" w:rsidP="00EA50D1">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Patiesajā vērtībā novērtētas finanšu saistības</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32A7EC9F" w14:textId="7E56B2F0"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79 174 840</w:t>
            </w:r>
          </w:p>
        </w:tc>
        <w:tc>
          <w:tcPr>
            <w:tcW w:w="1734" w:type="dxa"/>
            <w:tcBorders>
              <w:top w:val="single" w:sz="4" w:space="0" w:color="17365D"/>
              <w:left w:val="nil"/>
              <w:bottom w:val="single" w:sz="4" w:space="0" w:color="17365D"/>
              <w:right w:val="nil"/>
            </w:tcBorders>
            <w:shd w:val="clear" w:color="auto" w:fill="auto"/>
            <w:noWrap/>
            <w:vAlign w:val="center"/>
            <w:hideMark/>
          </w:tcPr>
          <w:p w14:paraId="6F2D5751" w14:textId="406D01B0"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103 648 876</w:t>
            </w:r>
          </w:p>
        </w:tc>
      </w:tr>
      <w:tr w:rsidR="00EA50D1" w:rsidRPr="00A27896" w14:paraId="09C0ABD0"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583C3B9D" w14:textId="5CAA6E02" w:rsidR="00EA50D1" w:rsidRPr="00A27896" w:rsidRDefault="00EA50D1" w:rsidP="00EA50D1">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Atvasinātie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19C7E9E0" w14:textId="16CEDD84"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79 174 840</w:t>
            </w:r>
          </w:p>
        </w:tc>
        <w:tc>
          <w:tcPr>
            <w:tcW w:w="1734" w:type="dxa"/>
            <w:tcBorders>
              <w:top w:val="single" w:sz="4" w:space="0" w:color="17365D"/>
              <w:left w:val="nil"/>
              <w:bottom w:val="single" w:sz="4" w:space="0" w:color="17365D"/>
              <w:right w:val="nil"/>
            </w:tcBorders>
            <w:shd w:val="clear" w:color="auto" w:fill="auto"/>
            <w:noWrap/>
            <w:vAlign w:val="center"/>
            <w:hideMark/>
          </w:tcPr>
          <w:p w14:paraId="2564092C" w14:textId="4BFFEA4C"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103 648 876</w:t>
            </w:r>
          </w:p>
        </w:tc>
      </w:tr>
      <w:tr w:rsidR="00EA50D1" w:rsidRPr="00A27896" w14:paraId="5DBCCACA"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3F8C0156" w14:textId="0E6A0222" w:rsidR="00EA50D1" w:rsidRPr="00A27896" w:rsidRDefault="00EA50D1" w:rsidP="00EA50D1">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Pārējās finanšu saistības</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791C119C" w14:textId="3EBC042A"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15 793 199 948</w:t>
            </w:r>
          </w:p>
        </w:tc>
        <w:tc>
          <w:tcPr>
            <w:tcW w:w="1734" w:type="dxa"/>
            <w:tcBorders>
              <w:top w:val="single" w:sz="4" w:space="0" w:color="17365D"/>
              <w:left w:val="nil"/>
              <w:bottom w:val="single" w:sz="4" w:space="0" w:color="17365D"/>
              <w:right w:val="nil"/>
            </w:tcBorders>
            <w:shd w:val="clear" w:color="auto" w:fill="auto"/>
            <w:noWrap/>
            <w:vAlign w:val="center"/>
            <w:hideMark/>
          </w:tcPr>
          <w:p w14:paraId="44DC97EA" w14:textId="53D7141C"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14 309 360 269</w:t>
            </w:r>
          </w:p>
        </w:tc>
      </w:tr>
      <w:tr w:rsidR="00EA50D1" w:rsidRPr="00A27896" w14:paraId="5023AA36"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2EBC9EF8" w14:textId="44371343" w:rsidR="00EA50D1" w:rsidRPr="00A27896" w:rsidRDefault="00EA50D1" w:rsidP="00EA50D1">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Emitētie vērtspapīri</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152B660A" w14:textId="0127FA96"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13 494 605 009</w:t>
            </w:r>
          </w:p>
        </w:tc>
        <w:tc>
          <w:tcPr>
            <w:tcW w:w="1734" w:type="dxa"/>
            <w:tcBorders>
              <w:top w:val="single" w:sz="4" w:space="0" w:color="17365D"/>
              <w:left w:val="nil"/>
              <w:bottom w:val="single" w:sz="4" w:space="0" w:color="17365D"/>
              <w:right w:val="nil"/>
            </w:tcBorders>
            <w:shd w:val="clear" w:color="auto" w:fill="auto"/>
            <w:noWrap/>
            <w:vAlign w:val="center"/>
            <w:hideMark/>
          </w:tcPr>
          <w:p w14:paraId="3CF64E39" w14:textId="2099EA69"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12 063 234 024</w:t>
            </w:r>
          </w:p>
        </w:tc>
      </w:tr>
      <w:tr w:rsidR="00EA50D1" w:rsidRPr="00A27896" w14:paraId="00169F90"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0345BABA" w14:textId="4A7F54EB" w:rsidR="00EA50D1" w:rsidRPr="00A27896" w:rsidRDefault="00EA50D1" w:rsidP="00EA50D1">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Aizņēmumi</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251934A2" w14:textId="7D4E7546"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2 294 595 246</w:t>
            </w:r>
          </w:p>
        </w:tc>
        <w:tc>
          <w:tcPr>
            <w:tcW w:w="1734" w:type="dxa"/>
            <w:tcBorders>
              <w:top w:val="single" w:sz="4" w:space="0" w:color="17365D"/>
              <w:left w:val="nil"/>
              <w:bottom w:val="single" w:sz="4" w:space="0" w:color="17365D"/>
              <w:right w:val="nil"/>
            </w:tcBorders>
            <w:shd w:val="clear" w:color="auto" w:fill="auto"/>
            <w:noWrap/>
            <w:vAlign w:val="center"/>
            <w:hideMark/>
          </w:tcPr>
          <w:p w14:paraId="5304F422" w14:textId="0B3BC753"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2 239 432 694</w:t>
            </w:r>
          </w:p>
        </w:tc>
      </w:tr>
      <w:tr w:rsidR="00EA50D1" w:rsidRPr="00A27896" w14:paraId="7E6CB51A"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7EF3F74E" w14:textId="30D99418" w:rsidR="00EA50D1" w:rsidRPr="00A27896" w:rsidRDefault="00EA50D1" w:rsidP="00EA50D1">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Pārējie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70635AAE" w14:textId="1A5E9328"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3 999 693</w:t>
            </w:r>
          </w:p>
        </w:tc>
        <w:tc>
          <w:tcPr>
            <w:tcW w:w="1734" w:type="dxa"/>
            <w:tcBorders>
              <w:top w:val="single" w:sz="4" w:space="0" w:color="17365D"/>
              <w:left w:val="nil"/>
              <w:bottom w:val="single" w:sz="4" w:space="0" w:color="17365D"/>
              <w:right w:val="nil"/>
            </w:tcBorders>
            <w:shd w:val="clear" w:color="auto" w:fill="auto"/>
            <w:noWrap/>
            <w:vAlign w:val="center"/>
            <w:hideMark/>
          </w:tcPr>
          <w:p w14:paraId="2E9AA9B1" w14:textId="6BBB8B82"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6 693 551</w:t>
            </w:r>
          </w:p>
        </w:tc>
      </w:tr>
      <w:tr w:rsidR="00EA50D1" w:rsidRPr="00A27896" w14:paraId="267EB421"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2B6CA36D" w14:textId="0109BCA0" w:rsidR="00EA50D1" w:rsidRPr="00A27896" w:rsidRDefault="00EA50D1" w:rsidP="00EA50D1">
            <w:pPr>
              <w:spacing w:after="0" w:line="240" w:lineRule="auto"/>
              <w:ind w:right="57"/>
              <w:rPr>
                <w:rFonts w:eastAsia="Times New Roman" w:cs="Times New Roman"/>
                <w:b/>
                <w:color w:val="17365D"/>
                <w:sz w:val="18"/>
                <w:szCs w:val="18"/>
                <w:lang w:eastAsia="lv-LV"/>
              </w:rPr>
            </w:pPr>
            <w:r w:rsidRPr="00A27896">
              <w:rPr>
                <w:rFonts w:cs="Times New Roman"/>
                <w:b/>
                <w:bCs/>
                <w:color w:val="17365D"/>
                <w:sz w:val="18"/>
                <w:szCs w:val="18"/>
              </w:rPr>
              <w:t>Zembilances posteņos iekļautie finanšu instrumenti</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01C6658B" w14:textId="2E791383" w:rsidR="00EA50D1" w:rsidRPr="00A27896" w:rsidRDefault="00EA50D1" w:rsidP="00EA50D1">
            <w:pPr>
              <w:spacing w:after="0" w:line="240" w:lineRule="auto"/>
              <w:ind w:right="57"/>
              <w:jc w:val="right"/>
              <w:rPr>
                <w:rFonts w:cs="Times New Roman"/>
                <w:b/>
                <w:color w:val="17365D"/>
                <w:sz w:val="18"/>
                <w:szCs w:val="18"/>
              </w:rPr>
            </w:pPr>
            <w:r w:rsidRPr="00A27896">
              <w:rPr>
                <w:rFonts w:cs="Times New Roman"/>
                <w:b/>
                <w:color w:val="17365D"/>
                <w:sz w:val="18"/>
                <w:szCs w:val="18"/>
              </w:rPr>
              <w:t>57 161 623</w:t>
            </w:r>
          </w:p>
        </w:tc>
        <w:tc>
          <w:tcPr>
            <w:tcW w:w="1734" w:type="dxa"/>
            <w:tcBorders>
              <w:top w:val="single" w:sz="4" w:space="0" w:color="17365D"/>
              <w:left w:val="nil"/>
              <w:bottom w:val="single" w:sz="4" w:space="0" w:color="17365D"/>
              <w:right w:val="nil"/>
            </w:tcBorders>
            <w:shd w:val="clear" w:color="auto" w:fill="auto"/>
            <w:vAlign w:val="center"/>
            <w:hideMark/>
          </w:tcPr>
          <w:p w14:paraId="333229EA" w14:textId="55F7FF7C" w:rsidR="00EA50D1" w:rsidRPr="00A27896" w:rsidRDefault="00EA50D1" w:rsidP="00EA50D1">
            <w:pPr>
              <w:spacing w:after="0" w:line="240" w:lineRule="auto"/>
              <w:ind w:right="57"/>
              <w:jc w:val="right"/>
              <w:rPr>
                <w:rFonts w:cs="Times New Roman"/>
                <w:b/>
                <w:color w:val="17365D"/>
                <w:sz w:val="18"/>
                <w:szCs w:val="18"/>
              </w:rPr>
            </w:pPr>
            <w:r w:rsidRPr="00A27896">
              <w:rPr>
                <w:rFonts w:cs="Times New Roman"/>
                <w:b/>
                <w:color w:val="17365D"/>
                <w:sz w:val="18"/>
                <w:szCs w:val="18"/>
              </w:rPr>
              <w:t>111 038 237</w:t>
            </w:r>
          </w:p>
        </w:tc>
      </w:tr>
      <w:tr w:rsidR="00EA50D1" w:rsidRPr="00A27896" w14:paraId="33293594" w14:textId="77777777" w:rsidTr="00EA50D1">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65D1105B" w14:textId="0EFB0913" w:rsidR="00EA50D1" w:rsidRPr="00A27896" w:rsidRDefault="00EA50D1" w:rsidP="00EA50D1">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Garantijas</w:t>
            </w:r>
          </w:p>
        </w:tc>
        <w:tc>
          <w:tcPr>
            <w:tcW w:w="1701" w:type="dxa"/>
            <w:gridSpan w:val="2"/>
            <w:tcBorders>
              <w:top w:val="single" w:sz="4" w:space="0" w:color="17365D"/>
              <w:left w:val="nil"/>
              <w:bottom w:val="single" w:sz="4" w:space="0" w:color="17365D"/>
              <w:right w:val="nil"/>
            </w:tcBorders>
            <w:shd w:val="clear" w:color="auto" w:fill="auto"/>
            <w:noWrap/>
            <w:vAlign w:val="center"/>
            <w:hideMark/>
          </w:tcPr>
          <w:p w14:paraId="206D6002" w14:textId="792FB464"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57 161 623</w:t>
            </w:r>
          </w:p>
        </w:tc>
        <w:tc>
          <w:tcPr>
            <w:tcW w:w="1734" w:type="dxa"/>
            <w:tcBorders>
              <w:top w:val="single" w:sz="4" w:space="0" w:color="17365D"/>
              <w:left w:val="nil"/>
              <w:bottom w:val="single" w:sz="4" w:space="0" w:color="17365D"/>
              <w:right w:val="nil"/>
            </w:tcBorders>
            <w:shd w:val="clear" w:color="auto" w:fill="auto"/>
            <w:vAlign w:val="center"/>
            <w:hideMark/>
          </w:tcPr>
          <w:p w14:paraId="1F08E440" w14:textId="4490A439" w:rsidR="00EA50D1" w:rsidRPr="00A27896" w:rsidRDefault="00EA50D1" w:rsidP="00EA50D1">
            <w:pPr>
              <w:spacing w:after="0" w:line="240" w:lineRule="auto"/>
              <w:ind w:right="57"/>
              <w:jc w:val="right"/>
              <w:rPr>
                <w:rFonts w:cs="Times New Roman"/>
                <w:color w:val="17365D"/>
                <w:sz w:val="18"/>
                <w:szCs w:val="18"/>
              </w:rPr>
            </w:pPr>
            <w:r w:rsidRPr="00A27896">
              <w:rPr>
                <w:rFonts w:cs="Times New Roman"/>
                <w:color w:val="17365D"/>
                <w:sz w:val="18"/>
                <w:szCs w:val="18"/>
              </w:rPr>
              <w:t>111 038 237</w:t>
            </w:r>
          </w:p>
        </w:tc>
      </w:tr>
      <w:tr w:rsidR="000C1009" w:rsidRPr="00A27896" w14:paraId="7A23D217" w14:textId="77777777" w:rsidTr="00B62824">
        <w:trPr>
          <w:trHeight w:val="184"/>
        </w:trPr>
        <w:tc>
          <w:tcPr>
            <w:tcW w:w="2520" w:type="dxa"/>
            <w:tcBorders>
              <w:top w:val="single" w:sz="4" w:space="0" w:color="17365D"/>
            </w:tcBorders>
            <w:shd w:val="clear" w:color="000000" w:fill="B9CDE5"/>
            <w:noWrap/>
            <w:vAlign w:val="center"/>
            <w:hideMark/>
          </w:tcPr>
          <w:p w14:paraId="4EF94FCC" w14:textId="77777777" w:rsidR="00413E6B" w:rsidRPr="00A27896" w:rsidRDefault="00413E6B" w:rsidP="00960410">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4960" w:type="dxa"/>
            <w:gridSpan w:val="2"/>
            <w:tcBorders>
              <w:top w:val="single" w:sz="4" w:space="0" w:color="17365D"/>
            </w:tcBorders>
            <w:shd w:val="clear" w:color="000000" w:fill="B9CDE5"/>
            <w:noWrap/>
            <w:vAlign w:val="center"/>
            <w:hideMark/>
          </w:tcPr>
          <w:p w14:paraId="4D772791" w14:textId="77777777" w:rsidR="00413E6B" w:rsidRPr="00A27896" w:rsidRDefault="00413E6B" w:rsidP="00960410">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909" w:type="dxa"/>
            <w:gridSpan w:val="2"/>
            <w:tcBorders>
              <w:top w:val="single" w:sz="4" w:space="0" w:color="17365D"/>
            </w:tcBorders>
            <w:shd w:val="clear" w:color="000000" w:fill="B9CDE5"/>
            <w:vAlign w:val="center"/>
            <w:hideMark/>
          </w:tcPr>
          <w:p w14:paraId="6F35B313" w14:textId="77777777" w:rsidR="00413E6B" w:rsidRPr="00A27896" w:rsidRDefault="00413E6B" w:rsidP="00960410">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282A5256" w14:textId="68C7E7FC" w:rsidR="0022056B" w:rsidRPr="00A27896" w:rsidRDefault="0022056B" w:rsidP="00A833F6">
      <w:pPr>
        <w:pStyle w:val="Pamatteksts"/>
        <w:spacing w:before="120"/>
        <w:rPr>
          <w:rFonts w:eastAsiaTheme="minorHAnsi"/>
          <w:noProof w:val="0"/>
          <w:color w:val="17365D"/>
          <w:lang w:eastAsia="en-US"/>
        </w:rPr>
      </w:pPr>
      <w:r w:rsidRPr="00A27896">
        <w:rPr>
          <w:rFonts w:eastAsiaTheme="minorHAnsi"/>
          <w:noProof w:val="0"/>
          <w:color w:val="17365D"/>
          <w:lang w:eastAsia="en-US"/>
        </w:rPr>
        <w:t>Pārskata periodā Ekonomikas ministrija pārklasificējusi iegādātos vērtspapīrus starp finanšu instrumentu kategoriju “Līdz termiņa beigām turēti ieguldījumi” un kategoriju “Patiesajā vērtībā novērtēti finanšu aktīvi”.</w:t>
      </w:r>
    </w:p>
    <w:p w14:paraId="667F2D76" w14:textId="78747E9D" w:rsidR="0022056B" w:rsidRPr="00A27896" w:rsidRDefault="0022056B" w:rsidP="0022056B">
      <w:pPr>
        <w:pStyle w:val="Pamatteksts"/>
        <w:rPr>
          <w:rFonts w:eastAsiaTheme="minorHAnsi"/>
          <w:noProof w:val="0"/>
          <w:color w:val="17365D"/>
          <w:lang w:eastAsia="en-US"/>
        </w:rPr>
      </w:pPr>
      <w:r w:rsidRPr="00A27896">
        <w:rPr>
          <w:rFonts w:eastAsiaTheme="minorHAnsi"/>
          <w:noProof w:val="0"/>
          <w:color w:val="17365D"/>
          <w:lang w:eastAsia="en-US"/>
        </w:rPr>
        <w:t>Ministru kabineta 2018.gada 13.februāra noteikumi Nr.87 “Budžeta iestāžu grāmatvedības uzskaite” nosaka finanšu instrumentu patiesās vērtības vērtēšanas metodes:</w:t>
      </w:r>
    </w:p>
    <w:p w14:paraId="37FFEFCB" w14:textId="6AB75582" w:rsidR="0022056B" w:rsidRPr="00A27896" w:rsidRDefault="0022056B" w:rsidP="00603FE0">
      <w:pPr>
        <w:pStyle w:val="Pamatteksts"/>
        <w:numPr>
          <w:ilvl w:val="0"/>
          <w:numId w:val="45"/>
        </w:numPr>
        <w:ind w:left="851"/>
        <w:rPr>
          <w:rFonts w:eastAsiaTheme="minorHAnsi"/>
          <w:noProof w:val="0"/>
          <w:color w:val="17365D"/>
          <w:lang w:eastAsia="en-US"/>
        </w:rPr>
      </w:pPr>
      <w:r w:rsidRPr="00A27896">
        <w:rPr>
          <w:rFonts w:eastAsiaTheme="minorHAnsi"/>
          <w:noProof w:val="0"/>
          <w:color w:val="17365D"/>
          <w:lang w:eastAsia="en-US"/>
        </w:rPr>
        <w:t>konkrētā finanšu instrumenta darījuma cena vai identisku aktīvu vai saistību kotētās cenas aktīvos tirgos (patiesās vērtības hierarhijas 1. līmenis);</w:t>
      </w:r>
    </w:p>
    <w:p w14:paraId="709F161C" w14:textId="5C292454" w:rsidR="0022056B" w:rsidRPr="00A27896" w:rsidRDefault="0022056B" w:rsidP="00603FE0">
      <w:pPr>
        <w:pStyle w:val="Pamatteksts"/>
        <w:numPr>
          <w:ilvl w:val="0"/>
          <w:numId w:val="45"/>
        </w:numPr>
        <w:ind w:left="851"/>
        <w:rPr>
          <w:rFonts w:eastAsiaTheme="minorHAnsi"/>
          <w:noProof w:val="0"/>
          <w:color w:val="17365D"/>
          <w:lang w:eastAsia="en-US"/>
        </w:rPr>
      </w:pPr>
      <w:r w:rsidRPr="00A27896">
        <w:rPr>
          <w:rFonts w:eastAsiaTheme="minorHAnsi"/>
          <w:noProof w:val="0"/>
          <w:color w:val="17365D"/>
          <w:lang w:eastAsia="en-US"/>
        </w:rPr>
        <w:t>ja finanšu instrumentam nav tirgus cenas, bet šāda cena ir atsevišķām tā komponentēm vai līdzīgiem finanšu instrumentiem, šī instrumenta tirgus cenu var noteikt, ņemot vērā tā komponenšu vai līdzīgo finanšu instrumentu tirgus cenu (patiesās vērtības hierarhijas 2.</w:t>
      </w:r>
      <w:r w:rsidR="00603FE0" w:rsidRPr="00A27896">
        <w:rPr>
          <w:rFonts w:eastAsiaTheme="minorHAnsi"/>
          <w:noProof w:val="0"/>
          <w:color w:val="17365D"/>
          <w:lang w:eastAsia="en-US"/>
        </w:rPr>
        <w:t> </w:t>
      </w:r>
      <w:r w:rsidRPr="00A27896">
        <w:rPr>
          <w:rFonts w:eastAsiaTheme="minorHAnsi"/>
          <w:noProof w:val="0"/>
          <w:color w:val="17365D"/>
          <w:lang w:eastAsia="en-US"/>
        </w:rPr>
        <w:t>līmenis);</w:t>
      </w:r>
    </w:p>
    <w:p w14:paraId="3EDF0346" w14:textId="1BC13678" w:rsidR="0022056B" w:rsidRPr="00A27896" w:rsidRDefault="0022056B" w:rsidP="00603FE0">
      <w:pPr>
        <w:pStyle w:val="Pamatteksts"/>
        <w:numPr>
          <w:ilvl w:val="0"/>
          <w:numId w:val="45"/>
        </w:numPr>
        <w:ind w:left="851"/>
        <w:rPr>
          <w:rFonts w:eastAsiaTheme="minorHAnsi"/>
          <w:noProof w:val="0"/>
          <w:color w:val="17365D"/>
          <w:lang w:eastAsia="en-US"/>
        </w:rPr>
      </w:pPr>
      <w:r w:rsidRPr="00A27896">
        <w:rPr>
          <w:rFonts w:eastAsiaTheme="minorHAnsi"/>
          <w:noProof w:val="0"/>
          <w:color w:val="17365D"/>
          <w:lang w:eastAsia="en-US"/>
        </w:rPr>
        <w:t>ja nav iespējams noteikt finanšu instrumenta tirgus cenu, tā patieso vērtību nosaka, pamatojoties uz vērtību, kas aprēķināta, izmantojot vispāratzītas un piemērotas novērtēšanas metodes, ja aprēķinātā vērtība parāda šī instrumenta iespējamo tirgus cenu. Patiesās vērtības novērtēšanas metodi izstrādā komisija vai speciālists. Novērtēšanas metodes aktualitāti pārskata ne retāk kā reizi pārskata gadā (patiesās vērtības hierarhijas 3. līmenis).</w:t>
      </w:r>
    </w:p>
    <w:p w14:paraId="2D82B112" w14:textId="14C8806B" w:rsidR="00D65E28" w:rsidRPr="00A27896" w:rsidRDefault="0022056B" w:rsidP="00D65E28">
      <w:pPr>
        <w:pStyle w:val="Pamatteksts"/>
        <w:rPr>
          <w:rFonts w:eastAsiaTheme="minorHAnsi"/>
          <w:noProof w:val="0"/>
          <w:color w:val="17365D"/>
          <w:lang w:eastAsia="en-US"/>
        </w:rPr>
      </w:pPr>
      <w:r w:rsidRPr="00A27896">
        <w:rPr>
          <w:rFonts w:eastAsiaTheme="minorHAnsi"/>
          <w:noProof w:val="0"/>
          <w:color w:val="17365D"/>
          <w:lang w:eastAsia="en-US"/>
        </w:rPr>
        <w:t>Saimnieciskā gada pārskatā patiesajā vērtībā novērtētie finanšu instrumenti, kas ir finanšu aktīvi</w:t>
      </w:r>
      <w:r w:rsidR="00F3520D" w:rsidRPr="00A27896">
        <w:rPr>
          <w:rFonts w:eastAsiaTheme="minorHAnsi"/>
          <w:noProof w:val="0"/>
          <w:color w:val="17365D"/>
          <w:lang w:eastAsia="en-US"/>
        </w:rPr>
        <w:t xml:space="preserve">, </w:t>
      </w:r>
      <w:r w:rsidR="00F3520D" w:rsidRPr="00A27896">
        <w:rPr>
          <w:rFonts w:eastAsiaTheme="minorHAnsi"/>
          <w:bCs/>
          <w:noProof w:val="0"/>
          <w:color w:val="17365D"/>
          <w:lang w:eastAsia="en-US"/>
        </w:rPr>
        <w:t>1</w:t>
      </w:r>
      <w:r w:rsidR="005C239B" w:rsidRPr="00A27896">
        <w:rPr>
          <w:rFonts w:eastAsiaTheme="minorHAnsi"/>
          <w:bCs/>
          <w:noProof w:val="0"/>
          <w:color w:val="17365D"/>
          <w:lang w:eastAsia="en-US"/>
        </w:rPr>
        <w:t> </w:t>
      </w:r>
      <w:r w:rsidR="00F3520D" w:rsidRPr="00A27896">
        <w:rPr>
          <w:rFonts w:eastAsiaTheme="minorHAnsi"/>
          <w:bCs/>
          <w:noProof w:val="0"/>
          <w:color w:val="17365D"/>
          <w:lang w:eastAsia="en-US"/>
        </w:rPr>
        <w:t xml:space="preserve">735 498 </w:t>
      </w:r>
      <w:proofErr w:type="spellStart"/>
      <w:r w:rsidR="00F3520D" w:rsidRPr="00A27896">
        <w:rPr>
          <w:rFonts w:eastAsiaTheme="minorHAnsi"/>
          <w:bCs/>
          <w:i/>
          <w:noProof w:val="0"/>
          <w:color w:val="17365D"/>
          <w:lang w:eastAsia="en-US"/>
        </w:rPr>
        <w:t>euro</w:t>
      </w:r>
      <w:proofErr w:type="spellEnd"/>
      <w:r w:rsidR="00F3520D" w:rsidRPr="00A27896">
        <w:rPr>
          <w:rFonts w:eastAsiaTheme="minorHAnsi"/>
          <w:bCs/>
          <w:noProof w:val="0"/>
          <w:color w:val="17365D"/>
          <w:lang w:eastAsia="en-US"/>
        </w:rPr>
        <w:t xml:space="preserve"> vērtībā</w:t>
      </w:r>
      <w:r w:rsidRPr="00A27896">
        <w:rPr>
          <w:rFonts w:eastAsiaTheme="minorHAnsi"/>
          <w:noProof w:val="0"/>
          <w:color w:val="17365D"/>
          <w:lang w:eastAsia="en-US"/>
        </w:rPr>
        <w:t xml:space="preserve"> uzrādīti patiesās vērtības hierarhijas 1. līmenī, savukārt finanšu saistībās uzrādīti</w:t>
      </w:r>
      <w:r w:rsidR="00F3520D" w:rsidRPr="00A27896">
        <w:rPr>
          <w:rFonts w:eastAsiaTheme="minorHAnsi"/>
          <w:noProof w:val="0"/>
          <w:color w:val="17365D"/>
          <w:lang w:eastAsia="en-US"/>
        </w:rPr>
        <w:t xml:space="preserve">e </w:t>
      </w:r>
      <w:r w:rsidR="005C239B" w:rsidRPr="00A27896">
        <w:rPr>
          <w:rFonts w:eastAsiaTheme="minorHAnsi"/>
          <w:noProof w:val="0"/>
          <w:color w:val="17365D"/>
          <w:lang w:eastAsia="en-US"/>
        </w:rPr>
        <w:t xml:space="preserve">finanšu instrumenti </w:t>
      </w:r>
      <w:r w:rsidR="008A7804" w:rsidRPr="00A27896">
        <w:rPr>
          <w:rFonts w:eastAsiaTheme="minorHAnsi"/>
          <w:noProof w:val="0"/>
          <w:color w:val="17365D"/>
          <w:lang w:eastAsia="en-US"/>
        </w:rPr>
        <w:t>79</w:t>
      </w:r>
      <w:r w:rsidR="005C239B" w:rsidRPr="00A27896">
        <w:rPr>
          <w:rFonts w:eastAsiaTheme="minorHAnsi"/>
          <w:noProof w:val="0"/>
          <w:color w:val="17365D"/>
          <w:lang w:eastAsia="en-US"/>
        </w:rPr>
        <w:t> </w:t>
      </w:r>
      <w:r w:rsidR="008A7804" w:rsidRPr="00A27896">
        <w:rPr>
          <w:rFonts w:eastAsiaTheme="minorHAnsi"/>
          <w:noProof w:val="0"/>
          <w:color w:val="17365D"/>
          <w:lang w:eastAsia="en-US"/>
        </w:rPr>
        <w:t xml:space="preserve">174 840 </w:t>
      </w:r>
      <w:proofErr w:type="spellStart"/>
      <w:r w:rsidR="00F3520D" w:rsidRPr="00A27896">
        <w:rPr>
          <w:rFonts w:eastAsiaTheme="minorHAnsi"/>
          <w:bCs/>
          <w:i/>
          <w:noProof w:val="0"/>
          <w:color w:val="17365D"/>
          <w:lang w:eastAsia="en-US"/>
        </w:rPr>
        <w:t>euro</w:t>
      </w:r>
      <w:proofErr w:type="spellEnd"/>
      <w:r w:rsidR="00F3520D" w:rsidRPr="00A27896">
        <w:rPr>
          <w:rFonts w:eastAsiaTheme="minorHAnsi"/>
          <w:bCs/>
          <w:noProof w:val="0"/>
          <w:color w:val="17365D"/>
          <w:lang w:eastAsia="en-US"/>
        </w:rPr>
        <w:t xml:space="preserve"> vērtībā</w:t>
      </w:r>
      <w:r w:rsidR="00F3520D" w:rsidRPr="00A27896">
        <w:rPr>
          <w:rFonts w:eastAsiaTheme="minorHAnsi"/>
          <w:noProof w:val="0"/>
          <w:color w:val="17365D"/>
          <w:lang w:eastAsia="en-US"/>
        </w:rPr>
        <w:t xml:space="preserve"> </w:t>
      </w:r>
      <w:r w:rsidRPr="00A27896">
        <w:rPr>
          <w:rFonts w:eastAsiaTheme="minorHAnsi"/>
          <w:noProof w:val="0"/>
          <w:color w:val="17365D"/>
          <w:lang w:eastAsia="en-US"/>
        </w:rPr>
        <w:t xml:space="preserve">– patiesās vērtības hierarhijas </w:t>
      </w:r>
      <w:r w:rsidRPr="00A27896">
        <w:rPr>
          <w:rFonts w:eastAsiaTheme="minorHAnsi"/>
          <w:noProof w:val="0"/>
          <w:color w:val="17365D"/>
          <w:lang w:eastAsia="en-US"/>
        </w:rPr>
        <w:lastRenderedPageBreak/>
        <w:t>3.</w:t>
      </w:r>
      <w:r w:rsidR="00603FE0" w:rsidRPr="00A27896">
        <w:rPr>
          <w:rFonts w:eastAsiaTheme="minorHAnsi"/>
          <w:noProof w:val="0"/>
          <w:color w:val="17365D"/>
          <w:lang w:eastAsia="en-US"/>
        </w:rPr>
        <w:t> </w:t>
      </w:r>
      <w:r w:rsidRPr="00A27896">
        <w:rPr>
          <w:rFonts w:eastAsiaTheme="minorHAnsi"/>
          <w:noProof w:val="0"/>
          <w:color w:val="17365D"/>
          <w:lang w:eastAsia="en-US"/>
        </w:rPr>
        <w:t xml:space="preserve">līmenī. </w:t>
      </w:r>
      <w:r w:rsidR="008A7804" w:rsidRPr="00A27896">
        <w:rPr>
          <w:rFonts w:eastAsiaTheme="minorHAnsi"/>
          <w:noProof w:val="0"/>
          <w:color w:val="17365D"/>
          <w:lang w:eastAsia="en-US"/>
        </w:rPr>
        <w:t>Finanšu ministrija pārdošanai pieejamos finanšu aktīvus 766</w:t>
      </w:r>
      <w:r w:rsidR="005C239B" w:rsidRPr="00A27896">
        <w:rPr>
          <w:rFonts w:eastAsiaTheme="minorHAnsi"/>
          <w:noProof w:val="0"/>
          <w:color w:val="17365D"/>
          <w:lang w:eastAsia="en-US"/>
        </w:rPr>
        <w:t> </w:t>
      </w:r>
      <w:r w:rsidR="008A7804" w:rsidRPr="00A27896">
        <w:rPr>
          <w:rFonts w:eastAsiaTheme="minorHAnsi"/>
          <w:noProof w:val="0"/>
          <w:color w:val="17365D"/>
          <w:lang w:eastAsia="en-US"/>
        </w:rPr>
        <w:t>162</w:t>
      </w:r>
      <w:r w:rsidR="005C239B" w:rsidRPr="00A27896">
        <w:rPr>
          <w:rFonts w:eastAsiaTheme="minorHAnsi"/>
          <w:noProof w:val="0"/>
          <w:color w:val="17365D"/>
          <w:lang w:eastAsia="en-US"/>
        </w:rPr>
        <w:t> </w:t>
      </w:r>
      <w:r w:rsidR="008A7804" w:rsidRPr="00A27896">
        <w:rPr>
          <w:rFonts w:eastAsiaTheme="minorHAnsi"/>
          <w:noProof w:val="0"/>
          <w:color w:val="17365D"/>
          <w:lang w:eastAsia="en-US"/>
        </w:rPr>
        <w:t xml:space="preserve">572 </w:t>
      </w:r>
      <w:proofErr w:type="spellStart"/>
      <w:r w:rsidR="008A7804" w:rsidRPr="00A27896">
        <w:rPr>
          <w:rFonts w:eastAsiaTheme="minorHAnsi"/>
          <w:bCs/>
          <w:i/>
          <w:noProof w:val="0"/>
          <w:color w:val="17365D"/>
          <w:lang w:eastAsia="en-US"/>
        </w:rPr>
        <w:t>euro</w:t>
      </w:r>
      <w:proofErr w:type="spellEnd"/>
      <w:r w:rsidR="008A7804" w:rsidRPr="00A27896">
        <w:rPr>
          <w:rFonts w:eastAsiaTheme="minorHAnsi"/>
          <w:bCs/>
          <w:noProof w:val="0"/>
          <w:color w:val="17365D"/>
          <w:lang w:eastAsia="en-US"/>
        </w:rPr>
        <w:t xml:space="preserve"> vērtībā</w:t>
      </w:r>
      <w:r w:rsidR="008A7804" w:rsidRPr="00A27896">
        <w:rPr>
          <w:rFonts w:eastAsiaTheme="minorHAnsi"/>
          <w:noProof w:val="0"/>
          <w:color w:val="17365D"/>
          <w:lang w:eastAsia="en-US"/>
        </w:rPr>
        <w:t xml:space="preserve"> novērtē izmaksu vērtībā, jo patieso vērtību nevar noteikt.</w:t>
      </w:r>
    </w:p>
    <w:p w14:paraId="40310A61" w14:textId="41BA0D68" w:rsidR="005A010F" w:rsidRPr="00A27896" w:rsidRDefault="00715EF2" w:rsidP="00300AF5">
      <w:pPr>
        <w:pStyle w:val="Heading5"/>
        <w:spacing w:before="240"/>
        <w:rPr>
          <w:rFonts w:cs="Times New Roman"/>
        </w:rPr>
      </w:pPr>
      <w:r w:rsidRPr="00A27896">
        <w:rPr>
          <w:rFonts w:cs="Times New Roman"/>
        </w:rPr>
        <w:t xml:space="preserve">Piezīme Nr. </w:t>
      </w:r>
      <w:r w:rsidR="000B381D" w:rsidRPr="00A27896">
        <w:rPr>
          <w:rFonts w:cs="Times New Roman"/>
        </w:rPr>
        <w:t>V9. Informācija par ieķīlātajiem aktīviem saistību vai iespējamo saistību nodrošinājumam sadalījumā pa finanšu instrumentiem</w:t>
      </w:r>
    </w:p>
    <w:p w14:paraId="71134E20" w14:textId="7A24F4BA" w:rsidR="0019458D" w:rsidRPr="00A27896" w:rsidRDefault="0019458D" w:rsidP="0019458D">
      <w:pPr>
        <w:spacing w:before="120" w:after="120" w:line="240" w:lineRule="auto"/>
        <w:ind w:firstLine="284"/>
        <w:jc w:val="both"/>
        <w:rPr>
          <w:rFonts w:cs="Times New Roman"/>
          <w:color w:val="17365D"/>
          <w:szCs w:val="24"/>
        </w:rPr>
      </w:pPr>
      <w:r w:rsidRPr="00A27896">
        <w:rPr>
          <w:rFonts w:cs="Times New Roman"/>
          <w:color w:val="17365D"/>
          <w:szCs w:val="24"/>
        </w:rPr>
        <w:t>Saskaņā ar budžeta iestāžu sniegto informāciju (3</w:t>
      </w:r>
      <w:r w:rsidR="00EA50D1" w:rsidRPr="00A27896">
        <w:rPr>
          <w:rFonts w:cs="Times New Roman"/>
          <w:color w:val="17365D"/>
          <w:szCs w:val="24"/>
        </w:rPr>
        <w:t>3</w:t>
      </w:r>
      <w:r w:rsidRPr="00A27896">
        <w:rPr>
          <w:rFonts w:cs="Times New Roman"/>
          <w:color w:val="17365D"/>
          <w:szCs w:val="24"/>
        </w:rPr>
        <w:t>.tabulā) lielāko nekustamā īpašuma nodrošinājumu par saņemtajiem aizņēmumiem sniegušas Rīgas</w:t>
      </w:r>
      <w:r w:rsidR="00827CF2" w:rsidRPr="00A27896">
        <w:rPr>
          <w:rFonts w:cs="Times New Roman"/>
          <w:color w:val="17365D"/>
          <w:szCs w:val="24"/>
        </w:rPr>
        <w:t xml:space="preserve"> pilsētas pašvaldība </w:t>
      </w:r>
      <w:r w:rsidR="00FE275C" w:rsidRPr="00A27896">
        <w:rPr>
          <w:rFonts w:cs="Times New Roman"/>
          <w:color w:val="17365D"/>
          <w:szCs w:val="24"/>
        </w:rPr>
        <w:t>41 </w:t>
      </w:r>
      <w:r w:rsidR="00EA50D1" w:rsidRPr="00A27896">
        <w:rPr>
          <w:rFonts w:cs="Times New Roman"/>
          <w:color w:val="17365D"/>
          <w:szCs w:val="24"/>
        </w:rPr>
        <w:t>376</w:t>
      </w:r>
      <w:r w:rsidR="00FE275C" w:rsidRPr="00A27896">
        <w:rPr>
          <w:rFonts w:cs="Times New Roman"/>
          <w:color w:val="17365D"/>
          <w:szCs w:val="24"/>
        </w:rPr>
        <w:t> </w:t>
      </w:r>
      <w:r w:rsidR="00EA50D1" w:rsidRPr="00A27896">
        <w:rPr>
          <w:rFonts w:cs="Times New Roman"/>
          <w:color w:val="17365D"/>
          <w:szCs w:val="24"/>
        </w:rPr>
        <w:t>480</w:t>
      </w:r>
      <w:r w:rsidR="00827CF2" w:rsidRPr="00A27896">
        <w:rPr>
          <w:rFonts w:cs="Times New Roman"/>
          <w:color w:val="17365D"/>
          <w:szCs w:val="24"/>
        </w:rPr>
        <w:t> </w:t>
      </w:r>
      <w:proofErr w:type="spellStart"/>
      <w:r w:rsidRPr="00A27896">
        <w:rPr>
          <w:rFonts w:cs="Times New Roman"/>
          <w:i/>
          <w:color w:val="17365D"/>
          <w:szCs w:val="24"/>
        </w:rPr>
        <w:t>euro</w:t>
      </w:r>
      <w:proofErr w:type="spellEnd"/>
      <w:r w:rsidR="001C6602" w:rsidRPr="00A27896">
        <w:rPr>
          <w:rFonts w:cs="Times New Roman"/>
          <w:i/>
          <w:color w:val="17365D"/>
          <w:szCs w:val="24"/>
        </w:rPr>
        <w:t>,</w:t>
      </w:r>
      <w:r w:rsidRPr="00A27896">
        <w:rPr>
          <w:rFonts w:cs="Times New Roman"/>
          <w:color w:val="17365D"/>
          <w:szCs w:val="24"/>
        </w:rPr>
        <w:t xml:space="preserve"> Izglītības un zinātnes ministrija</w:t>
      </w:r>
      <w:r w:rsidR="00777F3F" w:rsidRPr="00A27896">
        <w:rPr>
          <w:rFonts w:cs="Times New Roman"/>
          <w:color w:val="17365D"/>
          <w:szCs w:val="24"/>
        </w:rPr>
        <w:t xml:space="preserve"> –</w:t>
      </w:r>
      <w:r w:rsidRPr="00A27896">
        <w:rPr>
          <w:rFonts w:cs="Times New Roman"/>
          <w:color w:val="17365D"/>
          <w:szCs w:val="24"/>
        </w:rPr>
        <w:t xml:space="preserve"> </w:t>
      </w:r>
      <w:r w:rsidR="00777F3F" w:rsidRPr="00A27896">
        <w:rPr>
          <w:rFonts w:cs="Times New Roman"/>
          <w:color w:val="17365D"/>
          <w:szCs w:val="24"/>
        </w:rPr>
        <w:t xml:space="preserve">Rēzeknes Tehnoloģiju akadēmija </w:t>
      </w:r>
      <w:r w:rsidR="00EA50D1" w:rsidRPr="00A27896">
        <w:rPr>
          <w:rFonts w:cs="Times New Roman"/>
          <w:color w:val="17365D"/>
          <w:szCs w:val="24"/>
        </w:rPr>
        <w:t>17</w:t>
      </w:r>
      <w:r w:rsidR="00FE275C" w:rsidRPr="00A27896">
        <w:rPr>
          <w:rFonts w:cs="Times New Roman"/>
          <w:color w:val="17365D"/>
          <w:szCs w:val="24"/>
        </w:rPr>
        <w:t> </w:t>
      </w:r>
      <w:r w:rsidR="00EA50D1" w:rsidRPr="00A27896">
        <w:rPr>
          <w:rFonts w:cs="Times New Roman"/>
          <w:color w:val="17365D"/>
          <w:szCs w:val="24"/>
        </w:rPr>
        <w:t>003</w:t>
      </w:r>
      <w:r w:rsidR="0033533F" w:rsidRPr="00A27896">
        <w:rPr>
          <w:rFonts w:cs="Times New Roman"/>
          <w:color w:val="17365D"/>
          <w:szCs w:val="24"/>
        </w:rPr>
        <w:t> </w:t>
      </w:r>
      <w:r w:rsidR="00EA50D1" w:rsidRPr="00A27896">
        <w:rPr>
          <w:rFonts w:cs="Times New Roman"/>
          <w:color w:val="17365D"/>
          <w:szCs w:val="24"/>
        </w:rPr>
        <w:t>173</w:t>
      </w:r>
      <w:r w:rsidR="0033533F" w:rsidRPr="00A27896">
        <w:rPr>
          <w:rFonts w:cs="Times New Roman"/>
          <w:color w:val="17365D"/>
          <w:szCs w:val="24"/>
        </w:rPr>
        <w:t> </w:t>
      </w:r>
      <w:proofErr w:type="spellStart"/>
      <w:r w:rsidRPr="00A27896">
        <w:rPr>
          <w:rFonts w:cs="Times New Roman"/>
          <w:i/>
          <w:color w:val="17365D"/>
          <w:szCs w:val="24"/>
        </w:rPr>
        <w:t>euro</w:t>
      </w:r>
      <w:proofErr w:type="spellEnd"/>
      <w:r w:rsidR="00451C29" w:rsidRPr="00A27896">
        <w:rPr>
          <w:rFonts w:cs="Times New Roman"/>
          <w:color w:val="17365D"/>
          <w:szCs w:val="24"/>
        </w:rPr>
        <w:t xml:space="preserve">, </w:t>
      </w:r>
      <w:r w:rsidR="00896BD2" w:rsidRPr="00A27896">
        <w:rPr>
          <w:rFonts w:cs="Times New Roman"/>
          <w:color w:val="17365D"/>
          <w:szCs w:val="24"/>
        </w:rPr>
        <w:t>Latvijas Universitā</w:t>
      </w:r>
      <w:r w:rsidR="00300AF5" w:rsidRPr="00A27896">
        <w:rPr>
          <w:rFonts w:cs="Times New Roman"/>
          <w:color w:val="17365D"/>
          <w:szCs w:val="24"/>
        </w:rPr>
        <w:t xml:space="preserve">te </w:t>
      </w:r>
      <w:r w:rsidR="00EA50D1" w:rsidRPr="00A27896">
        <w:rPr>
          <w:rFonts w:cs="Times New Roman"/>
          <w:color w:val="17365D"/>
          <w:szCs w:val="24"/>
        </w:rPr>
        <w:t>4</w:t>
      </w:r>
      <w:r w:rsidR="00B73B77" w:rsidRPr="00A27896">
        <w:rPr>
          <w:rFonts w:cs="Times New Roman"/>
          <w:color w:val="17365D"/>
          <w:szCs w:val="24"/>
        </w:rPr>
        <w:t> </w:t>
      </w:r>
      <w:r w:rsidR="00EA50D1" w:rsidRPr="00A27896">
        <w:rPr>
          <w:rFonts w:cs="Times New Roman"/>
          <w:color w:val="17365D"/>
          <w:szCs w:val="24"/>
        </w:rPr>
        <w:t>819</w:t>
      </w:r>
      <w:r w:rsidR="001C6602" w:rsidRPr="00A27896">
        <w:rPr>
          <w:rFonts w:cs="Times New Roman"/>
          <w:color w:val="17365D"/>
          <w:szCs w:val="24"/>
        </w:rPr>
        <w:t> </w:t>
      </w:r>
      <w:r w:rsidR="00EA50D1" w:rsidRPr="00A27896">
        <w:rPr>
          <w:rFonts w:cs="Times New Roman"/>
          <w:color w:val="17365D"/>
          <w:szCs w:val="24"/>
        </w:rPr>
        <w:t>796</w:t>
      </w:r>
      <w:r w:rsidR="001C6602" w:rsidRPr="00A27896">
        <w:rPr>
          <w:rFonts w:cs="Times New Roman"/>
          <w:color w:val="17365D"/>
          <w:szCs w:val="24"/>
        </w:rPr>
        <w:t xml:space="preserve"> </w:t>
      </w:r>
      <w:proofErr w:type="spellStart"/>
      <w:r w:rsidR="00300AF5" w:rsidRPr="00A27896">
        <w:rPr>
          <w:rFonts w:cs="Times New Roman"/>
          <w:i/>
          <w:color w:val="17365D"/>
          <w:szCs w:val="24"/>
        </w:rPr>
        <w:t>euro</w:t>
      </w:r>
      <w:proofErr w:type="spellEnd"/>
      <w:r w:rsidR="00451C29" w:rsidRPr="00A27896">
        <w:rPr>
          <w:rFonts w:cs="Times New Roman"/>
          <w:i/>
          <w:color w:val="17365D"/>
          <w:szCs w:val="24"/>
        </w:rPr>
        <w:t xml:space="preserve"> </w:t>
      </w:r>
      <w:r w:rsidR="00451C29" w:rsidRPr="00A27896">
        <w:rPr>
          <w:rFonts w:cs="Times New Roman"/>
          <w:color w:val="17365D"/>
          <w:szCs w:val="24"/>
        </w:rPr>
        <w:t xml:space="preserve">un </w:t>
      </w:r>
      <w:r w:rsidR="00451C29" w:rsidRPr="00A27896">
        <w:rPr>
          <w:rFonts w:cs="Times New Roman"/>
          <w:bCs/>
          <w:color w:val="17365D"/>
          <w:szCs w:val="24"/>
        </w:rPr>
        <w:t>Latvijas Valsts koksnes ķīmijas institūts</w:t>
      </w:r>
      <w:r w:rsidR="00300AF5" w:rsidRPr="00A27896">
        <w:rPr>
          <w:rFonts w:cs="Times New Roman"/>
          <w:color w:val="17365D"/>
          <w:szCs w:val="24"/>
        </w:rPr>
        <w:t xml:space="preserve"> </w:t>
      </w:r>
      <w:r w:rsidR="00451C29" w:rsidRPr="00A27896">
        <w:rPr>
          <w:rFonts w:cs="Times New Roman"/>
          <w:color w:val="17365D"/>
          <w:szCs w:val="24"/>
        </w:rPr>
        <w:t>1 893</w:t>
      </w:r>
      <w:r w:rsidR="0033533F" w:rsidRPr="00A27896">
        <w:rPr>
          <w:rFonts w:cs="Times New Roman"/>
          <w:color w:val="17365D"/>
          <w:szCs w:val="24"/>
        </w:rPr>
        <w:t> </w:t>
      </w:r>
      <w:r w:rsidR="00451C29" w:rsidRPr="00A27896">
        <w:rPr>
          <w:rFonts w:cs="Times New Roman"/>
          <w:color w:val="17365D"/>
          <w:szCs w:val="24"/>
        </w:rPr>
        <w:t>600</w:t>
      </w:r>
      <w:r w:rsidR="0033533F" w:rsidRPr="00A27896">
        <w:rPr>
          <w:rFonts w:cs="Times New Roman"/>
          <w:color w:val="17365D"/>
          <w:szCs w:val="24"/>
        </w:rPr>
        <w:t> </w:t>
      </w:r>
      <w:proofErr w:type="spellStart"/>
      <w:r w:rsidR="001C6602" w:rsidRPr="00A27896">
        <w:rPr>
          <w:rFonts w:cs="Times New Roman"/>
          <w:i/>
          <w:color w:val="17365D"/>
          <w:szCs w:val="24"/>
        </w:rPr>
        <w:t>euro</w:t>
      </w:r>
      <w:proofErr w:type="spellEnd"/>
      <w:r w:rsidR="001C6602" w:rsidRPr="00A27896">
        <w:rPr>
          <w:rFonts w:cs="Times New Roman"/>
          <w:color w:val="17365D"/>
          <w:szCs w:val="24"/>
        </w:rPr>
        <w:t xml:space="preserve"> </w:t>
      </w:r>
      <w:r w:rsidR="00300AF5" w:rsidRPr="00A27896">
        <w:rPr>
          <w:rFonts w:cs="Times New Roman"/>
          <w:color w:val="17365D"/>
          <w:szCs w:val="24"/>
        </w:rPr>
        <w:t>vērtībā</w:t>
      </w:r>
      <w:r w:rsidRPr="00A27896">
        <w:rPr>
          <w:rFonts w:cs="Times New Roman"/>
          <w:color w:val="17365D"/>
          <w:szCs w:val="24"/>
        </w:rPr>
        <w:t xml:space="preserve">. </w:t>
      </w:r>
    </w:p>
    <w:p w14:paraId="58C75A9C" w14:textId="5B1BA32E" w:rsidR="007519C4" w:rsidRPr="00A27896" w:rsidRDefault="007519C4" w:rsidP="008F26E5">
      <w:pPr>
        <w:pStyle w:val="Tabulasnosaukums1"/>
        <w:spacing w:before="120" w:line="240" w:lineRule="auto"/>
        <w:rPr>
          <w:rFonts w:cs="Times New Roman"/>
          <w:i/>
          <w:color w:val="17365D"/>
          <w:szCs w:val="22"/>
        </w:rPr>
      </w:pPr>
      <w:r w:rsidRPr="00A27896">
        <w:rPr>
          <w:rFonts w:cs="Times New Roman"/>
          <w:i/>
          <w:color w:val="17365D"/>
          <w:szCs w:val="22"/>
        </w:rPr>
        <w:t>3</w:t>
      </w:r>
      <w:r w:rsidR="00EA50D1" w:rsidRPr="00A27896">
        <w:rPr>
          <w:rFonts w:cs="Times New Roman"/>
          <w:i/>
          <w:color w:val="17365D"/>
          <w:szCs w:val="22"/>
        </w:rPr>
        <w:t>3</w:t>
      </w:r>
      <w:r w:rsidRPr="00A27896">
        <w:rPr>
          <w:rFonts w:cs="Times New Roman"/>
          <w:i/>
          <w:color w:val="17365D"/>
          <w:szCs w:val="22"/>
        </w:rPr>
        <w:t>. tabula</w:t>
      </w:r>
      <w:r w:rsidR="003877C0" w:rsidRPr="00A27896">
        <w:rPr>
          <w:rFonts w:cs="Times New Roman"/>
          <w:i/>
          <w:color w:val="17365D"/>
          <w:szCs w:val="22"/>
        </w:rPr>
        <w:t>.</w:t>
      </w:r>
      <w:r w:rsidRPr="00A27896">
        <w:rPr>
          <w:rFonts w:cs="Times New Roman"/>
          <w:i/>
          <w:color w:val="17365D"/>
          <w:szCs w:val="22"/>
        </w:rPr>
        <w:t xml:space="preserve"> Informācija par ieķīlātajiem aktīviem saistību vai iespējamo saistību</w:t>
      </w:r>
    </w:p>
    <w:p w14:paraId="01B3F14E" w14:textId="32E00FB5" w:rsidR="007519C4" w:rsidRPr="00A27896" w:rsidRDefault="007519C4" w:rsidP="007519C4">
      <w:pPr>
        <w:pStyle w:val="Tabulasnosaukums1"/>
        <w:spacing w:before="0" w:line="240" w:lineRule="auto"/>
        <w:rPr>
          <w:rFonts w:cs="Times New Roman"/>
          <w:i/>
          <w:color w:val="17365D"/>
          <w:szCs w:val="22"/>
        </w:rPr>
      </w:pPr>
      <w:r w:rsidRPr="00A27896">
        <w:rPr>
          <w:rFonts w:cs="Times New Roman"/>
          <w:i/>
          <w:color w:val="17365D"/>
          <w:szCs w:val="22"/>
        </w:rPr>
        <w:t xml:space="preserve"> nodrošinājumam sadalījumā pa finanšu instrumentiem (</w:t>
      </w:r>
      <w:proofErr w:type="spellStart"/>
      <w:r w:rsidRPr="00A27896">
        <w:rPr>
          <w:rFonts w:cs="Times New Roman"/>
          <w:i/>
          <w:color w:val="17365D"/>
          <w:szCs w:val="22"/>
        </w:rPr>
        <w:t>euro</w:t>
      </w:r>
      <w:proofErr w:type="spellEnd"/>
      <w:r w:rsidRPr="00A27896">
        <w:rPr>
          <w:rFonts w:cs="Times New Roman"/>
          <w:i/>
          <w:color w:val="17365D"/>
          <w:szCs w:val="22"/>
        </w:rPr>
        <w:t>)</w:t>
      </w:r>
    </w:p>
    <w:tbl>
      <w:tblPr>
        <w:tblW w:w="5007" w:type="pct"/>
        <w:tblLayout w:type="fixed"/>
        <w:tblLook w:val="04A0" w:firstRow="1" w:lastRow="0" w:firstColumn="1" w:lastColumn="0" w:noHBand="0" w:noVBand="1"/>
      </w:tblPr>
      <w:tblGrid>
        <w:gridCol w:w="3519"/>
        <w:gridCol w:w="1301"/>
        <w:gridCol w:w="2268"/>
        <w:gridCol w:w="2279"/>
      </w:tblGrid>
      <w:tr w:rsidR="000C1009" w:rsidRPr="00A27896" w14:paraId="17987407" w14:textId="2E677A8C" w:rsidTr="008E472F">
        <w:trPr>
          <w:trHeight w:val="343"/>
          <w:tblHeader/>
        </w:trPr>
        <w:tc>
          <w:tcPr>
            <w:tcW w:w="4820" w:type="dxa"/>
            <w:gridSpan w:val="2"/>
            <w:vMerge w:val="restart"/>
            <w:tcBorders>
              <w:top w:val="nil"/>
              <w:left w:val="nil"/>
              <w:right w:val="nil"/>
            </w:tcBorders>
            <w:shd w:val="clear" w:color="000000" w:fill="B9CDE5"/>
            <w:vAlign w:val="center"/>
          </w:tcPr>
          <w:p w14:paraId="1877E3C7" w14:textId="77777777" w:rsidR="00662660" w:rsidRPr="00A27896" w:rsidRDefault="00662660" w:rsidP="000B381D">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instrumenta/</w:t>
            </w:r>
          </w:p>
          <w:p w14:paraId="42FB7884" w14:textId="4A6A0B9B" w:rsidR="00662660" w:rsidRPr="00A27896" w:rsidRDefault="00662660" w:rsidP="000B381D">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konta nosaukums</w:t>
            </w:r>
          </w:p>
        </w:tc>
        <w:tc>
          <w:tcPr>
            <w:tcW w:w="4547" w:type="dxa"/>
            <w:gridSpan w:val="2"/>
            <w:tcBorders>
              <w:top w:val="nil"/>
              <w:left w:val="nil"/>
              <w:bottom w:val="single" w:sz="4" w:space="0" w:color="17365D"/>
              <w:right w:val="nil"/>
            </w:tcBorders>
            <w:shd w:val="clear" w:color="000000" w:fill="B9CDE5"/>
            <w:vAlign w:val="center"/>
          </w:tcPr>
          <w:p w14:paraId="52D50FFF" w14:textId="75713D47" w:rsidR="00662660" w:rsidRPr="00A27896" w:rsidRDefault="00662660" w:rsidP="00651A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Aktīva uzskaites (atlikusī) vērtība</w:t>
            </w:r>
          </w:p>
        </w:tc>
      </w:tr>
      <w:tr w:rsidR="000C1009" w:rsidRPr="00A27896" w14:paraId="37D7AC27" w14:textId="52D379E2" w:rsidTr="008E472F">
        <w:trPr>
          <w:trHeight w:val="267"/>
          <w:tblHeader/>
        </w:trPr>
        <w:tc>
          <w:tcPr>
            <w:tcW w:w="4820" w:type="dxa"/>
            <w:gridSpan w:val="2"/>
            <w:vMerge/>
            <w:tcBorders>
              <w:left w:val="nil"/>
              <w:bottom w:val="single" w:sz="4" w:space="0" w:color="17365D"/>
              <w:right w:val="nil"/>
            </w:tcBorders>
            <w:shd w:val="clear" w:color="000000" w:fill="B9CDE5"/>
            <w:vAlign w:val="center"/>
            <w:hideMark/>
          </w:tcPr>
          <w:p w14:paraId="4ADA0477" w14:textId="525EC351" w:rsidR="001C1C3A" w:rsidRPr="00A27896" w:rsidRDefault="001C1C3A" w:rsidP="000B381D">
            <w:pPr>
              <w:spacing w:after="0" w:line="240" w:lineRule="auto"/>
              <w:jc w:val="center"/>
              <w:rPr>
                <w:rFonts w:eastAsia="Times New Roman" w:cs="Times New Roman"/>
                <w:b/>
                <w:bCs/>
                <w:color w:val="17365D"/>
                <w:sz w:val="18"/>
                <w:szCs w:val="18"/>
                <w:lang w:eastAsia="lv-LV"/>
              </w:rPr>
            </w:pPr>
          </w:p>
        </w:tc>
        <w:tc>
          <w:tcPr>
            <w:tcW w:w="2268" w:type="dxa"/>
            <w:tcBorders>
              <w:top w:val="single" w:sz="4" w:space="0" w:color="17365D"/>
              <w:left w:val="nil"/>
              <w:bottom w:val="single" w:sz="4" w:space="0" w:color="17365D"/>
              <w:right w:val="nil"/>
            </w:tcBorders>
            <w:shd w:val="clear" w:color="000000" w:fill="B9CDE5"/>
            <w:vAlign w:val="center"/>
            <w:hideMark/>
          </w:tcPr>
          <w:p w14:paraId="28EA1941" w14:textId="60F8F61B" w:rsidR="001C1C3A" w:rsidRPr="00A27896" w:rsidRDefault="00662660" w:rsidP="0066266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2279" w:type="dxa"/>
            <w:tcBorders>
              <w:top w:val="single" w:sz="4" w:space="0" w:color="17365D"/>
              <w:left w:val="nil"/>
              <w:bottom w:val="single" w:sz="4" w:space="0" w:color="17365D"/>
              <w:right w:val="nil"/>
            </w:tcBorders>
            <w:shd w:val="clear" w:color="000000" w:fill="B9CDE5"/>
            <w:vAlign w:val="center"/>
          </w:tcPr>
          <w:p w14:paraId="15F7C18C" w14:textId="44E2C72A" w:rsidR="001C1C3A" w:rsidRPr="00A27896" w:rsidDel="001C1C3A" w:rsidRDefault="00662660" w:rsidP="0066266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0BC767EE" w14:textId="5CC8E7A8" w:rsidTr="00821FBA">
        <w:trPr>
          <w:trHeight w:val="266"/>
          <w:tblHeader/>
        </w:trPr>
        <w:tc>
          <w:tcPr>
            <w:tcW w:w="4820" w:type="dxa"/>
            <w:gridSpan w:val="2"/>
            <w:tcBorders>
              <w:top w:val="single" w:sz="4" w:space="0" w:color="17365D"/>
              <w:left w:val="nil"/>
              <w:bottom w:val="single" w:sz="4" w:space="0" w:color="17365D"/>
              <w:right w:val="nil"/>
            </w:tcBorders>
            <w:shd w:val="clear" w:color="auto" w:fill="auto"/>
            <w:vAlign w:val="center"/>
            <w:hideMark/>
          </w:tcPr>
          <w:p w14:paraId="1DEEF064" w14:textId="066A3CE3" w:rsidR="001C1C3A" w:rsidRPr="00A27896" w:rsidRDefault="001C1C3A" w:rsidP="0006089E">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2268" w:type="dxa"/>
            <w:tcBorders>
              <w:top w:val="single" w:sz="4" w:space="0" w:color="17365D"/>
              <w:left w:val="nil"/>
              <w:bottom w:val="single" w:sz="4" w:space="0" w:color="17365D"/>
              <w:right w:val="nil"/>
            </w:tcBorders>
            <w:shd w:val="clear" w:color="auto" w:fill="auto"/>
            <w:vAlign w:val="center"/>
            <w:hideMark/>
          </w:tcPr>
          <w:p w14:paraId="7288F90D" w14:textId="77777777" w:rsidR="001C1C3A" w:rsidRPr="00A27896" w:rsidRDefault="001C1C3A" w:rsidP="0006089E">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2279" w:type="dxa"/>
            <w:tcBorders>
              <w:top w:val="single" w:sz="4" w:space="0" w:color="17365D"/>
              <w:left w:val="nil"/>
              <w:bottom w:val="single" w:sz="4" w:space="0" w:color="17365D"/>
              <w:right w:val="nil"/>
            </w:tcBorders>
            <w:vAlign w:val="center"/>
          </w:tcPr>
          <w:p w14:paraId="226C0308" w14:textId="58A4B51C" w:rsidR="001C1C3A" w:rsidRPr="00A27896" w:rsidRDefault="00662660" w:rsidP="00821FBA">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r>
      <w:tr w:rsidR="00EA50D1" w:rsidRPr="00A27896" w14:paraId="28629235" w14:textId="24BD0C12" w:rsidTr="00C769C7">
        <w:trPr>
          <w:trHeight w:val="266"/>
        </w:trPr>
        <w:tc>
          <w:tcPr>
            <w:tcW w:w="4820" w:type="dxa"/>
            <w:gridSpan w:val="2"/>
            <w:tcBorders>
              <w:top w:val="single" w:sz="4" w:space="0" w:color="17365D"/>
              <w:left w:val="nil"/>
              <w:bottom w:val="single" w:sz="4" w:space="0" w:color="17365D"/>
              <w:right w:val="nil"/>
            </w:tcBorders>
            <w:shd w:val="clear" w:color="auto" w:fill="auto"/>
            <w:vAlign w:val="center"/>
          </w:tcPr>
          <w:p w14:paraId="77F4FED3" w14:textId="303D389D" w:rsidR="00EA50D1" w:rsidRPr="00A27896" w:rsidRDefault="00EA50D1" w:rsidP="00EA50D1">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saistību nodrošinājums</w:t>
            </w:r>
          </w:p>
        </w:tc>
        <w:tc>
          <w:tcPr>
            <w:tcW w:w="2268" w:type="dxa"/>
            <w:tcBorders>
              <w:top w:val="single" w:sz="4" w:space="0" w:color="17365D"/>
              <w:left w:val="nil"/>
              <w:bottom w:val="single" w:sz="4" w:space="0" w:color="17365D"/>
              <w:right w:val="nil"/>
            </w:tcBorders>
            <w:shd w:val="clear" w:color="auto" w:fill="auto"/>
            <w:noWrap/>
            <w:vAlign w:val="center"/>
          </w:tcPr>
          <w:p w14:paraId="0CE0D546" w14:textId="2DCA6C0A" w:rsidR="00EA50D1" w:rsidRPr="00A27896" w:rsidRDefault="00EA50D1" w:rsidP="00C769C7">
            <w:pPr>
              <w:spacing w:after="0" w:line="240" w:lineRule="auto"/>
              <w:jc w:val="right"/>
              <w:rPr>
                <w:rFonts w:eastAsia="Times New Roman" w:cs="Times New Roman"/>
                <w:b/>
                <w:color w:val="17365D"/>
                <w:sz w:val="18"/>
                <w:szCs w:val="18"/>
                <w:lang w:eastAsia="lv-LV"/>
              </w:rPr>
            </w:pPr>
            <w:r w:rsidRPr="00A27896">
              <w:rPr>
                <w:rFonts w:cs="Times New Roman"/>
                <w:b/>
                <w:bCs/>
                <w:color w:val="17365D"/>
                <w:sz w:val="18"/>
                <w:szCs w:val="18"/>
              </w:rPr>
              <w:t>68 508 975</w:t>
            </w:r>
          </w:p>
        </w:tc>
        <w:tc>
          <w:tcPr>
            <w:tcW w:w="2279" w:type="dxa"/>
            <w:tcBorders>
              <w:top w:val="single" w:sz="4" w:space="0" w:color="17365D"/>
              <w:left w:val="nil"/>
              <w:bottom w:val="single" w:sz="4" w:space="0" w:color="17365D"/>
              <w:right w:val="nil"/>
            </w:tcBorders>
            <w:shd w:val="clear" w:color="auto" w:fill="auto"/>
            <w:vAlign w:val="center"/>
          </w:tcPr>
          <w:p w14:paraId="0384D0EE" w14:textId="42702953" w:rsidR="00EA50D1" w:rsidRPr="00A27896" w:rsidRDefault="00EA50D1" w:rsidP="00C769C7">
            <w:pPr>
              <w:spacing w:after="0" w:line="240" w:lineRule="auto"/>
              <w:jc w:val="right"/>
              <w:rPr>
                <w:rFonts w:eastAsia="Times New Roman" w:cs="Times New Roman"/>
                <w:b/>
                <w:color w:val="17365D"/>
                <w:sz w:val="18"/>
                <w:szCs w:val="18"/>
                <w:lang w:eastAsia="lv-LV"/>
              </w:rPr>
            </w:pPr>
            <w:r w:rsidRPr="00A27896">
              <w:rPr>
                <w:rFonts w:cs="Times New Roman"/>
                <w:b/>
                <w:bCs/>
                <w:color w:val="17365D"/>
                <w:sz w:val="18"/>
                <w:szCs w:val="18"/>
              </w:rPr>
              <w:t>67 397 886</w:t>
            </w:r>
          </w:p>
        </w:tc>
      </w:tr>
      <w:tr w:rsidR="00EA50D1" w:rsidRPr="00A27896" w14:paraId="4D052294" w14:textId="194FEB64" w:rsidTr="00C769C7">
        <w:trPr>
          <w:trHeight w:val="266"/>
        </w:trPr>
        <w:tc>
          <w:tcPr>
            <w:tcW w:w="4820" w:type="dxa"/>
            <w:gridSpan w:val="2"/>
            <w:tcBorders>
              <w:top w:val="single" w:sz="4" w:space="0" w:color="17365D"/>
              <w:left w:val="nil"/>
              <w:bottom w:val="single" w:sz="4" w:space="0" w:color="17365D"/>
              <w:right w:val="nil"/>
            </w:tcBorders>
            <w:shd w:val="clear" w:color="auto" w:fill="auto"/>
            <w:vAlign w:val="center"/>
          </w:tcPr>
          <w:p w14:paraId="6E230B97" w14:textId="459791DE" w:rsidR="00EA50D1" w:rsidRPr="00A27896" w:rsidRDefault="00EA50D1" w:rsidP="00EA50D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Aizņēmumu nodrošinājums </w:t>
            </w:r>
          </w:p>
        </w:tc>
        <w:tc>
          <w:tcPr>
            <w:tcW w:w="2268" w:type="dxa"/>
            <w:tcBorders>
              <w:top w:val="single" w:sz="4" w:space="0" w:color="17365D"/>
              <w:left w:val="nil"/>
              <w:bottom w:val="single" w:sz="4" w:space="0" w:color="17365D"/>
              <w:right w:val="nil"/>
            </w:tcBorders>
            <w:shd w:val="clear" w:color="auto" w:fill="auto"/>
            <w:noWrap/>
            <w:vAlign w:val="center"/>
          </w:tcPr>
          <w:p w14:paraId="518095F1" w14:textId="4E7A733D" w:rsidR="00EA50D1" w:rsidRPr="00A27896" w:rsidRDefault="00EA50D1" w:rsidP="00C769C7">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68 508 975</w:t>
            </w:r>
          </w:p>
        </w:tc>
        <w:tc>
          <w:tcPr>
            <w:tcW w:w="2279" w:type="dxa"/>
            <w:tcBorders>
              <w:top w:val="single" w:sz="4" w:space="0" w:color="17365D"/>
              <w:left w:val="nil"/>
              <w:bottom w:val="single" w:sz="4" w:space="0" w:color="17365D"/>
              <w:right w:val="nil"/>
            </w:tcBorders>
            <w:shd w:val="clear" w:color="auto" w:fill="auto"/>
            <w:vAlign w:val="center"/>
          </w:tcPr>
          <w:p w14:paraId="2A062642" w14:textId="40C797E4" w:rsidR="00EA50D1" w:rsidRPr="00A27896" w:rsidRDefault="00EA50D1" w:rsidP="00C769C7">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67 397 886</w:t>
            </w:r>
          </w:p>
        </w:tc>
      </w:tr>
      <w:tr w:rsidR="00C769C7" w:rsidRPr="00A27896" w14:paraId="323FDE86" w14:textId="48F67E07" w:rsidTr="00C769C7">
        <w:trPr>
          <w:trHeight w:val="266"/>
        </w:trPr>
        <w:tc>
          <w:tcPr>
            <w:tcW w:w="4820" w:type="dxa"/>
            <w:gridSpan w:val="2"/>
            <w:tcBorders>
              <w:top w:val="single" w:sz="4" w:space="0" w:color="17365D"/>
              <w:left w:val="nil"/>
              <w:bottom w:val="single" w:sz="4" w:space="0" w:color="17365D"/>
              <w:right w:val="nil"/>
            </w:tcBorders>
            <w:shd w:val="clear" w:color="auto" w:fill="auto"/>
            <w:vAlign w:val="center"/>
          </w:tcPr>
          <w:p w14:paraId="4DDAC885" w14:textId="45D91774"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Zeme un būves </w:t>
            </w:r>
          </w:p>
        </w:tc>
        <w:tc>
          <w:tcPr>
            <w:tcW w:w="2268" w:type="dxa"/>
            <w:tcBorders>
              <w:top w:val="single" w:sz="4" w:space="0" w:color="17365D"/>
              <w:left w:val="nil"/>
              <w:bottom w:val="single" w:sz="4" w:space="0" w:color="17365D"/>
              <w:right w:val="nil"/>
            </w:tcBorders>
            <w:shd w:val="clear" w:color="auto" w:fill="auto"/>
            <w:noWrap/>
            <w:vAlign w:val="center"/>
          </w:tcPr>
          <w:p w14:paraId="5D4B7121" w14:textId="5A6D9B90" w:rsidR="00C769C7" w:rsidRPr="00A27896" w:rsidRDefault="00C769C7" w:rsidP="00C769C7">
            <w:pPr>
              <w:spacing w:after="0" w:line="240" w:lineRule="auto"/>
              <w:jc w:val="right"/>
              <w:rPr>
                <w:rFonts w:cs="Times New Roman"/>
                <w:color w:val="17365D"/>
                <w:sz w:val="18"/>
                <w:szCs w:val="18"/>
              </w:rPr>
            </w:pPr>
            <w:r w:rsidRPr="00A27896">
              <w:rPr>
                <w:rFonts w:cs="Times New Roman"/>
                <w:color w:val="17365D"/>
                <w:sz w:val="18"/>
                <w:szCs w:val="18"/>
              </w:rPr>
              <w:t>22 312 701</w:t>
            </w:r>
          </w:p>
        </w:tc>
        <w:tc>
          <w:tcPr>
            <w:tcW w:w="2279" w:type="dxa"/>
            <w:tcBorders>
              <w:top w:val="single" w:sz="4" w:space="0" w:color="17365D"/>
              <w:left w:val="nil"/>
              <w:bottom w:val="single" w:sz="4" w:space="0" w:color="17365D"/>
              <w:right w:val="nil"/>
            </w:tcBorders>
            <w:shd w:val="clear" w:color="auto" w:fill="auto"/>
            <w:vAlign w:val="center"/>
          </w:tcPr>
          <w:p w14:paraId="334DBA65" w14:textId="27460639" w:rsidR="00C769C7" w:rsidRPr="00A27896" w:rsidRDefault="00C769C7" w:rsidP="00C769C7">
            <w:pPr>
              <w:spacing w:after="0" w:line="240" w:lineRule="auto"/>
              <w:jc w:val="right"/>
              <w:rPr>
                <w:rFonts w:cs="Times New Roman"/>
                <w:color w:val="17365D"/>
                <w:sz w:val="18"/>
                <w:szCs w:val="18"/>
              </w:rPr>
            </w:pPr>
            <w:r w:rsidRPr="00A27896">
              <w:rPr>
                <w:rFonts w:cs="Times New Roman"/>
                <w:color w:val="17365D"/>
                <w:sz w:val="18"/>
                <w:szCs w:val="18"/>
              </w:rPr>
              <w:t>20 034 272</w:t>
            </w:r>
          </w:p>
        </w:tc>
      </w:tr>
      <w:tr w:rsidR="00C769C7" w:rsidRPr="00A27896" w14:paraId="3C61C41B" w14:textId="77777777" w:rsidTr="00C769C7">
        <w:trPr>
          <w:trHeight w:val="266"/>
        </w:trPr>
        <w:tc>
          <w:tcPr>
            <w:tcW w:w="4820" w:type="dxa"/>
            <w:gridSpan w:val="2"/>
            <w:tcBorders>
              <w:top w:val="single" w:sz="4" w:space="0" w:color="17365D"/>
              <w:left w:val="nil"/>
              <w:bottom w:val="single" w:sz="4" w:space="0" w:color="17365D"/>
              <w:right w:val="nil"/>
            </w:tcBorders>
            <w:shd w:val="clear" w:color="auto" w:fill="auto"/>
            <w:vAlign w:val="center"/>
          </w:tcPr>
          <w:p w14:paraId="6B9B9BD1" w14:textId="39918CA8"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Tehnoloģiskās iekārtas un mašīnas</w:t>
            </w:r>
          </w:p>
        </w:tc>
        <w:tc>
          <w:tcPr>
            <w:tcW w:w="2268" w:type="dxa"/>
            <w:tcBorders>
              <w:top w:val="single" w:sz="4" w:space="0" w:color="17365D"/>
              <w:left w:val="nil"/>
              <w:bottom w:val="single" w:sz="4" w:space="0" w:color="17365D"/>
              <w:right w:val="nil"/>
            </w:tcBorders>
            <w:shd w:val="clear" w:color="auto" w:fill="auto"/>
            <w:noWrap/>
            <w:vAlign w:val="center"/>
          </w:tcPr>
          <w:p w14:paraId="4BB59284" w14:textId="44EE84A1" w:rsidR="00C769C7" w:rsidRPr="00A27896" w:rsidRDefault="00C769C7" w:rsidP="00C769C7">
            <w:pPr>
              <w:spacing w:after="0" w:line="240" w:lineRule="auto"/>
              <w:jc w:val="right"/>
              <w:rPr>
                <w:rFonts w:cs="Times New Roman"/>
                <w:color w:val="17365D"/>
                <w:sz w:val="18"/>
                <w:szCs w:val="18"/>
              </w:rPr>
            </w:pPr>
            <w:r w:rsidRPr="00A27896">
              <w:rPr>
                <w:rFonts w:cs="Times New Roman"/>
                <w:color w:val="17365D"/>
                <w:sz w:val="18"/>
                <w:szCs w:val="18"/>
              </w:rPr>
              <w:t>4 819 794</w:t>
            </w:r>
          </w:p>
        </w:tc>
        <w:tc>
          <w:tcPr>
            <w:tcW w:w="2279" w:type="dxa"/>
            <w:tcBorders>
              <w:top w:val="single" w:sz="4" w:space="0" w:color="17365D"/>
              <w:left w:val="nil"/>
              <w:bottom w:val="single" w:sz="4" w:space="0" w:color="17365D"/>
              <w:right w:val="nil"/>
            </w:tcBorders>
            <w:shd w:val="clear" w:color="auto" w:fill="auto"/>
            <w:vAlign w:val="center"/>
          </w:tcPr>
          <w:p w14:paraId="0FC2B9E2" w14:textId="272FE042" w:rsidR="00C769C7" w:rsidRPr="00A27896" w:rsidRDefault="00C769C7" w:rsidP="00C769C7">
            <w:pPr>
              <w:spacing w:after="0" w:line="240" w:lineRule="auto"/>
              <w:jc w:val="right"/>
              <w:rPr>
                <w:rFonts w:cs="Times New Roman"/>
                <w:color w:val="17365D"/>
                <w:sz w:val="18"/>
                <w:szCs w:val="18"/>
              </w:rPr>
            </w:pPr>
            <w:r w:rsidRPr="00A27896">
              <w:rPr>
                <w:rFonts w:cs="Times New Roman"/>
                <w:color w:val="17365D"/>
                <w:sz w:val="18"/>
                <w:szCs w:val="18"/>
              </w:rPr>
              <w:t>5 641 857</w:t>
            </w:r>
          </w:p>
        </w:tc>
      </w:tr>
      <w:tr w:rsidR="00C769C7" w:rsidRPr="00A27896" w14:paraId="7D36DFAD" w14:textId="47F48517" w:rsidTr="00C769C7">
        <w:trPr>
          <w:trHeight w:val="266"/>
        </w:trPr>
        <w:tc>
          <w:tcPr>
            <w:tcW w:w="4820" w:type="dxa"/>
            <w:gridSpan w:val="2"/>
            <w:tcBorders>
              <w:top w:val="single" w:sz="4" w:space="0" w:color="17365D"/>
              <w:left w:val="nil"/>
              <w:bottom w:val="single" w:sz="4" w:space="0" w:color="17365D"/>
              <w:right w:val="nil"/>
            </w:tcBorders>
            <w:shd w:val="clear" w:color="auto" w:fill="auto"/>
            <w:vAlign w:val="center"/>
          </w:tcPr>
          <w:p w14:paraId="610F9C86" w14:textId="35F3144D"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Turējumā nodotie valsts un pašvaldību īpašumi</w:t>
            </w:r>
          </w:p>
        </w:tc>
        <w:tc>
          <w:tcPr>
            <w:tcW w:w="2268" w:type="dxa"/>
            <w:tcBorders>
              <w:top w:val="single" w:sz="4" w:space="0" w:color="17365D"/>
              <w:left w:val="nil"/>
              <w:bottom w:val="single" w:sz="4" w:space="0" w:color="17365D"/>
              <w:right w:val="nil"/>
            </w:tcBorders>
            <w:shd w:val="clear" w:color="auto" w:fill="auto"/>
            <w:noWrap/>
            <w:vAlign w:val="center"/>
          </w:tcPr>
          <w:p w14:paraId="2EF4B7AB" w14:textId="0DC48000" w:rsidR="00C769C7" w:rsidRPr="00A27896" w:rsidRDefault="00C769C7" w:rsidP="00C769C7">
            <w:pPr>
              <w:spacing w:after="0" w:line="240" w:lineRule="auto"/>
              <w:jc w:val="right"/>
              <w:rPr>
                <w:rFonts w:cs="Times New Roman"/>
                <w:color w:val="17365D"/>
                <w:sz w:val="18"/>
                <w:szCs w:val="18"/>
              </w:rPr>
            </w:pPr>
            <w:r w:rsidRPr="00A27896">
              <w:rPr>
                <w:rFonts w:cs="Times New Roman"/>
                <w:color w:val="17365D"/>
                <w:sz w:val="18"/>
                <w:szCs w:val="18"/>
              </w:rPr>
              <w:t>41 376 480</w:t>
            </w:r>
          </w:p>
        </w:tc>
        <w:tc>
          <w:tcPr>
            <w:tcW w:w="2279" w:type="dxa"/>
            <w:tcBorders>
              <w:top w:val="single" w:sz="4" w:space="0" w:color="17365D"/>
              <w:left w:val="nil"/>
              <w:bottom w:val="single" w:sz="4" w:space="0" w:color="17365D"/>
              <w:right w:val="nil"/>
            </w:tcBorders>
            <w:shd w:val="clear" w:color="auto" w:fill="auto"/>
            <w:vAlign w:val="center"/>
          </w:tcPr>
          <w:p w14:paraId="0AA29960" w14:textId="33AC1A45" w:rsidR="00C769C7" w:rsidRPr="00A27896" w:rsidRDefault="00C769C7" w:rsidP="00C769C7">
            <w:pPr>
              <w:spacing w:after="0" w:line="240" w:lineRule="auto"/>
              <w:jc w:val="right"/>
              <w:rPr>
                <w:rFonts w:cs="Times New Roman"/>
                <w:color w:val="17365D"/>
                <w:sz w:val="18"/>
                <w:szCs w:val="18"/>
              </w:rPr>
            </w:pPr>
            <w:r w:rsidRPr="00A27896">
              <w:rPr>
                <w:rFonts w:cs="Times New Roman"/>
                <w:color w:val="17365D"/>
                <w:sz w:val="18"/>
                <w:szCs w:val="18"/>
              </w:rPr>
              <w:t>41 721 757</w:t>
            </w:r>
          </w:p>
        </w:tc>
      </w:tr>
      <w:tr w:rsidR="000C1009" w:rsidRPr="00A27896" w14:paraId="538B40BE" w14:textId="1AE2BF6F" w:rsidTr="0085170B">
        <w:trPr>
          <w:trHeight w:val="234"/>
        </w:trPr>
        <w:tc>
          <w:tcPr>
            <w:tcW w:w="3519" w:type="dxa"/>
            <w:tcBorders>
              <w:top w:val="single" w:sz="4" w:space="0" w:color="17365D"/>
              <w:left w:val="nil"/>
              <w:bottom w:val="nil"/>
              <w:right w:val="nil"/>
            </w:tcBorders>
            <w:shd w:val="clear" w:color="000000" w:fill="B9CDE5"/>
            <w:noWrap/>
            <w:vAlign w:val="center"/>
            <w:hideMark/>
          </w:tcPr>
          <w:p w14:paraId="200C0658" w14:textId="77777777" w:rsidR="001C1C3A" w:rsidRPr="00A27896" w:rsidRDefault="001C1C3A" w:rsidP="0006089E">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3569" w:type="dxa"/>
            <w:gridSpan w:val="2"/>
            <w:tcBorders>
              <w:top w:val="single" w:sz="4" w:space="0" w:color="17365D"/>
              <w:left w:val="nil"/>
              <w:bottom w:val="nil"/>
              <w:right w:val="nil"/>
            </w:tcBorders>
            <w:shd w:val="clear" w:color="000000" w:fill="B9CDE5"/>
            <w:noWrap/>
            <w:vAlign w:val="center"/>
            <w:hideMark/>
          </w:tcPr>
          <w:p w14:paraId="085C2F32" w14:textId="77777777" w:rsidR="001C1C3A" w:rsidRPr="00A27896" w:rsidRDefault="001C1C3A" w:rsidP="0006089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279" w:type="dxa"/>
            <w:tcBorders>
              <w:top w:val="single" w:sz="4" w:space="0" w:color="17365D"/>
              <w:left w:val="nil"/>
              <w:bottom w:val="nil"/>
              <w:right w:val="nil"/>
            </w:tcBorders>
            <w:shd w:val="clear" w:color="000000" w:fill="B9CDE5"/>
          </w:tcPr>
          <w:p w14:paraId="07D6CAB6" w14:textId="77777777" w:rsidR="001C1C3A" w:rsidRPr="00A27896" w:rsidRDefault="001C1C3A" w:rsidP="0006089E">
            <w:pPr>
              <w:spacing w:after="0" w:line="240" w:lineRule="auto"/>
              <w:jc w:val="right"/>
              <w:rPr>
                <w:rFonts w:eastAsia="Times New Roman" w:cs="Times New Roman"/>
                <w:color w:val="17365D"/>
                <w:sz w:val="18"/>
                <w:szCs w:val="18"/>
                <w:lang w:eastAsia="lv-LV"/>
              </w:rPr>
            </w:pPr>
          </w:p>
        </w:tc>
      </w:tr>
    </w:tbl>
    <w:p w14:paraId="602F17C6" w14:textId="497E5255" w:rsidR="005A010F" w:rsidRPr="00A27896" w:rsidRDefault="00715EF2" w:rsidP="004E3E0B">
      <w:pPr>
        <w:pStyle w:val="Heading5"/>
        <w:spacing w:before="240"/>
        <w:rPr>
          <w:rFonts w:cs="Times New Roman"/>
        </w:rPr>
      </w:pPr>
      <w:r w:rsidRPr="00A27896">
        <w:rPr>
          <w:rFonts w:cs="Times New Roman"/>
        </w:rPr>
        <w:t xml:space="preserve">Piezīme Nr. </w:t>
      </w:r>
      <w:r w:rsidR="005C2FC0" w:rsidRPr="00A27896">
        <w:rPr>
          <w:rFonts w:cs="Times New Roman"/>
        </w:rPr>
        <w:t xml:space="preserve">V9. Informācija par finanšu instrumentu maksimālo pakļautību kredītriskam un to </w:t>
      </w:r>
      <w:proofErr w:type="spellStart"/>
      <w:r w:rsidR="005C2FC0" w:rsidRPr="00A27896">
        <w:rPr>
          <w:rFonts w:cs="Times New Roman"/>
        </w:rPr>
        <w:t>kredītkvalitāti</w:t>
      </w:r>
      <w:proofErr w:type="spellEnd"/>
      <w:r w:rsidR="005C2FC0" w:rsidRPr="00A27896">
        <w:rPr>
          <w:rFonts w:cs="Times New Roman"/>
        </w:rPr>
        <w:t>, sadalījumā pa termiņa kavējuma dienām</w:t>
      </w:r>
    </w:p>
    <w:p w14:paraId="3E78B4D6" w14:textId="274690E3" w:rsidR="00147E18" w:rsidRPr="00A27896" w:rsidRDefault="00147E18" w:rsidP="00147E18">
      <w:pPr>
        <w:spacing w:after="120" w:line="240" w:lineRule="auto"/>
        <w:ind w:firstLine="284"/>
        <w:jc w:val="both"/>
        <w:rPr>
          <w:rFonts w:cs="Times New Roman"/>
          <w:color w:val="17365D"/>
          <w:szCs w:val="24"/>
        </w:rPr>
      </w:pPr>
      <w:r w:rsidRPr="00A27896">
        <w:rPr>
          <w:rFonts w:cs="Times New Roman"/>
          <w:color w:val="17365D"/>
          <w:szCs w:val="24"/>
        </w:rPr>
        <w:t>Informācija par minist</w:t>
      </w:r>
      <w:r w:rsidR="000C1009" w:rsidRPr="00A27896">
        <w:rPr>
          <w:rFonts w:cs="Times New Roman"/>
          <w:color w:val="17365D"/>
          <w:szCs w:val="24"/>
        </w:rPr>
        <w:t>r</w:t>
      </w:r>
      <w:r w:rsidRPr="00A27896">
        <w:rPr>
          <w:rFonts w:cs="Times New Roman"/>
          <w:color w:val="17365D"/>
          <w:szCs w:val="24"/>
        </w:rPr>
        <w:t>iju un pašvaldību</w:t>
      </w:r>
      <w:r w:rsidR="00DB637B" w:rsidRPr="00A27896">
        <w:rPr>
          <w:rFonts w:cs="Times New Roman"/>
          <w:color w:val="17365D"/>
          <w:szCs w:val="24"/>
        </w:rPr>
        <w:t>, kā arī valsts budžeta finanšu uzskaitē atzīto</w:t>
      </w:r>
      <w:r w:rsidRPr="00A27896">
        <w:rPr>
          <w:rFonts w:cs="Times New Roman"/>
          <w:color w:val="17365D"/>
          <w:szCs w:val="24"/>
        </w:rPr>
        <w:t xml:space="preserve"> finanšu aktīvu apmaksas vai izpildes te</w:t>
      </w:r>
      <w:r w:rsidR="00CE213D" w:rsidRPr="00A27896">
        <w:rPr>
          <w:rFonts w:cs="Times New Roman"/>
          <w:color w:val="17365D"/>
          <w:szCs w:val="24"/>
        </w:rPr>
        <w:t>r</w:t>
      </w:r>
      <w:r w:rsidRPr="00A27896">
        <w:rPr>
          <w:rFonts w:cs="Times New Roman"/>
          <w:color w:val="17365D"/>
          <w:szCs w:val="24"/>
        </w:rPr>
        <w:t>miņu kavējumu un izveidoto vērtības samazinājumu sadalījumā pa finanš</w:t>
      </w:r>
      <w:r w:rsidR="00777F3F" w:rsidRPr="00A27896">
        <w:rPr>
          <w:rFonts w:cs="Times New Roman"/>
          <w:color w:val="17365D"/>
          <w:szCs w:val="24"/>
        </w:rPr>
        <w:t>u instrumentu veidiem sniegta 3</w:t>
      </w:r>
      <w:r w:rsidR="00EA50D1" w:rsidRPr="00A27896">
        <w:rPr>
          <w:rFonts w:cs="Times New Roman"/>
          <w:color w:val="17365D"/>
          <w:szCs w:val="24"/>
        </w:rPr>
        <w:t>4</w:t>
      </w:r>
      <w:r w:rsidRPr="00A27896">
        <w:rPr>
          <w:rFonts w:cs="Times New Roman"/>
          <w:color w:val="17365D"/>
          <w:szCs w:val="24"/>
        </w:rPr>
        <w:t>.tabulā.</w:t>
      </w:r>
    </w:p>
    <w:p w14:paraId="3C609CF3" w14:textId="3D91BBBD" w:rsidR="005C2FC0" w:rsidRPr="00A27896" w:rsidRDefault="005C2FC0" w:rsidP="005C2FC0">
      <w:pPr>
        <w:pStyle w:val="Tabulasnosaukums1"/>
        <w:spacing w:before="0" w:line="240" w:lineRule="auto"/>
        <w:rPr>
          <w:rFonts w:cs="Times New Roman"/>
          <w:i/>
          <w:color w:val="17365D"/>
          <w:szCs w:val="22"/>
        </w:rPr>
      </w:pPr>
      <w:r w:rsidRPr="00A27896">
        <w:rPr>
          <w:rFonts w:cs="Times New Roman"/>
          <w:i/>
          <w:color w:val="17365D"/>
          <w:szCs w:val="22"/>
        </w:rPr>
        <w:t>3</w:t>
      </w:r>
      <w:r w:rsidR="00EA50D1" w:rsidRPr="00A27896">
        <w:rPr>
          <w:rFonts w:cs="Times New Roman"/>
          <w:i/>
          <w:color w:val="17365D"/>
          <w:szCs w:val="22"/>
        </w:rPr>
        <w:t>4</w:t>
      </w:r>
      <w:r w:rsidRPr="00A27896">
        <w:rPr>
          <w:rFonts w:cs="Times New Roman"/>
          <w:i/>
          <w:color w:val="17365D"/>
          <w:szCs w:val="22"/>
        </w:rPr>
        <w:t>. tabula</w:t>
      </w:r>
      <w:r w:rsidR="003877C0" w:rsidRPr="00A27896">
        <w:rPr>
          <w:rFonts w:cs="Times New Roman"/>
          <w:i/>
          <w:color w:val="17365D"/>
          <w:szCs w:val="22"/>
        </w:rPr>
        <w:t>.</w:t>
      </w:r>
      <w:r w:rsidRPr="00A27896">
        <w:rPr>
          <w:rFonts w:cs="Times New Roman"/>
          <w:i/>
          <w:color w:val="17365D"/>
          <w:szCs w:val="22"/>
        </w:rPr>
        <w:t xml:space="preserve"> Informācija par finanšu instrumentu maksimālo pakļautību kredītriskam</w:t>
      </w:r>
    </w:p>
    <w:p w14:paraId="62170AB8" w14:textId="5203B58D" w:rsidR="005C2FC0" w:rsidRPr="00A27896" w:rsidRDefault="005C2FC0" w:rsidP="005C2FC0">
      <w:pPr>
        <w:pStyle w:val="Tabulasnosaukums1"/>
        <w:spacing w:before="0" w:line="240" w:lineRule="auto"/>
        <w:rPr>
          <w:rFonts w:cs="Times New Roman"/>
          <w:i/>
          <w:color w:val="17365D"/>
          <w:szCs w:val="22"/>
        </w:rPr>
      </w:pPr>
      <w:r w:rsidRPr="00A27896">
        <w:rPr>
          <w:rFonts w:cs="Times New Roman"/>
          <w:i/>
          <w:color w:val="17365D"/>
          <w:szCs w:val="22"/>
        </w:rPr>
        <w:t xml:space="preserve"> un to </w:t>
      </w:r>
      <w:proofErr w:type="spellStart"/>
      <w:r w:rsidRPr="00A27896">
        <w:rPr>
          <w:rFonts w:cs="Times New Roman"/>
          <w:i/>
          <w:color w:val="17365D"/>
          <w:szCs w:val="22"/>
        </w:rPr>
        <w:t>kredītkvalitāti</w:t>
      </w:r>
      <w:proofErr w:type="spellEnd"/>
      <w:r w:rsidRPr="00A27896">
        <w:rPr>
          <w:rFonts w:cs="Times New Roman"/>
          <w:i/>
          <w:color w:val="17365D"/>
          <w:szCs w:val="22"/>
        </w:rPr>
        <w:t>, sadalījumā pa termiņa kavējuma dienām (</w:t>
      </w:r>
      <w:proofErr w:type="spellStart"/>
      <w:r w:rsidRPr="00A27896">
        <w:rPr>
          <w:rFonts w:cs="Times New Roman"/>
          <w:i/>
          <w:color w:val="17365D"/>
          <w:szCs w:val="22"/>
        </w:rPr>
        <w:t>euro</w:t>
      </w:r>
      <w:proofErr w:type="spellEnd"/>
      <w:r w:rsidRPr="00A27896">
        <w:rPr>
          <w:rFonts w:cs="Times New Roman"/>
          <w:i/>
          <w:color w:val="17365D"/>
          <w:szCs w:val="22"/>
        </w:rPr>
        <w:t>)</w:t>
      </w:r>
    </w:p>
    <w:tbl>
      <w:tblPr>
        <w:tblW w:w="5000" w:type="pct"/>
        <w:tblBorders>
          <w:insideH w:val="single" w:sz="4" w:space="0" w:color="17365D"/>
        </w:tblBorders>
        <w:tblLayout w:type="fixed"/>
        <w:tblCellMar>
          <w:top w:w="28" w:type="dxa"/>
          <w:left w:w="28" w:type="dxa"/>
          <w:bottom w:w="28" w:type="dxa"/>
          <w:right w:w="28" w:type="dxa"/>
        </w:tblCellMar>
        <w:tblLook w:val="04A0" w:firstRow="1" w:lastRow="0" w:firstColumn="1" w:lastColumn="0" w:noHBand="0" w:noVBand="1"/>
      </w:tblPr>
      <w:tblGrid>
        <w:gridCol w:w="1979"/>
        <w:gridCol w:w="677"/>
        <w:gridCol w:w="595"/>
        <w:gridCol w:w="1132"/>
        <w:gridCol w:w="1276"/>
        <w:gridCol w:w="1272"/>
        <w:gridCol w:w="670"/>
        <w:gridCol w:w="453"/>
        <w:gridCol w:w="1268"/>
        <w:gridCol w:w="32"/>
      </w:tblGrid>
      <w:tr w:rsidR="000C1009" w:rsidRPr="00A27896" w14:paraId="404EECA4" w14:textId="21232F36" w:rsidTr="00100EA1">
        <w:trPr>
          <w:gridAfter w:val="1"/>
          <w:wAfter w:w="18" w:type="pct"/>
          <w:trHeight w:val="32"/>
          <w:tblHeader/>
        </w:trPr>
        <w:tc>
          <w:tcPr>
            <w:tcW w:w="1058" w:type="pct"/>
            <w:vMerge w:val="restart"/>
            <w:shd w:val="clear" w:color="auto" w:fill="B9CDE5"/>
            <w:vAlign w:val="center"/>
          </w:tcPr>
          <w:p w14:paraId="28DCDDC4" w14:textId="0AED708E" w:rsidR="00D8776B" w:rsidRPr="00A27896" w:rsidRDefault="00D8776B" w:rsidP="000C73B4">
            <w:pPr>
              <w:spacing w:after="0"/>
              <w:jc w:val="center"/>
              <w:rPr>
                <w:rFonts w:eastAsia="Times New Roman" w:cs="Times New Roman"/>
                <w:b/>
                <w:color w:val="17365D"/>
                <w:sz w:val="18"/>
                <w:szCs w:val="18"/>
                <w:lang w:eastAsia="lv-LV"/>
              </w:rPr>
            </w:pPr>
            <w:r w:rsidRPr="00A27896">
              <w:rPr>
                <w:rFonts w:eastAsia="Times New Roman" w:cs="Times New Roman"/>
                <w:b/>
                <w:bCs/>
                <w:color w:val="17365D"/>
                <w:sz w:val="18"/>
                <w:szCs w:val="18"/>
                <w:lang w:eastAsia="lv-LV"/>
              </w:rPr>
              <w:t>Finanšu instrumenta nosaukums, maksimālās pakļautības kredītriskam apraksts, termiņa kavējuma sadalījums</w:t>
            </w:r>
          </w:p>
        </w:tc>
        <w:tc>
          <w:tcPr>
            <w:tcW w:w="1967" w:type="pct"/>
            <w:gridSpan w:val="4"/>
            <w:tcBorders>
              <w:bottom w:val="single" w:sz="4" w:space="0" w:color="17365D"/>
            </w:tcBorders>
            <w:shd w:val="clear" w:color="auto" w:fill="B9CDE5"/>
            <w:vAlign w:val="center"/>
          </w:tcPr>
          <w:p w14:paraId="3C345FE0" w14:textId="4A0665D1" w:rsidR="00D8776B" w:rsidRPr="00A27896" w:rsidRDefault="00D8776B" w:rsidP="000C73B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958" w:type="pct"/>
            <w:gridSpan w:val="4"/>
            <w:tcBorders>
              <w:bottom w:val="single" w:sz="4" w:space="0" w:color="17365D"/>
            </w:tcBorders>
            <w:shd w:val="clear" w:color="auto" w:fill="B9CDE5"/>
          </w:tcPr>
          <w:p w14:paraId="5DD6F206" w14:textId="764836D4" w:rsidR="00D8776B" w:rsidRPr="00A27896" w:rsidRDefault="00D8776B" w:rsidP="000C73B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12F43860" w14:textId="1A0FADFE" w:rsidTr="00100EA1">
        <w:trPr>
          <w:gridAfter w:val="1"/>
          <w:wAfter w:w="18" w:type="pct"/>
          <w:trHeight w:val="416"/>
          <w:tblHeader/>
        </w:trPr>
        <w:tc>
          <w:tcPr>
            <w:tcW w:w="1058" w:type="pct"/>
            <w:vMerge/>
            <w:tcBorders>
              <w:bottom w:val="single" w:sz="4" w:space="0" w:color="17365D"/>
            </w:tcBorders>
            <w:shd w:val="clear" w:color="auto" w:fill="B9CDE5"/>
            <w:vAlign w:val="center"/>
            <w:hideMark/>
          </w:tcPr>
          <w:p w14:paraId="2ED9285F" w14:textId="4E756D43" w:rsidR="00D8776B" w:rsidRPr="00A27896" w:rsidRDefault="00D8776B" w:rsidP="00D8776B">
            <w:pPr>
              <w:spacing w:after="0"/>
              <w:jc w:val="center"/>
              <w:rPr>
                <w:rFonts w:eastAsia="Times New Roman" w:cs="Times New Roman"/>
                <w:b/>
                <w:color w:val="17365D"/>
                <w:sz w:val="18"/>
                <w:szCs w:val="18"/>
                <w:lang w:eastAsia="lv-LV"/>
              </w:rPr>
            </w:pPr>
          </w:p>
        </w:tc>
        <w:tc>
          <w:tcPr>
            <w:tcW w:w="680" w:type="pct"/>
            <w:gridSpan w:val="2"/>
            <w:tcBorders>
              <w:top w:val="single" w:sz="4" w:space="0" w:color="17365D"/>
              <w:bottom w:val="single" w:sz="4" w:space="0" w:color="17365D"/>
            </w:tcBorders>
            <w:shd w:val="clear" w:color="auto" w:fill="B9CDE5"/>
            <w:vAlign w:val="center"/>
            <w:hideMark/>
          </w:tcPr>
          <w:p w14:paraId="67E5466A" w14:textId="38F7D65A" w:rsidR="00D8776B" w:rsidRPr="00A27896" w:rsidRDefault="00D8776B" w:rsidP="00D8776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bruto</w:t>
            </w:r>
            <w:r w:rsidRPr="00A27896">
              <w:rPr>
                <w:rFonts w:eastAsia="Times New Roman" w:cs="Times New Roman"/>
                <w:b/>
                <w:color w:val="17365D"/>
                <w:sz w:val="18"/>
                <w:szCs w:val="18"/>
                <w:lang w:eastAsia="lv-LV"/>
              </w:rPr>
              <w:br/>
              <w:t>(+)</w:t>
            </w:r>
          </w:p>
        </w:tc>
        <w:tc>
          <w:tcPr>
            <w:tcW w:w="605" w:type="pct"/>
            <w:tcBorders>
              <w:top w:val="single" w:sz="4" w:space="0" w:color="17365D"/>
              <w:bottom w:val="single" w:sz="4" w:space="0" w:color="17365D"/>
            </w:tcBorders>
            <w:shd w:val="clear" w:color="auto" w:fill="B9CDE5"/>
            <w:vAlign w:val="center"/>
            <w:hideMark/>
          </w:tcPr>
          <w:p w14:paraId="61CB3FD9" w14:textId="77777777" w:rsidR="00D8776B" w:rsidRPr="00A27896" w:rsidRDefault="00D8776B" w:rsidP="00AF5BFF">
            <w:pPr>
              <w:spacing w:after="0"/>
              <w:ind w:right="-28"/>
              <w:jc w:val="center"/>
              <w:rPr>
                <w:rFonts w:eastAsia="Times New Roman" w:cs="Times New Roman"/>
                <w:b/>
                <w:color w:val="17365D"/>
                <w:sz w:val="18"/>
                <w:szCs w:val="18"/>
                <w:lang w:eastAsia="lv-LV"/>
              </w:rPr>
            </w:pPr>
            <w:r w:rsidRPr="00A27896">
              <w:rPr>
                <w:rFonts w:eastAsia="Times New Roman" w:cs="Times New Roman"/>
                <w:b/>
                <w:bCs/>
                <w:color w:val="17365D"/>
                <w:sz w:val="18"/>
                <w:szCs w:val="18"/>
                <w:lang w:eastAsia="lv-LV"/>
              </w:rPr>
              <w:t>vērtības samazinājums (+,-)</w:t>
            </w:r>
          </w:p>
        </w:tc>
        <w:tc>
          <w:tcPr>
            <w:tcW w:w="681" w:type="pct"/>
            <w:tcBorders>
              <w:top w:val="single" w:sz="4" w:space="0" w:color="17365D"/>
              <w:bottom w:val="single" w:sz="4" w:space="0" w:color="17365D"/>
            </w:tcBorders>
            <w:shd w:val="clear" w:color="auto" w:fill="B9CDE5"/>
            <w:vAlign w:val="center"/>
          </w:tcPr>
          <w:p w14:paraId="4D5D64E3" w14:textId="16E71A62" w:rsidR="00D8776B" w:rsidRPr="00A27896" w:rsidRDefault="00D8776B" w:rsidP="00D8776B">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uzskaites vērtība</w:t>
            </w:r>
          </w:p>
        </w:tc>
        <w:tc>
          <w:tcPr>
            <w:tcW w:w="680" w:type="pct"/>
            <w:tcBorders>
              <w:top w:val="single" w:sz="4" w:space="0" w:color="17365D"/>
              <w:bottom w:val="single" w:sz="4" w:space="0" w:color="17365D"/>
            </w:tcBorders>
            <w:shd w:val="clear" w:color="auto" w:fill="B9CDE5"/>
            <w:vAlign w:val="center"/>
          </w:tcPr>
          <w:p w14:paraId="0F6BC827" w14:textId="05CB1FE3" w:rsidR="00D8776B" w:rsidRPr="00A27896" w:rsidRDefault="00D8776B" w:rsidP="00D8776B">
            <w:pPr>
              <w:spacing w:after="0"/>
              <w:jc w:val="center"/>
              <w:rPr>
                <w:rFonts w:eastAsia="Times New Roman" w:cs="Times New Roman"/>
                <w:b/>
                <w:bCs/>
                <w:color w:val="17365D"/>
                <w:sz w:val="18"/>
                <w:szCs w:val="18"/>
                <w:lang w:eastAsia="lv-LV"/>
              </w:rPr>
            </w:pPr>
            <w:r w:rsidRPr="00A27896">
              <w:rPr>
                <w:rFonts w:eastAsia="Times New Roman" w:cs="Times New Roman"/>
                <w:b/>
                <w:color w:val="17365D"/>
                <w:sz w:val="18"/>
                <w:szCs w:val="18"/>
                <w:lang w:eastAsia="lv-LV"/>
              </w:rPr>
              <w:t>bruto</w:t>
            </w:r>
            <w:r w:rsidRPr="00A27896">
              <w:rPr>
                <w:rFonts w:eastAsia="Times New Roman" w:cs="Times New Roman"/>
                <w:b/>
                <w:color w:val="17365D"/>
                <w:sz w:val="18"/>
                <w:szCs w:val="18"/>
                <w:lang w:eastAsia="lv-LV"/>
              </w:rPr>
              <w:br/>
              <w:t>(+)</w:t>
            </w:r>
          </w:p>
        </w:tc>
        <w:tc>
          <w:tcPr>
            <w:tcW w:w="600" w:type="pct"/>
            <w:gridSpan w:val="2"/>
            <w:tcBorders>
              <w:top w:val="single" w:sz="4" w:space="0" w:color="17365D"/>
              <w:bottom w:val="single" w:sz="4" w:space="0" w:color="17365D"/>
            </w:tcBorders>
            <w:shd w:val="clear" w:color="auto" w:fill="B9CDE5"/>
            <w:vAlign w:val="center"/>
          </w:tcPr>
          <w:p w14:paraId="789F0995" w14:textId="77777777" w:rsidR="00100EA1" w:rsidRPr="00A27896" w:rsidRDefault="00D8776B" w:rsidP="00100EA1">
            <w:pPr>
              <w:spacing w:after="0"/>
              <w:ind w:left="-33" w:right="-24"/>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vērtības samazinājums </w:t>
            </w:r>
          </w:p>
          <w:p w14:paraId="49E04132" w14:textId="3D657750" w:rsidR="00D8776B" w:rsidRPr="00A27896" w:rsidRDefault="00D8776B" w:rsidP="00D8776B">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w:t>
            </w:r>
          </w:p>
        </w:tc>
        <w:tc>
          <w:tcPr>
            <w:tcW w:w="677" w:type="pct"/>
            <w:tcBorders>
              <w:top w:val="single" w:sz="4" w:space="0" w:color="17365D"/>
              <w:bottom w:val="single" w:sz="4" w:space="0" w:color="17365D"/>
            </w:tcBorders>
            <w:shd w:val="clear" w:color="auto" w:fill="B9CDE5"/>
            <w:vAlign w:val="center"/>
          </w:tcPr>
          <w:p w14:paraId="6692ACA2" w14:textId="0BBD97BB" w:rsidR="00D8776B" w:rsidRPr="00A27896" w:rsidRDefault="00D8776B" w:rsidP="00D8776B">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uzskaites vērtība</w:t>
            </w:r>
          </w:p>
        </w:tc>
      </w:tr>
      <w:tr w:rsidR="000C1009" w:rsidRPr="00A27896" w14:paraId="18E88844" w14:textId="23F5A802" w:rsidTr="00100EA1">
        <w:trPr>
          <w:gridAfter w:val="1"/>
          <w:wAfter w:w="18" w:type="pct"/>
          <w:trHeight w:val="26"/>
          <w:tblHeader/>
        </w:trPr>
        <w:tc>
          <w:tcPr>
            <w:tcW w:w="1058" w:type="pct"/>
            <w:tcBorders>
              <w:top w:val="single" w:sz="4" w:space="0" w:color="17365D"/>
              <w:bottom w:val="single" w:sz="4" w:space="0" w:color="auto"/>
            </w:tcBorders>
            <w:shd w:val="clear" w:color="auto" w:fill="auto"/>
            <w:vAlign w:val="center"/>
            <w:hideMark/>
          </w:tcPr>
          <w:p w14:paraId="3E238188" w14:textId="74E2B6A9" w:rsidR="00D8776B" w:rsidRPr="00A27896" w:rsidRDefault="00D8776B"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680" w:type="pct"/>
            <w:gridSpan w:val="2"/>
            <w:tcBorders>
              <w:top w:val="single" w:sz="4" w:space="0" w:color="17365D"/>
              <w:bottom w:val="single" w:sz="4" w:space="0" w:color="auto"/>
            </w:tcBorders>
            <w:shd w:val="clear" w:color="auto" w:fill="auto"/>
            <w:vAlign w:val="center"/>
            <w:hideMark/>
          </w:tcPr>
          <w:p w14:paraId="25AE878D" w14:textId="2F4966BF" w:rsidR="00D8776B" w:rsidRPr="00A27896" w:rsidRDefault="00D8776B"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605" w:type="pct"/>
            <w:tcBorders>
              <w:top w:val="single" w:sz="4" w:space="0" w:color="17365D"/>
              <w:bottom w:val="single" w:sz="4" w:space="0" w:color="auto"/>
            </w:tcBorders>
            <w:shd w:val="clear" w:color="auto" w:fill="auto"/>
            <w:vAlign w:val="center"/>
            <w:hideMark/>
          </w:tcPr>
          <w:p w14:paraId="3392E758" w14:textId="777E8C6D" w:rsidR="00D8776B" w:rsidRPr="00A27896" w:rsidRDefault="00D8776B"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681" w:type="pct"/>
            <w:tcBorders>
              <w:top w:val="single" w:sz="4" w:space="0" w:color="17365D"/>
              <w:bottom w:val="single" w:sz="4" w:space="0" w:color="auto"/>
            </w:tcBorders>
          </w:tcPr>
          <w:p w14:paraId="25C1DA83" w14:textId="1454478E" w:rsidR="00D8776B" w:rsidRPr="00A27896" w:rsidRDefault="00D8776B"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80" w:type="pct"/>
            <w:tcBorders>
              <w:top w:val="single" w:sz="4" w:space="0" w:color="17365D"/>
              <w:bottom w:val="single" w:sz="4" w:space="0" w:color="auto"/>
            </w:tcBorders>
          </w:tcPr>
          <w:p w14:paraId="1AD9EF70" w14:textId="10D930F0" w:rsidR="00D8776B" w:rsidRPr="00A27896" w:rsidRDefault="000C3468"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c>
          <w:tcPr>
            <w:tcW w:w="600" w:type="pct"/>
            <w:gridSpan w:val="2"/>
            <w:tcBorders>
              <w:top w:val="single" w:sz="4" w:space="0" w:color="17365D"/>
              <w:bottom w:val="single" w:sz="4" w:space="0" w:color="auto"/>
            </w:tcBorders>
          </w:tcPr>
          <w:p w14:paraId="048E7030" w14:textId="2FFF1AB7" w:rsidR="00D8776B" w:rsidRPr="00A27896" w:rsidRDefault="000C3468"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5</w:t>
            </w:r>
          </w:p>
        </w:tc>
        <w:tc>
          <w:tcPr>
            <w:tcW w:w="677" w:type="pct"/>
            <w:tcBorders>
              <w:top w:val="single" w:sz="4" w:space="0" w:color="17365D"/>
              <w:bottom w:val="single" w:sz="4" w:space="0" w:color="auto"/>
            </w:tcBorders>
          </w:tcPr>
          <w:p w14:paraId="223B1072" w14:textId="390F09A6" w:rsidR="00D8776B" w:rsidRPr="00A27896" w:rsidRDefault="000C3468"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6</w:t>
            </w:r>
          </w:p>
        </w:tc>
      </w:tr>
      <w:tr w:rsidR="00C769C7" w:rsidRPr="00A27896" w14:paraId="71670B86" w14:textId="4EF2B656" w:rsidTr="00100EA1">
        <w:trPr>
          <w:gridAfter w:val="1"/>
          <w:wAfter w:w="18" w:type="pct"/>
          <w:trHeight w:val="221"/>
        </w:trPr>
        <w:tc>
          <w:tcPr>
            <w:tcW w:w="1058" w:type="pct"/>
            <w:tcBorders>
              <w:top w:val="single" w:sz="4" w:space="0" w:color="auto"/>
              <w:bottom w:val="single" w:sz="4" w:space="0" w:color="auto"/>
            </w:tcBorders>
            <w:vAlign w:val="center"/>
          </w:tcPr>
          <w:p w14:paraId="2BC066C8" w14:textId="03CD3D8C" w:rsidR="00C769C7" w:rsidRPr="00A27896" w:rsidRDefault="00C769C7" w:rsidP="00C769C7">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aktīvi</w:t>
            </w:r>
          </w:p>
        </w:tc>
        <w:tc>
          <w:tcPr>
            <w:tcW w:w="680" w:type="pct"/>
            <w:gridSpan w:val="2"/>
            <w:tcBorders>
              <w:top w:val="single" w:sz="4" w:space="0" w:color="auto"/>
              <w:left w:val="nil"/>
              <w:bottom w:val="single" w:sz="4" w:space="0" w:color="auto"/>
              <w:right w:val="nil"/>
            </w:tcBorders>
            <w:shd w:val="clear" w:color="auto" w:fill="auto"/>
            <w:vAlign w:val="center"/>
          </w:tcPr>
          <w:p w14:paraId="50052A2D" w14:textId="36160F56" w:rsidR="00C769C7" w:rsidRPr="00A27896" w:rsidRDefault="00C769C7" w:rsidP="009C0579">
            <w:pPr>
              <w:spacing w:after="0" w:line="240" w:lineRule="auto"/>
              <w:ind w:right="57"/>
              <w:jc w:val="right"/>
              <w:rPr>
                <w:rFonts w:cs="Times New Roman"/>
                <w:b/>
                <w:bCs/>
                <w:iCs/>
                <w:color w:val="17365D"/>
                <w:sz w:val="18"/>
                <w:szCs w:val="18"/>
              </w:rPr>
            </w:pPr>
            <w:r w:rsidRPr="00A27896">
              <w:rPr>
                <w:rFonts w:cs="Times New Roman"/>
                <w:b/>
                <w:bCs/>
                <w:iCs/>
                <w:color w:val="17365D"/>
                <w:sz w:val="18"/>
                <w:szCs w:val="18"/>
              </w:rPr>
              <w:t>1 595 294 769</w:t>
            </w:r>
          </w:p>
        </w:tc>
        <w:tc>
          <w:tcPr>
            <w:tcW w:w="605" w:type="pct"/>
            <w:tcBorders>
              <w:top w:val="single" w:sz="4" w:space="0" w:color="auto"/>
              <w:left w:val="nil"/>
              <w:bottom w:val="single" w:sz="4" w:space="0" w:color="auto"/>
              <w:right w:val="nil"/>
            </w:tcBorders>
            <w:shd w:val="clear" w:color="auto" w:fill="auto"/>
            <w:vAlign w:val="center"/>
          </w:tcPr>
          <w:p w14:paraId="712FE07A" w14:textId="3663ACBC" w:rsidR="00C769C7" w:rsidRPr="00A27896" w:rsidRDefault="00C769C7" w:rsidP="009C0579">
            <w:pPr>
              <w:spacing w:after="0" w:line="240" w:lineRule="auto"/>
              <w:ind w:right="57"/>
              <w:jc w:val="right"/>
              <w:rPr>
                <w:rFonts w:cs="Times New Roman"/>
                <w:b/>
                <w:bCs/>
                <w:iCs/>
                <w:color w:val="17365D"/>
                <w:sz w:val="18"/>
                <w:szCs w:val="18"/>
              </w:rPr>
            </w:pPr>
            <w:r w:rsidRPr="00A27896">
              <w:rPr>
                <w:rFonts w:cs="Times New Roman"/>
                <w:b/>
                <w:bCs/>
                <w:iCs/>
                <w:color w:val="17365D"/>
                <w:sz w:val="18"/>
                <w:szCs w:val="18"/>
              </w:rPr>
              <w:t>-441 416 740</w:t>
            </w:r>
          </w:p>
        </w:tc>
        <w:tc>
          <w:tcPr>
            <w:tcW w:w="681" w:type="pct"/>
            <w:tcBorders>
              <w:top w:val="single" w:sz="4" w:space="0" w:color="auto"/>
              <w:left w:val="nil"/>
              <w:bottom w:val="single" w:sz="4" w:space="0" w:color="auto"/>
              <w:right w:val="nil"/>
            </w:tcBorders>
            <w:shd w:val="clear" w:color="auto" w:fill="auto"/>
            <w:vAlign w:val="center"/>
          </w:tcPr>
          <w:p w14:paraId="54C3AA3F" w14:textId="2B3B6B7F" w:rsidR="00C769C7" w:rsidRPr="00A27896" w:rsidRDefault="00C769C7" w:rsidP="009C0579">
            <w:pPr>
              <w:spacing w:after="0" w:line="240" w:lineRule="auto"/>
              <w:ind w:right="57"/>
              <w:jc w:val="right"/>
              <w:rPr>
                <w:rFonts w:cs="Times New Roman"/>
                <w:b/>
                <w:bCs/>
                <w:iCs/>
                <w:color w:val="17365D"/>
                <w:sz w:val="18"/>
                <w:szCs w:val="18"/>
              </w:rPr>
            </w:pPr>
            <w:r w:rsidRPr="00A27896">
              <w:rPr>
                <w:rFonts w:cs="Times New Roman"/>
                <w:b/>
                <w:bCs/>
                <w:iCs/>
                <w:color w:val="17365D"/>
                <w:sz w:val="18"/>
                <w:szCs w:val="18"/>
              </w:rPr>
              <w:t>1 153 878 029</w:t>
            </w:r>
          </w:p>
        </w:tc>
        <w:tc>
          <w:tcPr>
            <w:tcW w:w="680" w:type="pct"/>
            <w:tcBorders>
              <w:top w:val="single" w:sz="4" w:space="0" w:color="auto"/>
              <w:left w:val="nil"/>
              <w:bottom w:val="single" w:sz="4" w:space="0" w:color="auto"/>
              <w:right w:val="nil"/>
            </w:tcBorders>
            <w:shd w:val="clear" w:color="auto" w:fill="auto"/>
            <w:vAlign w:val="center"/>
          </w:tcPr>
          <w:p w14:paraId="252D5CFA" w14:textId="52E1EA60" w:rsidR="00C769C7" w:rsidRPr="00A27896" w:rsidRDefault="00C769C7" w:rsidP="009C0579">
            <w:pPr>
              <w:spacing w:after="0" w:line="240" w:lineRule="auto"/>
              <w:ind w:right="57"/>
              <w:jc w:val="right"/>
              <w:rPr>
                <w:rFonts w:cs="Times New Roman"/>
                <w:b/>
                <w:bCs/>
                <w:iCs/>
                <w:color w:val="17365D"/>
                <w:sz w:val="18"/>
                <w:szCs w:val="18"/>
              </w:rPr>
            </w:pPr>
            <w:r w:rsidRPr="00A27896">
              <w:rPr>
                <w:rFonts w:cs="Times New Roman"/>
                <w:b/>
                <w:bCs/>
                <w:iCs/>
                <w:color w:val="17365D"/>
                <w:sz w:val="18"/>
                <w:szCs w:val="18"/>
              </w:rPr>
              <w:t>3 146 038 990</w:t>
            </w:r>
          </w:p>
        </w:tc>
        <w:tc>
          <w:tcPr>
            <w:tcW w:w="600" w:type="pct"/>
            <w:gridSpan w:val="2"/>
            <w:tcBorders>
              <w:top w:val="single" w:sz="4" w:space="0" w:color="auto"/>
              <w:left w:val="nil"/>
              <w:bottom w:val="single" w:sz="4" w:space="0" w:color="auto"/>
              <w:right w:val="nil"/>
            </w:tcBorders>
            <w:shd w:val="clear" w:color="auto" w:fill="auto"/>
            <w:vAlign w:val="center"/>
          </w:tcPr>
          <w:p w14:paraId="3306B853" w14:textId="72DB3B5B" w:rsidR="00C769C7" w:rsidRPr="00A27896" w:rsidRDefault="00C769C7" w:rsidP="009C0579">
            <w:pPr>
              <w:spacing w:after="0" w:line="240" w:lineRule="auto"/>
              <w:ind w:right="57"/>
              <w:jc w:val="right"/>
              <w:rPr>
                <w:rFonts w:cs="Times New Roman"/>
                <w:b/>
                <w:bCs/>
                <w:iCs/>
                <w:color w:val="17365D"/>
                <w:sz w:val="18"/>
                <w:szCs w:val="18"/>
              </w:rPr>
            </w:pPr>
            <w:r w:rsidRPr="00A27896">
              <w:rPr>
                <w:rFonts w:cs="Times New Roman"/>
                <w:b/>
                <w:bCs/>
                <w:iCs/>
                <w:color w:val="17365D"/>
                <w:sz w:val="18"/>
                <w:szCs w:val="18"/>
              </w:rPr>
              <w:t>-443 873 521</w:t>
            </w:r>
          </w:p>
        </w:tc>
        <w:tc>
          <w:tcPr>
            <w:tcW w:w="677" w:type="pct"/>
            <w:tcBorders>
              <w:top w:val="single" w:sz="4" w:space="0" w:color="auto"/>
              <w:left w:val="nil"/>
              <w:bottom w:val="single" w:sz="4" w:space="0" w:color="auto"/>
              <w:right w:val="nil"/>
            </w:tcBorders>
            <w:shd w:val="clear" w:color="auto" w:fill="auto"/>
            <w:vAlign w:val="center"/>
          </w:tcPr>
          <w:p w14:paraId="5049E1AD" w14:textId="73D4BB09" w:rsidR="00C769C7" w:rsidRPr="00A27896" w:rsidRDefault="00C769C7" w:rsidP="009C0579">
            <w:pPr>
              <w:spacing w:after="0" w:line="240" w:lineRule="auto"/>
              <w:ind w:right="57"/>
              <w:jc w:val="right"/>
              <w:rPr>
                <w:rFonts w:cs="Times New Roman"/>
                <w:b/>
                <w:bCs/>
                <w:iCs/>
                <w:color w:val="17365D"/>
                <w:sz w:val="18"/>
                <w:szCs w:val="18"/>
              </w:rPr>
            </w:pPr>
            <w:r w:rsidRPr="00A27896">
              <w:rPr>
                <w:rFonts w:cs="Times New Roman"/>
                <w:b/>
                <w:bCs/>
                <w:iCs/>
                <w:color w:val="17365D"/>
                <w:sz w:val="18"/>
                <w:szCs w:val="18"/>
              </w:rPr>
              <w:t>2 702 165 469</w:t>
            </w:r>
          </w:p>
        </w:tc>
      </w:tr>
      <w:tr w:rsidR="00C769C7" w:rsidRPr="00A27896" w14:paraId="29D212AE" w14:textId="3D637AEC" w:rsidTr="00100EA1">
        <w:trPr>
          <w:gridAfter w:val="1"/>
          <w:wAfter w:w="18" w:type="pct"/>
          <w:trHeight w:val="964"/>
        </w:trPr>
        <w:tc>
          <w:tcPr>
            <w:tcW w:w="1058" w:type="pct"/>
            <w:tcBorders>
              <w:top w:val="single" w:sz="4" w:space="0" w:color="auto"/>
              <w:bottom w:val="single" w:sz="4" w:space="0" w:color="auto"/>
            </w:tcBorders>
            <w:vAlign w:val="center"/>
          </w:tcPr>
          <w:p w14:paraId="19320F50" w14:textId="54CDF08D" w:rsidR="00C769C7" w:rsidRPr="00A27896" w:rsidRDefault="00C769C7" w:rsidP="00C769C7">
            <w:pPr>
              <w:spacing w:after="0" w:line="240" w:lineRule="auto"/>
              <w:ind w:right="57"/>
              <w:rPr>
                <w:rFonts w:eastAsia="Times New Roman" w:cs="Times New Roman"/>
                <w:b/>
                <w:i/>
                <w:color w:val="17365D"/>
                <w:sz w:val="18"/>
                <w:szCs w:val="18"/>
                <w:lang w:eastAsia="lv-LV"/>
              </w:rPr>
            </w:pPr>
            <w:r w:rsidRPr="00A27896">
              <w:rPr>
                <w:rFonts w:eastAsia="Times New Roman" w:cs="Times New Roman"/>
                <w:b/>
                <w:i/>
                <w:color w:val="17365D"/>
                <w:sz w:val="18"/>
                <w:szCs w:val="18"/>
                <w:lang w:eastAsia="lv-LV"/>
              </w:rPr>
              <w:t>termiņš nav kavēts, bet finanšu instrumentiem gan ir, gan arī nav aprēķināts vērtības samazinājums;</w:t>
            </w:r>
          </w:p>
        </w:tc>
        <w:tc>
          <w:tcPr>
            <w:tcW w:w="680" w:type="pct"/>
            <w:gridSpan w:val="2"/>
            <w:tcBorders>
              <w:top w:val="single" w:sz="4" w:space="0" w:color="auto"/>
              <w:left w:val="nil"/>
              <w:bottom w:val="single" w:sz="4" w:space="0" w:color="auto"/>
              <w:right w:val="nil"/>
            </w:tcBorders>
            <w:shd w:val="clear" w:color="auto" w:fill="auto"/>
            <w:vAlign w:val="center"/>
          </w:tcPr>
          <w:p w14:paraId="0FB087BC" w14:textId="132B97F4" w:rsidR="00C769C7" w:rsidRPr="00A27896" w:rsidRDefault="00C769C7" w:rsidP="009C0579">
            <w:pPr>
              <w:spacing w:after="0" w:line="240" w:lineRule="auto"/>
              <w:ind w:left="-170" w:right="57" w:firstLine="170"/>
              <w:jc w:val="right"/>
              <w:rPr>
                <w:rFonts w:cs="Times New Roman"/>
                <w:b/>
                <w:bCs/>
                <w:i/>
                <w:iCs/>
                <w:color w:val="17365D"/>
                <w:sz w:val="18"/>
                <w:szCs w:val="18"/>
              </w:rPr>
            </w:pPr>
            <w:r w:rsidRPr="00A27896">
              <w:rPr>
                <w:rFonts w:cs="Times New Roman"/>
                <w:b/>
                <w:bCs/>
                <w:i/>
                <w:iCs/>
                <w:color w:val="17365D"/>
                <w:sz w:val="18"/>
                <w:szCs w:val="18"/>
              </w:rPr>
              <w:t>1 165 136 083</w:t>
            </w:r>
          </w:p>
        </w:tc>
        <w:tc>
          <w:tcPr>
            <w:tcW w:w="605" w:type="pct"/>
            <w:tcBorders>
              <w:top w:val="single" w:sz="4" w:space="0" w:color="auto"/>
              <w:left w:val="nil"/>
              <w:bottom w:val="single" w:sz="4" w:space="0" w:color="auto"/>
              <w:right w:val="nil"/>
            </w:tcBorders>
            <w:shd w:val="clear" w:color="auto" w:fill="auto"/>
            <w:vAlign w:val="center"/>
          </w:tcPr>
          <w:p w14:paraId="0253E66E" w14:textId="33B7918F" w:rsidR="00C769C7" w:rsidRPr="00A27896" w:rsidRDefault="00C769C7" w:rsidP="009C0579">
            <w:pPr>
              <w:spacing w:after="0" w:line="240" w:lineRule="auto"/>
              <w:ind w:right="57"/>
              <w:jc w:val="right"/>
              <w:rPr>
                <w:rFonts w:cs="Times New Roman"/>
                <w:b/>
                <w:bCs/>
                <w:i/>
                <w:iCs/>
                <w:color w:val="17365D"/>
                <w:sz w:val="18"/>
                <w:szCs w:val="18"/>
              </w:rPr>
            </w:pPr>
            <w:r w:rsidRPr="00A27896">
              <w:rPr>
                <w:rFonts w:cs="Times New Roman"/>
                <w:b/>
                <w:bCs/>
                <w:i/>
                <w:iCs/>
                <w:color w:val="17365D"/>
                <w:sz w:val="18"/>
                <w:szCs w:val="18"/>
              </w:rPr>
              <w:t>-11 666 132</w:t>
            </w:r>
          </w:p>
        </w:tc>
        <w:tc>
          <w:tcPr>
            <w:tcW w:w="681" w:type="pct"/>
            <w:tcBorders>
              <w:top w:val="single" w:sz="4" w:space="0" w:color="auto"/>
              <w:left w:val="nil"/>
              <w:bottom w:val="single" w:sz="4" w:space="0" w:color="auto"/>
              <w:right w:val="nil"/>
            </w:tcBorders>
            <w:shd w:val="clear" w:color="auto" w:fill="auto"/>
            <w:vAlign w:val="center"/>
          </w:tcPr>
          <w:p w14:paraId="67BBC71A" w14:textId="5BD2AC83" w:rsidR="00C769C7" w:rsidRPr="00A27896" w:rsidRDefault="00C769C7" w:rsidP="009C0579">
            <w:pPr>
              <w:spacing w:after="0" w:line="240" w:lineRule="auto"/>
              <w:ind w:right="57"/>
              <w:jc w:val="right"/>
              <w:rPr>
                <w:rFonts w:cs="Times New Roman"/>
                <w:b/>
                <w:bCs/>
                <w:i/>
                <w:iCs/>
                <w:color w:val="17365D"/>
                <w:sz w:val="18"/>
                <w:szCs w:val="18"/>
              </w:rPr>
            </w:pPr>
            <w:r w:rsidRPr="00A27896">
              <w:rPr>
                <w:rFonts w:cs="Times New Roman"/>
                <w:b/>
                <w:bCs/>
                <w:i/>
                <w:iCs/>
                <w:color w:val="17365D"/>
                <w:sz w:val="18"/>
                <w:szCs w:val="18"/>
              </w:rPr>
              <w:t>1 153 469 951</w:t>
            </w:r>
          </w:p>
        </w:tc>
        <w:tc>
          <w:tcPr>
            <w:tcW w:w="680" w:type="pct"/>
            <w:tcBorders>
              <w:top w:val="single" w:sz="4" w:space="0" w:color="auto"/>
              <w:left w:val="nil"/>
              <w:bottom w:val="single" w:sz="4" w:space="0" w:color="auto"/>
              <w:right w:val="nil"/>
            </w:tcBorders>
            <w:shd w:val="clear" w:color="auto" w:fill="auto"/>
            <w:vAlign w:val="center"/>
          </w:tcPr>
          <w:p w14:paraId="43E8074F" w14:textId="4062882C" w:rsidR="00C769C7" w:rsidRPr="00A27896" w:rsidRDefault="00C769C7" w:rsidP="009C0579">
            <w:pPr>
              <w:spacing w:after="0" w:line="240" w:lineRule="auto"/>
              <w:ind w:right="57"/>
              <w:jc w:val="right"/>
              <w:rPr>
                <w:rFonts w:cs="Times New Roman"/>
                <w:b/>
                <w:bCs/>
                <w:i/>
                <w:iCs/>
                <w:color w:val="17365D"/>
                <w:sz w:val="18"/>
                <w:szCs w:val="18"/>
              </w:rPr>
            </w:pPr>
            <w:r w:rsidRPr="00A27896">
              <w:rPr>
                <w:rFonts w:cs="Times New Roman"/>
                <w:b/>
                <w:bCs/>
                <w:i/>
                <w:iCs/>
                <w:color w:val="17365D"/>
                <w:sz w:val="18"/>
                <w:szCs w:val="18"/>
              </w:rPr>
              <w:t>2 713 287 828</w:t>
            </w:r>
          </w:p>
        </w:tc>
        <w:tc>
          <w:tcPr>
            <w:tcW w:w="600" w:type="pct"/>
            <w:gridSpan w:val="2"/>
            <w:tcBorders>
              <w:top w:val="single" w:sz="4" w:space="0" w:color="auto"/>
              <w:left w:val="nil"/>
              <w:bottom w:val="single" w:sz="4" w:space="0" w:color="auto"/>
              <w:right w:val="nil"/>
            </w:tcBorders>
            <w:shd w:val="clear" w:color="auto" w:fill="auto"/>
            <w:vAlign w:val="center"/>
          </w:tcPr>
          <w:p w14:paraId="02B5BAAE" w14:textId="17ECA3A5" w:rsidR="00C769C7" w:rsidRPr="00A27896" w:rsidRDefault="00C769C7" w:rsidP="009C0579">
            <w:pPr>
              <w:spacing w:after="0" w:line="240" w:lineRule="auto"/>
              <w:ind w:right="57"/>
              <w:jc w:val="right"/>
              <w:rPr>
                <w:rFonts w:cs="Times New Roman"/>
                <w:b/>
                <w:bCs/>
                <w:i/>
                <w:iCs/>
                <w:color w:val="17365D"/>
                <w:sz w:val="18"/>
                <w:szCs w:val="18"/>
              </w:rPr>
            </w:pPr>
            <w:r w:rsidRPr="00A27896">
              <w:rPr>
                <w:rFonts w:cs="Times New Roman"/>
                <w:b/>
                <w:bCs/>
                <w:i/>
                <w:iCs/>
                <w:color w:val="17365D"/>
                <w:sz w:val="18"/>
                <w:szCs w:val="18"/>
              </w:rPr>
              <w:t>-11 873 409</w:t>
            </w:r>
          </w:p>
        </w:tc>
        <w:tc>
          <w:tcPr>
            <w:tcW w:w="677" w:type="pct"/>
            <w:tcBorders>
              <w:top w:val="single" w:sz="4" w:space="0" w:color="auto"/>
              <w:left w:val="nil"/>
              <w:bottom w:val="single" w:sz="4" w:space="0" w:color="auto"/>
              <w:right w:val="nil"/>
            </w:tcBorders>
            <w:shd w:val="clear" w:color="auto" w:fill="auto"/>
            <w:vAlign w:val="center"/>
          </w:tcPr>
          <w:p w14:paraId="2C6F77BE" w14:textId="236D675C" w:rsidR="00C769C7" w:rsidRPr="00A27896" w:rsidRDefault="00C769C7" w:rsidP="009C0579">
            <w:pPr>
              <w:spacing w:after="0" w:line="240" w:lineRule="auto"/>
              <w:ind w:right="57"/>
              <w:jc w:val="right"/>
              <w:rPr>
                <w:rFonts w:cs="Times New Roman"/>
                <w:b/>
                <w:bCs/>
                <w:i/>
                <w:iCs/>
                <w:color w:val="17365D"/>
                <w:sz w:val="18"/>
                <w:szCs w:val="18"/>
              </w:rPr>
            </w:pPr>
            <w:r w:rsidRPr="00A27896">
              <w:rPr>
                <w:rFonts w:cs="Times New Roman"/>
                <w:b/>
                <w:bCs/>
                <w:i/>
                <w:iCs/>
                <w:color w:val="17365D"/>
                <w:sz w:val="18"/>
                <w:szCs w:val="18"/>
              </w:rPr>
              <w:t>2 701 414 419</w:t>
            </w:r>
          </w:p>
        </w:tc>
      </w:tr>
      <w:tr w:rsidR="00C769C7" w:rsidRPr="00A27896" w14:paraId="1954A6F4" w14:textId="4B517CDA" w:rsidTr="00100EA1">
        <w:trPr>
          <w:gridAfter w:val="1"/>
          <w:wAfter w:w="18" w:type="pct"/>
          <w:trHeight w:val="204"/>
        </w:trPr>
        <w:tc>
          <w:tcPr>
            <w:tcW w:w="1058" w:type="pct"/>
            <w:tcBorders>
              <w:top w:val="single" w:sz="4" w:space="0" w:color="auto"/>
              <w:bottom w:val="single" w:sz="4" w:space="0" w:color="auto"/>
            </w:tcBorders>
            <w:vAlign w:val="center"/>
          </w:tcPr>
          <w:p w14:paraId="7B236CB5" w14:textId="6CDB0E14"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Vērtspapīri</w:t>
            </w:r>
          </w:p>
        </w:tc>
        <w:tc>
          <w:tcPr>
            <w:tcW w:w="680" w:type="pct"/>
            <w:gridSpan w:val="2"/>
            <w:tcBorders>
              <w:top w:val="single" w:sz="4" w:space="0" w:color="auto"/>
              <w:left w:val="nil"/>
              <w:bottom w:val="single" w:sz="4" w:space="0" w:color="auto"/>
              <w:right w:val="nil"/>
            </w:tcBorders>
            <w:shd w:val="clear" w:color="auto" w:fill="auto"/>
            <w:vAlign w:val="center"/>
          </w:tcPr>
          <w:p w14:paraId="554F8A2B" w14:textId="6C9FE317"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1 252</w:t>
            </w:r>
          </w:p>
        </w:tc>
        <w:tc>
          <w:tcPr>
            <w:tcW w:w="605" w:type="pct"/>
            <w:tcBorders>
              <w:top w:val="single" w:sz="4" w:space="0" w:color="auto"/>
              <w:left w:val="nil"/>
              <w:bottom w:val="single" w:sz="4" w:space="0" w:color="auto"/>
              <w:right w:val="nil"/>
            </w:tcBorders>
            <w:shd w:val="clear" w:color="auto" w:fill="auto"/>
            <w:vAlign w:val="center"/>
          </w:tcPr>
          <w:p w14:paraId="67747ADF" w14:textId="11504E53"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-220</w:t>
            </w:r>
          </w:p>
        </w:tc>
        <w:tc>
          <w:tcPr>
            <w:tcW w:w="681" w:type="pct"/>
            <w:tcBorders>
              <w:top w:val="single" w:sz="4" w:space="0" w:color="auto"/>
              <w:left w:val="nil"/>
              <w:bottom w:val="single" w:sz="4" w:space="0" w:color="auto"/>
              <w:right w:val="nil"/>
            </w:tcBorders>
            <w:shd w:val="clear" w:color="auto" w:fill="auto"/>
            <w:vAlign w:val="center"/>
          </w:tcPr>
          <w:p w14:paraId="7A9AA263" w14:textId="425E0430"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1 032</w:t>
            </w:r>
          </w:p>
        </w:tc>
        <w:tc>
          <w:tcPr>
            <w:tcW w:w="680" w:type="pct"/>
            <w:tcBorders>
              <w:top w:val="single" w:sz="4" w:space="0" w:color="auto"/>
              <w:left w:val="nil"/>
              <w:bottom w:val="single" w:sz="4" w:space="0" w:color="auto"/>
              <w:right w:val="nil"/>
            </w:tcBorders>
            <w:shd w:val="clear" w:color="auto" w:fill="auto"/>
            <w:vAlign w:val="center"/>
          </w:tcPr>
          <w:p w14:paraId="773E1006" w14:textId="69009868"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1 252</w:t>
            </w:r>
          </w:p>
        </w:tc>
        <w:tc>
          <w:tcPr>
            <w:tcW w:w="600" w:type="pct"/>
            <w:gridSpan w:val="2"/>
            <w:tcBorders>
              <w:top w:val="single" w:sz="4" w:space="0" w:color="auto"/>
              <w:left w:val="nil"/>
              <w:bottom w:val="single" w:sz="4" w:space="0" w:color="auto"/>
              <w:right w:val="nil"/>
            </w:tcBorders>
            <w:shd w:val="clear" w:color="auto" w:fill="auto"/>
            <w:vAlign w:val="center"/>
          </w:tcPr>
          <w:p w14:paraId="4D2EAC41" w14:textId="79A1CDE6"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677" w:type="pct"/>
            <w:tcBorders>
              <w:top w:val="single" w:sz="4" w:space="0" w:color="auto"/>
              <w:left w:val="nil"/>
              <w:bottom w:val="single" w:sz="4" w:space="0" w:color="auto"/>
              <w:right w:val="nil"/>
            </w:tcBorders>
            <w:shd w:val="clear" w:color="auto" w:fill="auto"/>
            <w:vAlign w:val="center"/>
          </w:tcPr>
          <w:p w14:paraId="102FA651" w14:textId="70385FD7"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1 252</w:t>
            </w:r>
          </w:p>
        </w:tc>
      </w:tr>
      <w:tr w:rsidR="00C769C7" w:rsidRPr="00A27896" w14:paraId="1B99D973" w14:textId="0F0C3337" w:rsidTr="00100EA1">
        <w:trPr>
          <w:gridAfter w:val="1"/>
          <w:wAfter w:w="18" w:type="pct"/>
          <w:trHeight w:val="204"/>
        </w:trPr>
        <w:tc>
          <w:tcPr>
            <w:tcW w:w="1058" w:type="pct"/>
            <w:tcBorders>
              <w:top w:val="single" w:sz="4" w:space="0" w:color="auto"/>
              <w:bottom w:val="single" w:sz="4" w:space="0" w:color="auto"/>
            </w:tcBorders>
            <w:vAlign w:val="center"/>
          </w:tcPr>
          <w:p w14:paraId="5F95A333" w14:textId="54703A29"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Noguldījumi</w:t>
            </w:r>
          </w:p>
        </w:tc>
        <w:tc>
          <w:tcPr>
            <w:tcW w:w="680" w:type="pct"/>
            <w:gridSpan w:val="2"/>
            <w:tcBorders>
              <w:top w:val="single" w:sz="4" w:space="0" w:color="auto"/>
              <w:left w:val="nil"/>
              <w:bottom w:val="single" w:sz="4" w:space="0" w:color="auto"/>
              <w:right w:val="nil"/>
            </w:tcBorders>
            <w:shd w:val="clear" w:color="auto" w:fill="auto"/>
            <w:vAlign w:val="center"/>
          </w:tcPr>
          <w:p w14:paraId="203CBB81" w14:textId="4CF0AF5F"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5 314</w:t>
            </w:r>
          </w:p>
        </w:tc>
        <w:tc>
          <w:tcPr>
            <w:tcW w:w="605" w:type="pct"/>
            <w:tcBorders>
              <w:top w:val="single" w:sz="4" w:space="0" w:color="auto"/>
              <w:left w:val="nil"/>
              <w:bottom w:val="single" w:sz="4" w:space="0" w:color="auto"/>
              <w:right w:val="nil"/>
            </w:tcBorders>
            <w:shd w:val="clear" w:color="auto" w:fill="auto"/>
            <w:vAlign w:val="center"/>
          </w:tcPr>
          <w:p w14:paraId="54F1F46A" w14:textId="27BD2CB3"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681" w:type="pct"/>
            <w:tcBorders>
              <w:top w:val="single" w:sz="4" w:space="0" w:color="auto"/>
              <w:left w:val="nil"/>
              <w:bottom w:val="single" w:sz="4" w:space="0" w:color="auto"/>
              <w:right w:val="nil"/>
            </w:tcBorders>
            <w:shd w:val="clear" w:color="auto" w:fill="auto"/>
            <w:vAlign w:val="center"/>
          </w:tcPr>
          <w:p w14:paraId="613A7B52" w14:textId="0C6286FD"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5 314</w:t>
            </w:r>
          </w:p>
        </w:tc>
        <w:tc>
          <w:tcPr>
            <w:tcW w:w="680" w:type="pct"/>
            <w:tcBorders>
              <w:top w:val="single" w:sz="4" w:space="0" w:color="auto"/>
              <w:left w:val="nil"/>
              <w:bottom w:val="single" w:sz="4" w:space="0" w:color="auto"/>
              <w:right w:val="nil"/>
            </w:tcBorders>
            <w:shd w:val="clear" w:color="auto" w:fill="auto"/>
            <w:vAlign w:val="center"/>
          </w:tcPr>
          <w:p w14:paraId="5D83C5A1" w14:textId="7126FA59"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5 338</w:t>
            </w:r>
          </w:p>
        </w:tc>
        <w:tc>
          <w:tcPr>
            <w:tcW w:w="600" w:type="pct"/>
            <w:gridSpan w:val="2"/>
            <w:tcBorders>
              <w:top w:val="single" w:sz="4" w:space="0" w:color="auto"/>
              <w:left w:val="nil"/>
              <w:bottom w:val="single" w:sz="4" w:space="0" w:color="auto"/>
              <w:right w:val="nil"/>
            </w:tcBorders>
            <w:shd w:val="clear" w:color="auto" w:fill="auto"/>
            <w:vAlign w:val="center"/>
          </w:tcPr>
          <w:p w14:paraId="30890D5D" w14:textId="7F63CFCB"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677" w:type="pct"/>
            <w:tcBorders>
              <w:top w:val="single" w:sz="4" w:space="0" w:color="auto"/>
              <w:left w:val="nil"/>
              <w:bottom w:val="single" w:sz="4" w:space="0" w:color="auto"/>
              <w:right w:val="nil"/>
            </w:tcBorders>
            <w:shd w:val="clear" w:color="auto" w:fill="auto"/>
            <w:vAlign w:val="center"/>
          </w:tcPr>
          <w:p w14:paraId="62158AE3" w14:textId="118B27B8"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5 338</w:t>
            </w:r>
          </w:p>
        </w:tc>
      </w:tr>
      <w:tr w:rsidR="00C769C7" w:rsidRPr="00A27896" w14:paraId="5300B806" w14:textId="6F7E125C" w:rsidTr="00100EA1">
        <w:trPr>
          <w:gridAfter w:val="1"/>
          <w:wAfter w:w="18" w:type="pct"/>
          <w:trHeight w:val="204"/>
        </w:trPr>
        <w:tc>
          <w:tcPr>
            <w:tcW w:w="1058" w:type="pct"/>
            <w:tcBorders>
              <w:top w:val="single" w:sz="4" w:space="0" w:color="auto"/>
              <w:bottom w:val="single" w:sz="4" w:space="0" w:color="auto"/>
            </w:tcBorders>
            <w:vAlign w:val="center"/>
          </w:tcPr>
          <w:p w14:paraId="7837D063" w14:textId="2B9427AB"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Aizdevumi</w:t>
            </w:r>
          </w:p>
        </w:tc>
        <w:tc>
          <w:tcPr>
            <w:tcW w:w="680" w:type="pct"/>
            <w:gridSpan w:val="2"/>
            <w:tcBorders>
              <w:top w:val="single" w:sz="4" w:space="0" w:color="auto"/>
              <w:left w:val="nil"/>
              <w:bottom w:val="single" w:sz="4" w:space="0" w:color="auto"/>
              <w:right w:val="nil"/>
            </w:tcBorders>
            <w:shd w:val="clear" w:color="auto" w:fill="auto"/>
            <w:vAlign w:val="center"/>
          </w:tcPr>
          <w:p w14:paraId="5F8FA332" w14:textId="0D92CF52"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392 187 418</w:t>
            </w:r>
          </w:p>
        </w:tc>
        <w:tc>
          <w:tcPr>
            <w:tcW w:w="605" w:type="pct"/>
            <w:tcBorders>
              <w:top w:val="single" w:sz="4" w:space="0" w:color="auto"/>
              <w:left w:val="nil"/>
              <w:bottom w:val="single" w:sz="4" w:space="0" w:color="auto"/>
              <w:right w:val="nil"/>
            </w:tcBorders>
            <w:shd w:val="clear" w:color="auto" w:fill="auto"/>
            <w:vAlign w:val="center"/>
          </w:tcPr>
          <w:p w14:paraId="247499B8" w14:textId="22FBE775"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-10 156 699</w:t>
            </w:r>
          </w:p>
        </w:tc>
        <w:tc>
          <w:tcPr>
            <w:tcW w:w="681" w:type="pct"/>
            <w:tcBorders>
              <w:top w:val="single" w:sz="4" w:space="0" w:color="auto"/>
              <w:left w:val="nil"/>
              <w:bottom w:val="single" w:sz="4" w:space="0" w:color="auto"/>
              <w:right w:val="nil"/>
            </w:tcBorders>
            <w:shd w:val="clear" w:color="auto" w:fill="auto"/>
            <w:vAlign w:val="center"/>
          </w:tcPr>
          <w:p w14:paraId="2839F88B" w14:textId="3F203BE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382 030 719</w:t>
            </w:r>
          </w:p>
        </w:tc>
        <w:tc>
          <w:tcPr>
            <w:tcW w:w="680" w:type="pct"/>
            <w:tcBorders>
              <w:top w:val="single" w:sz="4" w:space="0" w:color="auto"/>
              <w:left w:val="nil"/>
              <w:bottom w:val="single" w:sz="4" w:space="0" w:color="auto"/>
              <w:right w:val="nil"/>
            </w:tcBorders>
            <w:shd w:val="clear" w:color="auto" w:fill="auto"/>
            <w:vAlign w:val="center"/>
          </w:tcPr>
          <w:p w14:paraId="245A0963" w14:textId="431DFA35"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1 948 086 103</w:t>
            </w:r>
          </w:p>
        </w:tc>
        <w:tc>
          <w:tcPr>
            <w:tcW w:w="600" w:type="pct"/>
            <w:gridSpan w:val="2"/>
            <w:tcBorders>
              <w:top w:val="single" w:sz="4" w:space="0" w:color="auto"/>
              <w:left w:val="nil"/>
              <w:bottom w:val="single" w:sz="4" w:space="0" w:color="auto"/>
              <w:right w:val="nil"/>
            </w:tcBorders>
            <w:shd w:val="clear" w:color="auto" w:fill="auto"/>
            <w:vAlign w:val="center"/>
          </w:tcPr>
          <w:p w14:paraId="69DBD1F4" w14:textId="63260484"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-10 219 163</w:t>
            </w:r>
          </w:p>
        </w:tc>
        <w:tc>
          <w:tcPr>
            <w:tcW w:w="677" w:type="pct"/>
            <w:tcBorders>
              <w:top w:val="single" w:sz="4" w:space="0" w:color="auto"/>
              <w:left w:val="nil"/>
              <w:bottom w:val="single" w:sz="4" w:space="0" w:color="auto"/>
              <w:right w:val="nil"/>
            </w:tcBorders>
            <w:shd w:val="clear" w:color="auto" w:fill="auto"/>
            <w:vAlign w:val="center"/>
          </w:tcPr>
          <w:p w14:paraId="529342D7" w14:textId="3761F442"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1 937 866 940</w:t>
            </w:r>
          </w:p>
        </w:tc>
      </w:tr>
      <w:tr w:rsidR="00C769C7" w:rsidRPr="00A27896" w14:paraId="14855309" w14:textId="76780FD6" w:rsidTr="00100EA1">
        <w:trPr>
          <w:gridAfter w:val="1"/>
          <w:wAfter w:w="18" w:type="pct"/>
          <w:trHeight w:val="204"/>
        </w:trPr>
        <w:tc>
          <w:tcPr>
            <w:tcW w:w="1058" w:type="pct"/>
            <w:tcBorders>
              <w:top w:val="single" w:sz="4" w:space="0" w:color="auto"/>
              <w:bottom w:val="single" w:sz="4" w:space="0" w:color="auto"/>
            </w:tcBorders>
            <w:vAlign w:val="center"/>
          </w:tcPr>
          <w:p w14:paraId="5DA09B9D" w14:textId="2F122F2C"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Prasības, kas ir finanšu instrumenti</w:t>
            </w:r>
          </w:p>
        </w:tc>
        <w:tc>
          <w:tcPr>
            <w:tcW w:w="680" w:type="pct"/>
            <w:gridSpan w:val="2"/>
            <w:tcBorders>
              <w:top w:val="single" w:sz="4" w:space="0" w:color="auto"/>
              <w:left w:val="nil"/>
              <w:bottom w:val="single" w:sz="4" w:space="0" w:color="auto"/>
              <w:right w:val="nil"/>
            </w:tcBorders>
            <w:shd w:val="clear" w:color="auto" w:fill="auto"/>
            <w:vAlign w:val="center"/>
          </w:tcPr>
          <w:p w14:paraId="1B16748E" w14:textId="3C70135A"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4 617 302</w:t>
            </w:r>
          </w:p>
        </w:tc>
        <w:tc>
          <w:tcPr>
            <w:tcW w:w="605" w:type="pct"/>
            <w:tcBorders>
              <w:top w:val="single" w:sz="4" w:space="0" w:color="auto"/>
              <w:left w:val="nil"/>
              <w:bottom w:val="single" w:sz="4" w:space="0" w:color="auto"/>
              <w:right w:val="nil"/>
            </w:tcBorders>
            <w:shd w:val="clear" w:color="auto" w:fill="auto"/>
            <w:vAlign w:val="center"/>
          </w:tcPr>
          <w:p w14:paraId="47822581" w14:textId="3D372E87"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-1 358 681</w:t>
            </w:r>
          </w:p>
        </w:tc>
        <w:tc>
          <w:tcPr>
            <w:tcW w:w="681" w:type="pct"/>
            <w:tcBorders>
              <w:top w:val="single" w:sz="4" w:space="0" w:color="auto"/>
              <w:left w:val="nil"/>
              <w:bottom w:val="single" w:sz="4" w:space="0" w:color="auto"/>
              <w:right w:val="nil"/>
            </w:tcBorders>
            <w:shd w:val="clear" w:color="auto" w:fill="auto"/>
            <w:vAlign w:val="center"/>
          </w:tcPr>
          <w:p w14:paraId="66E5AF5C" w14:textId="7B43B680"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3 258 621</w:t>
            </w:r>
          </w:p>
        </w:tc>
        <w:tc>
          <w:tcPr>
            <w:tcW w:w="680" w:type="pct"/>
            <w:tcBorders>
              <w:top w:val="single" w:sz="4" w:space="0" w:color="auto"/>
              <w:left w:val="nil"/>
              <w:bottom w:val="single" w:sz="4" w:space="0" w:color="auto"/>
              <w:right w:val="nil"/>
            </w:tcBorders>
            <w:shd w:val="clear" w:color="auto" w:fill="auto"/>
            <w:vAlign w:val="center"/>
          </w:tcPr>
          <w:p w14:paraId="497940CB" w14:textId="494EC88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4 207 764</w:t>
            </w:r>
          </w:p>
        </w:tc>
        <w:tc>
          <w:tcPr>
            <w:tcW w:w="600" w:type="pct"/>
            <w:gridSpan w:val="2"/>
            <w:tcBorders>
              <w:top w:val="single" w:sz="4" w:space="0" w:color="auto"/>
              <w:left w:val="nil"/>
              <w:bottom w:val="single" w:sz="4" w:space="0" w:color="auto"/>
              <w:right w:val="nil"/>
            </w:tcBorders>
            <w:shd w:val="clear" w:color="auto" w:fill="auto"/>
            <w:vAlign w:val="center"/>
          </w:tcPr>
          <w:p w14:paraId="283155AB" w14:textId="2C88D09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-1 476 739</w:t>
            </w:r>
          </w:p>
        </w:tc>
        <w:tc>
          <w:tcPr>
            <w:tcW w:w="677" w:type="pct"/>
            <w:tcBorders>
              <w:top w:val="single" w:sz="4" w:space="0" w:color="auto"/>
              <w:left w:val="nil"/>
              <w:bottom w:val="single" w:sz="4" w:space="0" w:color="auto"/>
              <w:right w:val="nil"/>
            </w:tcBorders>
            <w:shd w:val="clear" w:color="auto" w:fill="auto"/>
            <w:vAlign w:val="center"/>
          </w:tcPr>
          <w:p w14:paraId="77048DDC" w14:textId="3D25E15B"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2 731 025</w:t>
            </w:r>
          </w:p>
        </w:tc>
      </w:tr>
      <w:tr w:rsidR="00C769C7" w:rsidRPr="00A27896" w14:paraId="1EE62891" w14:textId="04C31A5A" w:rsidTr="00100EA1">
        <w:trPr>
          <w:gridAfter w:val="1"/>
          <w:wAfter w:w="18" w:type="pct"/>
          <w:trHeight w:val="204"/>
        </w:trPr>
        <w:tc>
          <w:tcPr>
            <w:tcW w:w="1058" w:type="pct"/>
            <w:tcBorders>
              <w:top w:val="single" w:sz="4" w:space="0" w:color="auto"/>
              <w:bottom w:val="single" w:sz="4" w:space="0" w:color="auto"/>
            </w:tcBorders>
            <w:vAlign w:val="center"/>
          </w:tcPr>
          <w:p w14:paraId="59CF4859" w14:textId="64D68E49"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finanšu instrumenti</w:t>
            </w:r>
          </w:p>
        </w:tc>
        <w:tc>
          <w:tcPr>
            <w:tcW w:w="680" w:type="pct"/>
            <w:gridSpan w:val="2"/>
            <w:tcBorders>
              <w:top w:val="single" w:sz="4" w:space="0" w:color="auto"/>
              <w:left w:val="nil"/>
              <w:bottom w:val="single" w:sz="4" w:space="0" w:color="auto"/>
              <w:right w:val="nil"/>
            </w:tcBorders>
            <w:shd w:val="clear" w:color="auto" w:fill="auto"/>
            <w:vAlign w:val="center"/>
          </w:tcPr>
          <w:p w14:paraId="1EDCF0C6" w14:textId="3AD1C113"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768 324 797</w:t>
            </w:r>
          </w:p>
        </w:tc>
        <w:tc>
          <w:tcPr>
            <w:tcW w:w="605" w:type="pct"/>
            <w:tcBorders>
              <w:top w:val="single" w:sz="4" w:space="0" w:color="auto"/>
              <w:left w:val="nil"/>
              <w:bottom w:val="single" w:sz="4" w:space="0" w:color="auto"/>
              <w:right w:val="nil"/>
            </w:tcBorders>
            <w:shd w:val="clear" w:color="auto" w:fill="auto"/>
            <w:vAlign w:val="center"/>
          </w:tcPr>
          <w:p w14:paraId="1D0D9E18" w14:textId="49BC28A2"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-150 532</w:t>
            </w:r>
          </w:p>
        </w:tc>
        <w:tc>
          <w:tcPr>
            <w:tcW w:w="681" w:type="pct"/>
            <w:tcBorders>
              <w:top w:val="single" w:sz="4" w:space="0" w:color="auto"/>
              <w:left w:val="nil"/>
              <w:bottom w:val="single" w:sz="4" w:space="0" w:color="auto"/>
              <w:right w:val="nil"/>
            </w:tcBorders>
            <w:shd w:val="clear" w:color="auto" w:fill="auto"/>
            <w:vAlign w:val="center"/>
          </w:tcPr>
          <w:p w14:paraId="2E76CEBE" w14:textId="1EA7B6FF"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768 174 265</w:t>
            </w:r>
          </w:p>
        </w:tc>
        <w:tc>
          <w:tcPr>
            <w:tcW w:w="680" w:type="pct"/>
            <w:tcBorders>
              <w:top w:val="single" w:sz="4" w:space="0" w:color="auto"/>
              <w:left w:val="nil"/>
              <w:bottom w:val="single" w:sz="4" w:space="0" w:color="auto"/>
              <w:right w:val="nil"/>
            </w:tcBorders>
            <w:shd w:val="clear" w:color="auto" w:fill="auto"/>
            <w:vAlign w:val="center"/>
          </w:tcPr>
          <w:p w14:paraId="5BA9305C" w14:textId="38F90AF7"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760 987 371</w:t>
            </w:r>
          </w:p>
        </w:tc>
        <w:tc>
          <w:tcPr>
            <w:tcW w:w="600" w:type="pct"/>
            <w:gridSpan w:val="2"/>
            <w:tcBorders>
              <w:top w:val="single" w:sz="4" w:space="0" w:color="auto"/>
              <w:left w:val="nil"/>
              <w:bottom w:val="single" w:sz="4" w:space="0" w:color="auto"/>
              <w:right w:val="nil"/>
            </w:tcBorders>
            <w:shd w:val="clear" w:color="auto" w:fill="auto"/>
            <w:vAlign w:val="center"/>
          </w:tcPr>
          <w:p w14:paraId="0F5FD1ED" w14:textId="70D09785"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-177 507</w:t>
            </w:r>
          </w:p>
        </w:tc>
        <w:tc>
          <w:tcPr>
            <w:tcW w:w="677" w:type="pct"/>
            <w:tcBorders>
              <w:top w:val="single" w:sz="4" w:space="0" w:color="auto"/>
              <w:left w:val="nil"/>
              <w:bottom w:val="single" w:sz="4" w:space="0" w:color="auto"/>
              <w:right w:val="nil"/>
            </w:tcBorders>
            <w:shd w:val="clear" w:color="auto" w:fill="auto"/>
            <w:vAlign w:val="center"/>
          </w:tcPr>
          <w:p w14:paraId="4BD691B0" w14:textId="12C166B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760 809 864</w:t>
            </w:r>
          </w:p>
        </w:tc>
      </w:tr>
      <w:tr w:rsidR="00C769C7" w:rsidRPr="00A27896" w14:paraId="174FDE37" w14:textId="019FE01D" w:rsidTr="00100EA1">
        <w:trPr>
          <w:gridAfter w:val="1"/>
          <w:wAfter w:w="18" w:type="pct"/>
          <w:trHeight w:val="204"/>
        </w:trPr>
        <w:tc>
          <w:tcPr>
            <w:tcW w:w="1058" w:type="pct"/>
            <w:tcBorders>
              <w:top w:val="single" w:sz="4" w:space="0" w:color="auto"/>
              <w:bottom w:val="single" w:sz="4" w:space="0" w:color="auto"/>
            </w:tcBorders>
            <w:vAlign w:val="center"/>
          </w:tcPr>
          <w:p w14:paraId="197F23D5" w14:textId="05861707" w:rsidR="00C769C7" w:rsidRPr="00A27896" w:rsidRDefault="00C769C7" w:rsidP="00C769C7">
            <w:pPr>
              <w:spacing w:after="0" w:line="240" w:lineRule="auto"/>
              <w:ind w:right="57"/>
              <w:rPr>
                <w:rFonts w:eastAsia="Times New Roman" w:cs="Times New Roman"/>
                <w:b/>
                <w:i/>
                <w:color w:val="17365D"/>
                <w:sz w:val="18"/>
                <w:szCs w:val="18"/>
                <w:lang w:eastAsia="lv-LV"/>
              </w:rPr>
            </w:pPr>
            <w:r w:rsidRPr="00A27896">
              <w:rPr>
                <w:rFonts w:eastAsia="Times New Roman" w:cs="Times New Roman"/>
                <w:b/>
                <w:i/>
                <w:color w:val="17365D"/>
                <w:sz w:val="18"/>
                <w:szCs w:val="18"/>
                <w:lang w:eastAsia="lv-LV"/>
              </w:rPr>
              <w:t>termiņš ir kavēts, bet finanšu instrumentu vērtība nav samazinājusies, sadalījumā pa kavējuma termiņiem;</w:t>
            </w:r>
          </w:p>
        </w:tc>
        <w:tc>
          <w:tcPr>
            <w:tcW w:w="680" w:type="pct"/>
            <w:gridSpan w:val="2"/>
            <w:tcBorders>
              <w:top w:val="single" w:sz="4" w:space="0" w:color="auto"/>
              <w:left w:val="nil"/>
              <w:bottom w:val="single" w:sz="4" w:space="0" w:color="auto"/>
              <w:right w:val="nil"/>
            </w:tcBorders>
            <w:shd w:val="clear" w:color="auto" w:fill="auto"/>
            <w:vAlign w:val="center"/>
          </w:tcPr>
          <w:p w14:paraId="1C4C1885" w14:textId="45189464" w:rsidR="00C769C7" w:rsidRPr="00A27896" w:rsidRDefault="00C769C7" w:rsidP="009C0579">
            <w:pPr>
              <w:spacing w:after="0" w:line="240" w:lineRule="auto"/>
              <w:ind w:right="57"/>
              <w:jc w:val="right"/>
              <w:rPr>
                <w:rFonts w:cs="Times New Roman"/>
                <w:b/>
                <w:i/>
                <w:color w:val="17365D"/>
                <w:sz w:val="18"/>
                <w:szCs w:val="18"/>
              </w:rPr>
            </w:pPr>
            <w:r w:rsidRPr="00A27896">
              <w:rPr>
                <w:rFonts w:cs="Times New Roman"/>
                <w:b/>
                <w:i/>
                <w:color w:val="17365D"/>
                <w:sz w:val="18"/>
                <w:szCs w:val="18"/>
              </w:rPr>
              <w:t>363 499</w:t>
            </w:r>
          </w:p>
        </w:tc>
        <w:tc>
          <w:tcPr>
            <w:tcW w:w="605" w:type="pct"/>
            <w:tcBorders>
              <w:top w:val="single" w:sz="4" w:space="0" w:color="auto"/>
              <w:left w:val="nil"/>
              <w:bottom w:val="single" w:sz="4" w:space="0" w:color="auto"/>
              <w:right w:val="nil"/>
            </w:tcBorders>
            <w:shd w:val="clear" w:color="auto" w:fill="auto"/>
            <w:vAlign w:val="center"/>
          </w:tcPr>
          <w:p w14:paraId="2E5573DE" w14:textId="67EBB0A3" w:rsidR="00C769C7" w:rsidRPr="00A27896" w:rsidRDefault="00C769C7" w:rsidP="009C0579">
            <w:pPr>
              <w:spacing w:after="0" w:line="240" w:lineRule="auto"/>
              <w:ind w:right="57"/>
              <w:jc w:val="right"/>
              <w:rPr>
                <w:rFonts w:cs="Times New Roman"/>
                <w:b/>
                <w:i/>
                <w:color w:val="17365D"/>
                <w:sz w:val="18"/>
                <w:szCs w:val="18"/>
              </w:rPr>
            </w:pPr>
            <w:r w:rsidRPr="00A27896">
              <w:rPr>
                <w:rFonts w:cs="Times New Roman"/>
                <w:b/>
                <w:i/>
                <w:color w:val="17365D"/>
                <w:sz w:val="18"/>
                <w:szCs w:val="18"/>
              </w:rPr>
              <w:t>x</w:t>
            </w:r>
          </w:p>
        </w:tc>
        <w:tc>
          <w:tcPr>
            <w:tcW w:w="681" w:type="pct"/>
            <w:tcBorders>
              <w:top w:val="single" w:sz="4" w:space="0" w:color="auto"/>
              <w:left w:val="nil"/>
              <w:bottom w:val="single" w:sz="4" w:space="0" w:color="auto"/>
              <w:right w:val="nil"/>
            </w:tcBorders>
            <w:shd w:val="clear" w:color="auto" w:fill="auto"/>
            <w:vAlign w:val="center"/>
          </w:tcPr>
          <w:p w14:paraId="1F4AE56A" w14:textId="69D31DBD" w:rsidR="00C769C7" w:rsidRPr="00A27896" w:rsidRDefault="00C769C7" w:rsidP="009C0579">
            <w:pPr>
              <w:spacing w:after="0" w:line="240" w:lineRule="auto"/>
              <w:ind w:right="57"/>
              <w:jc w:val="right"/>
              <w:rPr>
                <w:rFonts w:cs="Times New Roman"/>
                <w:b/>
                <w:i/>
                <w:color w:val="17365D"/>
                <w:sz w:val="18"/>
                <w:szCs w:val="18"/>
              </w:rPr>
            </w:pPr>
            <w:r w:rsidRPr="00A27896">
              <w:rPr>
                <w:rFonts w:cs="Times New Roman"/>
                <w:b/>
                <w:i/>
                <w:color w:val="17365D"/>
                <w:sz w:val="18"/>
                <w:szCs w:val="18"/>
              </w:rPr>
              <w:t>363 499</w:t>
            </w:r>
          </w:p>
        </w:tc>
        <w:tc>
          <w:tcPr>
            <w:tcW w:w="680" w:type="pct"/>
            <w:tcBorders>
              <w:top w:val="single" w:sz="4" w:space="0" w:color="auto"/>
              <w:left w:val="nil"/>
              <w:bottom w:val="single" w:sz="4" w:space="0" w:color="auto"/>
              <w:right w:val="nil"/>
            </w:tcBorders>
            <w:shd w:val="clear" w:color="auto" w:fill="auto"/>
            <w:vAlign w:val="center"/>
          </w:tcPr>
          <w:p w14:paraId="1A450B9B" w14:textId="2DAAAB72" w:rsidR="00C769C7" w:rsidRPr="00A27896" w:rsidRDefault="00C769C7" w:rsidP="009C0579">
            <w:pPr>
              <w:spacing w:after="0" w:line="240" w:lineRule="auto"/>
              <w:ind w:right="57"/>
              <w:jc w:val="right"/>
              <w:rPr>
                <w:rFonts w:cs="Times New Roman"/>
                <w:b/>
                <w:i/>
                <w:color w:val="17365D"/>
                <w:sz w:val="18"/>
                <w:szCs w:val="18"/>
              </w:rPr>
            </w:pPr>
            <w:r w:rsidRPr="00A27896">
              <w:rPr>
                <w:rFonts w:cs="Times New Roman"/>
                <w:b/>
                <w:i/>
                <w:color w:val="17365D"/>
                <w:sz w:val="18"/>
                <w:szCs w:val="18"/>
              </w:rPr>
              <w:t>624 636</w:t>
            </w:r>
          </w:p>
        </w:tc>
        <w:tc>
          <w:tcPr>
            <w:tcW w:w="600" w:type="pct"/>
            <w:gridSpan w:val="2"/>
            <w:tcBorders>
              <w:top w:val="single" w:sz="4" w:space="0" w:color="auto"/>
              <w:left w:val="nil"/>
              <w:bottom w:val="single" w:sz="4" w:space="0" w:color="auto"/>
              <w:right w:val="nil"/>
            </w:tcBorders>
            <w:shd w:val="clear" w:color="auto" w:fill="auto"/>
            <w:vAlign w:val="center"/>
          </w:tcPr>
          <w:p w14:paraId="65C2C5C2" w14:textId="5659692A" w:rsidR="00C769C7" w:rsidRPr="00A27896" w:rsidRDefault="00C769C7" w:rsidP="009C0579">
            <w:pPr>
              <w:spacing w:after="0" w:line="240" w:lineRule="auto"/>
              <w:ind w:right="57"/>
              <w:jc w:val="right"/>
              <w:rPr>
                <w:rFonts w:cs="Times New Roman"/>
                <w:b/>
                <w:i/>
                <w:color w:val="17365D"/>
                <w:sz w:val="18"/>
                <w:szCs w:val="18"/>
              </w:rPr>
            </w:pPr>
            <w:r w:rsidRPr="00A27896">
              <w:rPr>
                <w:rFonts w:cs="Times New Roman"/>
                <w:b/>
                <w:i/>
                <w:color w:val="17365D"/>
                <w:sz w:val="18"/>
                <w:szCs w:val="18"/>
              </w:rPr>
              <w:t>x</w:t>
            </w:r>
          </w:p>
        </w:tc>
        <w:tc>
          <w:tcPr>
            <w:tcW w:w="677" w:type="pct"/>
            <w:tcBorders>
              <w:top w:val="single" w:sz="4" w:space="0" w:color="auto"/>
              <w:left w:val="nil"/>
              <w:bottom w:val="single" w:sz="4" w:space="0" w:color="auto"/>
              <w:right w:val="nil"/>
            </w:tcBorders>
            <w:shd w:val="clear" w:color="auto" w:fill="auto"/>
            <w:vAlign w:val="center"/>
          </w:tcPr>
          <w:p w14:paraId="6D655D79" w14:textId="6F71E4C9" w:rsidR="00C769C7" w:rsidRPr="00A27896" w:rsidRDefault="00C769C7" w:rsidP="009C0579">
            <w:pPr>
              <w:spacing w:after="0" w:line="240" w:lineRule="auto"/>
              <w:ind w:right="57"/>
              <w:jc w:val="right"/>
              <w:rPr>
                <w:rFonts w:cs="Times New Roman"/>
                <w:b/>
                <w:i/>
                <w:color w:val="17365D"/>
                <w:sz w:val="18"/>
                <w:szCs w:val="18"/>
              </w:rPr>
            </w:pPr>
            <w:r w:rsidRPr="00A27896">
              <w:rPr>
                <w:rFonts w:cs="Times New Roman"/>
                <w:b/>
                <w:i/>
                <w:color w:val="17365D"/>
                <w:sz w:val="18"/>
                <w:szCs w:val="18"/>
              </w:rPr>
              <w:t>624 636</w:t>
            </w:r>
          </w:p>
        </w:tc>
      </w:tr>
      <w:tr w:rsidR="00C769C7" w:rsidRPr="00A27896" w14:paraId="71EC80B3" w14:textId="64BFD9DA" w:rsidTr="00100EA1">
        <w:trPr>
          <w:gridAfter w:val="1"/>
          <w:wAfter w:w="18" w:type="pct"/>
          <w:trHeight w:val="204"/>
        </w:trPr>
        <w:tc>
          <w:tcPr>
            <w:tcW w:w="1058" w:type="pct"/>
            <w:tcBorders>
              <w:top w:val="single" w:sz="4" w:space="0" w:color="auto"/>
              <w:bottom w:val="single" w:sz="4" w:space="0" w:color="auto"/>
            </w:tcBorders>
            <w:vAlign w:val="center"/>
          </w:tcPr>
          <w:p w14:paraId="6E0C9B20" w14:textId="586750FD"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lastRenderedPageBreak/>
              <w:t>līdz 30 dienām</w:t>
            </w:r>
          </w:p>
        </w:tc>
        <w:tc>
          <w:tcPr>
            <w:tcW w:w="680" w:type="pct"/>
            <w:gridSpan w:val="2"/>
            <w:tcBorders>
              <w:top w:val="single" w:sz="4" w:space="0" w:color="auto"/>
              <w:left w:val="nil"/>
              <w:bottom w:val="single" w:sz="4" w:space="0" w:color="auto"/>
              <w:right w:val="nil"/>
            </w:tcBorders>
            <w:shd w:val="clear" w:color="auto" w:fill="auto"/>
            <w:vAlign w:val="center"/>
          </w:tcPr>
          <w:p w14:paraId="6E4E1D74" w14:textId="0E930C1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339 506</w:t>
            </w:r>
          </w:p>
        </w:tc>
        <w:tc>
          <w:tcPr>
            <w:tcW w:w="605" w:type="pct"/>
            <w:tcBorders>
              <w:top w:val="single" w:sz="4" w:space="0" w:color="auto"/>
              <w:left w:val="nil"/>
              <w:bottom w:val="single" w:sz="4" w:space="0" w:color="auto"/>
              <w:right w:val="nil"/>
            </w:tcBorders>
            <w:shd w:val="clear" w:color="auto" w:fill="auto"/>
            <w:vAlign w:val="center"/>
          </w:tcPr>
          <w:p w14:paraId="45CCD2C4" w14:textId="27CA6DCF"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81" w:type="pct"/>
            <w:tcBorders>
              <w:top w:val="single" w:sz="4" w:space="0" w:color="auto"/>
              <w:left w:val="nil"/>
              <w:bottom w:val="single" w:sz="4" w:space="0" w:color="auto"/>
              <w:right w:val="nil"/>
            </w:tcBorders>
            <w:shd w:val="clear" w:color="auto" w:fill="auto"/>
            <w:vAlign w:val="center"/>
          </w:tcPr>
          <w:p w14:paraId="5DBE8B22" w14:textId="7CD213B8"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339 506</w:t>
            </w:r>
          </w:p>
        </w:tc>
        <w:tc>
          <w:tcPr>
            <w:tcW w:w="680" w:type="pct"/>
            <w:tcBorders>
              <w:top w:val="single" w:sz="4" w:space="0" w:color="auto"/>
              <w:left w:val="nil"/>
              <w:bottom w:val="single" w:sz="4" w:space="0" w:color="auto"/>
              <w:right w:val="nil"/>
            </w:tcBorders>
            <w:shd w:val="clear" w:color="auto" w:fill="auto"/>
            <w:vAlign w:val="center"/>
          </w:tcPr>
          <w:p w14:paraId="1DDCA89D" w14:textId="45DDA15D"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593 810</w:t>
            </w:r>
          </w:p>
        </w:tc>
        <w:tc>
          <w:tcPr>
            <w:tcW w:w="600" w:type="pct"/>
            <w:gridSpan w:val="2"/>
            <w:tcBorders>
              <w:top w:val="single" w:sz="4" w:space="0" w:color="auto"/>
              <w:left w:val="nil"/>
              <w:bottom w:val="single" w:sz="4" w:space="0" w:color="auto"/>
              <w:right w:val="nil"/>
            </w:tcBorders>
            <w:shd w:val="clear" w:color="auto" w:fill="auto"/>
            <w:vAlign w:val="center"/>
          </w:tcPr>
          <w:p w14:paraId="60A2081C" w14:textId="07261ED8"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77" w:type="pct"/>
            <w:tcBorders>
              <w:top w:val="single" w:sz="4" w:space="0" w:color="auto"/>
              <w:left w:val="nil"/>
              <w:bottom w:val="single" w:sz="4" w:space="0" w:color="auto"/>
              <w:right w:val="nil"/>
            </w:tcBorders>
            <w:shd w:val="clear" w:color="auto" w:fill="auto"/>
            <w:vAlign w:val="center"/>
          </w:tcPr>
          <w:p w14:paraId="2F155EFB" w14:textId="4F2F64D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593 810</w:t>
            </w:r>
          </w:p>
        </w:tc>
      </w:tr>
      <w:tr w:rsidR="00C769C7" w:rsidRPr="00A27896" w14:paraId="4EBF1D5F" w14:textId="61E99467" w:rsidTr="00100EA1">
        <w:trPr>
          <w:gridAfter w:val="1"/>
          <w:wAfter w:w="18" w:type="pct"/>
          <w:trHeight w:val="204"/>
        </w:trPr>
        <w:tc>
          <w:tcPr>
            <w:tcW w:w="1058" w:type="pct"/>
            <w:tcBorders>
              <w:top w:val="single" w:sz="4" w:space="0" w:color="auto"/>
              <w:bottom w:val="single" w:sz="4" w:space="0" w:color="auto"/>
            </w:tcBorders>
            <w:vAlign w:val="center"/>
          </w:tcPr>
          <w:p w14:paraId="19123BB4" w14:textId="263B4E34"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31 līdz 90 dienām</w:t>
            </w:r>
          </w:p>
        </w:tc>
        <w:tc>
          <w:tcPr>
            <w:tcW w:w="680" w:type="pct"/>
            <w:gridSpan w:val="2"/>
            <w:tcBorders>
              <w:top w:val="single" w:sz="4" w:space="0" w:color="auto"/>
              <w:left w:val="nil"/>
              <w:bottom w:val="single" w:sz="4" w:space="0" w:color="auto"/>
              <w:right w:val="nil"/>
            </w:tcBorders>
            <w:shd w:val="clear" w:color="auto" w:fill="auto"/>
            <w:vAlign w:val="center"/>
          </w:tcPr>
          <w:p w14:paraId="0A547367" w14:textId="4EDAA5C7"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1 796</w:t>
            </w:r>
          </w:p>
        </w:tc>
        <w:tc>
          <w:tcPr>
            <w:tcW w:w="605" w:type="pct"/>
            <w:tcBorders>
              <w:top w:val="single" w:sz="4" w:space="0" w:color="auto"/>
              <w:left w:val="nil"/>
              <w:bottom w:val="single" w:sz="4" w:space="0" w:color="auto"/>
              <w:right w:val="nil"/>
            </w:tcBorders>
            <w:shd w:val="clear" w:color="auto" w:fill="auto"/>
            <w:vAlign w:val="center"/>
          </w:tcPr>
          <w:p w14:paraId="64DBFDF9" w14:textId="41320088"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81" w:type="pct"/>
            <w:tcBorders>
              <w:top w:val="single" w:sz="4" w:space="0" w:color="auto"/>
              <w:left w:val="nil"/>
              <w:bottom w:val="single" w:sz="4" w:space="0" w:color="auto"/>
              <w:right w:val="nil"/>
            </w:tcBorders>
            <w:shd w:val="clear" w:color="auto" w:fill="auto"/>
            <w:vAlign w:val="center"/>
          </w:tcPr>
          <w:p w14:paraId="66AB2534" w14:textId="7D07AA42"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1 796</w:t>
            </w:r>
          </w:p>
        </w:tc>
        <w:tc>
          <w:tcPr>
            <w:tcW w:w="680" w:type="pct"/>
            <w:tcBorders>
              <w:top w:val="single" w:sz="4" w:space="0" w:color="auto"/>
              <w:left w:val="nil"/>
              <w:bottom w:val="single" w:sz="4" w:space="0" w:color="auto"/>
              <w:right w:val="nil"/>
            </w:tcBorders>
            <w:shd w:val="clear" w:color="auto" w:fill="auto"/>
            <w:vAlign w:val="center"/>
          </w:tcPr>
          <w:p w14:paraId="0A474C1A" w14:textId="7EEBC540"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1 409</w:t>
            </w:r>
          </w:p>
        </w:tc>
        <w:tc>
          <w:tcPr>
            <w:tcW w:w="600" w:type="pct"/>
            <w:gridSpan w:val="2"/>
            <w:tcBorders>
              <w:top w:val="single" w:sz="4" w:space="0" w:color="auto"/>
              <w:left w:val="nil"/>
              <w:bottom w:val="single" w:sz="4" w:space="0" w:color="auto"/>
              <w:right w:val="nil"/>
            </w:tcBorders>
            <w:shd w:val="clear" w:color="auto" w:fill="auto"/>
            <w:vAlign w:val="center"/>
          </w:tcPr>
          <w:p w14:paraId="735438A6" w14:textId="7C96FB20"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77" w:type="pct"/>
            <w:tcBorders>
              <w:top w:val="single" w:sz="4" w:space="0" w:color="auto"/>
              <w:left w:val="nil"/>
              <w:bottom w:val="single" w:sz="4" w:space="0" w:color="auto"/>
              <w:right w:val="nil"/>
            </w:tcBorders>
            <w:shd w:val="clear" w:color="auto" w:fill="auto"/>
            <w:vAlign w:val="center"/>
          </w:tcPr>
          <w:p w14:paraId="58EF2FB9" w14:textId="2500F8EF"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1 409</w:t>
            </w:r>
          </w:p>
        </w:tc>
      </w:tr>
      <w:tr w:rsidR="00C769C7" w:rsidRPr="00A27896" w14:paraId="5E4F4130" w14:textId="77777777" w:rsidTr="00100EA1">
        <w:trPr>
          <w:gridAfter w:val="1"/>
          <w:wAfter w:w="18" w:type="pct"/>
          <w:trHeight w:val="204"/>
        </w:trPr>
        <w:tc>
          <w:tcPr>
            <w:tcW w:w="1058" w:type="pct"/>
            <w:tcBorders>
              <w:top w:val="single" w:sz="4" w:space="0" w:color="auto"/>
              <w:bottom w:val="single" w:sz="4" w:space="0" w:color="auto"/>
            </w:tcBorders>
            <w:vAlign w:val="center"/>
          </w:tcPr>
          <w:p w14:paraId="7CD7414B" w14:textId="7805EDDE"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91 līdz 180 dienām</w:t>
            </w:r>
          </w:p>
        </w:tc>
        <w:tc>
          <w:tcPr>
            <w:tcW w:w="680" w:type="pct"/>
            <w:gridSpan w:val="2"/>
            <w:tcBorders>
              <w:top w:val="single" w:sz="4" w:space="0" w:color="auto"/>
              <w:left w:val="nil"/>
              <w:bottom w:val="single" w:sz="4" w:space="0" w:color="auto"/>
              <w:right w:val="nil"/>
            </w:tcBorders>
            <w:shd w:val="clear" w:color="auto" w:fill="auto"/>
            <w:vAlign w:val="center"/>
          </w:tcPr>
          <w:p w14:paraId="68F0E3D0" w14:textId="7CF71E75"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1 505</w:t>
            </w:r>
          </w:p>
        </w:tc>
        <w:tc>
          <w:tcPr>
            <w:tcW w:w="605" w:type="pct"/>
            <w:tcBorders>
              <w:top w:val="single" w:sz="4" w:space="0" w:color="auto"/>
              <w:left w:val="nil"/>
              <w:bottom w:val="single" w:sz="4" w:space="0" w:color="auto"/>
              <w:right w:val="nil"/>
            </w:tcBorders>
            <w:shd w:val="clear" w:color="auto" w:fill="auto"/>
            <w:vAlign w:val="center"/>
          </w:tcPr>
          <w:p w14:paraId="7C608F48" w14:textId="70AFAF7F"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81" w:type="pct"/>
            <w:tcBorders>
              <w:top w:val="single" w:sz="4" w:space="0" w:color="auto"/>
              <w:left w:val="nil"/>
              <w:bottom w:val="single" w:sz="4" w:space="0" w:color="auto"/>
              <w:right w:val="nil"/>
            </w:tcBorders>
            <w:shd w:val="clear" w:color="auto" w:fill="auto"/>
            <w:vAlign w:val="center"/>
          </w:tcPr>
          <w:p w14:paraId="1F65AC81" w14:textId="76B9C2CB"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1 505</w:t>
            </w:r>
          </w:p>
        </w:tc>
        <w:tc>
          <w:tcPr>
            <w:tcW w:w="680" w:type="pct"/>
            <w:tcBorders>
              <w:top w:val="single" w:sz="4" w:space="0" w:color="auto"/>
              <w:left w:val="nil"/>
              <w:bottom w:val="single" w:sz="4" w:space="0" w:color="auto"/>
              <w:right w:val="nil"/>
            </w:tcBorders>
            <w:shd w:val="clear" w:color="auto" w:fill="auto"/>
            <w:vAlign w:val="center"/>
          </w:tcPr>
          <w:p w14:paraId="1A978158" w14:textId="06008C33"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266</w:t>
            </w:r>
          </w:p>
        </w:tc>
        <w:tc>
          <w:tcPr>
            <w:tcW w:w="600" w:type="pct"/>
            <w:gridSpan w:val="2"/>
            <w:tcBorders>
              <w:top w:val="single" w:sz="4" w:space="0" w:color="auto"/>
              <w:left w:val="nil"/>
              <w:bottom w:val="single" w:sz="4" w:space="0" w:color="auto"/>
              <w:right w:val="nil"/>
            </w:tcBorders>
            <w:shd w:val="clear" w:color="auto" w:fill="auto"/>
            <w:vAlign w:val="center"/>
          </w:tcPr>
          <w:p w14:paraId="4149D473" w14:textId="05FD968D"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77" w:type="pct"/>
            <w:tcBorders>
              <w:top w:val="single" w:sz="4" w:space="0" w:color="auto"/>
              <w:left w:val="nil"/>
              <w:bottom w:val="single" w:sz="4" w:space="0" w:color="auto"/>
              <w:right w:val="nil"/>
            </w:tcBorders>
            <w:shd w:val="clear" w:color="auto" w:fill="auto"/>
            <w:vAlign w:val="center"/>
          </w:tcPr>
          <w:p w14:paraId="4868248E" w14:textId="51D0CE0D"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266</w:t>
            </w:r>
          </w:p>
        </w:tc>
      </w:tr>
      <w:tr w:rsidR="00C769C7" w:rsidRPr="00A27896" w14:paraId="768FA742" w14:textId="6B06B328" w:rsidTr="00100EA1">
        <w:trPr>
          <w:gridAfter w:val="1"/>
          <w:wAfter w:w="18" w:type="pct"/>
          <w:trHeight w:val="204"/>
        </w:trPr>
        <w:tc>
          <w:tcPr>
            <w:tcW w:w="1058" w:type="pct"/>
            <w:tcBorders>
              <w:top w:val="single" w:sz="4" w:space="0" w:color="auto"/>
              <w:bottom w:val="single" w:sz="4" w:space="0" w:color="auto"/>
            </w:tcBorders>
            <w:vAlign w:val="center"/>
          </w:tcPr>
          <w:p w14:paraId="14D6AB6B" w14:textId="45A6444A"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181 līdz 360 dienām</w:t>
            </w:r>
          </w:p>
        </w:tc>
        <w:tc>
          <w:tcPr>
            <w:tcW w:w="680" w:type="pct"/>
            <w:gridSpan w:val="2"/>
            <w:tcBorders>
              <w:top w:val="single" w:sz="4" w:space="0" w:color="auto"/>
              <w:left w:val="nil"/>
              <w:bottom w:val="single" w:sz="4" w:space="0" w:color="auto"/>
              <w:right w:val="nil"/>
            </w:tcBorders>
            <w:shd w:val="clear" w:color="auto" w:fill="auto"/>
            <w:vAlign w:val="center"/>
          </w:tcPr>
          <w:p w14:paraId="266BB4F0" w14:textId="3B6D21FB"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605" w:type="pct"/>
            <w:tcBorders>
              <w:top w:val="single" w:sz="4" w:space="0" w:color="auto"/>
              <w:left w:val="nil"/>
              <w:bottom w:val="single" w:sz="4" w:space="0" w:color="auto"/>
              <w:right w:val="nil"/>
            </w:tcBorders>
            <w:shd w:val="clear" w:color="auto" w:fill="auto"/>
            <w:vAlign w:val="center"/>
          </w:tcPr>
          <w:p w14:paraId="0D091902" w14:textId="537A9774"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81" w:type="pct"/>
            <w:tcBorders>
              <w:top w:val="single" w:sz="4" w:space="0" w:color="auto"/>
              <w:left w:val="nil"/>
              <w:bottom w:val="single" w:sz="4" w:space="0" w:color="auto"/>
              <w:right w:val="nil"/>
            </w:tcBorders>
            <w:shd w:val="clear" w:color="auto" w:fill="auto"/>
            <w:vAlign w:val="center"/>
          </w:tcPr>
          <w:p w14:paraId="31110F95" w14:textId="2999D69D"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680" w:type="pct"/>
            <w:tcBorders>
              <w:top w:val="single" w:sz="4" w:space="0" w:color="auto"/>
              <w:left w:val="nil"/>
              <w:bottom w:val="single" w:sz="4" w:space="0" w:color="auto"/>
              <w:right w:val="nil"/>
            </w:tcBorders>
            <w:shd w:val="clear" w:color="auto" w:fill="auto"/>
            <w:vAlign w:val="center"/>
          </w:tcPr>
          <w:p w14:paraId="4FFDB1FC" w14:textId="419DA96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5 633</w:t>
            </w:r>
          </w:p>
        </w:tc>
        <w:tc>
          <w:tcPr>
            <w:tcW w:w="600" w:type="pct"/>
            <w:gridSpan w:val="2"/>
            <w:tcBorders>
              <w:top w:val="single" w:sz="4" w:space="0" w:color="auto"/>
              <w:left w:val="nil"/>
              <w:bottom w:val="single" w:sz="4" w:space="0" w:color="auto"/>
              <w:right w:val="nil"/>
            </w:tcBorders>
            <w:shd w:val="clear" w:color="auto" w:fill="auto"/>
            <w:vAlign w:val="center"/>
          </w:tcPr>
          <w:p w14:paraId="19C2E32A" w14:textId="055D834A"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77" w:type="pct"/>
            <w:tcBorders>
              <w:top w:val="single" w:sz="4" w:space="0" w:color="auto"/>
              <w:left w:val="nil"/>
              <w:bottom w:val="single" w:sz="4" w:space="0" w:color="auto"/>
              <w:right w:val="nil"/>
            </w:tcBorders>
            <w:shd w:val="clear" w:color="auto" w:fill="auto"/>
            <w:vAlign w:val="center"/>
          </w:tcPr>
          <w:p w14:paraId="7B13F565" w14:textId="7576B3C4"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5 633</w:t>
            </w:r>
          </w:p>
        </w:tc>
      </w:tr>
      <w:tr w:rsidR="00C769C7" w:rsidRPr="00A27896" w14:paraId="2172A14E" w14:textId="47BA2B3D" w:rsidTr="00100EA1">
        <w:trPr>
          <w:gridAfter w:val="1"/>
          <w:wAfter w:w="18" w:type="pct"/>
          <w:trHeight w:val="204"/>
        </w:trPr>
        <w:tc>
          <w:tcPr>
            <w:tcW w:w="1058" w:type="pct"/>
            <w:tcBorders>
              <w:top w:val="single" w:sz="4" w:space="0" w:color="auto"/>
              <w:bottom w:val="single" w:sz="4" w:space="0" w:color="auto"/>
            </w:tcBorders>
            <w:vAlign w:val="center"/>
          </w:tcPr>
          <w:p w14:paraId="01BD2323" w14:textId="059227B7"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vAlign w:val="center"/>
          </w:tcPr>
          <w:p w14:paraId="4FF99A34" w14:textId="2CD1F715"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20 692</w:t>
            </w:r>
          </w:p>
        </w:tc>
        <w:tc>
          <w:tcPr>
            <w:tcW w:w="605" w:type="pct"/>
            <w:tcBorders>
              <w:top w:val="single" w:sz="4" w:space="0" w:color="auto"/>
              <w:left w:val="nil"/>
              <w:bottom w:val="single" w:sz="4" w:space="0" w:color="auto"/>
              <w:right w:val="nil"/>
            </w:tcBorders>
            <w:shd w:val="clear" w:color="auto" w:fill="auto"/>
            <w:vAlign w:val="center"/>
          </w:tcPr>
          <w:p w14:paraId="359DA857" w14:textId="49E22317"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81" w:type="pct"/>
            <w:tcBorders>
              <w:top w:val="single" w:sz="4" w:space="0" w:color="auto"/>
              <w:left w:val="nil"/>
              <w:bottom w:val="single" w:sz="4" w:space="0" w:color="auto"/>
              <w:right w:val="nil"/>
            </w:tcBorders>
            <w:shd w:val="clear" w:color="auto" w:fill="auto"/>
            <w:vAlign w:val="center"/>
          </w:tcPr>
          <w:p w14:paraId="7C4FEE37" w14:textId="6D33D7C6"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20 692</w:t>
            </w:r>
          </w:p>
        </w:tc>
        <w:tc>
          <w:tcPr>
            <w:tcW w:w="680" w:type="pct"/>
            <w:tcBorders>
              <w:top w:val="single" w:sz="4" w:space="0" w:color="auto"/>
              <w:left w:val="nil"/>
              <w:bottom w:val="single" w:sz="4" w:space="0" w:color="auto"/>
              <w:right w:val="nil"/>
            </w:tcBorders>
            <w:shd w:val="clear" w:color="auto" w:fill="auto"/>
            <w:vAlign w:val="center"/>
          </w:tcPr>
          <w:p w14:paraId="278FF650" w14:textId="3BE2512A"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23 518</w:t>
            </w:r>
          </w:p>
        </w:tc>
        <w:tc>
          <w:tcPr>
            <w:tcW w:w="600" w:type="pct"/>
            <w:gridSpan w:val="2"/>
            <w:tcBorders>
              <w:top w:val="single" w:sz="4" w:space="0" w:color="auto"/>
              <w:left w:val="nil"/>
              <w:bottom w:val="single" w:sz="4" w:space="0" w:color="auto"/>
              <w:right w:val="nil"/>
            </w:tcBorders>
            <w:shd w:val="clear" w:color="auto" w:fill="auto"/>
            <w:vAlign w:val="center"/>
          </w:tcPr>
          <w:p w14:paraId="3F32BE5F" w14:textId="52241934"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77" w:type="pct"/>
            <w:tcBorders>
              <w:top w:val="single" w:sz="4" w:space="0" w:color="auto"/>
              <w:left w:val="nil"/>
              <w:bottom w:val="single" w:sz="4" w:space="0" w:color="auto"/>
              <w:right w:val="nil"/>
            </w:tcBorders>
            <w:shd w:val="clear" w:color="auto" w:fill="auto"/>
            <w:vAlign w:val="center"/>
          </w:tcPr>
          <w:p w14:paraId="4C198D44" w14:textId="4C182043"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23 518</w:t>
            </w:r>
          </w:p>
        </w:tc>
      </w:tr>
      <w:tr w:rsidR="00C769C7" w:rsidRPr="00A27896" w14:paraId="4CD5401D" w14:textId="0B4D35D5" w:rsidTr="00100EA1">
        <w:trPr>
          <w:gridAfter w:val="1"/>
          <w:wAfter w:w="18" w:type="pct"/>
          <w:trHeight w:val="204"/>
        </w:trPr>
        <w:tc>
          <w:tcPr>
            <w:tcW w:w="1058" w:type="pct"/>
            <w:tcBorders>
              <w:top w:val="single" w:sz="4" w:space="0" w:color="auto"/>
              <w:bottom w:val="single" w:sz="4" w:space="0" w:color="auto"/>
            </w:tcBorders>
            <w:vAlign w:val="center"/>
          </w:tcPr>
          <w:p w14:paraId="56BC4929" w14:textId="17935F46"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Vērtspapīri</w:t>
            </w:r>
          </w:p>
        </w:tc>
        <w:tc>
          <w:tcPr>
            <w:tcW w:w="680" w:type="pct"/>
            <w:gridSpan w:val="2"/>
            <w:tcBorders>
              <w:top w:val="single" w:sz="4" w:space="0" w:color="auto"/>
              <w:left w:val="nil"/>
              <w:bottom w:val="single" w:sz="4" w:space="0" w:color="auto"/>
              <w:right w:val="nil"/>
            </w:tcBorders>
            <w:shd w:val="clear" w:color="auto" w:fill="auto"/>
            <w:vAlign w:val="center"/>
          </w:tcPr>
          <w:p w14:paraId="104F8A55" w14:textId="6B6BCE4B"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5 101</w:t>
            </w:r>
          </w:p>
        </w:tc>
        <w:tc>
          <w:tcPr>
            <w:tcW w:w="605" w:type="pct"/>
            <w:tcBorders>
              <w:top w:val="single" w:sz="4" w:space="0" w:color="auto"/>
              <w:left w:val="nil"/>
              <w:bottom w:val="single" w:sz="4" w:space="0" w:color="auto"/>
              <w:right w:val="nil"/>
            </w:tcBorders>
            <w:shd w:val="clear" w:color="auto" w:fill="auto"/>
            <w:vAlign w:val="center"/>
          </w:tcPr>
          <w:p w14:paraId="567A8996" w14:textId="2A0033C5"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81" w:type="pct"/>
            <w:tcBorders>
              <w:top w:val="single" w:sz="4" w:space="0" w:color="auto"/>
              <w:left w:val="nil"/>
              <w:bottom w:val="single" w:sz="4" w:space="0" w:color="auto"/>
              <w:right w:val="nil"/>
            </w:tcBorders>
            <w:shd w:val="clear" w:color="auto" w:fill="auto"/>
            <w:vAlign w:val="center"/>
          </w:tcPr>
          <w:p w14:paraId="35FD2DDD" w14:textId="6C0BC7C2"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5 101</w:t>
            </w:r>
          </w:p>
        </w:tc>
        <w:tc>
          <w:tcPr>
            <w:tcW w:w="680" w:type="pct"/>
            <w:tcBorders>
              <w:top w:val="single" w:sz="4" w:space="0" w:color="auto"/>
              <w:left w:val="nil"/>
              <w:bottom w:val="single" w:sz="4" w:space="0" w:color="auto"/>
              <w:right w:val="nil"/>
            </w:tcBorders>
            <w:shd w:val="clear" w:color="auto" w:fill="auto"/>
            <w:vAlign w:val="center"/>
          </w:tcPr>
          <w:p w14:paraId="02D673AB" w14:textId="36FB1CC2"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5 559</w:t>
            </w:r>
          </w:p>
        </w:tc>
        <w:tc>
          <w:tcPr>
            <w:tcW w:w="600" w:type="pct"/>
            <w:gridSpan w:val="2"/>
            <w:tcBorders>
              <w:top w:val="single" w:sz="4" w:space="0" w:color="auto"/>
              <w:left w:val="nil"/>
              <w:bottom w:val="single" w:sz="4" w:space="0" w:color="auto"/>
              <w:right w:val="nil"/>
            </w:tcBorders>
            <w:shd w:val="clear" w:color="auto" w:fill="auto"/>
            <w:vAlign w:val="center"/>
          </w:tcPr>
          <w:p w14:paraId="4ED42B91" w14:textId="2167F8AF"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77" w:type="pct"/>
            <w:tcBorders>
              <w:top w:val="single" w:sz="4" w:space="0" w:color="auto"/>
              <w:left w:val="nil"/>
              <w:bottom w:val="single" w:sz="4" w:space="0" w:color="auto"/>
              <w:right w:val="nil"/>
            </w:tcBorders>
            <w:shd w:val="clear" w:color="auto" w:fill="auto"/>
            <w:vAlign w:val="center"/>
          </w:tcPr>
          <w:p w14:paraId="2C16F4D6" w14:textId="453168DA"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5 559</w:t>
            </w:r>
          </w:p>
        </w:tc>
      </w:tr>
      <w:tr w:rsidR="00C769C7" w:rsidRPr="00A27896" w14:paraId="3BFFFBE5" w14:textId="07BB8206" w:rsidTr="00100EA1">
        <w:trPr>
          <w:gridAfter w:val="1"/>
          <w:wAfter w:w="18" w:type="pct"/>
          <w:trHeight w:val="204"/>
        </w:trPr>
        <w:tc>
          <w:tcPr>
            <w:tcW w:w="1058" w:type="pct"/>
            <w:tcBorders>
              <w:top w:val="single" w:sz="4" w:space="0" w:color="auto"/>
              <w:bottom w:val="single" w:sz="4" w:space="0" w:color="auto"/>
            </w:tcBorders>
            <w:vAlign w:val="center"/>
          </w:tcPr>
          <w:p w14:paraId="1D2A1141" w14:textId="41B88195"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vAlign w:val="center"/>
          </w:tcPr>
          <w:p w14:paraId="71E4B670" w14:textId="1F6CE086"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5 101</w:t>
            </w:r>
          </w:p>
        </w:tc>
        <w:tc>
          <w:tcPr>
            <w:tcW w:w="605" w:type="pct"/>
            <w:tcBorders>
              <w:top w:val="single" w:sz="4" w:space="0" w:color="auto"/>
              <w:left w:val="nil"/>
              <w:bottom w:val="single" w:sz="4" w:space="0" w:color="auto"/>
              <w:right w:val="nil"/>
            </w:tcBorders>
            <w:shd w:val="clear" w:color="auto" w:fill="auto"/>
            <w:vAlign w:val="center"/>
          </w:tcPr>
          <w:p w14:paraId="6E37DFFE" w14:textId="05B787F8"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81" w:type="pct"/>
            <w:tcBorders>
              <w:top w:val="single" w:sz="4" w:space="0" w:color="auto"/>
              <w:left w:val="nil"/>
              <w:bottom w:val="single" w:sz="4" w:space="0" w:color="auto"/>
              <w:right w:val="nil"/>
            </w:tcBorders>
            <w:shd w:val="clear" w:color="auto" w:fill="auto"/>
            <w:vAlign w:val="center"/>
          </w:tcPr>
          <w:p w14:paraId="70991678" w14:textId="175C2004"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5 101</w:t>
            </w:r>
          </w:p>
        </w:tc>
        <w:tc>
          <w:tcPr>
            <w:tcW w:w="680" w:type="pct"/>
            <w:tcBorders>
              <w:top w:val="single" w:sz="4" w:space="0" w:color="auto"/>
              <w:left w:val="nil"/>
              <w:bottom w:val="single" w:sz="4" w:space="0" w:color="auto"/>
              <w:right w:val="nil"/>
            </w:tcBorders>
            <w:shd w:val="clear" w:color="auto" w:fill="auto"/>
            <w:vAlign w:val="center"/>
          </w:tcPr>
          <w:p w14:paraId="008709D5" w14:textId="2586DE03"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5 559</w:t>
            </w:r>
          </w:p>
        </w:tc>
        <w:tc>
          <w:tcPr>
            <w:tcW w:w="600" w:type="pct"/>
            <w:gridSpan w:val="2"/>
            <w:tcBorders>
              <w:top w:val="single" w:sz="4" w:space="0" w:color="auto"/>
              <w:left w:val="nil"/>
              <w:bottom w:val="single" w:sz="4" w:space="0" w:color="auto"/>
              <w:right w:val="nil"/>
            </w:tcBorders>
            <w:shd w:val="clear" w:color="auto" w:fill="auto"/>
            <w:vAlign w:val="center"/>
          </w:tcPr>
          <w:p w14:paraId="37926E64" w14:textId="0F011536"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77" w:type="pct"/>
            <w:tcBorders>
              <w:top w:val="single" w:sz="4" w:space="0" w:color="auto"/>
              <w:left w:val="nil"/>
              <w:bottom w:val="single" w:sz="4" w:space="0" w:color="auto"/>
              <w:right w:val="nil"/>
            </w:tcBorders>
            <w:shd w:val="clear" w:color="auto" w:fill="auto"/>
            <w:vAlign w:val="center"/>
          </w:tcPr>
          <w:p w14:paraId="3F77D036" w14:textId="479EE07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5 559</w:t>
            </w:r>
          </w:p>
        </w:tc>
      </w:tr>
      <w:tr w:rsidR="00C769C7" w:rsidRPr="00A27896" w14:paraId="5223C503" w14:textId="727B6BA6" w:rsidTr="00100EA1">
        <w:trPr>
          <w:gridAfter w:val="1"/>
          <w:wAfter w:w="18" w:type="pct"/>
          <w:trHeight w:val="204"/>
        </w:trPr>
        <w:tc>
          <w:tcPr>
            <w:tcW w:w="1058" w:type="pct"/>
            <w:tcBorders>
              <w:top w:val="single" w:sz="4" w:space="0" w:color="auto"/>
              <w:bottom w:val="single" w:sz="4" w:space="0" w:color="auto"/>
            </w:tcBorders>
            <w:vAlign w:val="center"/>
          </w:tcPr>
          <w:p w14:paraId="27345C25" w14:textId="3857FF71"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Prasības, kas ir finanšu instrumenti</w:t>
            </w:r>
          </w:p>
        </w:tc>
        <w:tc>
          <w:tcPr>
            <w:tcW w:w="680" w:type="pct"/>
            <w:gridSpan w:val="2"/>
            <w:tcBorders>
              <w:top w:val="single" w:sz="4" w:space="0" w:color="auto"/>
              <w:left w:val="nil"/>
              <w:bottom w:val="single" w:sz="4" w:space="0" w:color="auto"/>
              <w:right w:val="nil"/>
            </w:tcBorders>
            <w:shd w:val="clear" w:color="auto" w:fill="auto"/>
            <w:vAlign w:val="center"/>
          </w:tcPr>
          <w:p w14:paraId="1EBFC691" w14:textId="4A78C553"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358 398</w:t>
            </w:r>
          </w:p>
        </w:tc>
        <w:tc>
          <w:tcPr>
            <w:tcW w:w="605" w:type="pct"/>
            <w:tcBorders>
              <w:top w:val="single" w:sz="4" w:space="0" w:color="auto"/>
              <w:left w:val="nil"/>
              <w:bottom w:val="single" w:sz="4" w:space="0" w:color="auto"/>
              <w:right w:val="nil"/>
            </w:tcBorders>
            <w:shd w:val="clear" w:color="auto" w:fill="auto"/>
            <w:vAlign w:val="center"/>
          </w:tcPr>
          <w:p w14:paraId="3E317B52" w14:textId="5295C745"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81" w:type="pct"/>
            <w:tcBorders>
              <w:top w:val="single" w:sz="4" w:space="0" w:color="auto"/>
              <w:left w:val="nil"/>
              <w:bottom w:val="single" w:sz="4" w:space="0" w:color="auto"/>
              <w:right w:val="nil"/>
            </w:tcBorders>
            <w:shd w:val="clear" w:color="auto" w:fill="auto"/>
            <w:vAlign w:val="center"/>
          </w:tcPr>
          <w:p w14:paraId="0B54E00B" w14:textId="4AE6A66F"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358 398</w:t>
            </w:r>
          </w:p>
        </w:tc>
        <w:tc>
          <w:tcPr>
            <w:tcW w:w="680" w:type="pct"/>
            <w:tcBorders>
              <w:top w:val="single" w:sz="4" w:space="0" w:color="auto"/>
              <w:left w:val="nil"/>
              <w:bottom w:val="single" w:sz="4" w:space="0" w:color="auto"/>
              <w:right w:val="nil"/>
            </w:tcBorders>
            <w:shd w:val="clear" w:color="auto" w:fill="auto"/>
            <w:vAlign w:val="center"/>
          </w:tcPr>
          <w:p w14:paraId="6C821A3B" w14:textId="44C0D6FC"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619 077</w:t>
            </w:r>
          </w:p>
        </w:tc>
        <w:tc>
          <w:tcPr>
            <w:tcW w:w="600" w:type="pct"/>
            <w:gridSpan w:val="2"/>
            <w:tcBorders>
              <w:top w:val="single" w:sz="4" w:space="0" w:color="auto"/>
              <w:left w:val="nil"/>
              <w:bottom w:val="single" w:sz="4" w:space="0" w:color="auto"/>
              <w:right w:val="nil"/>
            </w:tcBorders>
            <w:shd w:val="clear" w:color="auto" w:fill="auto"/>
            <w:vAlign w:val="center"/>
          </w:tcPr>
          <w:p w14:paraId="643989C4" w14:textId="0304B8B6"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77" w:type="pct"/>
            <w:tcBorders>
              <w:top w:val="single" w:sz="4" w:space="0" w:color="auto"/>
              <w:left w:val="nil"/>
              <w:bottom w:val="single" w:sz="4" w:space="0" w:color="auto"/>
              <w:right w:val="nil"/>
            </w:tcBorders>
            <w:shd w:val="clear" w:color="auto" w:fill="auto"/>
            <w:vAlign w:val="center"/>
          </w:tcPr>
          <w:p w14:paraId="03DDBCD0" w14:textId="087C594C"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619 077</w:t>
            </w:r>
          </w:p>
        </w:tc>
      </w:tr>
      <w:tr w:rsidR="00C769C7" w:rsidRPr="00A27896" w14:paraId="61C8199F" w14:textId="6CA134A0" w:rsidTr="00100EA1">
        <w:trPr>
          <w:gridAfter w:val="1"/>
          <w:wAfter w:w="18" w:type="pct"/>
          <w:trHeight w:val="204"/>
        </w:trPr>
        <w:tc>
          <w:tcPr>
            <w:tcW w:w="1058" w:type="pct"/>
            <w:tcBorders>
              <w:top w:val="single" w:sz="4" w:space="0" w:color="auto"/>
              <w:bottom w:val="single" w:sz="4" w:space="0" w:color="auto"/>
            </w:tcBorders>
            <w:vAlign w:val="center"/>
          </w:tcPr>
          <w:p w14:paraId="57D1E4A8" w14:textId="6BA533C0"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līdz 30 dienām</w:t>
            </w:r>
          </w:p>
        </w:tc>
        <w:tc>
          <w:tcPr>
            <w:tcW w:w="680" w:type="pct"/>
            <w:gridSpan w:val="2"/>
            <w:tcBorders>
              <w:top w:val="single" w:sz="4" w:space="0" w:color="auto"/>
              <w:left w:val="nil"/>
              <w:bottom w:val="single" w:sz="4" w:space="0" w:color="auto"/>
              <w:right w:val="nil"/>
            </w:tcBorders>
            <w:shd w:val="clear" w:color="auto" w:fill="auto"/>
            <w:vAlign w:val="center"/>
          </w:tcPr>
          <w:p w14:paraId="2A3DF266" w14:textId="62D98D73"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339 506</w:t>
            </w:r>
          </w:p>
        </w:tc>
        <w:tc>
          <w:tcPr>
            <w:tcW w:w="605" w:type="pct"/>
            <w:tcBorders>
              <w:top w:val="single" w:sz="4" w:space="0" w:color="auto"/>
              <w:left w:val="nil"/>
              <w:bottom w:val="single" w:sz="4" w:space="0" w:color="auto"/>
              <w:right w:val="nil"/>
            </w:tcBorders>
            <w:shd w:val="clear" w:color="auto" w:fill="auto"/>
            <w:vAlign w:val="center"/>
          </w:tcPr>
          <w:p w14:paraId="25890614" w14:textId="5B88990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81" w:type="pct"/>
            <w:tcBorders>
              <w:top w:val="single" w:sz="4" w:space="0" w:color="auto"/>
              <w:left w:val="nil"/>
              <w:bottom w:val="single" w:sz="4" w:space="0" w:color="auto"/>
              <w:right w:val="nil"/>
            </w:tcBorders>
            <w:shd w:val="clear" w:color="auto" w:fill="auto"/>
            <w:vAlign w:val="center"/>
          </w:tcPr>
          <w:p w14:paraId="14BAEAA3" w14:textId="3EE830B0"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339 506</w:t>
            </w:r>
          </w:p>
        </w:tc>
        <w:tc>
          <w:tcPr>
            <w:tcW w:w="680" w:type="pct"/>
            <w:tcBorders>
              <w:top w:val="single" w:sz="4" w:space="0" w:color="auto"/>
              <w:left w:val="nil"/>
              <w:bottom w:val="single" w:sz="4" w:space="0" w:color="auto"/>
              <w:right w:val="nil"/>
            </w:tcBorders>
            <w:shd w:val="clear" w:color="auto" w:fill="auto"/>
            <w:vAlign w:val="center"/>
          </w:tcPr>
          <w:p w14:paraId="513D933D" w14:textId="68F77BF9"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593 810</w:t>
            </w:r>
          </w:p>
        </w:tc>
        <w:tc>
          <w:tcPr>
            <w:tcW w:w="600" w:type="pct"/>
            <w:gridSpan w:val="2"/>
            <w:tcBorders>
              <w:top w:val="single" w:sz="4" w:space="0" w:color="auto"/>
              <w:left w:val="nil"/>
              <w:bottom w:val="single" w:sz="4" w:space="0" w:color="auto"/>
              <w:right w:val="nil"/>
            </w:tcBorders>
            <w:shd w:val="clear" w:color="auto" w:fill="auto"/>
            <w:vAlign w:val="center"/>
          </w:tcPr>
          <w:p w14:paraId="24237005" w14:textId="5829D68D"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77" w:type="pct"/>
            <w:tcBorders>
              <w:top w:val="single" w:sz="4" w:space="0" w:color="auto"/>
              <w:left w:val="nil"/>
              <w:bottom w:val="single" w:sz="4" w:space="0" w:color="auto"/>
              <w:right w:val="nil"/>
            </w:tcBorders>
            <w:shd w:val="clear" w:color="auto" w:fill="auto"/>
            <w:vAlign w:val="center"/>
          </w:tcPr>
          <w:p w14:paraId="7F6CDFBF" w14:textId="47A2EAEF"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593 810</w:t>
            </w:r>
          </w:p>
        </w:tc>
      </w:tr>
      <w:tr w:rsidR="00C769C7" w:rsidRPr="00A27896" w14:paraId="619ACBF3" w14:textId="0ED0ABE2" w:rsidTr="00100EA1">
        <w:trPr>
          <w:gridAfter w:val="1"/>
          <w:wAfter w:w="18" w:type="pct"/>
          <w:trHeight w:val="204"/>
        </w:trPr>
        <w:tc>
          <w:tcPr>
            <w:tcW w:w="1058" w:type="pct"/>
            <w:tcBorders>
              <w:top w:val="single" w:sz="4" w:space="0" w:color="auto"/>
              <w:bottom w:val="single" w:sz="4" w:space="0" w:color="auto"/>
            </w:tcBorders>
            <w:vAlign w:val="center"/>
          </w:tcPr>
          <w:p w14:paraId="3D4DB815" w14:textId="6572AA41"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31 līdz 90 dienām</w:t>
            </w:r>
          </w:p>
        </w:tc>
        <w:tc>
          <w:tcPr>
            <w:tcW w:w="680" w:type="pct"/>
            <w:gridSpan w:val="2"/>
            <w:tcBorders>
              <w:top w:val="single" w:sz="4" w:space="0" w:color="auto"/>
              <w:left w:val="nil"/>
              <w:bottom w:val="single" w:sz="4" w:space="0" w:color="auto"/>
              <w:right w:val="nil"/>
            </w:tcBorders>
            <w:shd w:val="clear" w:color="auto" w:fill="auto"/>
            <w:vAlign w:val="center"/>
          </w:tcPr>
          <w:p w14:paraId="180266A9" w14:textId="4F011B58"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1 796</w:t>
            </w:r>
          </w:p>
        </w:tc>
        <w:tc>
          <w:tcPr>
            <w:tcW w:w="605" w:type="pct"/>
            <w:tcBorders>
              <w:top w:val="single" w:sz="4" w:space="0" w:color="auto"/>
              <w:left w:val="nil"/>
              <w:bottom w:val="single" w:sz="4" w:space="0" w:color="auto"/>
              <w:right w:val="nil"/>
            </w:tcBorders>
            <w:shd w:val="clear" w:color="auto" w:fill="auto"/>
            <w:vAlign w:val="center"/>
          </w:tcPr>
          <w:p w14:paraId="2F291DCA" w14:textId="51D22BB2"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81" w:type="pct"/>
            <w:tcBorders>
              <w:top w:val="single" w:sz="4" w:space="0" w:color="auto"/>
              <w:left w:val="nil"/>
              <w:bottom w:val="single" w:sz="4" w:space="0" w:color="auto"/>
              <w:right w:val="nil"/>
            </w:tcBorders>
            <w:shd w:val="clear" w:color="auto" w:fill="auto"/>
            <w:vAlign w:val="center"/>
          </w:tcPr>
          <w:p w14:paraId="5768914B" w14:textId="51D52689"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1 796</w:t>
            </w:r>
          </w:p>
        </w:tc>
        <w:tc>
          <w:tcPr>
            <w:tcW w:w="680" w:type="pct"/>
            <w:tcBorders>
              <w:top w:val="single" w:sz="4" w:space="0" w:color="auto"/>
              <w:left w:val="nil"/>
              <w:bottom w:val="single" w:sz="4" w:space="0" w:color="auto"/>
              <w:right w:val="nil"/>
            </w:tcBorders>
            <w:shd w:val="clear" w:color="auto" w:fill="auto"/>
            <w:vAlign w:val="center"/>
          </w:tcPr>
          <w:p w14:paraId="24D67D8F" w14:textId="64A86799"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1 409</w:t>
            </w:r>
          </w:p>
        </w:tc>
        <w:tc>
          <w:tcPr>
            <w:tcW w:w="600" w:type="pct"/>
            <w:gridSpan w:val="2"/>
            <w:tcBorders>
              <w:top w:val="single" w:sz="4" w:space="0" w:color="auto"/>
              <w:left w:val="nil"/>
              <w:bottom w:val="single" w:sz="4" w:space="0" w:color="auto"/>
              <w:right w:val="nil"/>
            </w:tcBorders>
            <w:shd w:val="clear" w:color="auto" w:fill="auto"/>
            <w:vAlign w:val="center"/>
          </w:tcPr>
          <w:p w14:paraId="07F46165" w14:textId="7D881848"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77" w:type="pct"/>
            <w:tcBorders>
              <w:top w:val="single" w:sz="4" w:space="0" w:color="auto"/>
              <w:left w:val="nil"/>
              <w:bottom w:val="single" w:sz="4" w:space="0" w:color="auto"/>
              <w:right w:val="nil"/>
            </w:tcBorders>
            <w:shd w:val="clear" w:color="auto" w:fill="auto"/>
            <w:vAlign w:val="center"/>
          </w:tcPr>
          <w:p w14:paraId="765EBC90" w14:textId="698AB4FB"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1 409</w:t>
            </w:r>
          </w:p>
        </w:tc>
      </w:tr>
      <w:tr w:rsidR="00C769C7" w:rsidRPr="00A27896" w14:paraId="4AE85435" w14:textId="77777777" w:rsidTr="00100EA1">
        <w:trPr>
          <w:gridAfter w:val="1"/>
          <w:wAfter w:w="18" w:type="pct"/>
          <w:trHeight w:val="204"/>
        </w:trPr>
        <w:tc>
          <w:tcPr>
            <w:tcW w:w="1058" w:type="pct"/>
            <w:tcBorders>
              <w:top w:val="single" w:sz="4" w:space="0" w:color="auto"/>
              <w:bottom w:val="single" w:sz="4" w:space="0" w:color="auto"/>
            </w:tcBorders>
            <w:vAlign w:val="center"/>
          </w:tcPr>
          <w:p w14:paraId="73E8F4F7" w14:textId="0311C78C"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91 līdz 180 dienām</w:t>
            </w:r>
          </w:p>
        </w:tc>
        <w:tc>
          <w:tcPr>
            <w:tcW w:w="680" w:type="pct"/>
            <w:gridSpan w:val="2"/>
            <w:tcBorders>
              <w:top w:val="single" w:sz="4" w:space="0" w:color="auto"/>
              <w:left w:val="nil"/>
              <w:bottom w:val="single" w:sz="4" w:space="0" w:color="auto"/>
              <w:right w:val="nil"/>
            </w:tcBorders>
            <w:shd w:val="clear" w:color="auto" w:fill="auto"/>
            <w:vAlign w:val="center"/>
          </w:tcPr>
          <w:p w14:paraId="4B0AA17D" w14:textId="0E44FF69"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1 505</w:t>
            </w:r>
          </w:p>
        </w:tc>
        <w:tc>
          <w:tcPr>
            <w:tcW w:w="605" w:type="pct"/>
            <w:tcBorders>
              <w:top w:val="single" w:sz="4" w:space="0" w:color="auto"/>
              <w:left w:val="nil"/>
              <w:bottom w:val="single" w:sz="4" w:space="0" w:color="auto"/>
              <w:right w:val="nil"/>
            </w:tcBorders>
            <w:shd w:val="clear" w:color="auto" w:fill="auto"/>
            <w:vAlign w:val="center"/>
          </w:tcPr>
          <w:p w14:paraId="71E218B1" w14:textId="13ACC090"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81" w:type="pct"/>
            <w:tcBorders>
              <w:top w:val="single" w:sz="4" w:space="0" w:color="auto"/>
              <w:left w:val="nil"/>
              <w:bottom w:val="single" w:sz="4" w:space="0" w:color="auto"/>
              <w:right w:val="nil"/>
            </w:tcBorders>
            <w:shd w:val="clear" w:color="auto" w:fill="auto"/>
            <w:vAlign w:val="center"/>
          </w:tcPr>
          <w:p w14:paraId="09DA27CE" w14:textId="4D31D806"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1 505</w:t>
            </w:r>
          </w:p>
        </w:tc>
        <w:tc>
          <w:tcPr>
            <w:tcW w:w="680" w:type="pct"/>
            <w:tcBorders>
              <w:top w:val="single" w:sz="4" w:space="0" w:color="auto"/>
              <w:left w:val="nil"/>
              <w:bottom w:val="single" w:sz="4" w:space="0" w:color="auto"/>
              <w:right w:val="nil"/>
            </w:tcBorders>
            <w:shd w:val="clear" w:color="auto" w:fill="auto"/>
            <w:vAlign w:val="center"/>
          </w:tcPr>
          <w:p w14:paraId="1135B3B9" w14:textId="0A970473"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266</w:t>
            </w:r>
          </w:p>
        </w:tc>
        <w:tc>
          <w:tcPr>
            <w:tcW w:w="600" w:type="pct"/>
            <w:gridSpan w:val="2"/>
            <w:tcBorders>
              <w:top w:val="single" w:sz="4" w:space="0" w:color="auto"/>
              <w:left w:val="nil"/>
              <w:bottom w:val="single" w:sz="4" w:space="0" w:color="auto"/>
              <w:right w:val="nil"/>
            </w:tcBorders>
            <w:shd w:val="clear" w:color="auto" w:fill="auto"/>
            <w:vAlign w:val="center"/>
          </w:tcPr>
          <w:p w14:paraId="543C884A" w14:textId="2FCE739B"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77" w:type="pct"/>
            <w:tcBorders>
              <w:top w:val="single" w:sz="4" w:space="0" w:color="auto"/>
              <w:left w:val="nil"/>
              <w:bottom w:val="single" w:sz="4" w:space="0" w:color="auto"/>
              <w:right w:val="nil"/>
            </w:tcBorders>
            <w:shd w:val="clear" w:color="auto" w:fill="auto"/>
            <w:vAlign w:val="center"/>
          </w:tcPr>
          <w:p w14:paraId="31454EAF" w14:textId="1372AEFD"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266</w:t>
            </w:r>
          </w:p>
        </w:tc>
      </w:tr>
      <w:tr w:rsidR="00C769C7" w:rsidRPr="00A27896" w14:paraId="7892FA48" w14:textId="2B74DABF" w:rsidTr="00100EA1">
        <w:trPr>
          <w:gridAfter w:val="1"/>
          <w:wAfter w:w="18" w:type="pct"/>
          <w:trHeight w:val="204"/>
        </w:trPr>
        <w:tc>
          <w:tcPr>
            <w:tcW w:w="1058" w:type="pct"/>
            <w:tcBorders>
              <w:top w:val="single" w:sz="4" w:space="0" w:color="auto"/>
              <w:bottom w:val="single" w:sz="4" w:space="0" w:color="auto"/>
            </w:tcBorders>
            <w:vAlign w:val="center"/>
          </w:tcPr>
          <w:p w14:paraId="30682EAB" w14:textId="34DB3D8F"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181 līdz 360 dienām</w:t>
            </w:r>
          </w:p>
        </w:tc>
        <w:tc>
          <w:tcPr>
            <w:tcW w:w="680" w:type="pct"/>
            <w:gridSpan w:val="2"/>
            <w:tcBorders>
              <w:top w:val="single" w:sz="4" w:space="0" w:color="auto"/>
              <w:left w:val="nil"/>
              <w:bottom w:val="single" w:sz="4" w:space="0" w:color="auto"/>
              <w:right w:val="nil"/>
            </w:tcBorders>
            <w:shd w:val="clear" w:color="auto" w:fill="auto"/>
            <w:vAlign w:val="center"/>
          </w:tcPr>
          <w:p w14:paraId="6A4B9467" w14:textId="41CEA8D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605" w:type="pct"/>
            <w:tcBorders>
              <w:top w:val="single" w:sz="4" w:space="0" w:color="auto"/>
              <w:left w:val="nil"/>
              <w:bottom w:val="single" w:sz="4" w:space="0" w:color="auto"/>
              <w:right w:val="nil"/>
            </w:tcBorders>
            <w:shd w:val="clear" w:color="auto" w:fill="auto"/>
            <w:vAlign w:val="center"/>
          </w:tcPr>
          <w:p w14:paraId="7089168C" w14:textId="1EC4CDA9"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81" w:type="pct"/>
            <w:tcBorders>
              <w:top w:val="single" w:sz="4" w:space="0" w:color="auto"/>
              <w:left w:val="nil"/>
              <w:bottom w:val="single" w:sz="4" w:space="0" w:color="auto"/>
              <w:right w:val="nil"/>
            </w:tcBorders>
            <w:shd w:val="clear" w:color="auto" w:fill="auto"/>
            <w:vAlign w:val="center"/>
          </w:tcPr>
          <w:p w14:paraId="5632DE9C" w14:textId="06A31E73"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680" w:type="pct"/>
            <w:tcBorders>
              <w:top w:val="single" w:sz="4" w:space="0" w:color="auto"/>
              <w:left w:val="nil"/>
              <w:bottom w:val="single" w:sz="4" w:space="0" w:color="auto"/>
              <w:right w:val="nil"/>
            </w:tcBorders>
            <w:shd w:val="clear" w:color="auto" w:fill="auto"/>
            <w:vAlign w:val="center"/>
          </w:tcPr>
          <w:p w14:paraId="12031ECC" w14:textId="6DDC56EF"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5 633</w:t>
            </w:r>
          </w:p>
        </w:tc>
        <w:tc>
          <w:tcPr>
            <w:tcW w:w="600" w:type="pct"/>
            <w:gridSpan w:val="2"/>
            <w:tcBorders>
              <w:top w:val="single" w:sz="4" w:space="0" w:color="auto"/>
              <w:left w:val="nil"/>
              <w:bottom w:val="single" w:sz="4" w:space="0" w:color="auto"/>
              <w:right w:val="nil"/>
            </w:tcBorders>
            <w:shd w:val="clear" w:color="auto" w:fill="auto"/>
            <w:vAlign w:val="center"/>
          </w:tcPr>
          <w:p w14:paraId="20C45B09" w14:textId="51EB95B0"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77" w:type="pct"/>
            <w:tcBorders>
              <w:top w:val="single" w:sz="4" w:space="0" w:color="auto"/>
              <w:left w:val="nil"/>
              <w:bottom w:val="single" w:sz="4" w:space="0" w:color="auto"/>
              <w:right w:val="nil"/>
            </w:tcBorders>
            <w:shd w:val="clear" w:color="auto" w:fill="auto"/>
            <w:vAlign w:val="center"/>
          </w:tcPr>
          <w:p w14:paraId="3CF8A3BC" w14:textId="33D3C1BC"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5 633</w:t>
            </w:r>
          </w:p>
        </w:tc>
      </w:tr>
      <w:tr w:rsidR="00C769C7" w:rsidRPr="00A27896" w14:paraId="3BA1E883" w14:textId="29AE2EAD" w:rsidTr="00100EA1">
        <w:trPr>
          <w:gridAfter w:val="1"/>
          <w:wAfter w:w="18" w:type="pct"/>
          <w:trHeight w:val="204"/>
        </w:trPr>
        <w:tc>
          <w:tcPr>
            <w:tcW w:w="1058" w:type="pct"/>
            <w:tcBorders>
              <w:top w:val="single" w:sz="4" w:space="0" w:color="auto"/>
              <w:bottom w:val="single" w:sz="4" w:space="0" w:color="auto"/>
            </w:tcBorders>
            <w:vAlign w:val="center"/>
          </w:tcPr>
          <w:p w14:paraId="3042D545" w14:textId="0609DBE2"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vAlign w:val="center"/>
          </w:tcPr>
          <w:p w14:paraId="0720895E" w14:textId="1440F70A"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15 591</w:t>
            </w:r>
          </w:p>
        </w:tc>
        <w:tc>
          <w:tcPr>
            <w:tcW w:w="605" w:type="pct"/>
            <w:tcBorders>
              <w:top w:val="single" w:sz="4" w:space="0" w:color="auto"/>
              <w:left w:val="nil"/>
              <w:bottom w:val="single" w:sz="4" w:space="0" w:color="auto"/>
              <w:right w:val="nil"/>
            </w:tcBorders>
            <w:shd w:val="clear" w:color="auto" w:fill="auto"/>
            <w:vAlign w:val="center"/>
          </w:tcPr>
          <w:p w14:paraId="06428A82" w14:textId="31145AC0"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81" w:type="pct"/>
            <w:tcBorders>
              <w:top w:val="single" w:sz="4" w:space="0" w:color="auto"/>
              <w:left w:val="nil"/>
              <w:bottom w:val="single" w:sz="4" w:space="0" w:color="auto"/>
              <w:right w:val="nil"/>
            </w:tcBorders>
            <w:shd w:val="clear" w:color="auto" w:fill="auto"/>
            <w:vAlign w:val="center"/>
          </w:tcPr>
          <w:p w14:paraId="41C848E9" w14:textId="5ACA90BA"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15 591</w:t>
            </w:r>
          </w:p>
        </w:tc>
        <w:tc>
          <w:tcPr>
            <w:tcW w:w="680" w:type="pct"/>
            <w:tcBorders>
              <w:top w:val="single" w:sz="4" w:space="0" w:color="auto"/>
              <w:left w:val="nil"/>
              <w:bottom w:val="single" w:sz="4" w:space="0" w:color="auto"/>
              <w:right w:val="nil"/>
            </w:tcBorders>
            <w:shd w:val="clear" w:color="auto" w:fill="auto"/>
            <w:vAlign w:val="center"/>
          </w:tcPr>
          <w:p w14:paraId="3B587827" w14:textId="4B510074"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17 959</w:t>
            </w:r>
          </w:p>
        </w:tc>
        <w:tc>
          <w:tcPr>
            <w:tcW w:w="600" w:type="pct"/>
            <w:gridSpan w:val="2"/>
            <w:tcBorders>
              <w:top w:val="single" w:sz="4" w:space="0" w:color="auto"/>
              <w:left w:val="nil"/>
              <w:bottom w:val="single" w:sz="4" w:space="0" w:color="auto"/>
              <w:right w:val="nil"/>
            </w:tcBorders>
            <w:shd w:val="clear" w:color="auto" w:fill="auto"/>
            <w:vAlign w:val="center"/>
          </w:tcPr>
          <w:p w14:paraId="1D322B5E" w14:textId="6001EF7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x</w:t>
            </w:r>
          </w:p>
        </w:tc>
        <w:tc>
          <w:tcPr>
            <w:tcW w:w="677" w:type="pct"/>
            <w:tcBorders>
              <w:top w:val="single" w:sz="4" w:space="0" w:color="auto"/>
              <w:left w:val="nil"/>
              <w:bottom w:val="single" w:sz="4" w:space="0" w:color="auto"/>
              <w:right w:val="nil"/>
            </w:tcBorders>
            <w:shd w:val="clear" w:color="auto" w:fill="auto"/>
            <w:vAlign w:val="center"/>
          </w:tcPr>
          <w:p w14:paraId="1A417259" w14:textId="041DA3AC"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17 959</w:t>
            </w:r>
          </w:p>
        </w:tc>
      </w:tr>
      <w:tr w:rsidR="00C769C7" w:rsidRPr="00A27896" w14:paraId="0D6D5B09" w14:textId="2C0D92DB" w:rsidTr="00100EA1">
        <w:trPr>
          <w:gridAfter w:val="1"/>
          <w:wAfter w:w="18" w:type="pct"/>
          <w:trHeight w:val="204"/>
        </w:trPr>
        <w:tc>
          <w:tcPr>
            <w:tcW w:w="1058" w:type="pct"/>
            <w:tcBorders>
              <w:top w:val="single" w:sz="4" w:space="0" w:color="auto"/>
              <w:bottom w:val="single" w:sz="4" w:space="0" w:color="auto"/>
            </w:tcBorders>
            <w:vAlign w:val="center"/>
          </w:tcPr>
          <w:p w14:paraId="35F19A4D" w14:textId="6134FBD9" w:rsidR="00C769C7" w:rsidRPr="00A27896" w:rsidRDefault="00C769C7" w:rsidP="00C769C7">
            <w:pPr>
              <w:spacing w:after="0" w:line="240" w:lineRule="auto"/>
              <w:ind w:right="57"/>
              <w:rPr>
                <w:rFonts w:eastAsia="Times New Roman" w:cs="Times New Roman"/>
                <w:b/>
                <w:i/>
                <w:color w:val="17365D"/>
                <w:sz w:val="18"/>
                <w:szCs w:val="18"/>
                <w:lang w:eastAsia="lv-LV"/>
              </w:rPr>
            </w:pPr>
            <w:r w:rsidRPr="00A27896">
              <w:rPr>
                <w:rFonts w:eastAsia="Times New Roman" w:cs="Times New Roman"/>
                <w:b/>
                <w:i/>
                <w:color w:val="17365D"/>
                <w:sz w:val="18"/>
                <w:szCs w:val="18"/>
                <w:lang w:eastAsia="lv-LV"/>
              </w:rPr>
              <w:t>termiņš ir kavēts un finanšu instrumentu vērtība ir samazinājusies, sadalījumā pa kavējuma termiņiem;</w:t>
            </w:r>
          </w:p>
        </w:tc>
        <w:tc>
          <w:tcPr>
            <w:tcW w:w="680" w:type="pct"/>
            <w:gridSpan w:val="2"/>
            <w:tcBorders>
              <w:top w:val="single" w:sz="4" w:space="0" w:color="auto"/>
              <w:left w:val="nil"/>
              <w:bottom w:val="single" w:sz="4" w:space="0" w:color="auto"/>
              <w:right w:val="nil"/>
            </w:tcBorders>
            <w:shd w:val="clear" w:color="auto" w:fill="auto"/>
            <w:vAlign w:val="center"/>
          </w:tcPr>
          <w:p w14:paraId="3203D3E4" w14:textId="32E9E21E" w:rsidR="00C769C7" w:rsidRPr="00A27896" w:rsidRDefault="00C769C7" w:rsidP="009C0579">
            <w:pPr>
              <w:spacing w:after="0" w:line="240" w:lineRule="auto"/>
              <w:ind w:right="57"/>
              <w:jc w:val="right"/>
              <w:rPr>
                <w:rFonts w:cs="Times New Roman"/>
                <w:b/>
                <w:i/>
                <w:color w:val="17365D"/>
                <w:sz w:val="18"/>
                <w:szCs w:val="18"/>
              </w:rPr>
            </w:pPr>
            <w:r w:rsidRPr="00A27896">
              <w:rPr>
                <w:rFonts w:cs="Times New Roman"/>
                <w:b/>
                <w:i/>
                <w:color w:val="17365D"/>
                <w:sz w:val="18"/>
                <w:szCs w:val="18"/>
              </w:rPr>
              <w:t>429 795 187</w:t>
            </w:r>
          </w:p>
        </w:tc>
        <w:tc>
          <w:tcPr>
            <w:tcW w:w="605" w:type="pct"/>
            <w:tcBorders>
              <w:top w:val="single" w:sz="4" w:space="0" w:color="auto"/>
              <w:left w:val="nil"/>
              <w:bottom w:val="single" w:sz="4" w:space="0" w:color="auto"/>
              <w:right w:val="nil"/>
            </w:tcBorders>
            <w:shd w:val="clear" w:color="auto" w:fill="auto"/>
            <w:vAlign w:val="center"/>
          </w:tcPr>
          <w:p w14:paraId="57E49470" w14:textId="4619B8CF" w:rsidR="00C769C7" w:rsidRPr="00A27896" w:rsidRDefault="00C769C7" w:rsidP="009C0579">
            <w:pPr>
              <w:spacing w:after="0" w:line="240" w:lineRule="auto"/>
              <w:ind w:right="57"/>
              <w:jc w:val="right"/>
              <w:rPr>
                <w:rFonts w:cs="Times New Roman"/>
                <w:b/>
                <w:i/>
                <w:color w:val="17365D"/>
                <w:sz w:val="18"/>
                <w:szCs w:val="18"/>
              </w:rPr>
            </w:pPr>
            <w:r w:rsidRPr="00A27896">
              <w:rPr>
                <w:rFonts w:cs="Times New Roman"/>
                <w:b/>
                <w:i/>
                <w:color w:val="17365D"/>
                <w:sz w:val="18"/>
                <w:szCs w:val="18"/>
              </w:rPr>
              <w:t>-429 750 608</w:t>
            </w:r>
          </w:p>
        </w:tc>
        <w:tc>
          <w:tcPr>
            <w:tcW w:w="681" w:type="pct"/>
            <w:tcBorders>
              <w:top w:val="single" w:sz="4" w:space="0" w:color="auto"/>
              <w:left w:val="nil"/>
              <w:bottom w:val="single" w:sz="4" w:space="0" w:color="auto"/>
              <w:right w:val="nil"/>
            </w:tcBorders>
            <w:shd w:val="clear" w:color="auto" w:fill="auto"/>
            <w:vAlign w:val="center"/>
          </w:tcPr>
          <w:p w14:paraId="771F78E2" w14:textId="4A58C0DE" w:rsidR="00C769C7" w:rsidRPr="00A27896" w:rsidRDefault="00C769C7" w:rsidP="009C0579">
            <w:pPr>
              <w:spacing w:after="0" w:line="240" w:lineRule="auto"/>
              <w:ind w:right="57"/>
              <w:jc w:val="right"/>
              <w:rPr>
                <w:rFonts w:cs="Times New Roman"/>
                <w:b/>
                <w:i/>
                <w:color w:val="17365D"/>
                <w:sz w:val="18"/>
                <w:szCs w:val="18"/>
              </w:rPr>
            </w:pPr>
            <w:r w:rsidRPr="00A27896">
              <w:rPr>
                <w:rFonts w:cs="Times New Roman"/>
                <w:b/>
                <w:i/>
                <w:color w:val="17365D"/>
                <w:sz w:val="18"/>
                <w:szCs w:val="18"/>
              </w:rPr>
              <w:t>44 579</w:t>
            </w:r>
          </w:p>
        </w:tc>
        <w:tc>
          <w:tcPr>
            <w:tcW w:w="680" w:type="pct"/>
            <w:tcBorders>
              <w:top w:val="single" w:sz="4" w:space="0" w:color="auto"/>
              <w:left w:val="nil"/>
              <w:bottom w:val="single" w:sz="4" w:space="0" w:color="auto"/>
              <w:right w:val="nil"/>
            </w:tcBorders>
            <w:shd w:val="clear" w:color="auto" w:fill="auto"/>
            <w:vAlign w:val="center"/>
          </w:tcPr>
          <w:p w14:paraId="3D3F3647" w14:textId="7927CE8D" w:rsidR="00C769C7" w:rsidRPr="00A27896" w:rsidRDefault="00C769C7" w:rsidP="009C0579">
            <w:pPr>
              <w:spacing w:after="0" w:line="240" w:lineRule="auto"/>
              <w:ind w:right="57"/>
              <w:jc w:val="right"/>
              <w:rPr>
                <w:rFonts w:cs="Times New Roman"/>
                <w:b/>
                <w:i/>
                <w:color w:val="17365D"/>
                <w:sz w:val="18"/>
                <w:szCs w:val="18"/>
              </w:rPr>
            </w:pPr>
            <w:r w:rsidRPr="00A27896">
              <w:rPr>
                <w:rFonts w:cs="Times New Roman"/>
                <w:b/>
                <w:i/>
                <w:color w:val="17365D"/>
                <w:sz w:val="18"/>
                <w:szCs w:val="18"/>
              </w:rPr>
              <w:t>432 126 526</w:t>
            </w:r>
          </w:p>
        </w:tc>
        <w:tc>
          <w:tcPr>
            <w:tcW w:w="600" w:type="pct"/>
            <w:gridSpan w:val="2"/>
            <w:tcBorders>
              <w:top w:val="single" w:sz="4" w:space="0" w:color="auto"/>
              <w:left w:val="nil"/>
              <w:bottom w:val="single" w:sz="4" w:space="0" w:color="auto"/>
              <w:right w:val="nil"/>
            </w:tcBorders>
            <w:shd w:val="clear" w:color="auto" w:fill="auto"/>
            <w:vAlign w:val="center"/>
          </w:tcPr>
          <w:p w14:paraId="21DDE2AA" w14:textId="3E103324" w:rsidR="00C769C7" w:rsidRPr="00A27896" w:rsidRDefault="00C769C7" w:rsidP="009C0579">
            <w:pPr>
              <w:spacing w:after="0" w:line="240" w:lineRule="auto"/>
              <w:ind w:right="57"/>
              <w:jc w:val="right"/>
              <w:rPr>
                <w:rFonts w:cs="Times New Roman"/>
                <w:b/>
                <w:i/>
                <w:color w:val="17365D"/>
                <w:sz w:val="18"/>
                <w:szCs w:val="18"/>
              </w:rPr>
            </w:pPr>
            <w:r w:rsidRPr="00A27896">
              <w:rPr>
                <w:rFonts w:cs="Times New Roman"/>
                <w:b/>
                <w:i/>
                <w:color w:val="17365D"/>
                <w:sz w:val="18"/>
                <w:szCs w:val="18"/>
              </w:rPr>
              <w:t>-432 000 112</w:t>
            </w:r>
          </w:p>
        </w:tc>
        <w:tc>
          <w:tcPr>
            <w:tcW w:w="677" w:type="pct"/>
            <w:tcBorders>
              <w:top w:val="single" w:sz="4" w:space="0" w:color="auto"/>
              <w:left w:val="nil"/>
              <w:bottom w:val="single" w:sz="4" w:space="0" w:color="auto"/>
              <w:right w:val="nil"/>
            </w:tcBorders>
            <w:shd w:val="clear" w:color="auto" w:fill="auto"/>
            <w:vAlign w:val="center"/>
          </w:tcPr>
          <w:p w14:paraId="1FC7A01F" w14:textId="600DE073" w:rsidR="00C769C7" w:rsidRPr="00A27896" w:rsidRDefault="00C769C7" w:rsidP="009C0579">
            <w:pPr>
              <w:spacing w:after="0" w:line="240" w:lineRule="auto"/>
              <w:ind w:right="57"/>
              <w:jc w:val="right"/>
              <w:rPr>
                <w:rFonts w:cs="Times New Roman"/>
                <w:b/>
                <w:i/>
                <w:color w:val="17365D"/>
                <w:sz w:val="18"/>
                <w:szCs w:val="18"/>
              </w:rPr>
            </w:pPr>
            <w:r w:rsidRPr="00A27896">
              <w:rPr>
                <w:rFonts w:cs="Times New Roman"/>
                <w:b/>
                <w:i/>
                <w:color w:val="17365D"/>
                <w:sz w:val="18"/>
                <w:szCs w:val="18"/>
              </w:rPr>
              <w:t>126 414</w:t>
            </w:r>
          </w:p>
        </w:tc>
      </w:tr>
      <w:tr w:rsidR="00C769C7" w:rsidRPr="00A27896" w14:paraId="213AB3E6" w14:textId="48568074" w:rsidTr="00100EA1">
        <w:trPr>
          <w:gridAfter w:val="1"/>
          <w:wAfter w:w="18" w:type="pct"/>
          <w:trHeight w:val="204"/>
        </w:trPr>
        <w:tc>
          <w:tcPr>
            <w:tcW w:w="1058" w:type="pct"/>
            <w:tcBorders>
              <w:top w:val="single" w:sz="4" w:space="0" w:color="auto"/>
              <w:bottom w:val="single" w:sz="4" w:space="0" w:color="auto"/>
            </w:tcBorders>
            <w:vAlign w:val="center"/>
          </w:tcPr>
          <w:p w14:paraId="2F3455C9" w14:textId="2D268E0C"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līdz 30 dienām</w:t>
            </w:r>
          </w:p>
        </w:tc>
        <w:tc>
          <w:tcPr>
            <w:tcW w:w="680" w:type="pct"/>
            <w:gridSpan w:val="2"/>
            <w:tcBorders>
              <w:top w:val="single" w:sz="4" w:space="0" w:color="auto"/>
              <w:left w:val="nil"/>
              <w:bottom w:val="single" w:sz="4" w:space="0" w:color="auto"/>
              <w:right w:val="nil"/>
            </w:tcBorders>
            <w:shd w:val="clear" w:color="auto" w:fill="auto"/>
            <w:vAlign w:val="center"/>
          </w:tcPr>
          <w:p w14:paraId="78A55C43" w14:textId="3A96A4F8"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6 947</w:t>
            </w:r>
          </w:p>
        </w:tc>
        <w:tc>
          <w:tcPr>
            <w:tcW w:w="605" w:type="pct"/>
            <w:tcBorders>
              <w:top w:val="single" w:sz="4" w:space="0" w:color="auto"/>
              <w:left w:val="nil"/>
              <w:bottom w:val="single" w:sz="4" w:space="0" w:color="auto"/>
              <w:right w:val="nil"/>
            </w:tcBorders>
            <w:shd w:val="clear" w:color="auto" w:fill="auto"/>
            <w:vAlign w:val="center"/>
          </w:tcPr>
          <w:p w14:paraId="7AD178A3" w14:textId="7B902459"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-5 469</w:t>
            </w:r>
          </w:p>
        </w:tc>
        <w:tc>
          <w:tcPr>
            <w:tcW w:w="681" w:type="pct"/>
            <w:tcBorders>
              <w:top w:val="single" w:sz="4" w:space="0" w:color="auto"/>
              <w:left w:val="nil"/>
              <w:bottom w:val="single" w:sz="4" w:space="0" w:color="auto"/>
              <w:right w:val="nil"/>
            </w:tcBorders>
            <w:shd w:val="clear" w:color="auto" w:fill="auto"/>
            <w:vAlign w:val="center"/>
          </w:tcPr>
          <w:p w14:paraId="510E009F" w14:textId="25625086"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1 478</w:t>
            </w:r>
          </w:p>
        </w:tc>
        <w:tc>
          <w:tcPr>
            <w:tcW w:w="680" w:type="pct"/>
            <w:tcBorders>
              <w:top w:val="single" w:sz="4" w:space="0" w:color="auto"/>
              <w:left w:val="nil"/>
              <w:bottom w:val="single" w:sz="4" w:space="0" w:color="auto"/>
              <w:right w:val="nil"/>
            </w:tcBorders>
            <w:shd w:val="clear" w:color="auto" w:fill="auto"/>
            <w:vAlign w:val="center"/>
          </w:tcPr>
          <w:p w14:paraId="7AC66701" w14:textId="75C94739"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33 594</w:t>
            </w:r>
          </w:p>
        </w:tc>
        <w:tc>
          <w:tcPr>
            <w:tcW w:w="600" w:type="pct"/>
            <w:gridSpan w:val="2"/>
            <w:tcBorders>
              <w:top w:val="single" w:sz="4" w:space="0" w:color="auto"/>
              <w:left w:val="nil"/>
              <w:bottom w:val="single" w:sz="4" w:space="0" w:color="auto"/>
              <w:right w:val="nil"/>
            </w:tcBorders>
            <w:shd w:val="clear" w:color="auto" w:fill="auto"/>
            <w:vAlign w:val="center"/>
          </w:tcPr>
          <w:p w14:paraId="28EBEC60" w14:textId="2F9F9817"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-8 588</w:t>
            </w:r>
          </w:p>
        </w:tc>
        <w:tc>
          <w:tcPr>
            <w:tcW w:w="677" w:type="pct"/>
            <w:tcBorders>
              <w:top w:val="single" w:sz="4" w:space="0" w:color="auto"/>
              <w:left w:val="nil"/>
              <w:bottom w:val="single" w:sz="4" w:space="0" w:color="auto"/>
              <w:right w:val="nil"/>
            </w:tcBorders>
            <w:shd w:val="clear" w:color="auto" w:fill="auto"/>
            <w:vAlign w:val="center"/>
          </w:tcPr>
          <w:p w14:paraId="398ACF03" w14:textId="7659172D"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25 006</w:t>
            </w:r>
          </w:p>
        </w:tc>
      </w:tr>
      <w:tr w:rsidR="00C769C7" w:rsidRPr="00A27896" w14:paraId="477D6E52" w14:textId="1D347D02" w:rsidTr="00100EA1">
        <w:trPr>
          <w:gridAfter w:val="1"/>
          <w:wAfter w:w="18" w:type="pct"/>
          <w:trHeight w:val="204"/>
        </w:trPr>
        <w:tc>
          <w:tcPr>
            <w:tcW w:w="1058" w:type="pct"/>
            <w:tcBorders>
              <w:top w:val="single" w:sz="4" w:space="0" w:color="auto"/>
              <w:bottom w:val="single" w:sz="4" w:space="0" w:color="auto"/>
            </w:tcBorders>
            <w:vAlign w:val="center"/>
          </w:tcPr>
          <w:p w14:paraId="76124B9A" w14:textId="449950D1"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31 līdz 90 dienām</w:t>
            </w:r>
          </w:p>
        </w:tc>
        <w:tc>
          <w:tcPr>
            <w:tcW w:w="680" w:type="pct"/>
            <w:gridSpan w:val="2"/>
            <w:tcBorders>
              <w:top w:val="single" w:sz="4" w:space="0" w:color="auto"/>
              <w:left w:val="nil"/>
              <w:bottom w:val="single" w:sz="4" w:space="0" w:color="auto"/>
              <w:right w:val="nil"/>
            </w:tcBorders>
            <w:shd w:val="clear" w:color="auto" w:fill="auto"/>
            <w:vAlign w:val="center"/>
          </w:tcPr>
          <w:p w14:paraId="7A1BAA6B" w14:textId="38568014"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24 849</w:t>
            </w:r>
          </w:p>
        </w:tc>
        <w:tc>
          <w:tcPr>
            <w:tcW w:w="605" w:type="pct"/>
            <w:tcBorders>
              <w:top w:val="single" w:sz="4" w:space="0" w:color="auto"/>
              <w:left w:val="nil"/>
              <w:bottom w:val="single" w:sz="4" w:space="0" w:color="auto"/>
              <w:right w:val="nil"/>
            </w:tcBorders>
            <w:shd w:val="clear" w:color="auto" w:fill="auto"/>
            <w:vAlign w:val="center"/>
          </w:tcPr>
          <w:p w14:paraId="1265B8B8" w14:textId="62E34D6F"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-4 339</w:t>
            </w:r>
          </w:p>
        </w:tc>
        <w:tc>
          <w:tcPr>
            <w:tcW w:w="681" w:type="pct"/>
            <w:tcBorders>
              <w:top w:val="single" w:sz="4" w:space="0" w:color="auto"/>
              <w:left w:val="nil"/>
              <w:bottom w:val="single" w:sz="4" w:space="0" w:color="auto"/>
              <w:right w:val="nil"/>
            </w:tcBorders>
            <w:shd w:val="clear" w:color="auto" w:fill="auto"/>
            <w:vAlign w:val="center"/>
          </w:tcPr>
          <w:p w14:paraId="636C2968" w14:textId="41194909"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20 510</w:t>
            </w:r>
          </w:p>
        </w:tc>
        <w:tc>
          <w:tcPr>
            <w:tcW w:w="680" w:type="pct"/>
            <w:tcBorders>
              <w:top w:val="single" w:sz="4" w:space="0" w:color="auto"/>
              <w:left w:val="nil"/>
              <w:bottom w:val="single" w:sz="4" w:space="0" w:color="auto"/>
              <w:right w:val="nil"/>
            </w:tcBorders>
            <w:shd w:val="clear" w:color="auto" w:fill="auto"/>
            <w:vAlign w:val="center"/>
          </w:tcPr>
          <w:p w14:paraId="18D596A7" w14:textId="49D8785A"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33 068</w:t>
            </w:r>
          </w:p>
        </w:tc>
        <w:tc>
          <w:tcPr>
            <w:tcW w:w="600" w:type="pct"/>
            <w:gridSpan w:val="2"/>
            <w:tcBorders>
              <w:top w:val="single" w:sz="4" w:space="0" w:color="auto"/>
              <w:left w:val="nil"/>
              <w:bottom w:val="single" w:sz="4" w:space="0" w:color="auto"/>
              <w:right w:val="nil"/>
            </w:tcBorders>
            <w:shd w:val="clear" w:color="auto" w:fill="auto"/>
            <w:vAlign w:val="center"/>
          </w:tcPr>
          <w:p w14:paraId="5D48A5DF" w14:textId="308640A0"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-4 916</w:t>
            </w:r>
          </w:p>
        </w:tc>
        <w:tc>
          <w:tcPr>
            <w:tcW w:w="677" w:type="pct"/>
            <w:tcBorders>
              <w:top w:val="single" w:sz="4" w:space="0" w:color="auto"/>
              <w:left w:val="nil"/>
              <w:bottom w:val="single" w:sz="4" w:space="0" w:color="auto"/>
              <w:right w:val="nil"/>
            </w:tcBorders>
            <w:shd w:val="clear" w:color="auto" w:fill="auto"/>
            <w:vAlign w:val="center"/>
          </w:tcPr>
          <w:p w14:paraId="01AC842E" w14:textId="651401D5"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28 152</w:t>
            </w:r>
          </w:p>
        </w:tc>
      </w:tr>
      <w:tr w:rsidR="00C769C7" w:rsidRPr="00A27896" w14:paraId="4022305A" w14:textId="52579301" w:rsidTr="00100EA1">
        <w:trPr>
          <w:gridAfter w:val="1"/>
          <w:wAfter w:w="18" w:type="pct"/>
          <w:trHeight w:val="204"/>
        </w:trPr>
        <w:tc>
          <w:tcPr>
            <w:tcW w:w="1058" w:type="pct"/>
            <w:tcBorders>
              <w:top w:val="single" w:sz="4" w:space="0" w:color="auto"/>
              <w:bottom w:val="single" w:sz="4" w:space="0" w:color="auto"/>
            </w:tcBorders>
            <w:vAlign w:val="center"/>
          </w:tcPr>
          <w:p w14:paraId="7CAE4135" w14:textId="201D131F"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91 līdz 180 dienām</w:t>
            </w:r>
          </w:p>
        </w:tc>
        <w:tc>
          <w:tcPr>
            <w:tcW w:w="680" w:type="pct"/>
            <w:gridSpan w:val="2"/>
            <w:tcBorders>
              <w:top w:val="single" w:sz="4" w:space="0" w:color="auto"/>
              <w:left w:val="nil"/>
              <w:bottom w:val="single" w:sz="4" w:space="0" w:color="auto"/>
              <w:right w:val="nil"/>
            </w:tcBorders>
            <w:shd w:val="clear" w:color="auto" w:fill="auto"/>
            <w:vAlign w:val="center"/>
          </w:tcPr>
          <w:p w14:paraId="1792ED26" w14:textId="02E86EEA"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4 048</w:t>
            </w:r>
          </w:p>
        </w:tc>
        <w:tc>
          <w:tcPr>
            <w:tcW w:w="605" w:type="pct"/>
            <w:tcBorders>
              <w:top w:val="single" w:sz="4" w:space="0" w:color="auto"/>
              <w:left w:val="nil"/>
              <w:bottom w:val="single" w:sz="4" w:space="0" w:color="auto"/>
              <w:right w:val="nil"/>
            </w:tcBorders>
            <w:shd w:val="clear" w:color="auto" w:fill="auto"/>
            <w:vAlign w:val="center"/>
          </w:tcPr>
          <w:p w14:paraId="7AA094FB" w14:textId="0354DA9C"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-953</w:t>
            </w:r>
          </w:p>
        </w:tc>
        <w:tc>
          <w:tcPr>
            <w:tcW w:w="681" w:type="pct"/>
            <w:tcBorders>
              <w:top w:val="single" w:sz="4" w:space="0" w:color="auto"/>
              <w:left w:val="nil"/>
              <w:bottom w:val="single" w:sz="4" w:space="0" w:color="auto"/>
              <w:right w:val="nil"/>
            </w:tcBorders>
            <w:shd w:val="clear" w:color="auto" w:fill="auto"/>
            <w:vAlign w:val="center"/>
          </w:tcPr>
          <w:p w14:paraId="7D805AA4" w14:textId="392D2332"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3 095</w:t>
            </w:r>
          </w:p>
        </w:tc>
        <w:tc>
          <w:tcPr>
            <w:tcW w:w="680" w:type="pct"/>
            <w:tcBorders>
              <w:top w:val="single" w:sz="4" w:space="0" w:color="auto"/>
              <w:left w:val="nil"/>
              <w:bottom w:val="single" w:sz="4" w:space="0" w:color="auto"/>
              <w:right w:val="nil"/>
            </w:tcBorders>
            <w:shd w:val="clear" w:color="auto" w:fill="auto"/>
            <w:vAlign w:val="center"/>
          </w:tcPr>
          <w:p w14:paraId="2D65F780" w14:textId="4C88D6DC"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25 220</w:t>
            </w:r>
          </w:p>
        </w:tc>
        <w:tc>
          <w:tcPr>
            <w:tcW w:w="600" w:type="pct"/>
            <w:gridSpan w:val="2"/>
            <w:tcBorders>
              <w:top w:val="single" w:sz="4" w:space="0" w:color="auto"/>
              <w:left w:val="nil"/>
              <w:bottom w:val="single" w:sz="4" w:space="0" w:color="auto"/>
              <w:right w:val="nil"/>
            </w:tcBorders>
            <w:shd w:val="clear" w:color="auto" w:fill="auto"/>
            <w:vAlign w:val="center"/>
          </w:tcPr>
          <w:p w14:paraId="578C5439" w14:textId="10962E4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-21 795</w:t>
            </w:r>
          </w:p>
        </w:tc>
        <w:tc>
          <w:tcPr>
            <w:tcW w:w="677" w:type="pct"/>
            <w:tcBorders>
              <w:top w:val="single" w:sz="4" w:space="0" w:color="auto"/>
              <w:left w:val="nil"/>
              <w:bottom w:val="single" w:sz="4" w:space="0" w:color="auto"/>
              <w:right w:val="nil"/>
            </w:tcBorders>
            <w:shd w:val="clear" w:color="auto" w:fill="auto"/>
            <w:vAlign w:val="center"/>
          </w:tcPr>
          <w:p w14:paraId="04AF7359" w14:textId="00A95A57"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3 425</w:t>
            </w:r>
          </w:p>
        </w:tc>
      </w:tr>
      <w:tr w:rsidR="00C769C7" w:rsidRPr="00A27896" w14:paraId="3E021621" w14:textId="59E8C99D" w:rsidTr="00100EA1">
        <w:trPr>
          <w:gridAfter w:val="1"/>
          <w:wAfter w:w="18" w:type="pct"/>
          <w:trHeight w:val="204"/>
        </w:trPr>
        <w:tc>
          <w:tcPr>
            <w:tcW w:w="1058" w:type="pct"/>
            <w:tcBorders>
              <w:top w:val="single" w:sz="4" w:space="0" w:color="auto"/>
              <w:bottom w:val="single" w:sz="4" w:space="0" w:color="auto"/>
            </w:tcBorders>
            <w:vAlign w:val="center"/>
          </w:tcPr>
          <w:p w14:paraId="43D2920C" w14:textId="0427A729"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181 līdz 360 dienām</w:t>
            </w:r>
          </w:p>
        </w:tc>
        <w:tc>
          <w:tcPr>
            <w:tcW w:w="680" w:type="pct"/>
            <w:gridSpan w:val="2"/>
            <w:tcBorders>
              <w:top w:val="single" w:sz="4" w:space="0" w:color="auto"/>
              <w:left w:val="nil"/>
              <w:bottom w:val="single" w:sz="4" w:space="0" w:color="auto"/>
              <w:right w:val="nil"/>
            </w:tcBorders>
            <w:shd w:val="clear" w:color="auto" w:fill="auto"/>
            <w:vAlign w:val="center"/>
          </w:tcPr>
          <w:p w14:paraId="3EFE73A6" w14:textId="76C1D73B"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28 209</w:t>
            </w:r>
          </w:p>
        </w:tc>
        <w:tc>
          <w:tcPr>
            <w:tcW w:w="605" w:type="pct"/>
            <w:tcBorders>
              <w:top w:val="single" w:sz="4" w:space="0" w:color="auto"/>
              <w:left w:val="nil"/>
              <w:bottom w:val="single" w:sz="4" w:space="0" w:color="auto"/>
              <w:right w:val="nil"/>
            </w:tcBorders>
            <w:shd w:val="clear" w:color="auto" w:fill="auto"/>
            <w:vAlign w:val="center"/>
          </w:tcPr>
          <w:p w14:paraId="42A7874A" w14:textId="731926E4"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-25 727</w:t>
            </w:r>
          </w:p>
        </w:tc>
        <w:tc>
          <w:tcPr>
            <w:tcW w:w="681" w:type="pct"/>
            <w:tcBorders>
              <w:top w:val="single" w:sz="4" w:space="0" w:color="auto"/>
              <w:left w:val="nil"/>
              <w:bottom w:val="single" w:sz="4" w:space="0" w:color="auto"/>
              <w:right w:val="nil"/>
            </w:tcBorders>
            <w:shd w:val="clear" w:color="auto" w:fill="auto"/>
            <w:vAlign w:val="center"/>
          </w:tcPr>
          <w:p w14:paraId="2FFDFDE5" w14:textId="4237BE12"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2 482</w:t>
            </w:r>
          </w:p>
        </w:tc>
        <w:tc>
          <w:tcPr>
            <w:tcW w:w="680" w:type="pct"/>
            <w:tcBorders>
              <w:top w:val="single" w:sz="4" w:space="0" w:color="auto"/>
              <w:left w:val="nil"/>
              <w:bottom w:val="single" w:sz="4" w:space="0" w:color="auto"/>
              <w:right w:val="nil"/>
            </w:tcBorders>
            <w:shd w:val="clear" w:color="auto" w:fill="auto"/>
            <w:vAlign w:val="center"/>
          </w:tcPr>
          <w:p w14:paraId="68D2FAC1" w14:textId="22EA2390"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28 054</w:t>
            </w:r>
          </w:p>
        </w:tc>
        <w:tc>
          <w:tcPr>
            <w:tcW w:w="600" w:type="pct"/>
            <w:gridSpan w:val="2"/>
            <w:tcBorders>
              <w:top w:val="single" w:sz="4" w:space="0" w:color="auto"/>
              <w:left w:val="nil"/>
              <w:bottom w:val="single" w:sz="4" w:space="0" w:color="auto"/>
              <w:right w:val="nil"/>
            </w:tcBorders>
            <w:shd w:val="clear" w:color="auto" w:fill="auto"/>
            <w:vAlign w:val="center"/>
          </w:tcPr>
          <w:p w14:paraId="243B7A27" w14:textId="726A7F4F"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-22 818</w:t>
            </w:r>
          </w:p>
        </w:tc>
        <w:tc>
          <w:tcPr>
            <w:tcW w:w="677" w:type="pct"/>
            <w:tcBorders>
              <w:top w:val="single" w:sz="4" w:space="0" w:color="auto"/>
              <w:left w:val="nil"/>
              <w:bottom w:val="single" w:sz="4" w:space="0" w:color="auto"/>
              <w:right w:val="nil"/>
            </w:tcBorders>
            <w:shd w:val="clear" w:color="auto" w:fill="auto"/>
            <w:vAlign w:val="center"/>
          </w:tcPr>
          <w:p w14:paraId="528B7349" w14:textId="5538144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5 236</w:t>
            </w:r>
          </w:p>
        </w:tc>
      </w:tr>
      <w:tr w:rsidR="00C769C7" w:rsidRPr="00A27896" w14:paraId="1CA20B48" w14:textId="4AD29CE6" w:rsidTr="00100EA1">
        <w:trPr>
          <w:gridAfter w:val="1"/>
          <w:wAfter w:w="18" w:type="pct"/>
          <w:trHeight w:val="204"/>
        </w:trPr>
        <w:tc>
          <w:tcPr>
            <w:tcW w:w="1058" w:type="pct"/>
            <w:tcBorders>
              <w:top w:val="single" w:sz="4" w:space="0" w:color="auto"/>
              <w:bottom w:val="single" w:sz="4" w:space="0" w:color="auto"/>
            </w:tcBorders>
            <w:vAlign w:val="center"/>
          </w:tcPr>
          <w:p w14:paraId="37EBC418" w14:textId="6F07FF73"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vAlign w:val="center"/>
          </w:tcPr>
          <w:p w14:paraId="14B04F6F" w14:textId="0C939442"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429 731 134</w:t>
            </w:r>
          </w:p>
        </w:tc>
        <w:tc>
          <w:tcPr>
            <w:tcW w:w="605" w:type="pct"/>
            <w:tcBorders>
              <w:top w:val="single" w:sz="4" w:space="0" w:color="auto"/>
              <w:left w:val="nil"/>
              <w:bottom w:val="single" w:sz="4" w:space="0" w:color="auto"/>
              <w:right w:val="nil"/>
            </w:tcBorders>
            <w:shd w:val="clear" w:color="auto" w:fill="auto"/>
            <w:vAlign w:val="center"/>
          </w:tcPr>
          <w:p w14:paraId="4AE41BAE" w14:textId="0EB1EDDD"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-429 714 120</w:t>
            </w:r>
          </w:p>
        </w:tc>
        <w:tc>
          <w:tcPr>
            <w:tcW w:w="681" w:type="pct"/>
            <w:tcBorders>
              <w:top w:val="single" w:sz="4" w:space="0" w:color="auto"/>
              <w:left w:val="nil"/>
              <w:bottom w:val="single" w:sz="4" w:space="0" w:color="auto"/>
              <w:right w:val="nil"/>
            </w:tcBorders>
            <w:shd w:val="clear" w:color="auto" w:fill="auto"/>
            <w:vAlign w:val="center"/>
          </w:tcPr>
          <w:p w14:paraId="2C06D18E" w14:textId="03DF65B8"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17 014</w:t>
            </w:r>
          </w:p>
        </w:tc>
        <w:tc>
          <w:tcPr>
            <w:tcW w:w="680" w:type="pct"/>
            <w:tcBorders>
              <w:top w:val="single" w:sz="4" w:space="0" w:color="auto"/>
              <w:left w:val="nil"/>
              <w:bottom w:val="single" w:sz="4" w:space="0" w:color="auto"/>
              <w:right w:val="nil"/>
            </w:tcBorders>
            <w:shd w:val="clear" w:color="auto" w:fill="auto"/>
            <w:vAlign w:val="center"/>
          </w:tcPr>
          <w:p w14:paraId="4657F4D5" w14:textId="44B7263D"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432 006 590</w:t>
            </w:r>
          </w:p>
        </w:tc>
        <w:tc>
          <w:tcPr>
            <w:tcW w:w="600" w:type="pct"/>
            <w:gridSpan w:val="2"/>
            <w:tcBorders>
              <w:top w:val="single" w:sz="4" w:space="0" w:color="auto"/>
              <w:left w:val="nil"/>
              <w:bottom w:val="single" w:sz="4" w:space="0" w:color="auto"/>
              <w:right w:val="nil"/>
            </w:tcBorders>
            <w:shd w:val="clear" w:color="auto" w:fill="auto"/>
            <w:vAlign w:val="center"/>
          </w:tcPr>
          <w:p w14:paraId="13B60FB4" w14:textId="3B22E777"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-431 941 995</w:t>
            </w:r>
          </w:p>
        </w:tc>
        <w:tc>
          <w:tcPr>
            <w:tcW w:w="677" w:type="pct"/>
            <w:tcBorders>
              <w:top w:val="single" w:sz="4" w:space="0" w:color="auto"/>
              <w:left w:val="nil"/>
              <w:bottom w:val="single" w:sz="4" w:space="0" w:color="auto"/>
              <w:right w:val="nil"/>
            </w:tcBorders>
            <w:shd w:val="clear" w:color="auto" w:fill="auto"/>
            <w:vAlign w:val="center"/>
          </w:tcPr>
          <w:p w14:paraId="0CD9F42E" w14:textId="0E2A4156"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64 595</w:t>
            </w:r>
          </w:p>
        </w:tc>
      </w:tr>
      <w:tr w:rsidR="00C769C7" w:rsidRPr="00A27896" w14:paraId="744C2B7A" w14:textId="20794D46" w:rsidTr="00100EA1">
        <w:trPr>
          <w:gridAfter w:val="1"/>
          <w:wAfter w:w="18" w:type="pct"/>
          <w:trHeight w:val="204"/>
        </w:trPr>
        <w:tc>
          <w:tcPr>
            <w:tcW w:w="1058" w:type="pct"/>
            <w:tcBorders>
              <w:top w:val="single" w:sz="4" w:space="0" w:color="auto"/>
              <w:left w:val="nil"/>
              <w:bottom w:val="single" w:sz="4" w:space="0" w:color="auto"/>
              <w:right w:val="nil"/>
            </w:tcBorders>
          </w:tcPr>
          <w:p w14:paraId="6A459F79" w14:textId="135F9501"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Vērtspapīri</w:t>
            </w:r>
          </w:p>
        </w:tc>
        <w:tc>
          <w:tcPr>
            <w:tcW w:w="680" w:type="pct"/>
            <w:gridSpan w:val="2"/>
            <w:tcBorders>
              <w:top w:val="single" w:sz="4" w:space="0" w:color="auto"/>
              <w:left w:val="nil"/>
              <w:bottom w:val="single" w:sz="4" w:space="0" w:color="auto"/>
              <w:right w:val="nil"/>
            </w:tcBorders>
            <w:vAlign w:val="center"/>
          </w:tcPr>
          <w:p w14:paraId="0739E418" w14:textId="2BCD94F8"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22 457 000</w:t>
            </w:r>
          </w:p>
        </w:tc>
        <w:tc>
          <w:tcPr>
            <w:tcW w:w="605" w:type="pct"/>
            <w:tcBorders>
              <w:top w:val="single" w:sz="4" w:space="0" w:color="auto"/>
              <w:left w:val="nil"/>
              <w:bottom w:val="single" w:sz="4" w:space="0" w:color="auto"/>
              <w:right w:val="nil"/>
            </w:tcBorders>
            <w:vAlign w:val="center"/>
          </w:tcPr>
          <w:p w14:paraId="52F02A3C" w14:textId="7B7E7B67"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-22 457 000</w:t>
            </w:r>
          </w:p>
        </w:tc>
        <w:tc>
          <w:tcPr>
            <w:tcW w:w="681" w:type="pct"/>
            <w:tcBorders>
              <w:top w:val="single" w:sz="4" w:space="0" w:color="auto"/>
              <w:left w:val="nil"/>
              <w:bottom w:val="single" w:sz="4" w:space="0" w:color="auto"/>
              <w:right w:val="nil"/>
            </w:tcBorders>
            <w:vAlign w:val="center"/>
          </w:tcPr>
          <w:p w14:paraId="62911E81" w14:textId="49C5A370"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680" w:type="pct"/>
            <w:tcBorders>
              <w:top w:val="single" w:sz="4" w:space="0" w:color="auto"/>
              <w:left w:val="nil"/>
              <w:bottom w:val="single" w:sz="4" w:space="0" w:color="auto"/>
              <w:right w:val="nil"/>
            </w:tcBorders>
            <w:vAlign w:val="center"/>
          </w:tcPr>
          <w:p w14:paraId="57E2EE4B" w14:textId="4B109D43"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22 457 000</w:t>
            </w:r>
          </w:p>
        </w:tc>
        <w:tc>
          <w:tcPr>
            <w:tcW w:w="600" w:type="pct"/>
            <w:gridSpan w:val="2"/>
            <w:tcBorders>
              <w:top w:val="single" w:sz="4" w:space="0" w:color="auto"/>
              <w:left w:val="nil"/>
              <w:bottom w:val="single" w:sz="4" w:space="0" w:color="auto"/>
              <w:right w:val="nil"/>
            </w:tcBorders>
            <w:vAlign w:val="center"/>
          </w:tcPr>
          <w:p w14:paraId="6F9A5F86" w14:textId="2E70380D"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-22 457 000</w:t>
            </w:r>
          </w:p>
        </w:tc>
        <w:tc>
          <w:tcPr>
            <w:tcW w:w="677" w:type="pct"/>
            <w:tcBorders>
              <w:top w:val="single" w:sz="4" w:space="0" w:color="auto"/>
              <w:left w:val="nil"/>
              <w:bottom w:val="single" w:sz="4" w:space="0" w:color="auto"/>
              <w:right w:val="nil"/>
            </w:tcBorders>
            <w:vAlign w:val="center"/>
          </w:tcPr>
          <w:p w14:paraId="6896319F" w14:textId="348FCFEA"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r>
      <w:tr w:rsidR="00C769C7" w:rsidRPr="00A27896" w14:paraId="2E41B480" w14:textId="64FA8DA1" w:rsidTr="00100EA1">
        <w:trPr>
          <w:gridAfter w:val="1"/>
          <w:wAfter w:w="18" w:type="pct"/>
          <w:trHeight w:val="204"/>
        </w:trPr>
        <w:tc>
          <w:tcPr>
            <w:tcW w:w="1058" w:type="pct"/>
            <w:tcBorders>
              <w:top w:val="single" w:sz="4" w:space="0" w:color="auto"/>
              <w:left w:val="nil"/>
              <w:bottom w:val="single" w:sz="4" w:space="0" w:color="auto"/>
              <w:right w:val="nil"/>
            </w:tcBorders>
          </w:tcPr>
          <w:p w14:paraId="3AC3711D" w14:textId="3197A9A9"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vAlign w:val="center"/>
          </w:tcPr>
          <w:p w14:paraId="3AD2359C" w14:textId="78CECDDB"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22 457 000</w:t>
            </w:r>
          </w:p>
        </w:tc>
        <w:tc>
          <w:tcPr>
            <w:tcW w:w="605" w:type="pct"/>
            <w:tcBorders>
              <w:top w:val="single" w:sz="4" w:space="0" w:color="auto"/>
              <w:left w:val="nil"/>
              <w:bottom w:val="single" w:sz="4" w:space="0" w:color="auto"/>
              <w:right w:val="nil"/>
            </w:tcBorders>
            <w:vAlign w:val="center"/>
          </w:tcPr>
          <w:p w14:paraId="2D5F63AF" w14:textId="420B927B"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-22 457 000</w:t>
            </w:r>
          </w:p>
        </w:tc>
        <w:tc>
          <w:tcPr>
            <w:tcW w:w="681" w:type="pct"/>
            <w:tcBorders>
              <w:top w:val="single" w:sz="4" w:space="0" w:color="auto"/>
              <w:left w:val="nil"/>
              <w:bottom w:val="single" w:sz="4" w:space="0" w:color="auto"/>
              <w:right w:val="nil"/>
            </w:tcBorders>
            <w:vAlign w:val="center"/>
          </w:tcPr>
          <w:p w14:paraId="3F800B63" w14:textId="6F1EC410"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680" w:type="pct"/>
            <w:tcBorders>
              <w:top w:val="single" w:sz="4" w:space="0" w:color="auto"/>
              <w:left w:val="nil"/>
              <w:bottom w:val="single" w:sz="4" w:space="0" w:color="auto"/>
              <w:right w:val="nil"/>
            </w:tcBorders>
            <w:vAlign w:val="center"/>
          </w:tcPr>
          <w:p w14:paraId="2716E8E2" w14:textId="69664B7A"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22 457 000</w:t>
            </w:r>
          </w:p>
        </w:tc>
        <w:tc>
          <w:tcPr>
            <w:tcW w:w="600" w:type="pct"/>
            <w:gridSpan w:val="2"/>
            <w:tcBorders>
              <w:top w:val="single" w:sz="4" w:space="0" w:color="auto"/>
              <w:left w:val="nil"/>
              <w:bottom w:val="single" w:sz="4" w:space="0" w:color="auto"/>
              <w:right w:val="nil"/>
            </w:tcBorders>
            <w:vAlign w:val="center"/>
          </w:tcPr>
          <w:p w14:paraId="59574147" w14:textId="555C972C"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-22 457 000</w:t>
            </w:r>
          </w:p>
        </w:tc>
        <w:tc>
          <w:tcPr>
            <w:tcW w:w="677" w:type="pct"/>
            <w:tcBorders>
              <w:top w:val="single" w:sz="4" w:space="0" w:color="auto"/>
              <w:left w:val="nil"/>
              <w:bottom w:val="single" w:sz="4" w:space="0" w:color="auto"/>
              <w:right w:val="nil"/>
            </w:tcBorders>
            <w:vAlign w:val="center"/>
          </w:tcPr>
          <w:p w14:paraId="7B1856C4" w14:textId="5D2A7817"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r>
      <w:tr w:rsidR="00C769C7" w:rsidRPr="00A27896" w14:paraId="17EC6C77" w14:textId="6FC59204" w:rsidTr="00100EA1">
        <w:trPr>
          <w:gridAfter w:val="1"/>
          <w:wAfter w:w="18" w:type="pct"/>
          <w:trHeight w:val="204"/>
        </w:trPr>
        <w:tc>
          <w:tcPr>
            <w:tcW w:w="1058" w:type="pct"/>
            <w:tcBorders>
              <w:top w:val="single" w:sz="4" w:space="0" w:color="auto"/>
              <w:left w:val="nil"/>
              <w:bottom w:val="single" w:sz="4" w:space="0" w:color="auto"/>
              <w:right w:val="nil"/>
            </w:tcBorders>
          </w:tcPr>
          <w:p w14:paraId="540E524E" w14:textId="4FBC5133"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Aizdevumi</w:t>
            </w:r>
          </w:p>
        </w:tc>
        <w:tc>
          <w:tcPr>
            <w:tcW w:w="680" w:type="pct"/>
            <w:gridSpan w:val="2"/>
            <w:tcBorders>
              <w:top w:val="single" w:sz="4" w:space="0" w:color="auto"/>
              <w:left w:val="nil"/>
              <w:bottom w:val="single" w:sz="4" w:space="0" w:color="auto"/>
              <w:right w:val="nil"/>
            </w:tcBorders>
            <w:vAlign w:val="center"/>
          </w:tcPr>
          <w:p w14:paraId="59C8D6EC" w14:textId="7BEA4D2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1 051 029</w:t>
            </w:r>
          </w:p>
        </w:tc>
        <w:tc>
          <w:tcPr>
            <w:tcW w:w="605" w:type="pct"/>
            <w:tcBorders>
              <w:top w:val="single" w:sz="4" w:space="0" w:color="auto"/>
              <w:left w:val="nil"/>
              <w:bottom w:val="single" w:sz="4" w:space="0" w:color="auto"/>
              <w:right w:val="nil"/>
            </w:tcBorders>
            <w:vAlign w:val="center"/>
          </w:tcPr>
          <w:p w14:paraId="08E9EE9C" w14:textId="5545D219"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-1 022 759</w:t>
            </w:r>
          </w:p>
        </w:tc>
        <w:tc>
          <w:tcPr>
            <w:tcW w:w="681" w:type="pct"/>
            <w:tcBorders>
              <w:top w:val="single" w:sz="4" w:space="0" w:color="auto"/>
              <w:left w:val="nil"/>
              <w:bottom w:val="single" w:sz="4" w:space="0" w:color="auto"/>
              <w:right w:val="nil"/>
            </w:tcBorders>
            <w:vAlign w:val="center"/>
          </w:tcPr>
          <w:p w14:paraId="1173861B" w14:textId="16F64EA3"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28 270</w:t>
            </w:r>
          </w:p>
        </w:tc>
        <w:tc>
          <w:tcPr>
            <w:tcW w:w="680" w:type="pct"/>
            <w:tcBorders>
              <w:top w:val="single" w:sz="4" w:space="0" w:color="auto"/>
              <w:left w:val="nil"/>
              <w:bottom w:val="single" w:sz="4" w:space="0" w:color="auto"/>
              <w:right w:val="nil"/>
            </w:tcBorders>
            <w:vAlign w:val="center"/>
          </w:tcPr>
          <w:p w14:paraId="1C5E14D0" w14:textId="0FB2C40E"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1 070 583</w:t>
            </w:r>
          </w:p>
        </w:tc>
        <w:tc>
          <w:tcPr>
            <w:tcW w:w="600" w:type="pct"/>
            <w:gridSpan w:val="2"/>
            <w:tcBorders>
              <w:top w:val="single" w:sz="4" w:space="0" w:color="auto"/>
              <w:left w:val="nil"/>
              <w:bottom w:val="single" w:sz="4" w:space="0" w:color="auto"/>
              <w:right w:val="nil"/>
            </w:tcBorders>
            <w:vAlign w:val="center"/>
          </w:tcPr>
          <w:p w14:paraId="7FFF5BE8" w14:textId="2EDCDA54"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-1 053 029</w:t>
            </w:r>
          </w:p>
        </w:tc>
        <w:tc>
          <w:tcPr>
            <w:tcW w:w="677" w:type="pct"/>
            <w:tcBorders>
              <w:top w:val="single" w:sz="4" w:space="0" w:color="auto"/>
              <w:left w:val="nil"/>
              <w:bottom w:val="single" w:sz="4" w:space="0" w:color="auto"/>
              <w:right w:val="nil"/>
            </w:tcBorders>
            <w:vAlign w:val="center"/>
          </w:tcPr>
          <w:p w14:paraId="097F8430" w14:textId="381AB130"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17 554</w:t>
            </w:r>
          </w:p>
        </w:tc>
      </w:tr>
      <w:tr w:rsidR="00C769C7" w:rsidRPr="00A27896" w14:paraId="1587E8BD" w14:textId="77777777" w:rsidTr="00100EA1">
        <w:trPr>
          <w:gridAfter w:val="1"/>
          <w:wAfter w:w="18" w:type="pct"/>
          <w:trHeight w:val="204"/>
        </w:trPr>
        <w:tc>
          <w:tcPr>
            <w:tcW w:w="1058" w:type="pct"/>
            <w:tcBorders>
              <w:top w:val="single" w:sz="4" w:space="0" w:color="auto"/>
              <w:left w:val="nil"/>
              <w:bottom w:val="single" w:sz="4" w:space="0" w:color="auto"/>
              <w:right w:val="nil"/>
            </w:tcBorders>
          </w:tcPr>
          <w:p w14:paraId="6A96793B" w14:textId="4C058C3C"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31 līdz 90 dienām</w:t>
            </w:r>
          </w:p>
        </w:tc>
        <w:tc>
          <w:tcPr>
            <w:tcW w:w="680" w:type="pct"/>
            <w:gridSpan w:val="2"/>
            <w:tcBorders>
              <w:top w:val="single" w:sz="4" w:space="0" w:color="auto"/>
              <w:left w:val="nil"/>
              <w:bottom w:val="single" w:sz="4" w:space="0" w:color="auto"/>
              <w:right w:val="nil"/>
            </w:tcBorders>
            <w:vAlign w:val="center"/>
          </w:tcPr>
          <w:p w14:paraId="29B5C718" w14:textId="730C5966"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22 621</w:t>
            </w:r>
          </w:p>
        </w:tc>
        <w:tc>
          <w:tcPr>
            <w:tcW w:w="605" w:type="pct"/>
            <w:tcBorders>
              <w:top w:val="single" w:sz="4" w:space="0" w:color="auto"/>
              <w:left w:val="nil"/>
              <w:bottom w:val="single" w:sz="4" w:space="0" w:color="auto"/>
              <w:right w:val="nil"/>
            </w:tcBorders>
            <w:vAlign w:val="center"/>
          </w:tcPr>
          <w:p w14:paraId="3DA3A475" w14:textId="3BCE8B87"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-4 339</w:t>
            </w:r>
          </w:p>
        </w:tc>
        <w:tc>
          <w:tcPr>
            <w:tcW w:w="681" w:type="pct"/>
            <w:tcBorders>
              <w:top w:val="single" w:sz="4" w:space="0" w:color="auto"/>
              <w:left w:val="nil"/>
              <w:bottom w:val="single" w:sz="4" w:space="0" w:color="auto"/>
              <w:right w:val="nil"/>
            </w:tcBorders>
            <w:vAlign w:val="center"/>
          </w:tcPr>
          <w:p w14:paraId="49E8F3F2" w14:textId="7DCB7C0D"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18 282</w:t>
            </w:r>
          </w:p>
        </w:tc>
        <w:tc>
          <w:tcPr>
            <w:tcW w:w="680" w:type="pct"/>
            <w:tcBorders>
              <w:top w:val="single" w:sz="4" w:space="0" w:color="auto"/>
              <w:left w:val="nil"/>
              <w:bottom w:val="single" w:sz="4" w:space="0" w:color="auto"/>
              <w:right w:val="nil"/>
            </w:tcBorders>
            <w:vAlign w:val="center"/>
          </w:tcPr>
          <w:p w14:paraId="08E363C8" w14:textId="0262FFE7"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600" w:type="pct"/>
            <w:gridSpan w:val="2"/>
            <w:tcBorders>
              <w:top w:val="single" w:sz="4" w:space="0" w:color="auto"/>
              <w:left w:val="nil"/>
              <w:bottom w:val="single" w:sz="4" w:space="0" w:color="auto"/>
              <w:right w:val="nil"/>
            </w:tcBorders>
            <w:vAlign w:val="center"/>
          </w:tcPr>
          <w:p w14:paraId="1677B378" w14:textId="2AFFFA17"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677" w:type="pct"/>
            <w:tcBorders>
              <w:top w:val="single" w:sz="4" w:space="0" w:color="auto"/>
              <w:left w:val="nil"/>
              <w:bottom w:val="single" w:sz="4" w:space="0" w:color="auto"/>
              <w:right w:val="nil"/>
            </w:tcBorders>
            <w:vAlign w:val="center"/>
          </w:tcPr>
          <w:p w14:paraId="092CC4D6" w14:textId="392A0E8A"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r>
      <w:tr w:rsidR="00C769C7" w:rsidRPr="00A27896" w14:paraId="61E23D3D" w14:textId="7BFEEC17" w:rsidTr="00100EA1">
        <w:trPr>
          <w:gridAfter w:val="1"/>
          <w:wAfter w:w="18" w:type="pct"/>
          <w:trHeight w:val="204"/>
        </w:trPr>
        <w:tc>
          <w:tcPr>
            <w:tcW w:w="1058" w:type="pct"/>
            <w:tcBorders>
              <w:top w:val="single" w:sz="4" w:space="0" w:color="auto"/>
              <w:left w:val="nil"/>
              <w:bottom w:val="single" w:sz="4" w:space="0" w:color="auto"/>
              <w:right w:val="nil"/>
            </w:tcBorders>
          </w:tcPr>
          <w:p w14:paraId="6495B364" w14:textId="10A64C36"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vAlign w:val="center"/>
          </w:tcPr>
          <w:p w14:paraId="2508A53D" w14:textId="4D753148"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1 028 408</w:t>
            </w:r>
          </w:p>
        </w:tc>
        <w:tc>
          <w:tcPr>
            <w:tcW w:w="605" w:type="pct"/>
            <w:tcBorders>
              <w:top w:val="single" w:sz="4" w:space="0" w:color="auto"/>
              <w:left w:val="nil"/>
              <w:bottom w:val="single" w:sz="4" w:space="0" w:color="auto"/>
              <w:right w:val="nil"/>
            </w:tcBorders>
            <w:vAlign w:val="center"/>
          </w:tcPr>
          <w:p w14:paraId="57B7DD9D" w14:textId="58516DA5"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-1 018 420</w:t>
            </w:r>
          </w:p>
        </w:tc>
        <w:tc>
          <w:tcPr>
            <w:tcW w:w="681" w:type="pct"/>
            <w:tcBorders>
              <w:top w:val="single" w:sz="4" w:space="0" w:color="auto"/>
              <w:left w:val="nil"/>
              <w:bottom w:val="single" w:sz="4" w:space="0" w:color="auto"/>
              <w:right w:val="nil"/>
            </w:tcBorders>
            <w:vAlign w:val="center"/>
          </w:tcPr>
          <w:p w14:paraId="43BDC2AD" w14:textId="5823F71F"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9 988</w:t>
            </w:r>
          </w:p>
        </w:tc>
        <w:tc>
          <w:tcPr>
            <w:tcW w:w="680" w:type="pct"/>
            <w:tcBorders>
              <w:top w:val="single" w:sz="4" w:space="0" w:color="auto"/>
              <w:left w:val="nil"/>
              <w:bottom w:val="single" w:sz="4" w:space="0" w:color="auto"/>
              <w:right w:val="nil"/>
            </w:tcBorders>
            <w:vAlign w:val="center"/>
          </w:tcPr>
          <w:p w14:paraId="24833F41" w14:textId="1858B585"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1 070 583</w:t>
            </w:r>
          </w:p>
        </w:tc>
        <w:tc>
          <w:tcPr>
            <w:tcW w:w="600" w:type="pct"/>
            <w:gridSpan w:val="2"/>
            <w:tcBorders>
              <w:top w:val="single" w:sz="4" w:space="0" w:color="auto"/>
              <w:left w:val="nil"/>
              <w:bottom w:val="single" w:sz="4" w:space="0" w:color="auto"/>
              <w:right w:val="nil"/>
            </w:tcBorders>
            <w:vAlign w:val="center"/>
          </w:tcPr>
          <w:p w14:paraId="7C61B7D3" w14:textId="74F08EE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-1 053 029</w:t>
            </w:r>
          </w:p>
        </w:tc>
        <w:tc>
          <w:tcPr>
            <w:tcW w:w="677" w:type="pct"/>
            <w:tcBorders>
              <w:top w:val="single" w:sz="4" w:space="0" w:color="auto"/>
              <w:left w:val="nil"/>
              <w:bottom w:val="single" w:sz="4" w:space="0" w:color="auto"/>
              <w:right w:val="nil"/>
            </w:tcBorders>
            <w:vAlign w:val="center"/>
          </w:tcPr>
          <w:p w14:paraId="7DB43992" w14:textId="45736F06"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17 554</w:t>
            </w:r>
          </w:p>
        </w:tc>
      </w:tr>
      <w:tr w:rsidR="00C769C7" w:rsidRPr="00A27896" w14:paraId="2CEB2346" w14:textId="061182C4" w:rsidTr="00100EA1">
        <w:trPr>
          <w:gridAfter w:val="1"/>
          <w:wAfter w:w="18" w:type="pct"/>
          <w:trHeight w:val="204"/>
        </w:trPr>
        <w:tc>
          <w:tcPr>
            <w:tcW w:w="1058" w:type="pct"/>
            <w:tcBorders>
              <w:top w:val="single" w:sz="4" w:space="0" w:color="auto"/>
              <w:bottom w:val="single" w:sz="4" w:space="0" w:color="auto"/>
            </w:tcBorders>
            <w:vAlign w:val="center"/>
          </w:tcPr>
          <w:p w14:paraId="1CE44018" w14:textId="1C92AC99"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Prasības, kas ir finanšu instrumenti</w:t>
            </w:r>
          </w:p>
        </w:tc>
        <w:tc>
          <w:tcPr>
            <w:tcW w:w="680" w:type="pct"/>
            <w:gridSpan w:val="2"/>
            <w:tcBorders>
              <w:top w:val="single" w:sz="4" w:space="0" w:color="auto"/>
              <w:left w:val="nil"/>
              <w:bottom w:val="single" w:sz="4" w:space="0" w:color="auto"/>
              <w:right w:val="nil"/>
            </w:tcBorders>
            <w:vAlign w:val="center"/>
          </w:tcPr>
          <w:p w14:paraId="4F2B3B69" w14:textId="1E2E3DED"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406 287 158</w:t>
            </w:r>
          </w:p>
        </w:tc>
        <w:tc>
          <w:tcPr>
            <w:tcW w:w="605" w:type="pct"/>
            <w:tcBorders>
              <w:top w:val="single" w:sz="4" w:space="0" w:color="auto"/>
              <w:left w:val="nil"/>
              <w:bottom w:val="single" w:sz="4" w:space="0" w:color="auto"/>
              <w:right w:val="nil"/>
            </w:tcBorders>
            <w:vAlign w:val="center"/>
          </w:tcPr>
          <w:p w14:paraId="48931252" w14:textId="003E0A0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-406 270 849</w:t>
            </w:r>
          </w:p>
        </w:tc>
        <w:tc>
          <w:tcPr>
            <w:tcW w:w="681" w:type="pct"/>
            <w:tcBorders>
              <w:top w:val="single" w:sz="4" w:space="0" w:color="auto"/>
              <w:left w:val="nil"/>
              <w:bottom w:val="single" w:sz="4" w:space="0" w:color="auto"/>
              <w:right w:val="nil"/>
            </w:tcBorders>
            <w:vAlign w:val="center"/>
          </w:tcPr>
          <w:p w14:paraId="4D32B233" w14:textId="4A84C005"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16 309</w:t>
            </w:r>
          </w:p>
        </w:tc>
        <w:tc>
          <w:tcPr>
            <w:tcW w:w="680" w:type="pct"/>
            <w:tcBorders>
              <w:top w:val="single" w:sz="4" w:space="0" w:color="auto"/>
              <w:left w:val="nil"/>
              <w:bottom w:val="single" w:sz="4" w:space="0" w:color="auto"/>
              <w:right w:val="nil"/>
            </w:tcBorders>
            <w:vAlign w:val="center"/>
          </w:tcPr>
          <w:p w14:paraId="5B3EA8FD" w14:textId="39F4FA9D"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407 868 152</w:t>
            </w:r>
          </w:p>
        </w:tc>
        <w:tc>
          <w:tcPr>
            <w:tcW w:w="600" w:type="pct"/>
            <w:gridSpan w:val="2"/>
            <w:tcBorders>
              <w:top w:val="single" w:sz="4" w:space="0" w:color="auto"/>
              <w:left w:val="nil"/>
              <w:bottom w:val="single" w:sz="4" w:space="0" w:color="auto"/>
              <w:right w:val="nil"/>
            </w:tcBorders>
            <w:vAlign w:val="center"/>
          </w:tcPr>
          <w:p w14:paraId="6D800844" w14:textId="426A0338"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-407 759 292</w:t>
            </w:r>
          </w:p>
        </w:tc>
        <w:tc>
          <w:tcPr>
            <w:tcW w:w="677" w:type="pct"/>
            <w:tcBorders>
              <w:top w:val="single" w:sz="4" w:space="0" w:color="auto"/>
              <w:left w:val="nil"/>
              <w:bottom w:val="single" w:sz="4" w:space="0" w:color="auto"/>
              <w:right w:val="nil"/>
            </w:tcBorders>
            <w:vAlign w:val="center"/>
          </w:tcPr>
          <w:p w14:paraId="68D23BE5" w14:textId="3E700963"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108 860</w:t>
            </w:r>
          </w:p>
        </w:tc>
      </w:tr>
      <w:tr w:rsidR="00C769C7" w:rsidRPr="00A27896" w14:paraId="377CDCF1" w14:textId="64509DDA" w:rsidTr="00100EA1">
        <w:trPr>
          <w:gridAfter w:val="1"/>
          <w:wAfter w:w="18" w:type="pct"/>
          <w:trHeight w:val="204"/>
        </w:trPr>
        <w:tc>
          <w:tcPr>
            <w:tcW w:w="1058" w:type="pct"/>
            <w:tcBorders>
              <w:top w:val="single" w:sz="4" w:space="0" w:color="auto"/>
              <w:left w:val="nil"/>
              <w:bottom w:val="single" w:sz="4" w:space="0" w:color="auto"/>
              <w:right w:val="nil"/>
            </w:tcBorders>
          </w:tcPr>
          <w:p w14:paraId="7E3C309A" w14:textId="3448E009"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līdz 30 dienām</w:t>
            </w:r>
          </w:p>
        </w:tc>
        <w:tc>
          <w:tcPr>
            <w:tcW w:w="680" w:type="pct"/>
            <w:gridSpan w:val="2"/>
            <w:tcBorders>
              <w:top w:val="single" w:sz="4" w:space="0" w:color="auto"/>
              <w:left w:val="nil"/>
              <w:bottom w:val="single" w:sz="4" w:space="0" w:color="auto"/>
              <w:right w:val="nil"/>
            </w:tcBorders>
            <w:shd w:val="clear" w:color="auto" w:fill="auto"/>
            <w:vAlign w:val="center"/>
          </w:tcPr>
          <w:p w14:paraId="30D160CB" w14:textId="01D66B46"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6 947</w:t>
            </w:r>
          </w:p>
        </w:tc>
        <w:tc>
          <w:tcPr>
            <w:tcW w:w="605" w:type="pct"/>
            <w:tcBorders>
              <w:top w:val="single" w:sz="4" w:space="0" w:color="auto"/>
              <w:left w:val="nil"/>
              <w:bottom w:val="single" w:sz="4" w:space="0" w:color="auto"/>
              <w:right w:val="nil"/>
            </w:tcBorders>
            <w:shd w:val="clear" w:color="auto" w:fill="auto"/>
            <w:vAlign w:val="center"/>
          </w:tcPr>
          <w:p w14:paraId="6B7B0956" w14:textId="767F8FAD"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-5 469</w:t>
            </w:r>
          </w:p>
        </w:tc>
        <w:tc>
          <w:tcPr>
            <w:tcW w:w="681" w:type="pct"/>
            <w:tcBorders>
              <w:top w:val="single" w:sz="4" w:space="0" w:color="auto"/>
              <w:left w:val="nil"/>
              <w:bottom w:val="single" w:sz="4" w:space="0" w:color="auto"/>
              <w:right w:val="nil"/>
            </w:tcBorders>
            <w:shd w:val="clear" w:color="auto" w:fill="auto"/>
            <w:vAlign w:val="center"/>
          </w:tcPr>
          <w:p w14:paraId="6A220DEB" w14:textId="281AF8E3"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1 478</w:t>
            </w:r>
          </w:p>
        </w:tc>
        <w:tc>
          <w:tcPr>
            <w:tcW w:w="680" w:type="pct"/>
            <w:tcBorders>
              <w:top w:val="single" w:sz="4" w:space="0" w:color="auto"/>
              <w:left w:val="nil"/>
              <w:bottom w:val="single" w:sz="4" w:space="0" w:color="auto"/>
              <w:right w:val="nil"/>
            </w:tcBorders>
            <w:shd w:val="clear" w:color="auto" w:fill="auto"/>
            <w:vAlign w:val="center"/>
          </w:tcPr>
          <w:p w14:paraId="44F708B7" w14:textId="5B0DA5E6"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33 594</w:t>
            </w:r>
          </w:p>
        </w:tc>
        <w:tc>
          <w:tcPr>
            <w:tcW w:w="600" w:type="pct"/>
            <w:gridSpan w:val="2"/>
            <w:tcBorders>
              <w:top w:val="single" w:sz="4" w:space="0" w:color="auto"/>
              <w:left w:val="nil"/>
              <w:bottom w:val="single" w:sz="4" w:space="0" w:color="auto"/>
              <w:right w:val="nil"/>
            </w:tcBorders>
            <w:shd w:val="clear" w:color="auto" w:fill="auto"/>
            <w:vAlign w:val="center"/>
          </w:tcPr>
          <w:p w14:paraId="593EC411" w14:textId="2F832FB7"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-8 588</w:t>
            </w:r>
          </w:p>
        </w:tc>
        <w:tc>
          <w:tcPr>
            <w:tcW w:w="677" w:type="pct"/>
            <w:tcBorders>
              <w:top w:val="single" w:sz="4" w:space="0" w:color="auto"/>
              <w:left w:val="nil"/>
              <w:bottom w:val="single" w:sz="4" w:space="0" w:color="auto"/>
              <w:right w:val="nil"/>
            </w:tcBorders>
            <w:shd w:val="clear" w:color="auto" w:fill="auto"/>
            <w:vAlign w:val="center"/>
          </w:tcPr>
          <w:p w14:paraId="03C48FFD" w14:textId="291CAFA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25 006</w:t>
            </w:r>
          </w:p>
        </w:tc>
      </w:tr>
      <w:tr w:rsidR="00C769C7" w:rsidRPr="00A27896" w14:paraId="77E24C9C" w14:textId="26D47D95" w:rsidTr="00100EA1">
        <w:trPr>
          <w:gridAfter w:val="1"/>
          <w:wAfter w:w="18" w:type="pct"/>
          <w:trHeight w:val="204"/>
        </w:trPr>
        <w:tc>
          <w:tcPr>
            <w:tcW w:w="1058" w:type="pct"/>
            <w:tcBorders>
              <w:top w:val="single" w:sz="4" w:space="0" w:color="auto"/>
              <w:left w:val="nil"/>
              <w:bottom w:val="single" w:sz="4" w:space="0" w:color="auto"/>
              <w:right w:val="nil"/>
            </w:tcBorders>
          </w:tcPr>
          <w:p w14:paraId="252697F1" w14:textId="375D9C97"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31 līdz 90 dienām</w:t>
            </w:r>
          </w:p>
        </w:tc>
        <w:tc>
          <w:tcPr>
            <w:tcW w:w="680" w:type="pct"/>
            <w:gridSpan w:val="2"/>
            <w:tcBorders>
              <w:top w:val="single" w:sz="4" w:space="0" w:color="auto"/>
              <w:left w:val="nil"/>
              <w:bottom w:val="single" w:sz="4" w:space="0" w:color="auto"/>
              <w:right w:val="nil"/>
            </w:tcBorders>
            <w:shd w:val="clear" w:color="auto" w:fill="auto"/>
            <w:vAlign w:val="center"/>
          </w:tcPr>
          <w:p w14:paraId="0D637109" w14:textId="79A78955"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2 228</w:t>
            </w:r>
          </w:p>
        </w:tc>
        <w:tc>
          <w:tcPr>
            <w:tcW w:w="605" w:type="pct"/>
            <w:tcBorders>
              <w:top w:val="single" w:sz="4" w:space="0" w:color="auto"/>
              <w:left w:val="nil"/>
              <w:bottom w:val="single" w:sz="4" w:space="0" w:color="auto"/>
              <w:right w:val="nil"/>
            </w:tcBorders>
            <w:shd w:val="clear" w:color="auto" w:fill="auto"/>
            <w:vAlign w:val="center"/>
          </w:tcPr>
          <w:p w14:paraId="3AF4279C" w14:textId="2FBFE19E"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681" w:type="pct"/>
            <w:tcBorders>
              <w:top w:val="single" w:sz="4" w:space="0" w:color="auto"/>
              <w:left w:val="nil"/>
              <w:bottom w:val="single" w:sz="4" w:space="0" w:color="auto"/>
              <w:right w:val="nil"/>
            </w:tcBorders>
            <w:shd w:val="clear" w:color="auto" w:fill="auto"/>
            <w:vAlign w:val="center"/>
          </w:tcPr>
          <w:p w14:paraId="43A04E22" w14:textId="67E4D872"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2 228</w:t>
            </w:r>
          </w:p>
        </w:tc>
        <w:tc>
          <w:tcPr>
            <w:tcW w:w="680" w:type="pct"/>
            <w:tcBorders>
              <w:top w:val="single" w:sz="4" w:space="0" w:color="auto"/>
              <w:left w:val="nil"/>
              <w:bottom w:val="single" w:sz="4" w:space="0" w:color="auto"/>
              <w:right w:val="nil"/>
            </w:tcBorders>
            <w:shd w:val="clear" w:color="auto" w:fill="auto"/>
            <w:vAlign w:val="center"/>
          </w:tcPr>
          <w:p w14:paraId="6FB16BD7" w14:textId="1553B1C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33 068</w:t>
            </w:r>
          </w:p>
        </w:tc>
        <w:tc>
          <w:tcPr>
            <w:tcW w:w="600" w:type="pct"/>
            <w:gridSpan w:val="2"/>
            <w:tcBorders>
              <w:top w:val="single" w:sz="4" w:space="0" w:color="auto"/>
              <w:left w:val="nil"/>
              <w:bottom w:val="single" w:sz="4" w:space="0" w:color="auto"/>
              <w:right w:val="nil"/>
            </w:tcBorders>
            <w:shd w:val="clear" w:color="auto" w:fill="auto"/>
            <w:vAlign w:val="center"/>
          </w:tcPr>
          <w:p w14:paraId="5FD36575" w14:textId="3DA9B541"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-4 916</w:t>
            </w:r>
          </w:p>
        </w:tc>
        <w:tc>
          <w:tcPr>
            <w:tcW w:w="677" w:type="pct"/>
            <w:tcBorders>
              <w:top w:val="single" w:sz="4" w:space="0" w:color="auto"/>
              <w:left w:val="nil"/>
              <w:bottom w:val="single" w:sz="4" w:space="0" w:color="auto"/>
              <w:right w:val="nil"/>
            </w:tcBorders>
            <w:shd w:val="clear" w:color="auto" w:fill="auto"/>
            <w:vAlign w:val="center"/>
          </w:tcPr>
          <w:p w14:paraId="40E27819" w14:textId="0A2A8802"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28 152</w:t>
            </w:r>
          </w:p>
        </w:tc>
      </w:tr>
      <w:tr w:rsidR="00C769C7" w:rsidRPr="00A27896" w14:paraId="0A4A55CC" w14:textId="4B262F0C" w:rsidTr="00100EA1">
        <w:trPr>
          <w:gridAfter w:val="1"/>
          <w:wAfter w:w="18" w:type="pct"/>
          <w:trHeight w:val="204"/>
        </w:trPr>
        <w:tc>
          <w:tcPr>
            <w:tcW w:w="1058" w:type="pct"/>
            <w:tcBorders>
              <w:top w:val="single" w:sz="4" w:space="0" w:color="auto"/>
              <w:left w:val="nil"/>
              <w:bottom w:val="single" w:sz="4" w:space="0" w:color="auto"/>
              <w:right w:val="nil"/>
            </w:tcBorders>
          </w:tcPr>
          <w:p w14:paraId="4194CFF9" w14:textId="0BBA2B03"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91 līdz 180 dienām</w:t>
            </w:r>
          </w:p>
        </w:tc>
        <w:tc>
          <w:tcPr>
            <w:tcW w:w="680" w:type="pct"/>
            <w:gridSpan w:val="2"/>
            <w:tcBorders>
              <w:top w:val="single" w:sz="4" w:space="0" w:color="auto"/>
              <w:left w:val="nil"/>
              <w:bottom w:val="single" w:sz="4" w:space="0" w:color="auto"/>
              <w:right w:val="nil"/>
            </w:tcBorders>
            <w:shd w:val="clear" w:color="auto" w:fill="auto"/>
            <w:vAlign w:val="center"/>
          </w:tcPr>
          <w:p w14:paraId="3715025D" w14:textId="38F049AA"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4 048</w:t>
            </w:r>
          </w:p>
        </w:tc>
        <w:tc>
          <w:tcPr>
            <w:tcW w:w="605" w:type="pct"/>
            <w:tcBorders>
              <w:top w:val="single" w:sz="4" w:space="0" w:color="auto"/>
              <w:left w:val="nil"/>
              <w:bottom w:val="single" w:sz="4" w:space="0" w:color="auto"/>
              <w:right w:val="nil"/>
            </w:tcBorders>
            <w:shd w:val="clear" w:color="auto" w:fill="auto"/>
            <w:vAlign w:val="center"/>
          </w:tcPr>
          <w:p w14:paraId="3C08820D" w14:textId="37E50ECB"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-953</w:t>
            </w:r>
          </w:p>
        </w:tc>
        <w:tc>
          <w:tcPr>
            <w:tcW w:w="681" w:type="pct"/>
            <w:tcBorders>
              <w:top w:val="single" w:sz="4" w:space="0" w:color="auto"/>
              <w:left w:val="nil"/>
              <w:bottom w:val="single" w:sz="4" w:space="0" w:color="auto"/>
              <w:right w:val="nil"/>
            </w:tcBorders>
            <w:shd w:val="clear" w:color="auto" w:fill="auto"/>
            <w:vAlign w:val="center"/>
          </w:tcPr>
          <w:p w14:paraId="2D720584" w14:textId="53A0F9AF"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3 095</w:t>
            </w:r>
          </w:p>
        </w:tc>
        <w:tc>
          <w:tcPr>
            <w:tcW w:w="680" w:type="pct"/>
            <w:tcBorders>
              <w:top w:val="single" w:sz="4" w:space="0" w:color="auto"/>
              <w:left w:val="nil"/>
              <w:bottom w:val="single" w:sz="4" w:space="0" w:color="auto"/>
              <w:right w:val="nil"/>
            </w:tcBorders>
            <w:shd w:val="clear" w:color="auto" w:fill="auto"/>
            <w:vAlign w:val="center"/>
          </w:tcPr>
          <w:p w14:paraId="339249EA" w14:textId="0F4D45AE"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25 220</w:t>
            </w:r>
          </w:p>
        </w:tc>
        <w:tc>
          <w:tcPr>
            <w:tcW w:w="600" w:type="pct"/>
            <w:gridSpan w:val="2"/>
            <w:tcBorders>
              <w:top w:val="single" w:sz="4" w:space="0" w:color="auto"/>
              <w:left w:val="nil"/>
              <w:bottom w:val="single" w:sz="4" w:space="0" w:color="auto"/>
              <w:right w:val="nil"/>
            </w:tcBorders>
            <w:shd w:val="clear" w:color="auto" w:fill="auto"/>
            <w:vAlign w:val="center"/>
          </w:tcPr>
          <w:p w14:paraId="2320B2C9" w14:textId="45F238F4"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-21 795</w:t>
            </w:r>
          </w:p>
        </w:tc>
        <w:tc>
          <w:tcPr>
            <w:tcW w:w="677" w:type="pct"/>
            <w:tcBorders>
              <w:top w:val="single" w:sz="4" w:space="0" w:color="auto"/>
              <w:left w:val="nil"/>
              <w:bottom w:val="single" w:sz="4" w:space="0" w:color="auto"/>
              <w:right w:val="nil"/>
            </w:tcBorders>
            <w:shd w:val="clear" w:color="auto" w:fill="auto"/>
            <w:vAlign w:val="center"/>
          </w:tcPr>
          <w:p w14:paraId="12E7C2A4" w14:textId="566090DB"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3 425</w:t>
            </w:r>
          </w:p>
        </w:tc>
      </w:tr>
      <w:tr w:rsidR="00C769C7" w:rsidRPr="00A27896" w14:paraId="334419D4" w14:textId="77777777" w:rsidTr="00100EA1">
        <w:trPr>
          <w:gridAfter w:val="1"/>
          <w:wAfter w:w="18" w:type="pct"/>
          <w:trHeight w:val="204"/>
        </w:trPr>
        <w:tc>
          <w:tcPr>
            <w:tcW w:w="1058" w:type="pct"/>
            <w:tcBorders>
              <w:top w:val="single" w:sz="4" w:space="0" w:color="auto"/>
              <w:left w:val="nil"/>
              <w:bottom w:val="single" w:sz="4" w:space="0" w:color="auto"/>
              <w:right w:val="nil"/>
            </w:tcBorders>
          </w:tcPr>
          <w:p w14:paraId="7CFEBA80" w14:textId="02E77825"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181 līdz 360 dienām</w:t>
            </w:r>
          </w:p>
        </w:tc>
        <w:tc>
          <w:tcPr>
            <w:tcW w:w="680" w:type="pct"/>
            <w:gridSpan w:val="2"/>
            <w:tcBorders>
              <w:top w:val="single" w:sz="4" w:space="0" w:color="auto"/>
              <w:left w:val="nil"/>
              <w:bottom w:val="single" w:sz="4" w:space="0" w:color="auto"/>
              <w:right w:val="nil"/>
            </w:tcBorders>
            <w:shd w:val="clear" w:color="auto" w:fill="auto"/>
            <w:vAlign w:val="center"/>
          </w:tcPr>
          <w:p w14:paraId="5345AF78" w14:textId="521E9CB8"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28 209</w:t>
            </w:r>
          </w:p>
        </w:tc>
        <w:tc>
          <w:tcPr>
            <w:tcW w:w="605" w:type="pct"/>
            <w:tcBorders>
              <w:top w:val="single" w:sz="4" w:space="0" w:color="auto"/>
              <w:left w:val="nil"/>
              <w:bottom w:val="single" w:sz="4" w:space="0" w:color="auto"/>
              <w:right w:val="nil"/>
            </w:tcBorders>
            <w:shd w:val="clear" w:color="auto" w:fill="auto"/>
            <w:vAlign w:val="center"/>
          </w:tcPr>
          <w:p w14:paraId="336976AC" w14:textId="738DDB27"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-25 727</w:t>
            </w:r>
          </w:p>
        </w:tc>
        <w:tc>
          <w:tcPr>
            <w:tcW w:w="681" w:type="pct"/>
            <w:tcBorders>
              <w:top w:val="single" w:sz="4" w:space="0" w:color="auto"/>
              <w:left w:val="nil"/>
              <w:bottom w:val="single" w:sz="4" w:space="0" w:color="auto"/>
              <w:right w:val="nil"/>
            </w:tcBorders>
            <w:shd w:val="clear" w:color="auto" w:fill="auto"/>
            <w:vAlign w:val="center"/>
          </w:tcPr>
          <w:p w14:paraId="6FFA636C" w14:textId="15478DF4"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2 482</w:t>
            </w:r>
          </w:p>
        </w:tc>
        <w:tc>
          <w:tcPr>
            <w:tcW w:w="680" w:type="pct"/>
            <w:tcBorders>
              <w:top w:val="single" w:sz="4" w:space="0" w:color="auto"/>
              <w:left w:val="nil"/>
              <w:bottom w:val="single" w:sz="4" w:space="0" w:color="auto"/>
              <w:right w:val="nil"/>
            </w:tcBorders>
            <w:shd w:val="clear" w:color="auto" w:fill="auto"/>
            <w:vAlign w:val="center"/>
          </w:tcPr>
          <w:p w14:paraId="73C51640" w14:textId="0963C1E8"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28 054</w:t>
            </w:r>
          </w:p>
        </w:tc>
        <w:tc>
          <w:tcPr>
            <w:tcW w:w="600" w:type="pct"/>
            <w:gridSpan w:val="2"/>
            <w:tcBorders>
              <w:top w:val="single" w:sz="4" w:space="0" w:color="auto"/>
              <w:left w:val="nil"/>
              <w:bottom w:val="single" w:sz="4" w:space="0" w:color="auto"/>
              <w:right w:val="nil"/>
            </w:tcBorders>
            <w:shd w:val="clear" w:color="auto" w:fill="auto"/>
            <w:vAlign w:val="center"/>
          </w:tcPr>
          <w:p w14:paraId="6AF3845E" w14:textId="0CCA522B"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-22 818</w:t>
            </w:r>
          </w:p>
        </w:tc>
        <w:tc>
          <w:tcPr>
            <w:tcW w:w="677" w:type="pct"/>
            <w:tcBorders>
              <w:top w:val="single" w:sz="4" w:space="0" w:color="auto"/>
              <w:left w:val="nil"/>
              <w:bottom w:val="single" w:sz="4" w:space="0" w:color="auto"/>
              <w:right w:val="nil"/>
            </w:tcBorders>
            <w:shd w:val="clear" w:color="auto" w:fill="auto"/>
            <w:vAlign w:val="center"/>
          </w:tcPr>
          <w:p w14:paraId="1B29F260" w14:textId="5E54F5DC"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5 236</w:t>
            </w:r>
          </w:p>
        </w:tc>
      </w:tr>
      <w:tr w:rsidR="00C769C7" w:rsidRPr="00A27896" w14:paraId="6CC6374A" w14:textId="77777777" w:rsidTr="00100EA1">
        <w:trPr>
          <w:gridAfter w:val="1"/>
          <w:wAfter w:w="18" w:type="pct"/>
          <w:trHeight w:val="204"/>
        </w:trPr>
        <w:tc>
          <w:tcPr>
            <w:tcW w:w="1058" w:type="pct"/>
            <w:tcBorders>
              <w:top w:val="single" w:sz="4" w:space="0" w:color="auto"/>
              <w:left w:val="nil"/>
              <w:bottom w:val="single" w:sz="4" w:space="0" w:color="auto"/>
              <w:right w:val="nil"/>
            </w:tcBorders>
          </w:tcPr>
          <w:p w14:paraId="569FA265" w14:textId="04F8E24F"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vAlign w:val="center"/>
          </w:tcPr>
          <w:p w14:paraId="4525E85D" w14:textId="5C9292B3"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406 245 726</w:t>
            </w:r>
          </w:p>
        </w:tc>
        <w:tc>
          <w:tcPr>
            <w:tcW w:w="605" w:type="pct"/>
            <w:tcBorders>
              <w:top w:val="single" w:sz="4" w:space="0" w:color="auto"/>
              <w:left w:val="nil"/>
              <w:bottom w:val="single" w:sz="4" w:space="0" w:color="auto"/>
              <w:right w:val="nil"/>
            </w:tcBorders>
            <w:shd w:val="clear" w:color="auto" w:fill="auto"/>
            <w:vAlign w:val="center"/>
          </w:tcPr>
          <w:p w14:paraId="5A50124C" w14:textId="31C71440"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-406 238 700</w:t>
            </w:r>
          </w:p>
        </w:tc>
        <w:tc>
          <w:tcPr>
            <w:tcW w:w="681" w:type="pct"/>
            <w:tcBorders>
              <w:top w:val="single" w:sz="4" w:space="0" w:color="auto"/>
              <w:left w:val="nil"/>
              <w:bottom w:val="single" w:sz="4" w:space="0" w:color="auto"/>
              <w:right w:val="nil"/>
            </w:tcBorders>
            <w:shd w:val="clear" w:color="auto" w:fill="auto"/>
            <w:vAlign w:val="center"/>
          </w:tcPr>
          <w:p w14:paraId="4CDAD7A2" w14:textId="3E55AFF7"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7 026</w:t>
            </w:r>
          </w:p>
        </w:tc>
        <w:tc>
          <w:tcPr>
            <w:tcW w:w="680" w:type="pct"/>
            <w:tcBorders>
              <w:top w:val="single" w:sz="4" w:space="0" w:color="auto"/>
              <w:left w:val="nil"/>
              <w:bottom w:val="single" w:sz="4" w:space="0" w:color="auto"/>
              <w:right w:val="nil"/>
            </w:tcBorders>
            <w:shd w:val="clear" w:color="auto" w:fill="auto"/>
            <w:vAlign w:val="center"/>
          </w:tcPr>
          <w:p w14:paraId="028F3C85" w14:textId="2587B9BC"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407 748 216</w:t>
            </w:r>
          </w:p>
        </w:tc>
        <w:tc>
          <w:tcPr>
            <w:tcW w:w="600" w:type="pct"/>
            <w:gridSpan w:val="2"/>
            <w:tcBorders>
              <w:top w:val="single" w:sz="4" w:space="0" w:color="auto"/>
              <w:left w:val="nil"/>
              <w:bottom w:val="single" w:sz="4" w:space="0" w:color="auto"/>
              <w:right w:val="nil"/>
            </w:tcBorders>
            <w:shd w:val="clear" w:color="auto" w:fill="auto"/>
            <w:vAlign w:val="center"/>
          </w:tcPr>
          <w:p w14:paraId="4C11658D" w14:textId="3CE3BA5C"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-407 701 175</w:t>
            </w:r>
          </w:p>
        </w:tc>
        <w:tc>
          <w:tcPr>
            <w:tcW w:w="677" w:type="pct"/>
            <w:tcBorders>
              <w:top w:val="single" w:sz="4" w:space="0" w:color="auto"/>
              <w:left w:val="nil"/>
              <w:bottom w:val="single" w:sz="4" w:space="0" w:color="auto"/>
              <w:right w:val="nil"/>
            </w:tcBorders>
            <w:shd w:val="clear" w:color="auto" w:fill="auto"/>
            <w:vAlign w:val="center"/>
          </w:tcPr>
          <w:p w14:paraId="5271A4A5" w14:textId="1CECDED3"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47 041</w:t>
            </w:r>
          </w:p>
        </w:tc>
      </w:tr>
      <w:tr w:rsidR="00C769C7" w:rsidRPr="00A27896" w14:paraId="5B163086" w14:textId="77777777" w:rsidTr="00100EA1">
        <w:trPr>
          <w:gridAfter w:val="1"/>
          <w:wAfter w:w="18" w:type="pct"/>
          <w:trHeight w:val="204"/>
        </w:trPr>
        <w:tc>
          <w:tcPr>
            <w:tcW w:w="1058" w:type="pct"/>
            <w:tcBorders>
              <w:top w:val="single" w:sz="4" w:space="0" w:color="auto"/>
              <w:bottom w:val="single" w:sz="4" w:space="0" w:color="auto"/>
            </w:tcBorders>
            <w:vAlign w:val="center"/>
          </w:tcPr>
          <w:p w14:paraId="034CFB86" w14:textId="07AEC5E0"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finanšu instrumenti</w:t>
            </w:r>
          </w:p>
        </w:tc>
        <w:tc>
          <w:tcPr>
            <w:tcW w:w="680" w:type="pct"/>
            <w:gridSpan w:val="2"/>
            <w:tcBorders>
              <w:top w:val="single" w:sz="4" w:space="0" w:color="auto"/>
              <w:left w:val="nil"/>
              <w:bottom w:val="single" w:sz="4" w:space="0" w:color="auto"/>
              <w:right w:val="nil"/>
            </w:tcBorders>
            <w:shd w:val="clear" w:color="auto" w:fill="auto"/>
            <w:vAlign w:val="center"/>
          </w:tcPr>
          <w:p w14:paraId="3B59E447" w14:textId="58CF124F"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605" w:type="pct"/>
            <w:tcBorders>
              <w:top w:val="single" w:sz="4" w:space="0" w:color="auto"/>
              <w:left w:val="nil"/>
              <w:bottom w:val="single" w:sz="4" w:space="0" w:color="auto"/>
              <w:right w:val="nil"/>
            </w:tcBorders>
            <w:shd w:val="clear" w:color="auto" w:fill="auto"/>
            <w:vAlign w:val="center"/>
          </w:tcPr>
          <w:p w14:paraId="029742CC" w14:textId="28771685"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681" w:type="pct"/>
            <w:tcBorders>
              <w:top w:val="single" w:sz="4" w:space="0" w:color="auto"/>
              <w:left w:val="nil"/>
              <w:bottom w:val="single" w:sz="4" w:space="0" w:color="auto"/>
              <w:right w:val="nil"/>
            </w:tcBorders>
            <w:shd w:val="clear" w:color="auto" w:fill="auto"/>
            <w:vAlign w:val="center"/>
          </w:tcPr>
          <w:p w14:paraId="7FEA311F" w14:textId="6A844B14"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680" w:type="pct"/>
            <w:tcBorders>
              <w:top w:val="single" w:sz="4" w:space="0" w:color="auto"/>
              <w:left w:val="nil"/>
              <w:bottom w:val="single" w:sz="4" w:space="0" w:color="auto"/>
              <w:right w:val="nil"/>
            </w:tcBorders>
            <w:shd w:val="clear" w:color="auto" w:fill="auto"/>
            <w:vAlign w:val="center"/>
          </w:tcPr>
          <w:p w14:paraId="566B6820" w14:textId="0DCD83E5"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730 791</w:t>
            </w:r>
          </w:p>
        </w:tc>
        <w:tc>
          <w:tcPr>
            <w:tcW w:w="600" w:type="pct"/>
            <w:gridSpan w:val="2"/>
            <w:tcBorders>
              <w:top w:val="single" w:sz="4" w:space="0" w:color="auto"/>
              <w:left w:val="nil"/>
              <w:bottom w:val="single" w:sz="4" w:space="0" w:color="auto"/>
              <w:right w:val="nil"/>
            </w:tcBorders>
            <w:shd w:val="clear" w:color="auto" w:fill="auto"/>
            <w:vAlign w:val="center"/>
          </w:tcPr>
          <w:p w14:paraId="718679C0" w14:textId="45192772"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-730 791</w:t>
            </w:r>
          </w:p>
        </w:tc>
        <w:tc>
          <w:tcPr>
            <w:tcW w:w="677" w:type="pct"/>
            <w:tcBorders>
              <w:top w:val="single" w:sz="4" w:space="0" w:color="auto"/>
              <w:left w:val="nil"/>
              <w:bottom w:val="single" w:sz="4" w:space="0" w:color="auto"/>
              <w:right w:val="nil"/>
            </w:tcBorders>
            <w:shd w:val="clear" w:color="auto" w:fill="auto"/>
            <w:vAlign w:val="center"/>
          </w:tcPr>
          <w:p w14:paraId="4EF9AAB1" w14:textId="519945AE"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r>
      <w:tr w:rsidR="00C769C7" w:rsidRPr="00A27896" w14:paraId="42F7F962" w14:textId="77777777" w:rsidTr="00100EA1">
        <w:trPr>
          <w:gridAfter w:val="1"/>
          <w:wAfter w:w="18" w:type="pct"/>
          <w:trHeight w:val="204"/>
        </w:trPr>
        <w:tc>
          <w:tcPr>
            <w:tcW w:w="1058" w:type="pct"/>
            <w:tcBorders>
              <w:top w:val="single" w:sz="4" w:space="0" w:color="auto"/>
              <w:bottom w:val="single" w:sz="4" w:space="0" w:color="auto"/>
            </w:tcBorders>
            <w:vAlign w:val="center"/>
          </w:tcPr>
          <w:p w14:paraId="0B43FA90" w14:textId="6E13AF9F" w:rsidR="00C769C7" w:rsidRPr="00A27896" w:rsidRDefault="00C769C7" w:rsidP="00C769C7">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vairāk par 360 dienām</w:t>
            </w:r>
          </w:p>
        </w:tc>
        <w:tc>
          <w:tcPr>
            <w:tcW w:w="680" w:type="pct"/>
            <w:gridSpan w:val="2"/>
            <w:tcBorders>
              <w:top w:val="single" w:sz="4" w:space="0" w:color="auto"/>
              <w:left w:val="nil"/>
              <w:bottom w:val="single" w:sz="4" w:space="0" w:color="auto"/>
              <w:right w:val="nil"/>
            </w:tcBorders>
            <w:shd w:val="clear" w:color="auto" w:fill="auto"/>
            <w:vAlign w:val="center"/>
          </w:tcPr>
          <w:p w14:paraId="49F01059" w14:textId="7757DFF9"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605" w:type="pct"/>
            <w:tcBorders>
              <w:top w:val="single" w:sz="4" w:space="0" w:color="auto"/>
              <w:left w:val="nil"/>
              <w:bottom w:val="single" w:sz="4" w:space="0" w:color="auto"/>
              <w:right w:val="nil"/>
            </w:tcBorders>
            <w:shd w:val="clear" w:color="auto" w:fill="auto"/>
            <w:vAlign w:val="center"/>
          </w:tcPr>
          <w:p w14:paraId="19AFFC5A" w14:textId="67842A12"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681" w:type="pct"/>
            <w:tcBorders>
              <w:top w:val="single" w:sz="4" w:space="0" w:color="auto"/>
              <w:left w:val="nil"/>
              <w:bottom w:val="single" w:sz="4" w:space="0" w:color="auto"/>
              <w:right w:val="nil"/>
            </w:tcBorders>
            <w:shd w:val="clear" w:color="auto" w:fill="auto"/>
            <w:vAlign w:val="center"/>
          </w:tcPr>
          <w:p w14:paraId="0F70D041" w14:textId="72B429CE"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c>
          <w:tcPr>
            <w:tcW w:w="680" w:type="pct"/>
            <w:tcBorders>
              <w:top w:val="single" w:sz="4" w:space="0" w:color="auto"/>
              <w:left w:val="nil"/>
              <w:bottom w:val="single" w:sz="4" w:space="0" w:color="auto"/>
              <w:right w:val="nil"/>
            </w:tcBorders>
            <w:shd w:val="clear" w:color="auto" w:fill="auto"/>
            <w:vAlign w:val="center"/>
          </w:tcPr>
          <w:p w14:paraId="75F212FE" w14:textId="2489D420"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730 791</w:t>
            </w:r>
          </w:p>
        </w:tc>
        <w:tc>
          <w:tcPr>
            <w:tcW w:w="600" w:type="pct"/>
            <w:gridSpan w:val="2"/>
            <w:tcBorders>
              <w:top w:val="single" w:sz="4" w:space="0" w:color="auto"/>
              <w:left w:val="nil"/>
              <w:bottom w:val="single" w:sz="4" w:space="0" w:color="auto"/>
              <w:right w:val="nil"/>
            </w:tcBorders>
            <w:shd w:val="clear" w:color="auto" w:fill="auto"/>
            <w:vAlign w:val="center"/>
          </w:tcPr>
          <w:p w14:paraId="62CFA21E" w14:textId="29659293"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-730 791</w:t>
            </w:r>
          </w:p>
        </w:tc>
        <w:tc>
          <w:tcPr>
            <w:tcW w:w="677" w:type="pct"/>
            <w:tcBorders>
              <w:top w:val="single" w:sz="4" w:space="0" w:color="auto"/>
              <w:left w:val="nil"/>
              <w:bottom w:val="single" w:sz="4" w:space="0" w:color="auto"/>
              <w:right w:val="nil"/>
            </w:tcBorders>
            <w:shd w:val="clear" w:color="auto" w:fill="auto"/>
            <w:vAlign w:val="center"/>
          </w:tcPr>
          <w:p w14:paraId="528B3EE0" w14:textId="0A8FD64D" w:rsidR="00C769C7" w:rsidRPr="00A27896" w:rsidRDefault="00C769C7" w:rsidP="009C0579">
            <w:pPr>
              <w:spacing w:after="0" w:line="240" w:lineRule="auto"/>
              <w:ind w:right="57"/>
              <w:jc w:val="right"/>
              <w:rPr>
                <w:rFonts w:cs="Times New Roman"/>
                <w:color w:val="17365D"/>
                <w:sz w:val="18"/>
                <w:szCs w:val="18"/>
              </w:rPr>
            </w:pPr>
            <w:r w:rsidRPr="00A27896">
              <w:rPr>
                <w:rFonts w:cs="Times New Roman"/>
                <w:color w:val="17365D"/>
                <w:sz w:val="18"/>
                <w:szCs w:val="18"/>
              </w:rPr>
              <w:t>0</w:t>
            </w:r>
          </w:p>
        </w:tc>
      </w:tr>
      <w:tr w:rsidR="00C769C7" w:rsidRPr="00A27896" w14:paraId="1B45D3D2" w14:textId="6022DAE7" w:rsidTr="00100EA1">
        <w:trPr>
          <w:gridAfter w:val="1"/>
          <w:wAfter w:w="18" w:type="pct"/>
          <w:trHeight w:val="204"/>
        </w:trPr>
        <w:tc>
          <w:tcPr>
            <w:tcW w:w="1058" w:type="pct"/>
            <w:tcBorders>
              <w:top w:val="single" w:sz="4" w:space="0" w:color="auto"/>
              <w:bottom w:val="single" w:sz="4" w:space="0" w:color="auto"/>
            </w:tcBorders>
            <w:vAlign w:val="center"/>
          </w:tcPr>
          <w:p w14:paraId="490B7993" w14:textId="1B8B1960" w:rsidR="00C769C7" w:rsidRPr="00A27896" w:rsidRDefault="00C769C7" w:rsidP="00C769C7">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Zembilances posteņos iekļautie finanšu instrumenti</w:t>
            </w:r>
          </w:p>
        </w:tc>
        <w:tc>
          <w:tcPr>
            <w:tcW w:w="680" w:type="pct"/>
            <w:gridSpan w:val="2"/>
            <w:tcBorders>
              <w:top w:val="single" w:sz="4" w:space="0" w:color="auto"/>
              <w:left w:val="nil"/>
              <w:bottom w:val="single" w:sz="4" w:space="0" w:color="auto"/>
              <w:right w:val="nil"/>
            </w:tcBorders>
            <w:shd w:val="clear" w:color="auto" w:fill="auto"/>
            <w:vAlign w:val="center"/>
          </w:tcPr>
          <w:p w14:paraId="3D061FA1" w14:textId="74688349" w:rsidR="00C769C7" w:rsidRPr="00A27896" w:rsidRDefault="00C769C7" w:rsidP="009C0579">
            <w:pPr>
              <w:spacing w:after="0" w:line="240" w:lineRule="auto"/>
              <w:ind w:right="57"/>
              <w:jc w:val="right"/>
              <w:rPr>
                <w:rFonts w:cs="Times New Roman"/>
                <w:b/>
                <w:color w:val="17365D"/>
                <w:sz w:val="18"/>
                <w:szCs w:val="18"/>
              </w:rPr>
            </w:pPr>
            <w:r w:rsidRPr="00A27896">
              <w:rPr>
                <w:rFonts w:cs="Times New Roman"/>
                <w:b/>
                <w:color w:val="17365D"/>
                <w:sz w:val="18"/>
                <w:szCs w:val="18"/>
              </w:rPr>
              <w:t>3 666 996</w:t>
            </w:r>
          </w:p>
        </w:tc>
        <w:tc>
          <w:tcPr>
            <w:tcW w:w="605" w:type="pct"/>
            <w:tcBorders>
              <w:top w:val="single" w:sz="4" w:space="0" w:color="auto"/>
              <w:left w:val="nil"/>
              <w:bottom w:val="single" w:sz="4" w:space="0" w:color="auto"/>
              <w:right w:val="nil"/>
            </w:tcBorders>
            <w:shd w:val="clear" w:color="auto" w:fill="auto"/>
            <w:vAlign w:val="center"/>
          </w:tcPr>
          <w:p w14:paraId="2EF82A26" w14:textId="49BF92B8" w:rsidR="00C769C7" w:rsidRPr="00A27896" w:rsidRDefault="00C769C7" w:rsidP="009C0579">
            <w:pPr>
              <w:spacing w:after="0" w:line="240" w:lineRule="auto"/>
              <w:ind w:right="57"/>
              <w:jc w:val="right"/>
              <w:rPr>
                <w:rFonts w:cs="Times New Roman"/>
                <w:b/>
                <w:color w:val="17365D"/>
                <w:sz w:val="18"/>
                <w:szCs w:val="18"/>
              </w:rPr>
            </w:pPr>
            <w:r w:rsidRPr="00A27896">
              <w:rPr>
                <w:rFonts w:cs="Times New Roman"/>
                <w:b/>
                <w:color w:val="17365D"/>
                <w:sz w:val="18"/>
                <w:szCs w:val="18"/>
              </w:rPr>
              <w:t>0</w:t>
            </w:r>
          </w:p>
        </w:tc>
        <w:tc>
          <w:tcPr>
            <w:tcW w:w="681" w:type="pct"/>
            <w:tcBorders>
              <w:top w:val="single" w:sz="4" w:space="0" w:color="auto"/>
              <w:left w:val="nil"/>
              <w:bottom w:val="single" w:sz="4" w:space="0" w:color="auto"/>
              <w:right w:val="nil"/>
            </w:tcBorders>
            <w:shd w:val="clear" w:color="auto" w:fill="auto"/>
            <w:vAlign w:val="center"/>
          </w:tcPr>
          <w:p w14:paraId="0175B24D" w14:textId="3CBE8CFF" w:rsidR="00C769C7" w:rsidRPr="00A27896" w:rsidRDefault="00C769C7" w:rsidP="009C0579">
            <w:pPr>
              <w:spacing w:after="0" w:line="240" w:lineRule="auto"/>
              <w:ind w:right="57"/>
              <w:jc w:val="right"/>
              <w:rPr>
                <w:rFonts w:cs="Times New Roman"/>
                <w:b/>
                <w:color w:val="17365D"/>
                <w:sz w:val="18"/>
                <w:szCs w:val="18"/>
              </w:rPr>
            </w:pPr>
            <w:r w:rsidRPr="00A27896">
              <w:rPr>
                <w:rFonts w:cs="Times New Roman"/>
                <w:b/>
                <w:color w:val="17365D"/>
                <w:sz w:val="18"/>
                <w:szCs w:val="18"/>
              </w:rPr>
              <w:t>3 666 996</w:t>
            </w:r>
          </w:p>
        </w:tc>
        <w:tc>
          <w:tcPr>
            <w:tcW w:w="680" w:type="pct"/>
            <w:tcBorders>
              <w:top w:val="single" w:sz="4" w:space="0" w:color="auto"/>
              <w:left w:val="nil"/>
              <w:bottom w:val="single" w:sz="4" w:space="0" w:color="auto"/>
              <w:right w:val="nil"/>
            </w:tcBorders>
            <w:shd w:val="clear" w:color="auto" w:fill="auto"/>
            <w:vAlign w:val="center"/>
          </w:tcPr>
          <w:p w14:paraId="0A6E27E6" w14:textId="649C2F23" w:rsidR="00C769C7" w:rsidRPr="00A27896" w:rsidRDefault="00C769C7" w:rsidP="009C0579">
            <w:pPr>
              <w:spacing w:after="0" w:line="240" w:lineRule="auto"/>
              <w:ind w:right="57"/>
              <w:jc w:val="right"/>
              <w:rPr>
                <w:rFonts w:cs="Times New Roman"/>
                <w:b/>
                <w:color w:val="17365D"/>
                <w:sz w:val="18"/>
                <w:szCs w:val="18"/>
              </w:rPr>
            </w:pPr>
            <w:r w:rsidRPr="00A27896">
              <w:rPr>
                <w:rFonts w:cs="Times New Roman"/>
                <w:b/>
                <w:color w:val="17365D"/>
                <w:sz w:val="18"/>
                <w:szCs w:val="18"/>
              </w:rPr>
              <w:t>6 454 332</w:t>
            </w:r>
          </w:p>
        </w:tc>
        <w:tc>
          <w:tcPr>
            <w:tcW w:w="600" w:type="pct"/>
            <w:gridSpan w:val="2"/>
            <w:tcBorders>
              <w:top w:val="single" w:sz="4" w:space="0" w:color="auto"/>
              <w:left w:val="nil"/>
              <w:bottom w:val="single" w:sz="4" w:space="0" w:color="auto"/>
              <w:right w:val="nil"/>
            </w:tcBorders>
            <w:shd w:val="clear" w:color="auto" w:fill="auto"/>
            <w:vAlign w:val="center"/>
          </w:tcPr>
          <w:p w14:paraId="5FBB4E96" w14:textId="004DA49B" w:rsidR="00C769C7" w:rsidRPr="00A27896" w:rsidRDefault="00C769C7" w:rsidP="009C0579">
            <w:pPr>
              <w:spacing w:after="0" w:line="240" w:lineRule="auto"/>
              <w:ind w:right="57"/>
              <w:jc w:val="right"/>
              <w:rPr>
                <w:rFonts w:cs="Times New Roman"/>
                <w:b/>
                <w:color w:val="17365D"/>
                <w:sz w:val="18"/>
                <w:szCs w:val="18"/>
              </w:rPr>
            </w:pPr>
            <w:r w:rsidRPr="00A27896">
              <w:rPr>
                <w:rFonts w:cs="Times New Roman"/>
                <w:b/>
                <w:color w:val="17365D"/>
                <w:sz w:val="18"/>
                <w:szCs w:val="18"/>
              </w:rPr>
              <w:t>0</w:t>
            </w:r>
          </w:p>
        </w:tc>
        <w:tc>
          <w:tcPr>
            <w:tcW w:w="677" w:type="pct"/>
            <w:tcBorders>
              <w:top w:val="single" w:sz="4" w:space="0" w:color="auto"/>
              <w:left w:val="nil"/>
              <w:bottom w:val="single" w:sz="4" w:space="0" w:color="auto"/>
              <w:right w:val="nil"/>
            </w:tcBorders>
            <w:shd w:val="clear" w:color="auto" w:fill="auto"/>
            <w:vAlign w:val="center"/>
          </w:tcPr>
          <w:p w14:paraId="3434BB24" w14:textId="357BA432" w:rsidR="00C769C7" w:rsidRPr="00A27896" w:rsidRDefault="00C769C7" w:rsidP="009C0579">
            <w:pPr>
              <w:spacing w:after="0" w:line="240" w:lineRule="auto"/>
              <w:ind w:right="57"/>
              <w:jc w:val="right"/>
              <w:rPr>
                <w:rFonts w:cs="Times New Roman"/>
                <w:b/>
                <w:color w:val="17365D"/>
                <w:sz w:val="18"/>
                <w:szCs w:val="18"/>
              </w:rPr>
            </w:pPr>
            <w:r w:rsidRPr="00A27896">
              <w:rPr>
                <w:rFonts w:cs="Times New Roman"/>
                <w:b/>
                <w:color w:val="17365D"/>
                <w:sz w:val="18"/>
                <w:szCs w:val="18"/>
              </w:rPr>
              <w:t>6 454 332</w:t>
            </w:r>
          </w:p>
        </w:tc>
      </w:tr>
      <w:tr w:rsidR="000C1009" w:rsidRPr="00A27896" w14:paraId="337C61A7" w14:textId="77777777" w:rsidTr="00100EA1">
        <w:tblPrEx>
          <w:tblBorders>
            <w:insideH w:val="none" w:sz="0" w:space="0" w:color="auto"/>
          </w:tblBorders>
          <w:tblCellMar>
            <w:top w:w="0" w:type="dxa"/>
            <w:left w:w="108" w:type="dxa"/>
            <w:bottom w:w="0" w:type="dxa"/>
            <w:right w:w="108" w:type="dxa"/>
          </w:tblCellMar>
        </w:tblPrEx>
        <w:trPr>
          <w:trHeight w:val="134"/>
        </w:trPr>
        <w:tc>
          <w:tcPr>
            <w:tcW w:w="1420" w:type="pct"/>
            <w:gridSpan w:val="2"/>
            <w:tcBorders>
              <w:top w:val="single" w:sz="4" w:space="0" w:color="auto"/>
              <w:left w:val="nil"/>
              <w:bottom w:val="nil"/>
              <w:right w:val="nil"/>
            </w:tcBorders>
            <w:shd w:val="clear" w:color="000000" w:fill="B9CDE5"/>
            <w:noWrap/>
            <w:vAlign w:val="center"/>
            <w:hideMark/>
          </w:tcPr>
          <w:p w14:paraId="48B018B3" w14:textId="77777777" w:rsidR="00C275AD" w:rsidRPr="00A27896" w:rsidRDefault="00C275AD" w:rsidP="00F10012">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643" w:type="pct"/>
            <w:gridSpan w:val="5"/>
            <w:tcBorders>
              <w:top w:val="single" w:sz="4" w:space="0" w:color="auto"/>
              <w:left w:val="nil"/>
              <w:bottom w:val="nil"/>
              <w:right w:val="nil"/>
            </w:tcBorders>
            <w:shd w:val="clear" w:color="000000" w:fill="B9CDE5"/>
            <w:noWrap/>
            <w:vAlign w:val="center"/>
            <w:hideMark/>
          </w:tcPr>
          <w:p w14:paraId="26B06F82" w14:textId="77777777" w:rsidR="00C275AD" w:rsidRPr="00A27896" w:rsidRDefault="00C275AD" w:rsidP="00F10012">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937" w:type="pct"/>
            <w:gridSpan w:val="3"/>
            <w:tcBorders>
              <w:top w:val="single" w:sz="4" w:space="0" w:color="auto"/>
              <w:left w:val="nil"/>
              <w:bottom w:val="nil"/>
              <w:right w:val="nil"/>
            </w:tcBorders>
            <w:shd w:val="clear" w:color="000000" w:fill="B9CDE5"/>
            <w:vAlign w:val="center"/>
            <w:hideMark/>
          </w:tcPr>
          <w:p w14:paraId="59B297F4" w14:textId="77777777" w:rsidR="00C275AD" w:rsidRPr="00A27896" w:rsidRDefault="00C275AD" w:rsidP="00F10012">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480283A9" w14:textId="720C924A" w:rsidR="00DB637B" w:rsidRPr="00A27896" w:rsidRDefault="00DB637B" w:rsidP="0022056B">
      <w:pPr>
        <w:spacing w:before="120" w:after="0" w:line="240" w:lineRule="auto"/>
        <w:jc w:val="both"/>
        <w:rPr>
          <w:rFonts w:cs="Times New Roman"/>
          <w:color w:val="17365D"/>
        </w:rPr>
      </w:pPr>
      <w:r w:rsidRPr="00A27896">
        <w:rPr>
          <w:rFonts w:cs="Times New Roman"/>
          <w:color w:val="17365D"/>
        </w:rPr>
        <w:t>Informācija piezīmē konsolidēta par savstarpējiem valsts budžeta (Valsts kases) un ministriju un pašvaldību atlikumiem.</w:t>
      </w:r>
    </w:p>
    <w:p w14:paraId="09AFE4BE" w14:textId="5D37FD6F" w:rsidR="005A010F" w:rsidRPr="00A27896" w:rsidRDefault="00715EF2" w:rsidP="008F3443">
      <w:pPr>
        <w:pStyle w:val="Heading5"/>
        <w:spacing w:before="240"/>
        <w:rPr>
          <w:rFonts w:cs="Times New Roman"/>
        </w:rPr>
      </w:pPr>
      <w:r w:rsidRPr="00A27896">
        <w:rPr>
          <w:rFonts w:cs="Times New Roman"/>
        </w:rPr>
        <w:lastRenderedPageBreak/>
        <w:t xml:space="preserve">Piezīme Nr. </w:t>
      </w:r>
      <w:r w:rsidR="005A010F" w:rsidRPr="00A27896">
        <w:rPr>
          <w:rFonts w:cs="Times New Roman"/>
        </w:rPr>
        <w:t>V9.</w:t>
      </w:r>
      <w:r w:rsidR="0076759A" w:rsidRPr="00A27896">
        <w:rPr>
          <w:rFonts w:cs="Times New Roman"/>
        </w:rPr>
        <w:t xml:space="preserve"> Informācija par nodrošinātajiem finanšu aktīviem, kas pakļauti kredītriskam, sadalījumā pa finanšu instrumentiem </w:t>
      </w:r>
    </w:p>
    <w:p w14:paraId="004D4A86" w14:textId="14AB8444" w:rsidR="00147E18" w:rsidRPr="00A27896" w:rsidRDefault="00147E18" w:rsidP="00147E18">
      <w:pPr>
        <w:spacing w:after="120" w:line="240" w:lineRule="auto"/>
        <w:ind w:firstLine="284"/>
        <w:jc w:val="both"/>
        <w:rPr>
          <w:rFonts w:cs="Times New Roman"/>
          <w:color w:val="17365D"/>
        </w:rPr>
      </w:pPr>
      <w:r w:rsidRPr="00A27896">
        <w:rPr>
          <w:rFonts w:cs="Times New Roman"/>
          <w:color w:val="17365D"/>
          <w:szCs w:val="24"/>
        </w:rPr>
        <w:t>Informācija par minist</w:t>
      </w:r>
      <w:r w:rsidR="00934128" w:rsidRPr="00A27896">
        <w:rPr>
          <w:rFonts w:cs="Times New Roman"/>
          <w:color w:val="17365D"/>
          <w:szCs w:val="24"/>
        </w:rPr>
        <w:t>r</w:t>
      </w:r>
      <w:r w:rsidRPr="00A27896">
        <w:rPr>
          <w:rFonts w:cs="Times New Roman"/>
          <w:color w:val="17365D"/>
          <w:szCs w:val="24"/>
        </w:rPr>
        <w:t>iju un pašvaldību</w:t>
      </w:r>
      <w:r w:rsidR="00DB637B" w:rsidRPr="00A27896">
        <w:rPr>
          <w:rFonts w:cs="Times New Roman"/>
          <w:color w:val="17365D"/>
          <w:szCs w:val="24"/>
        </w:rPr>
        <w:t>, kā arī valsts budžeta finanšu uzskaitē atzīt</w:t>
      </w:r>
      <w:r w:rsidR="00DF54DF" w:rsidRPr="00A27896">
        <w:rPr>
          <w:rFonts w:cs="Times New Roman"/>
          <w:color w:val="17365D"/>
          <w:szCs w:val="24"/>
        </w:rPr>
        <w:t>ajiem</w:t>
      </w:r>
      <w:r w:rsidRPr="00A27896">
        <w:rPr>
          <w:rFonts w:cs="Times New Roman"/>
          <w:color w:val="17365D"/>
          <w:szCs w:val="24"/>
        </w:rPr>
        <w:t xml:space="preserve"> nodrošinātajiem finanšu aktīviem sadalījumā pa finanšu instrumentu veidiem sniegta 3</w:t>
      </w:r>
      <w:r w:rsidR="00EA50D1" w:rsidRPr="00A27896">
        <w:rPr>
          <w:rFonts w:cs="Times New Roman"/>
          <w:color w:val="17365D"/>
          <w:szCs w:val="24"/>
        </w:rPr>
        <w:t>5</w:t>
      </w:r>
      <w:r w:rsidRPr="00A27896">
        <w:rPr>
          <w:rFonts w:cs="Times New Roman"/>
          <w:color w:val="17365D"/>
          <w:szCs w:val="24"/>
        </w:rPr>
        <w:t>.</w:t>
      </w:r>
      <w:r w:rsidR="00FA2D8F" w:rsidRPr="00A27896">
        <w:rPr>
          <w:rFonts w:cs="Times New Roman"/>
          <w:color w:val="17365D"/>
          <w:szCs w:val="24"/>
        </w:rPr>
        <w:t> </w:t>
      </w:r>
      <w:r w:rsidRPr="00A27896">
        <w:rPr>
          <w:rFonts w:cs="Times New Roman"/>
          <w:color w:val="17365D"/>
          <w:szCs w:val="24"/>
        </w:rPr>
        <w:t>tabulā.</w:t>
      </w:r>
    </w:p>
    <w:p w14:paraId="75940AAF" w14:textId="1A779067" w:rsidR="003271D2" w:rsidRPr="00A27896" w:rsidRDefault="0076759A" w:rsidP="0076759A">
      <w:pPr>
        <w:spacing w:after="0" w:line="240" w:lineRule="auto"/>
        <w:jc w:val="right"/>
        <w:rPr>
          <w:rFonts w:cs="Times New Roman"/>
          <w:i/>
          <w:color w:val="17365D"/>
          <w:sz w:val="20"/>
        </w:rPr>
      </w:pPr>
      <w:r w:rsidRPr="00A27896">
        <w:rPr>
          <w:rFonts w:cs="Times New Roman"/>
          <w:i/>
          <w:color w:val="17365D"/>
          <w:sz w:val="20"/>
          <w:szCs w:val="20"/>
        </w:rPr>
        <w:t>3</w:t>
      </w:r>
      <w:r w:rsidR="00EA50D1" w:rsidRPr="00A27896">
        <w:rPr>
          <w:rFonts w:cs="Times New Roman"/>
          <w:i/>
          <w:color w:val="17365D"/>
          <w:sz w:val="20"/>
          <w:szCs w:val="20"/>
        </w:rPr>
        <w:t>5</w:t>
      </w:r>
      <w:r w:rsidRPr="00A27896">
        <w:rPr>
          <w:rFonts w:cs="Times New Roman"/>
          <w:i/>
          <w:color w:val="17365D"/>
          <w:sz w:val="20"/>
          <w:szCs w:val="20"/>
        </w:rPr>
        <w:t>. tabula</w:t>
      </w:r>
      <w:r w:rsidR="003877C0" w:rsidRPr="00A27896">
        <w:rPr>
          <w:rFonts w:cs="Times New Roman"/>
          <w:i/>
          <w:color w:val="17365D"/>
          <w:sz w:val="20"/>
          <w:szCs w:val="20"/>
        </w:rPr>
        <w:t>.</w:t>
      </w:r>
      <w:r w:rsidRPr="00A27896">
        <w:rPr>
          <w:rFonts w:cs="Times New Roman"/>
          <w:i/>
          <w:color w:val="17365D"/>
        </w:rPr>
        <w:t xml:space="preserve"> </w:t>
      </w:r>
      <w:r w:rsidRPr="00A27896">
        <w:rPr>
          <w:rFonts w:cs="Times New Roman"/>
          <w:i/>
          <w:color w:val="17365D"/>
          <w:sz w:val="20"/>
        </w:rPr>
        <w:t xml:space="preserve">Informācija par nodrošinātajiem finanšu aktīviem, </w:t>
      </w:r>
    </w:p>
    <w:p w14:paraId="2224FD6A" w14:textId="2F102194" w:rsidR="0076759A" w:rsidRPr="00A27896" w:rsidRDefault="0076759A" w:rsidP="003271D2">
      <w:pPr>
        <w:spacing w:after="0" w:line="240" w:lineRule="auto"/>
        <w:jc w:val="right"/>
        <w:rPr>
          <w:rFonts w:cs="Times New Roman"/>
          <w:i/>
          <w:color w:val="17365D"/>
          <w:sz w:val="20"/>
        </w:rPr>
      </w:pPr>
      <w:r w:rsidRPr="00A27896">
        <w:rPr>
          <w:rFonts w:cs="Times New Roman"/>
          <w:i/>
          <w:color w:val="17365D"/>
          <w:sz w:val="20"/>
        </w:rPr>
        <w:t>kas pakļauti kredītriskam,</w:t>
      </w:r>
      <w:r w:rsidR="003271D2" w:rsidRPr="00A27896">
        <w:rPr>
          <w:rFonts w:cs="Times New Roman"/>
          <w:i/>
          <w:color w:val="17365D"/>
          <w:sz w:val="20"/>
        </w:rPr>
        <w:t xml:space="preserve"> </w:t>
      </w:r>
      <w:r w:rsidRPr="00A27896">
        <w:rPr>
          <w:rFonts w:cs="Times New Roman"/>
          <w:i/>
          <w:color w:val="17365D"/>
          <w:sz w:val="20"/>
        </w:rPr>
        <w:t>sadalījumā pa finanšu instrumentiem (</w:t>
      </w:r>
      <w:proofErr w:type="spellStart"/>
      <w:r w:rsidRPr="00A27896">
        <w:rPr>
          <w:rFonts w:cs="Times New Roman"/>
          <w:i/>
          <w:color w:val="17365D"/>
          <w:sz w:val="20"/>
        </w:rPr>
        <w:t>euro</w:t>
      </w:r>
      <w:proofErr w:type="spellEnd"/>
      <w:r w:rsidRPr="00A27896">
        <w:rPr>
          <w:rFonts w:cs="Times New Roman"/>
          <w:i/>
          <w:color w:val="17365D"/>
          <w:sz w:val="20"/>
        </w:rPr>
        <w:t>)</w:t>
      </w:r>
    </w:p>
    <w:tbl>
      <w:tblPr>
        <w:tblW w:w="5000" w:type="pct"/>
        <w:tblLook w:val="04A0" w:firstRow="1" w:lastRow="0" w:firstColumn="1" w:lastColumn="0" w:noHBand="0" w:noVBand="1"/>
      </w:tblPr>
      <w:tblGrid>
        <w:gridCol w:w="3521"/>
        <w:gridCol w:w="2705"/>
        <w:gridCol w:w="1571"/>
        <w:gridCol w:w="1557"/>
      </w:tblGrid>
      <w:tr w:rsidR="000C1009" w:rsidRPr="00A27896" w14:paraId="6A26423B" w14:textId="55E4AB35" w:rsidTr="00F62E6C">
        <w:trPr>
          <w:trHeight w:val="289"/>
          <w:tblHeader/>
        </w:trPr>
        <w:tc>
          <w:tcPr>
            <w:tcW w:w="6226" w:type="dxa"/>
            <w:gridSpan w:val="2"/>
            <w:vMerge w:val="restart"/>
            <w:tcBorders>
              <w:top w:val="nil"/>
              <w:left w:val="nil"/>
              <w:right w:val="nil"/>
            </w:tcBorders>
            <w:shd w:val="clear" w:color="000000" w:fill="B9CDE5"/>
            <w:vAlign w:val="center"/>
          </w:tcPr>
          <w:p w14:paraId="301A3477" w14:textId="7D846BEF"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Finanšu instrumenta un institucionālā sektora nosaukums</w:t>
            </w:r>
          </w:p>
        </w:tc>
        <w:tc>
          <w:tcPr>
            <w:tcW w:w="3128" w:type="dxa"/>
            <w:gridSpan w:val="2"/>
            <w:tcBorders>
              <w:top w:val="nil"/>
              <w:left w:val="nil"/>
              <w:bottom w:val="single" w:sz="4" w:space="0" w:color="auto"/>
              <w:right w:val="nil"/>
            </w:tcBorders>
            <w:shd w:val="clear" w:color="000000" w:fill="B9CDE5"/>
            <w:vAlign w:val="center"/>
          </w:tcPr>
          <w:p w14:paraId="4089018C" w14:textId="1111294F"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Uzskaites (atlikusī) vērtība</w:t>
            </w:r>
          </w:p>
        </w:tc>
      </w:tr>
      <w:tr w:rsidR="000C1009" w:rsidRPr="00A27896" w14:paraId="324A763C" w14:textId="630D23E9" w:rsidTr="00F62E6C">
        <w:trPr>
          <w:trHeight w:val="425"/>
          <w:tblHeader/>
        </w:trPr>
        <w:tc>
          <w:tcPr>
            <w:tcW w:w="6226" w:type="dxa"/>
            <w:gridSpan w:val="2"/>
            <w:vMerge/>
            <w:tcBorders>
              <w:left w:val="nil"/>
              <w:bottom w:val="single" w:sz="4" w:space="0" w:color="17365D"/>
              <w:right w:val="nil"/>
            </w:tcBorders>
            <w:shd w:val="clear" w:color="000000" w:fill="B9CDE5"/>
            <w:vAlign w:val="center"/>
            <w:hideMark/>
          </w:tcPr>
          <w:p w14:paraId="5B424B7D" w14:textId="6940FF06" w:rsidR="00EA43F0" w:rsidRPr="00A27896" w:rsidRDefault="00EA43F0" w:rsidP="00875D58">
            <w:pPr>
              <w:spacing w:after="0" w:line="240" w:lineRule="auto"/>
              <w:jc w:val="center"/>
              <w:rPr>
                <w:rFonts w:eastAsia="Times New Roman" w:cs="Times New Roman"/>
                <w:b/>
                <w:bCs/>
                <w:color w:val="17365D"/>
                <w:sz w:val="18"/>
                <w:szCs w:val="18"/>
                <w:lang w:eastAsia="lv-LV"/>
              </w:rPr>
            </w:pPr>
          </w:p>
        </w:tc>
        <w:tc>
          <w:tcPr>
            <w:tcW w:w="1571" w:type="dxa"/>
            <w:tcBorders>
              <w:top w:val="nil"/>
              <w:left w:val="nil"/>
              <w:bottom w:val="single" w:sz="4" w:space="0" w:color="17365D"/>
              <w:right w:val="nil"/>
            </w:tcBorders>
            <w:shd w:val="clear" w:color="000000" w:fill="B9CDE5"/>
            <w:vAlign w:val="center"/>
            <w:hideMark/>
          </w:tcPr>
          <w:p w14:paraId="1956CEDB" w14:textId="537B15C4" w:rsidR="00EA43F0" w:rsidRPr="00A27896" w:rsidRDefault="00EA43F0" w:rsidP="00EA43F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557" w:type="dxa"/>
            <w:tcBorders>
              <w:top w:val="nil"/>
              <w:left w:val="nil"/>
              <w:bottom w:val="single" w:sz="4" w:space="0" w:color="17365D"/>
              <w:right w:val="nil"/>
            </w:tcBorders>
            <w:shd w:val="clear" w:color="000000" w:fill="B9CDE5"/>
            <w:vAlign w:val="center"/>
          </w:tcPr>
          <w:p w14:paraId="0A278980" w14:textId="2A39AC8B" w:rsidR="00EA43F0" w:rsidRPr="00A27896" w:rsidRDefault="00EA43F0" w:rsidP="00EA43F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0A60C462" w14:textId="29D29D89" w:rsidTr="00934128">
        <w:trPr>
          <w:trHeight w:val="266"/>
          <w:tblHeader/>
        </w:trPr>
        <w:tc>
          <w:tcPr>
            <w:tcW w:w="6226" w:type="dxa"/>
            <w:gridSpan w:val="2"/>
            <w:tcBorders>
              <w:top w:val="single" w:sz="4" w:space="0" w:color="17365D"/>
              <w:left w:val="nil"/>
              <w:bottom w:val="single" w:sz="4" w:space="0" w:color="17365D"/>
              <w:right w:val="nil"/>
            </w:tcBorders>
            <w:shd w:val="clear" w:color="auto" w:fill="auto"/>
            <w:vAlign w:val="center"/>
            <w:hideMark/>
          </w:tcPr>
          <w:p w14:paraId="6DA6AAFE" w14:textId="2D3CC19F"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571" w:type="dxa"/>
            <w:tcBorders>
              <w:top w:val="single" w:sz="4" w:space="0" w:color="17365D"/>
              <w:left w:val="nil"/>
              <w:bottom w:val="single" w:sz="4" w:space="0" w:color="17365D"/>
              <w:right w:val="nil"/>
            </w:tcBorders>
            <w:shd w:val="clear" w:color="auto" w:fill="auto"/>
            <w:vAlign w:val="center"/>
            <w:hideMark/>
          </w:tcPr>
          <w:p w14:paraId="2DFAD241" w14:textId="77777777"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557" w:type="dxa"/>
            <w:tcBorders>
              <w:top w:val="single" w:sz="4" w:space="0" w:color="17365D"/>
              <w:left w:val="nil"/>
              <w:bottom w:val="single" w:sz="4" w:space="0" w:color="17365D"/>
              <w:right w:val="nil"/>
            </w:tcBorders>
          </w:tcPr>
          <w:p w14:paraId="0FF266CA" w14:textId="47A933D7"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r>
      <w:tr w:rsidR="00170582" w:rsidRPr="00A27896" w14:paraId="7D26B430" w14:textId="615E1AF0" w:rsidTr="00170582">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3D5AA2FE" w14:textId="77943CE2" w:rsidR="00170582" w:rsidRPr="00A27896" w:rsidRDefault="00170582" w:rsidP="00170582">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aktīvi</w:t>
            </w:r>
          </w:p>
        </w:tc>
        <w:tc>
          <w:tcPr>
            <w:tcW w:w="1571" w:type="dxa"/>
            <w:tcBorders>
              <w:top w:val="single" w:sz="4" w:space="0" w:color="17365D"/>
              <w:left w:val="nil"/>
              <w:bottom w:val="single" w:sz="4" w:space="0" w:color="17365D"/>
              <w:right w:val="nil"/>
            </w:tcBorders>
            <w:shd w:val="clear" w:color="auto" w:fill="auto"/>
            <w:noWrap/>
            <w:vAlign w:val="center"/>
          </w:tcPr>
          <w:p w14:paraId="592BB760" w14:textId="34A1DE13" w:rsidR="00170582" w:rsidRPr="00A27896" w:rsidRDefault="00170582" w:rsidP="00170582">
            <w:pPr>
              <w:spacing w:after="0" w:line="240" w:lineRule="auto"/>
              <w:ind w:right="57"/>
              <w:jc w:val="right"/>
              <w:rPr>
                <w:rFonts w:cs="Times New Roman"/>
                <w:b/>
                <w:color w:val="17365D"/>
                <w:sz w:val="18"/>
                <w:szCs w:val="18"/>
              </w:rPr>
            </w:pPr>
            <w:r w:rsidRPr="00A27896">
              <w:rPr>
                <w:rFonts w:cs="Times New Roman"/>
                <w:b/>
                <w:color w:val="17365D"/>
                <w:sz w:val="18"/>
                <w:szCs w:val="18"/>
              </w:rPr>
              <w:t>1 153 878 028</w:t>
            </w:r>
          </w:p>
        </w:tc>
        <w:tc>
          <w:tcPr>
            <w:tcW w:w="1557" w:type="dxa"/>
            <w:tcBorders>
              <w:top w:val="single" w:sz="4" w:space="0" w:color="17365D"/>
              <w:left w:val="nil"/>
              <w:bottom w:val="single" w:sz="4" w:space="0" w:color="17365D"/>
              <w:right w:val="nil"/>
            </w:tcBorders>
            <w:shd w:val="clear" w:color="auto" w:fill="auto"/>
            <w:vAlign w:val="center"/>
          </w:tcPr>
          <w:p w14:paraId="723C54EF" w14:textId="381B7BA8" w:rsidR="00170582" w:rsidRPr="00A27896" w:rsidRDefault="00170582" w:rsidP="00170582">
            <w:pPr>
              <w:spacing w:after="0" w:line="240" w:lineRule="auto"/>
              <w:ind w:right="57"/>
              <w:jc w:val="right"/>
              <w:rPr>
                <w:rFonts w:cs="Times New Roman"/>
                <w:b/>
                <w:color w:val="17365D"/>
                <w:sz w:val="18"/>
                <w:szCs w:val="18"/>
              </w:rPr>
            </w:pPr>
            <w:r w:rsidRPr="00A27896">
              <w:rPr>
                <w:rFonts w:cs="Times New Roman"/>
                <w:b/>
                <w:color w:val="17365D"/>
                <w:sz w:val="18"/>
                <w:szCs w:val="18"/>
              </w:rPr>
              <w:t>1 096 917 332</w:t>
            </w:r>
          </w:p>
        </w:tc>
      </w:tr>
      <w:tr w:rsidR="00170582" w:rsidRPr="00A27896" w14:paraId="6C4AF083" w14:textId="0F93364F" w:rsidTr="00170582">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50DB9F3B" w14:textId="0E6A93B1" w:rsidR="00170582" w:rsidRPr="00A27896" w:rsidRDefault="00170582" w:rsidP="00170582">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Vērtspapīri</w:t>
            </w:r>
          </w:p>
        </w:tc>
        <w:tc>
          <w:tcPr>
            <w:tcW w:w="1571" w:type="dxa"/>
            <w:tcBorders>
              <w:top w:val="single" w:sz="4" w:space="0" w:color="17365D"/>
              <w:left w:val="nil"/>
              <w:bottom w:val="single" w:sz="4" w:space="0" w:color="17365D"/>
              <w:right w:val="nil"/>
            </w:tcBorders>
            <w:shd w:val="clear" w:color="auto" w:fill="auto"/>
            <w:noWrap/>
            <w:vAlign w:val="center"/>
          </w:tcPr>
          <w:p w14:paraId="147875C6" w14:textId="37B7D246" w:rsidR="00170582" w:rsidRPr="00A27896" w:rsidRDefault="00170582" w:rsidP="00170582">
            <w:pPr>
              <w:spacing w:after="0" w:line="240" w:lineRule="auto"/>
              <w:ind w:right="57"/>
              <w:jc w:val="right"/>
              <w:rPr>
                <w:rFonts w:cs="Times New Roman"/>
                <w:color w:val="17365D"/>
                <w:sz w:val="18"/>
                <w:szCs w:val="18"/>
              </w:rPr>
            </w:pPr>
            <w:r w:rsidRPr="00A27896">
              <w:rPr>
                <w:rFonts w:cs="Times New Roman"/>
                <w:color w:val="17365D"/>
                <w:sz w:val="18"/>
                <w:szCs w:val="18"/>
              </w:rPr>
              <w:t>6 133</w:t>
            </w:r>
          </w:p>
        </w:tc>
        <w:tc>
          <w:tcPr>
            <w:tcW w:w="1557" w:type="dxa"/>
            <w:tcBorders>
              <w:top w:val="single" w:sz="4" w:space="0" w:color="17365D"/>
              <w:left w:val="nil"/>
              <w:bottom w:val="single" w:sz="4" w:space="0" w:color="17365D"/>
              <w:right w:val="nil"/>
            </w:tcBorders>
            <w:shd w:val="clear" w:color="auto" w:fill="auto"/>
            <w:vAlign w:val="center"/>
          </w:tcPr>
          <w:p w14:paraId="1D973451" w14:textId="0CE80518" w:rsidR="00170582" w:rsidRPr="00A27896" w:rsidRDefault="00170582" w:rsidP="00170582">
            <w:pPr>
              <w:spacing w:after="0" w:line="240" w:lineRule="auto"/>
              <w:ind w:right="57"/>
              <w:jc w:val="right"/>
              <w:rPr>
                <w:rFonts w:cs="Times New Roman"/>
                <w:color w:val="17365D"/>
                <w:sz w:val="18"/>
                <w:szCs w:val="18"/>
              </w:rPr>
            </w:pPr>
            <w:r w:rsidRPr="00A27896">
              <w:rPr>
                <w:rFonts w:cs="Times New Roman"/>
                <w:color w:val="17365D"/>
                <w:sz w:val="18"/>
                <w:szCs w:val="18"/>
              </w:rPr>
              <w:t>6 811</w:t>
            </w:r>
          </w:p>
        </w:tc>
      </w:tr>
      <w:tr w:rsidR="00170582" w:rsidRPr="00A27896" w14:paraId="0DC7191A" w14:textId="4CBEC311" w:rsidTr="00170582">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11F9CBA7" w14:textId="69DC8BAF" w:rsidR="00170582" w:rsidRPr="00A27896" w:rsidRDefault="00170582" w:rsidP="00170582">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Noguldījumi</w:t>
            </w:r>
          </w:p>
        </w:tc>
        <w:tc>
          <w:tcPr>
            <w:tcW w:w="1571" w:type="dxa"/>
            <w:tcBorders>
              <w:top w:val="single" w:sz="4" w:space="0" w:color="17365D"/>
              <w:left w:val="nil"/>
              <w:bottom w:val="single" w:sz="4" w:space="0" w:color="17365D"/>
              <w:right w:val="nil"/>
            </w:tcBorders>
            <w:shd w:val="clear" w:color="auto" w:fill="auto"/>
            <w:noWrap/>
            <w:vAlign w:val="center"/>
          </w:tcPr>
          <w:p w14:paraId="37067519" w14:textId="7CBD9922" w:rsidR="00170582" w:rsidRPr="00A27896" w:rsidRDefault="00170582" w:rsidP="00170582">
            <w:pPr>
              <w:spacing w:after="0" w:line="240" w:lineRule="auto"/>
              <w:ind w:right="57"/>
              <w:jc w:val="right"/>
              <w:rPr>
                <w:rFonts w:cs="Times New Roman"/>
                <w:color w:val="17365D"/>
                <w:sz w:val="18"/>
                <w:szCs w:val="18"/>
              </w:rPr>
            </w:pPr>
            <w:r w:rsidRPr="00A27896">
              <w:rPr>
                <w:rFonts w:cs="Times New Roman"/>
                <w:color w:val="17365D"/>
                <w:sz w:val="18"/>
                <w:szCs w:val="18"/>
              </w:rPr>
              <w:t>5 314</w:t>
            </w:r>
          </w:p>
        </w:tc>
        <w:tc>
          <w:tcPr>
            <w:tcW w:w="1557" w:type="dxa"/>
            <w:tcBorders>
              <w:top w:val="single" w:sz="4" w:space="0" w:color="17365D"/>
              <w:left w:val="nil"/>
              <w:bottom w:val="single" w:sz="4" w:space="0" w:color="17365D"/>
              <w:right w:val="nil"/>
            </w:tcBorders>
            <w:shd w:val="clear" w:color="auto" w:fill="auto"/>
            <w:vAlign w:val="center"/>
          </w:tcPr>
          <w:p w14:paraId="4D4E537E" w14:textId="2EB89922" w:rsidR="00170582" w:rsidRPr="00A27896" w:rsidRDefault="00170582" w:rsidP="00170582">
            <w:pPr>
              <w:spacing w:after="0" w:line="240" w:lineRule="auto"/>
              <w:ind w:right="57"/>
              <w:jc w:val="right"/>
              <w:rPr>
                <w:rFonts w:cs="Times New Roman"/>
                <w:color w:val="17365D"/>
                <w:sz w:val="18"/>
                <w:szCs w:val="18"/>
              </w:rPr>
            </w:pPr>
            <w:r w:rsidRPr="00A27896">
              <w:rPr>
                <w:rFonts w:cs="Times New Roman"/>
                <w:color w:val="17365D"/>
                <w:sz w:val="18"/>
                <w:szCs w:val="18"/>
              </w:rPr>
              <w:t>5 338</w:t>
            </w:r>
          </w:p>
        </w:tc>
      </w:tr>
      <w:tr w:rsidR="00170582" w:rsidRPr="00A27896" w14:paraId="708DAAFA" w14:textId="50E5ED54" w:rsidTr="00170582">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2A1AA5D5" w14:textId="6564E3D9" w:rsidR="00170582" w:rsidRPr="00A27896" w:rsidRDefault="00170582" w:rsidP="00170582">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Aizdevumi</w:t>
            </w:r>
          </w:p>
        </w:tc>
        <w:tc>
          <w:tcPr>
            <w:tcW w:w="1571" w:type="dxa"/>
            <w:tcBorders>
              <w:top w:val="single" w:sz="4" w:space="0" w:color="17365D"/>
              <w:left w:val="nil"/>
              <w:bottom w:val="single" w:sz="4" w:space="0" w:color="17365D"/>
              <w:right w:val="nil"/>
            </w:tcBorders>
            <w:shd w:val="clear" w:color="auto" w:fill="auto"/>
            <w:noWrap/>
            <w:vAlign w:val="center"/>
          </w:tcPr>
          <w:p w14:paraId="5B58965F" w14:textId="6C3D2C11" w:rsidR="00170582" w:rsidRPr="00A27896" w:rsidRDefault="00170582" w:rsidP="00170582">
            <w:pPr>
              <w:spacing w:after="0" w:line="240" w:lineRule="auto"/>
              <w:ind w:right="57"/>
              <w:jc w:val="right"/>
              <w:rPr>
                <w:rFonts w:cs="Times New Roman"/>
                <w:color w:val="17365D"/>
                <w:sz w:val="18"/>
                <w:szCs w:val="18"/>
              </w:rPr>
            </w:pPr>
            <w:r w:rsidRPr="00A27896">
              <w:rPr>
                <w:rFonts w:cs="Times New Roman"/>
                <w:color w:val="17365D"/>
                <w:sz w:val="18"/>
                <w:szCs w:val="18"/>
              </w:rPr>
              <w:t>382 058 988</w:t>
            </w:r>
          </w:p>
        </w:tc>
        <w:tc>
          <w:tcPr>
            <w:tcW w:w="1557" w:type="dxa"/>
            <w:tcBorders>
              <w:top w:val="single" w:sz="4" w:space="0" w:color="17365D"/>
              <w:left w:val="nil"/>
              <w:bottom w:val="single" w:sz="4" w:space="0" w:color="17365D"/>
              <w:right w:val="nil"/>
            </w:tcBorders>
            <w:shd w:val="clear" w:color="auto" w:fill="auto"/>
            <w:vAlign w:val="center"/>
          </w:tcPr>
          <w:p w14:paraId="1FCE8037" w14:textId="3363D895" w:rsidR="00170582" w:rsidRPr="00A27896" w:rsidRDefault="00170582" w:rsidP="00170582">
            <w:pPr>
              <w:spacing w:after="0" w:line="240" w:lineRule="auto"/>
              <w:ind w:right="57"/>
              <w:jc w:val="right"/>
              <w:rPr>
                <w:rFonts w:cs="Times New Roman"/>
                <w:color w:val="17365D"/>
                <w:sz w:val="18"/>
                <w:szCs w:val="18"/>
              </w:rPr>
            </w:pPr>
            <w:r w:rsidRPr="00A27896">
              <w:rPr>
                <w:rFonts w:cs="Times New Roman"/>
                <w:color w:val="17365D"/>
                <w:sz w:val="18"/>
                <w:szCs w:val="18"/>
              </w:rPr>
              <w:t>332 636 357</w:t>
            </w:r>
          </w:p>
        </w:tc>
      </w:tr>
      <w:tr w:rsidR="00170582" w:rsidRPr="00A27896" w14:paraId="070C0E99" w14:textId="50198982" w:rsidTr="00170582">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05E52B51" w14:textId="59BE4031" w:rsidR="00170582" w:rsidRPr="00A27896" w:rsidRDefault="00170582" w:rsidP="00170582">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Prasības, kas ir finanšu instrumenti</w:t>
            </w:r>
          </w:p>
        </w:tc>
        <w:tc>
          <w:tcPr>
            <w:tcW w:w="1571" w:type="dxa"/>
            <w:tcBorders>
              <w:top w:val="single" w:sz="4" w:space="0" w:color="17365D"/>
              <w:left w:val="nil"/>
              <w:bottom w:val="single" w:sz="4" w:space="0" w:color="17365D"/>
              <w:right w:val="nil"/>
            </w:tcBorders>
            <w:shd w:val="clear" w:color="auto" w:fill="auto"/>
            <w:noWrap/>
            <w:vAlign w:val="center"/>
          </w:tcPr>
          <w:p w14:paraId="43BB6485" w14:textId="1CDE0F58" w:rsidR="00170582" w:rsidRPr="00A27896" w:rsidRDefault="00170582" w:rsidP="00170582">
            <w:pPr>
              <w:spacing w:after="0" w:line="240" w:lineRule="auto"/>
              <w:ind w:right="57"/>
              <w:jc w:val="right"/>
              <w:rPr>
                <w:rFonts w:cs="Times New Roman"/>
                <w:color w:val="17365D"/>
                <w:sz w:val="18"/>
                <w:szCs w:val="18"/>
              </w:rPr>
            </w:pPr>
            <w:r w:rsidRPr="00A27896">
              <w:rPr>
                <w:rFonts w:cs="Times New Roman"/>
                <w:color w:val="17365D"/>
                <w:sz w:val="18"/>
                <w:szCs w:val="18"/>
              </w:rPr>
              <w:t>3 633 328</w:t>
            </w:r>
          </w:p>
        </w:tc>
        <w:tc>
          <w:tcPr>
            <w:tcW w:w="1557" w:type="dxa"/>
            <w:tcBorders>
              <w:top w:val="single" w:sz="4" w:space="0" w:color="17365D"/>
              <w:left w:val="nil"/>
              <w:bottom w:val="single" w:sz="4" w:space="0" w:color="17365D"/>
              <w:right w:val="nil"/>
            </w:tcBorders>
            <w:shd w:val="clear" w:color="auto" w:fill="auto"/>
            <w:vAlign w:val="center"/>
          </w:tcPr>
          <w:p w14:paraId="7EBD1DA9" w14:textId="17F78157" w:rsidR="00170582" w:rsidRPr="00A27896" w:rsidRDefault="00170582" w:rsidP="00170582">
            <w:pPr>
              <w:spacing w:after="0" w:line="240" w:lineRule="auto"/>
              <w:ind w:right="57"/>
              <w:jc w:val="right"/>
              <w:rPr>
                <w:rFonts w:cs="Times New Roman"/>
                <w:color w:val="17365D"/>
                <w:sz w:val="18"/>
                <w:szCs w:val="18"/>
              </w:rPr>
            </w:pPr>
            <w:r w:rsidRPr="00A27896">
              <w:rPr>
                <w:rFonts w:cs="Times New Roman"/>
                <w:color w:val="17365D"/>
                <w:sz w:val="18"/>
                <w:szCs w:val="18"/>
              </w:rPr>
              <w:t>3 458 962</w:t>
            </w:r>
          </w:p>
        </w:tc>
      </w:tr>
      <w:tr w:rsidR="00170582" w:rsidRPr="00A27896" w14:paraId="2F6C53AF" w14:textId="3827C9A4" w:rsidTr="00170582">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7498B39C" w14:textId="4DA6EBF3" w:rsidR="00170582" w:rsidRPr="00A27896" w:rsidRDefault="00170582" w:rsidP="00170582">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finanšu instrumenti</w:t>
            </w:r>
          </w:p>
        </w:tc>
        <w:tc>
          <w:tcPr>
            <w:tcW w:w="1571" w:type="dxa"/>
            <w:tcBorders>
              <w:top w:val="single" w:sz="4" w:space="0" w:color="17365D"/>
              <w:left w:val="nil"/>
              <w:bottom w:val="single" w:sz="4" w:space="0" w:color="17365D"/>
              <w:right w:val="nil"/>
            </w:tcBorders>
            <w:shd w:val="clear" w:color="auto" w:fill="auto"/>
            <w:noWrap/>
            <w:vAlign w:val="center"/>
          </w:tcPr>
          <w:p w14:paraId="212F5212" w14:textId="04F5946C" w:rsidR="00170582" w:rsidRPr="00A27896" w:rsidRDefault="00170582" w:rsidP="00170582">
            <w:pPr>
              <w:spacing w:after="0" w:line="240" w:lineRule="auto"/>
              <w:ind w:right="57"/>
              <w:jc w:val="right"/>
              <w:rPr>
                <w:rFonts w:cs="Times New Roman"/>
                <w:color w:val="17365D"/>
                <w:sz w:val="18"/>
                <w:szCs w:val="18"/>
              </w:rPr>
            </w:pPr>
            <w:r w:rsidRPr="00A27896">
              <w:rPr>
                <w:rFonts w:cs="Times New Roman"/>
                <w:color w:val="17365D"/>
                <w:sz w:val="18"/>
                <w:szCs w:val="18"/>
              </w:rPr>
              <w:t>768 174 265</w:t>
            </w:r>
          </w:p>
        </w:tc>
        <w:tc>
          <w:tcPr>
            <w:tcW w:w="1557" w:type="dxa"/>
            <w:tcBorders>
              <w:top w:val="single" w:sz="4" w:space="0" w:color="17365D"/>
              <w:left w:val="nil"/>
              <w:bottom w:val="single" w:sz="4" w:space="0" w:color="17365D"/>
              <w:right w:val="nil"/>
            </w:tcBorders>
            <w:shd w:val="clear" w:color="auto" w:fill="auto"/>
            <w:vAlign w:val="center"/>
          </w:tcPr>
          <w:p w14:paraId="696F6C1F" w14:textId="5F2A5010" w:rsidR="00170582" w:rsidRPr="00A27896" w:rsidRDefault="00170582" w:rsidP="00170582">
            <w:pPr>
              <w:spacing w:after="0" w:line="240" w:lineRule="auto"/>
              <w:ind w:right="57"/>
              <w:jc w:val="right"/>
              <w:rPr>
                <w:rFonts w:cs="Times New Roman"/>
                <w:color w:val="17365D"/>
                <w:sz w:val="18"/>
                <w:szCs w:val="18"/>
              </w:rPr>
            </w:pPr>
            <w:r w:rsidRPr="00A27896">
              <w:rPr>
                <w:rFonts w:cs="Times New Roman"/>
                <w:color w:val="17365D"/>
                <w:sz w:val="18"/>
                <w:szCs w:val="18"/>
              </w:rPr>
              <w:t>760 809 864</w:t>
            </w:r>
          </w:p>
        </w:tc>
      </w:tr>
      <w:tr w:rsidR="000C1009" w:rsidRPr="00A27896" w14:paraId="3D943A6E" w14:textId="7293CF67" w:rsidTr="009F2382">
        <w:trPr>
          <w:trHeight w:val="50"/>
        </w:trPr>
        <w:tc>
          <w:tcPr>
            <w:tcW w:w="3521" w:type="dxa"/>
            <w:tcBorders>
              <w:top w:val="single" w:sz="4" w:space="0" w:color="17365D"/>
              <w:left w:val="nil"/>
              <w:bottom w:val="nil"/>
              <w:right w:val="nil"/>
            </w:tcBorders>
            <w:shd w:val="clear" w:color="000000" w:fill="B9CDE5"/>
            <w:noWrap/>
            <w:vAlign w:val="center"/>
            <w:hideMark/>
          </w:tcPr>
          <w:p w14:paraId="46BC979A" w14:textId="06825548" w:rsidR="00EA43F0" w:rsidRPr="00A27896" w:rsidRDefault="00EA43F0" w:rsidP="00875D58">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4276" w:type="dxa"/>
            <w:gridSpan w:val="2"/>
            <w:tcBorders>
              <w:top w:val="single" w:sz="4" w:space="0" w:color="17365D"/>
              <w:left w:val="nil"/>
              <w:bottom w:val="nil"/>
              <w:right w:val="nil"/>
            </w:tcBorders>
            <w:shd w:val="clear" w:color="000000" w:fill="B9CDE5"/>
            <w:noWrap/>
            <w:vAlign w:val="center"/>
            <w:hideMark/>
          </w:tcPr>
          <w:p w14:paraId="4C10DA51" w14:textId="77777777" w:rsidR="00EA43F0" w:rsidRPr="00A27896" w:rsidRDefault="00EA43F0" w:rsidP="00875D5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557" w:type="dxa"/>
            <w:tcBorders>
              <w:top w:val="single" w:sz="4" w:space="0" w:color="17365D"/>
              <w:left w:val="nil"/>
              <w:bottom w:val="nil"/>
              <w:right w:val="nil"/>
            </w:tcBorders>
            <w:shd w:val="clear" w:color="000000" w:fill="B9CDE5"/>
          </w:tcPr>
          <w:p w14:paraId="2B88A312" w14:textId="77777777" w:rsidR="00EA43F0" w:rsidRPr="00A27896" w:rsidRDefault="00EA43F0" w:rsidP="00875D58">
            <w:pPr>
              <w:spacing w:after="0" w:line="240" w:lineRule="auto"/>
              <w:jc w:val="right"/>
              <w:rPr>
                <w:rFonts w:eastAsia="Times New Roman" w:cs="Times New Roman"/>
                <w:color w:val="17365D"/>
                <w:sz w:val="18"/>
                <w:szCs w:val="18"/>
                <w:lang w:eastAsia="lv-LV"/>
              </w:rPr>
            </w:pPr>
          </w:p>
        </w:tc>
      </w:tr>
    </w:tbl>
    <w:p w14:paraId="2767B2FC" w14:textId="501B4416" w:rsidR="00DF54DF" w:rsidRPr="00A27896" w:rsidRDefault="00DF54DF" w:rsidP="0022056B">
      <w:pPr>
        <w:spacing w:before="120" w:after="0" w:line="240" w:lineRule="auto"/>
        <w:jc w:val="both"/>
        <w:rPr>
          <w:rFonts w:cs="Times New Roman"/>
          <w:color w:val="17365D"/>
        </w:rPr>
      </w:pPr>
      <w:r w:rsidRPr="00A27896">
        <w:rPr>
          <w:rFonts w:cs="Times New Roman"/>
          <w:color w:val="17365D"/>
        </w:rPr>
        <w:t>Informācija piezīmē konsolidēta par savstarpējiem valsts budžeta (Valsts kases) un ministriju un pašvaldību atlikumiem.</w:t>
      </w:r>
    </w:p>
    <w:p w14:paraId="410FD7F5" w14:textId="09111918" w:rsidR="008A7804" w:rsidRPr="00A27896" w:rsidRDefault="008A7804" w:rsidP="00A833F6">
      <w:pPr>
        <w:spacing w:before="120" w:after="0" w:line="240" w:lineRule="auto"/>
        <w:ind w:firstLine="284"/>
        <w:jc w:val="both"/>
        <w:rPr>
          <w:rFonts w:cs="Times New Roman"/>
          <w:color w:val="17365D"/>
        </w:rPr>
      </w:pPr>
      <w:r w:rsidRPr="00A27896">
        <w:rPr>
          <w:rFonts w:cs="Times New Roman"/>
          <w:color w:val="17365D"/>
        </w:rPr>
        <w:t xml:space="preserve">Finanšu aktīvu nodrošinājuma (nekustamais īpašums, citi </w:t>
      </w:r>
      <w:proofErr w:type="spellStart"/>
      <w:r w:rsidRPr="00A27896">
        <w:rPr>
          <w:rFonts w:cs="Times New Roman"/>
          <w:color w:val="17365D"/>
        </w:rPr>
        <w:t>nefinanšu</w:t>
      </w:r>
      <w:proofErr w:type="spellEnd"/>
      <w:r w:rsidRPr="00A27896">
        <w:rPr>
          <w:rFonts w:cs="Times New Roman"/>
          <w:color w:val="17365D"/>
        </w:rPr>
        <w:t xml:space="preserve"> aktīvi, finanšu aktīvi</w:t>
      </w:r>
      <w:r w:rsidR="00A833F6" w:rsidRPr="00A27896">
        <w:rPr>
          <w:rFonts w:cs="Times New Roman"/>
          <w:color w:val="17365D"/>
        </w:rPr>
        <w:t xml:space="preserve"> un cits nodrošinājums) </w:t>
      </w:r>
      <w:r w:rsidRPr="00A27896">
        <w:rPr>
          <w:rFonts w:cs="Times New Roman"/>
          <w:color w:val="17365D"/>
        </w:rPr>
        <w:t>vērtība pārskata gada beigās ir 2</w:t>
      </w:r>
      <w:r w:rsidR="00A833F6" w:rsidRPr="00A27896">
        <w:rPr>
          <w:rFonts w:cs="Times New Roman"/>
          <w:color w:val="17365D"/>
        </w:rPr>
        <w:t> </w:t>
      </w:r>
      <w:r w:rsidRPr="00A27896">
        <w:rPr>
          <w:rFonts w:cs="Times New Roman"/>
          <w:color w:val="17365D"/>
        </w:rPr>
        <w:t>269</w:t>
      </w:r>
      <w:r w:rsidR="00A833F6" w:rsidRPr="00A27896">
        <w:rPr>
          <w:rFonts w:cs="Times New Roman"/>
          <w:color w:val="17365D"/>
        </w:rPr>
        <w:t> </w:t>
      </w:r>
      <w:r w:rsidRPr="00A27896">
        <w:rPr>
          <w:rFonts w:cs="Times New Roman"/>
          <w:color w:val="17365D"/>
        </w:rPr>
        <w:t>141</w:t>
      </w:r>
      <w:r w:rsidR="00A833F6" w:rsidRPr="00A27896">
        <w:rPr>
          <w:rFonts w:cs="Times New Roman"/>
          <w:color w:val="17365D"/>
        </w:rPr>
        <w:t> </w:t>
      </w:r>
      <w:r w:rsidRPr="00A27896">
        <w:rPr>
          <w:rFonts w:cs="Times New Roman"/>
          <w:color w:val="17365D"/>
        </w:rPr>
        <w:t xml:space="preserve">324 </w:t>
      </w:r>
      <w:proofErr w:type="spellStart"/>
      <w:r w:rsidRPr="00A27896">
        <w:rPr>
          <w:rFonts w:cs="Times New Roman"/>
          <w:i/>
          <w:color w:val="17365D"/>
        </w:rPr>
        <w:t>euro</w:t>
      </w:r>
      <w:proofErr w:type="spellEnd"/>
      <w:r w:rsidRPr="00A27896">
        <w:rPr>
          <w:rFonts w:cs="Times New Roman"/>
          <w:color w:val="17365D"/>
        </w:rPr>
        <w:t xml:space="preserve">, tai skaitā aizdevumiem </w:t>
      </w:r>
      <w:r w:rsidR="00A833F6" w:rsidRPr="00A27896">
        <w:rPr>
          <w:rFonts w:cs="Times New Roman"/>
          <w:color w:val="17365D"/>
        </w:rPr>
        <w:t>–</w:t>
      </w:r>
      <w:r w:rsidRPr="00A27896">
        <w:rPr>
          <w:rFonts w:cs="Times New Roman"/>
          <w:color w:val="17365D"/>
        </w:rPr>
        <w:t xml:space="preserve"> 2</w:t>
      </w:r>
      <w:r w:rsidR="00A833F6" w:rsidRPr="00A27896">
        <w:rPr>
          <w:rFonts w:cs="Times New Roman"/>
          <w:color w:val="17365D"/>
        </w:rPr>
        <w:t> </w:t>
      </w:r>
      <w:r w:rsidRPr="00A27896">
        <w:rPr>
          <w:rFonts w:cs="Times New Roman"/>
          <w:color w:val="17365D"/>
        </w:rPr>
        <w:t>267</w:t>
      </w:r>
      <w:r w:rsidR="00A833F6" w:rsidRPr="00A27896">
        <w:rPr>
          <w:rFonts w:cs="Times New Roman"/>
          <w:color w:val="17365D"/>
        </w:rPr>
        <w:t> </w:t>
      </w:r>
      <w:r w:rsidRPr="00A27896">
        <w:rPr>
          <w:rFonts w:cs="Times New Roman"/>
          <w:color w:val="17365D"/>
        </w:rPr>
        <w:t xml:space="preserve">699 772 </w:t>
      </w:r>
      <w:proofErr w:type="spellStart"/>
      <w:r w:rsidRPr="00A27896">
        <w:rPr>
          <w:rFonts w:cs="Times New Roman"/>
          <w:i/>
          <w:color w:val="17365D"/>
        </w:rPr>
        <w:t>euro</w:t>
      </w:r>
      <w:proofErr w:type="spellEnd"/>
      <w:r w:rsidR="00A833F6" w:rsidRPr="00A27896">
        <w:rPr>
          <w:rFonts w:cs="Times New Roman"/>
          <w:i/>
          <w:color w:val="17365D"/>
        </w:rPr>
        <w:t xml:space="preserve"> </w:t>
      </w:r>
      <w:r w:rsidR="00A833F6" w:rsidRPr="00A27896">
        <w:rPr>
          <w:rFonts w:cs="Times New Roman"/>
          <w:color w:val="17365D"/>
        </w:rPr>
        <w:t>un prasībām, kas ir finanšu instrumenti,</w:t>
      </w:r>
      <w:r w:rsidR="00A833F6" w:rsidRPr="00A27896">
        <w:rPr>
          <w:rFonts w:cs="Times New Roman"/>
          <w:i/>
          <w:color w:val="17365D"/>
        </w:rPr>
        <w:t xml:space="preserve"> </w:t>
      </w:r>
      <w:r w:rsidR="00A833F6" w:rsidRPr="00A27896">
        <w:rPr>
          <w:rFonts w:cs="Times New Roman"/>
          <w:color w:val="17365D"/>
        </w:rPr>
        <w:t xml:space="preserve">– 1 441 552 </w:t>
      </w:r>
      <w:proofErr w:type="spellStart"/>
      <w:r w:rsidR="00A833F6" w:rsidRPr="00A27896">
        <w:rPr>
          <w:rFonts w:cs="Times New Roman"/>
          <w:i/>
          <w:color w:val="17365D"/>
        </w:rPr>
        <w:t>euro</w:t>
      </w:r>
      <w:proofErr w:type="spellEnd"/>
      <w:r w:rsidRPr="00A27896">
        <w:rPr>
          <w:rFonts w:cs="Times New Roman"/>
          <w:color w:val="17365D"/>
        </w:rPr>
        <w:t>.</w:t>
      </w:r>
    </w:p>
    <w:p w14:paraId="481EE3FF" w14:textId="177966C1" w:rsidR="00002FCF" w:rsidRPr="00A27896" w:rsidRDefault="00715EF2" w:rsidP="00CB3089">
      <w:pPr>
        <w:pStyle w:val="Heading5"/>
        <w:spacing w:before="240"/>
        <w:rPr>
          <w:rFonts w:cs="Times New Roman"/>
        </w:rPr>
      </w:pPr>
      <w:r w:rsidRPr="00A27896">
        <w:rPr>
          <w:rFonts w:cs="Times New Roman"/>
        </w:rPr>
        <w:t xml:space="preserve">Piezīme Nr. </w:t>
      </w:r>
      <w:r w:rsidR="005E5E10" w:rsidRPr="00A27896">
        <w:rPr>
          <w:rFonts w:cs="Times New Roman"/>
        </w:rPr>
        <w:t xml:space="preserve">V9. Informācija par finanšu saistību nediskontēto nākotnes naudas plūsmas </w:t>
      </w:r>
      <w:proofErr w:type="spellStart"/>
      <w:r w:rsidR="005E5E10" w:rsidRPr="00A27896">
        <w:rPr>
          <w:rFonts w:cs="Times New Roman"/>
        </w:rPr>
        <w:t>termiņstruktūru</w:t>
      </w:r>
      <w:proofErr w:type="spellEnd"/>
      <w:r w:rsidR="005E5E10" w:rsidRPr="00A27896">
        <w:rPr>
          <w:rFonts w:cs="Times New Roman"/>
        </w:rPr>
        <w:t xml:space="preserve"> sadalījumā pa finanšu instrumentiem</w:t>
      </w:r>
    </w:p>
    <w:p w14:paraId="380AE9E9" w14:textId="4F33A361" w:rsidR="00147E18" w:rsidRPr="00A27896" w:rsidRDefault="00147E18" w:rsidP="00147E18">
      <w:pPr>
        <w:spacing w:after="120" w:line="240" w:lineRule="auto"/>
        <w:ind w:firstLine="284"/>
        <w:jc w:val="both"/>
        <w:rPr>
          <w:rFonts w:cs="Times New Roman"/>
          <w:color w:val="17365D"/>
        </w:rPr>
      </w:pPr>
      <w:r w:rsidRPr="00A27896">
        <w:rPr>
          <w:rFonts w:cs="Times New Roman"/>
          <w:color w:val="17365D"/>
          <w:szCs w:val="24"/>
        </w:rPr>
        <w:t>Informācija par ministriju un pašvaldību</w:t>
      </w:r>
      <w:r w:rsidR="00DF54DF" w:rsidRPr="00A27896">
        <w:rPr>
          <w:rFonts w:cs="Times New Roman"/>
          <w:color w:val="17365D"/>
          <w:szCs w:val="24"/>
        </w:rPr>
        <w:t>, kā arī valsts budžeta finanšu uzskaitē atzītajām</w:t>
      </w:r>
      <w:r w:rsidRPr="00A27896">
        <w:rPr>
          <w:rFonts w:cs="Times New Roman"/>
          <w:color w:val="17365D"/>
          <w:szCs w:val="24"/>
        </w:rPr>
        <w:t xml:space="preserve"> nediskontētām finanšu saistībām (naudas plūsmu) sadalījumā pa finanšu instrumentu veidiem sniegta </w:t>
      </w:r>
      <w:r w:rsidR="00A043E2" w:rsidRPr="00A27896">
        <w:rPr>
          <w:rFonts w:cs="Times New Roman"/>
          <w:color w:val="17365D"/>
          <w:szCs w:val="24"/>
        </w:rPr>
        <w:t>3</w:t>
      </w:r>
      <w:r w:rsidR="00EA50D1" w:rsidRPr="00A27896">
        <w:rPr>
          <w:rFonts w:cs="Times New Roman"/>
          <w:color w:val="17365D"/>
          <w:szCs w:val="24"/>
        </w:rPr>
        <w:t>6</w:t>
      </w:r>
      <w:r w:rsidRPr="00A27896">
        <w:rPr>
          <w:rFonts w:cs="Times New Roman"/>
          <w:color w:val="17365D"/>
          <w:szCs w:val="24"/>
        </w:rPr>
        <w:t>.</w:t>
      </w:r>
      <w:r w:rsidR="00034664" w:rsidRPr="00A27896">
        <w:rPr>
          <w:rFonts w:cs="Times New Roman"/>
          <w:color w:val="17365D"/>
          <w:szCs w:val="24"/>
        </w:rPr>
        <w:t> </w:t>
      </w:r>
      <w:r w:rsidRPr="00A27896">
        <w:rPr>
          <w:rFonts w:cs="Times New Roman"/>
          <w:color w:val="17365D"/>
          <w:szCs w:val="24"/>
        </w:rPr>
        <w:t>tabulā.</w:t>
      </w:r>
    </w:p>
    <w:p w14:paraId="1A8E3F74" w14:textId="0F9E3BD1" w:rsidR="005E5E10" w:rsidRPr="00A27896" w:rsidRDefault="00A043E2" w:rsidP="005E5E10">
      <w:pPr>
        <w:spacing w:after="0" w:line="240" w:lineRule="auto"/>
        <w:jc w:val="right"/>
        <w:rPr>
          <w:rFonts w:cs="Times New Roman"/>
          <w:i/>
          <w:color w:val="17365D"/>
          <w:sz w:val="20"/>
        </w:rPr>
      </w:pPr>
      <w:r w:rsidRPr="00A27896">
        <w:rPr>
          <w:rFonts w:cs="Times New Roman"/>
          <w:i/>
          <w:color w:val="17365D"/>
          <w:sz w:val="20"/>
          <w:szCs w:val="20"/>
        </w:rPr>
        <w:t>3</w:t>
      </w:r>
      <w:r w:rsidR="00EA50D1" w:rsidRPr="00A27896">
        <w:rPr>
          <w:rFonts w:cs="Times New Roman"/>
          <w:i/>
          <w:color w:val="17365D"/>
          <w:sz w:val="20"/>
          <w:szCs w:val="20"/>
        </w:rPr>
        <w:t>6</w:t>
      </w:r>
      <w:r w:rsidR="005E5E10" w:rsidRPr="00A27896">
        <w:rPr>
          <w:rFonts w:cs="Times New Roman"/>
          <w:i/>
          <w:color w:val="17365D"/>
          <w:sz w:val="20"/>
          <w:szCs w:val="20"/>
        </w:rPr>
        <w:t>. tabula</w:t>
      </w:r>
      <w:r w:rsidR="003877C0" w:rsidRPr="00A27896">
        <w:rPr>
          <w:rFonts w:cs="Times New Roman"/>
          <w:i/>
          <w:color w:val="17365D"/>
          <w:sz w:val="20"/>
          <w:szCs w:val="20"/>
        </w:rPr>
        <w:t>.</w:t>
      </w:r>
      <w:r w:rsidR="005E5E10" w:rsidRPr="00A27896">
        <w:rPr>
          <w:rFonts w:cs="Times New Roman"/>
          <w:i/>
          <w:color w:val="17365D"/>
        </w:rPr>
        <w:t xml:space="preserve"> </w:t>
      </w:r>
      <w:r w:rsidR="005E5E10" w:rsidRPr="00A27896">
        <w:rPr>
          <w:rFonts w:cs="Times New Roman"/>
          <w:i/>
          <w:color w:val="17365D"/>
          <w:sz w:val="20"/>
        </w:rPr>
        <w:t xml:space="preserve">Informācija par finanšu saistību nediskontēto nākotnes naudas plūsmas </w:t>
      </w:r>
    </w:p>
    <w:p w14:paraId="36C591F9" w14:textId="0B3D5DDF" w:rsidR="00CD4CD0" w:rsidRPr="00A27896" w:rsidRDefault="005E5E10" w:rsidP="005E5E10">
      <w:pPr>
        <w:spacing w:after="0" w:line="240" w:lineRule="auto"/>
        <w:jc w:val="right"/>
        <w:rPr>
          <w:rFonts w:cs="Times New Roman"/>
          <w:i/>
          <w:color w:val="17365D"/>
          <w:sz w:val="20"/>
        </w:rPr>
      </w:pPr>
      <w:proofErr w:type="spellStart"/>
      <w:r w:rsidRPr="00A27896">
        <w:rPr>
          <w:rFonts w:cs="Times New Roman"/>
          <w:i/>
          <w:color w:val="17365D"/>
          <w:sz w:val="20"/>
        </w:rPr>
        <w:t>termiņstruktūru</w:t>
      </w:r>
      <w:proofErr w:type="spellEnd"/>
      <w:r w:rsidRPr="00A27896">
        <w:rPr>
          <w:rFonts w:cs="Times New Roman"/>
          <w:i/>
          <w:color w:val="17365D"/>
          <w:sz w:val="20"/>
        </w:rPr>
        <w:t xml:space="preserve"> sadalījumā pa finanšu instrumentiem</w:t>
      </w:r>
      <w:r w:rsidR="003271D2" w:rsidRPr="00A27896">
        <w:rPr>
          <w:rFonts w:cs="Times New Roman"/>
          <w:i/>
          <w:color w:val="17365D"/>
          <w:sz w:val="20"/>
        </w:rPr>
        <w:t xml:space="preserve"> (</w:t>
      </w:r>
      <w:proofErr w:type="spellStart"/>
      <w:r w:rsidR="003271D2" w:rsidRPr="00A27896">
        <w:rPr>
          <w:rFonts w:cs="Times New Roman"/>
          <w:i/>
          <w:color w:val="17365D"/>
          <w:sz w:val="20"/>
        </w:rPr>
        <w:t>euro</w:t>
      </w:r>
      <w:proofErr w:type="spellEnd"/>
      <w:r w:rsidR="003271D2" w:rsidRPr="00A27896">
        <w:rPr>
          <w:rFonts w:cs="Times New Roman"/>
          <w:i/>
          <w:color w:val="17365D"/>
          <w:sz w:val="20"/>
        </w:rPr>
        <w:t>)</w:t>
      </w:r>
    </w:p>
    <w:tbl>
      <w:tblPr>
        <w:tblW w:w="9826" w:type="dxa"/>
        <w:tblInd w:w="-284" w:type="dxa"/>
        <w:tblLook w:val="04A0" w:firstRow="1" w:lastRow="0" w:firstColumn="1" w:lastColumn="0" w:noHBand="0" w:noVBand="1"/>
      </w:tblPr>
      <w:tblGrid>
        <w:gridCol w:w="1298"/>
        <w:gridCol w:w="826"/>
        <w:gridCol w:w="207"/>
        <w:gridCol w:w="111"/>
        <w:gridCol w:w="876"/>
        <w:gridCol w:w="1030"/>
        <w:gridCol w:w="1066"/>
        <w:gridCol w:w="1036"/>
        <w:gridCol w:w="510"/>
        <w:gridCol w:w="360"/>
        <w:gridCol w:w="108"/>
        <w:gridCol w:w="134"/>
        <w:gridCol w:w="672"/>
        <w:gridCol w:w="299"/>
        <w:gridCol w:w="133"/>
        <w:gridCol w:w="1160"/>
      </w:tblGrid>
      <w:tr w:rsidR="000C1009" w:rsidRPr="00A27896" w14:paraId="14ACD47B" w14:textId="77777777" w:rsidTr="00170582">
        <w:trPr>
          <w:trHeight w:val="270"/>
          <w:tblHeader/>
        </w:trPr>
        <w:tc>
          <w:tcPr>
            <w:tcW w:w="1298" w:type="dxa"/>
            <w:vMerge w:val="restart"/>
            <w:tcBorders>
              <w:top w:val="nil"/>
              <w:left w:val="nil"/>
              <w:bottom w:val="single" w:sz="4" w:space="0" w:color="17365D"/>
              <w:right w:val="nil"/>
            </w:tcBorders>
            <w:shd w:val="clear" w:color="000000" w:fill="B9CDE5"/>
            <w:vAlign w:val="center"/>
            <w:hideMark/>
          </w:tcPr>
          <w:p w14:paraId="57F43933" w14:textId="390C9C6E"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Finanšu saistību un instrumenta nosaukums</w:t>
            </w:r>
          </w:p>
        </w:tc>
        <w:tc>
          <w:tcPr>
            <w:tcW w:w="4116" w:type="dxa"/>
            <w:gridSpan w:val="6"/>
            <w:tcBorders>
              <w:top w:val="nil"/>
              <w:left w:val="nil"/>
              <w:bottom w:val="single" w:sz="4" w:space="0" w:color="17365D"/>
              <w:right w:val="nil"/>
            </w:tcBorders>
            <w:shd w:val="clear" w:color="000000" w:fill="B9CDE5"/>
            <w:vAlign w:val="center"/>
            <w:hideMark/>
          </w:tcPr>
          <w:p w14:paraId="4F433431"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4412" w:type="dxa"/>
            <w:gridSpan w:val="9"/>
            <w:tcBorders>
              <w:top w:val="nil"/>
              <w:left w:val="nil"/>
              <w:bottom w:val="single" w:sz="4" w:space="0" w:color="17365D"/>
              <w:right w:val="nil"/>
            </w:tcBorders>
            <w:shd w:val="clear" w:color="000000" w:fill="B9CDE5"/>
            <w:vAlign w:val="center"/>
            <w:hideMark/>
          </w:tcPr>
          <w:p w14:paraId="60360D65"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06606F28" w14:textId="77777777" w:rsidTr="00170582">
        <w:trPr>
          <w:trHeight w:val="540"/>
          <w:tblHeader/>
        </w:trPr>
        <w:tc>
          <w:tcPr>
            <w:tcW w:w="1298" w:type="dxa"/>
            <w:vMerge/>
            <w:tcBorders>
              <w:top w:val="single" w:sz="4" w:space="0" w:color="17365D"/>
              <w:left w:val="nil"/>
              <w:bottom w:val="single" w:sz="4" w:space="0" w:color="17365D"/>
              <w:right w:val="nil"/>
            </w:tcBorders>
            <w:vAlign w:val="center"/>
            <w:hideMark/>
          </w:tcPr>
          <w:p w14:paraId="45601EAB"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033" w:type="dxa"/>
            <w:gridSpan w:val="2"/>
            <w:vMerge w:val="restart"/>
            <w:tcBorders>
              <w:top w:val="single" w:sz="4" w:space="0" w:color="17365D"/>
              <w:left w:val="nil"/>
              <w:bottom w:val="single" w:sz="4" w:space="0" w:color="17365D"/>
              <w:right w:val="nil"/>
            </w:tcBorders>
            <w:shd w:val="clear" w:color="000000" w:fill="B9CDE5"/>
            <w:vAlign w:val="center"/>
            <w:hideMark/>
          </w:tcPr>
          <w:p w14:paraId="13855181"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līdz 1 gadam</w:t>
            </w:r>
          </w:p>
        </w:tc>
        <w:tc>
          <w:tcPr>
            <w:tcW w:w="987" w:type="dxa"/>
            <w:gridSpan w:val="2"/>
            <w:vMerge w:val="restart"/>
            <w:tcBorders>
              <w:top w:val="single" w:sz="4" w:space="0" w:color="17365D"/>
              <w:left w:val="nil"/>
              <w:bottom w:val="single" w:sz="4" w:space="0" w:color="17365D"/>
              <w:right w:val="nil"/>
            </w:tcBorders>
            <w:shd w:val="clear" w:color="000000" w:fill="B9CDE5"/>
            <w:vAlign w:val="center"/>
            <w:hideMark/>
          </w:tcPr>
          <w:p w14:paraId="7C946AFF"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no 1 gada līdz 5 gadiem</w:t>
            </w:r>
          </w:p>
        </w:tc>
        <w:tc>
          <w:tcPr>
            <w:tcW w:w="1030" w:type="dxa"/>
            <w:vMerge w:val="restart"/>
            <w:tcBorders>
              <w:top w:val="single" w:sz="4" w:space="0" w:color="17365D"/>
              <w:left w:val="nil"/>
              <w:bottom w:val="single" w:sz="4" w:space="0" w:color="17365D"/>
              <w:right w:val="nil"/>
            </w:tcBorders>
            <w:shd w:val="clear" w:color="000000" w:fill="B9CDE5"/>
            <w:vAlign w:val="center"/>
            <w:hideMark/>
          </w:tcPr>
          <w:p w14:paraId="64D9AE1F"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vairāk par 5 gadiem</w:t>
            </w:r>
          </w:p>
        </w:tc>
        <w:tc>
          <w:tcPr>
            <w:tcW w:w="1066" w:type="dxa"/>
            <w:vMerge w:val="restart"/>
            <w:tcBorders>
              <w:top w:val="single" w:sz="4" w:space="0" w:color="17365D"/>
              <w:left w:val="nil"/>
              <w:bottom w:val="single" w:sz="4" w:space="0" w:color="17365D"/>
              <w:right w:val="nil"/>
            </w:tcBorders>
            <w:shd w:val="clear" w:color="000000" w:fill="B9CDE5"/>
            <w:vAlign w:val="center"/>
            <w:hideMark/>
          </w:tcPr>
          <w:p w14:paraId="0DF9D446"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w:t>
            </w:r>
          </w:p>
        </w:tc>
        <w:tc>
          <w:tcPr>
            <w:tcW w:w="1036" w:type="dxa"/>
            <w:vMerge w:val="restart"/>
            <w:tcBorders>
              <w:top w:val="single" w:sz="4" w:space="0" w:color="17365D"/>
              <w:left w:val="nil"/>
              <w:bottom w:val="single" w:sz="4" w:space="0" w:color="17365D"/>
              <w:right w:val="nil"/>
            </w:tcBorders>
            <w:shd w:val="clear" w:color="000000" w:fill="B9CDE5"/>
            <w:vAlign w:val="center"/>
            <w:hideMark/>
          </w:tcPr>
          <w:p w14:paraId="44514251"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līdz 1 gadam</w:t>
            </w:r>
          </w:p>
        </w:tc>
        <w:tc>
          <w:tcPr>
            <w:tcW w:w="978" w:type="dxa"/>
            <w:gridSpan w:val="3"/>
            <w:vMerge w:val="restart"/>
            <w:tcBorders>
              <w:top w:val="single" w:sz="4" w:space="0" w:color="17365D"/>
              <w:left w:val="nil"/>
              <w:bottom w:val="single" w:sz="4" w:space="0" w:color="17365D"/>
              <w:right w:val="nil"/>
            </w:tcBorders>
            <w:shd w:val="clear" w:color="000000" w:fill="B9CDE5"/>
            <w:vAlign w:val="center"/>
            <w:hideMark/>
          </w:tcPr>
          <w:p w14:paraId="7C6A02CD"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no 1 gada līdz 5 gadiem</w:t>
            </w:r>
          </w:p>
        </w:tc>
        <w:tc>
          <w:tcPr>
            <w:tcW w:w="1105" w:type="dxa"/>
            <w:gridSpan w:val="3"/>
            <w:vMerge w:val="restart"/>
            <w:tcBorders>
              <w:top w:val="single" w:sz="4" w:space="0" w:color="17365D"/>
              <w:left w:val="nil"/>
              <w:bottom w:val="single" w:sz="4" w:space="0" w:color="17365D"/>
              <w:right w:val="nil"/>
            </w:tcBorders>
            <w:shd w:val="clear" w:color="000000" w:fill="B9CDE5"/>
            <w:vAlign w:val="center"/>
            <w:hideMark/>
          </w:tcPr>
          <w:p w14:paraId="09FA6976"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vairāk par 5 gadiem</w:t>
            </w:r>
          </w:p>
        </w:tc>
        <w:tc>
          <w:tcPr>
            <w:tcW w:w="1293" w:type="dxa"/>
            <w:gridSpan w:val="2"/>
            <w:vMerge w:val="restart"/>
            <w:tcBorders>
              <w:top w:val="single" w:sz="4" w:space="0" w:color="17365D"/>
              <w:left w:val="nil"/>
              <w:bottom w:val="single" w:sz="4" w:space="0" w:color="17365D"/>
              <w:right w:val="nil"/>
            </w:tcBorders>
            <w:shd w:val="clear" w:color="000000" w:fill="B9CDE5"/>
            <w:vAlign w:val="center"/>
            <w:hideMark/>
          </w:tcPr>
          <w:p w14:paraId="66AC986D"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w:t>
            </w:r>
          </w:p>
        </w:tc>
      </w:tr>
      <w:tr w:rsidR="000C1009" w:rsidRPr="00A27896" w14:paraId="4672FEFA" w14:textId="77777777" w:rsidTr="00CA17B2">
        <w:trPr>
          <w:trHeight w:val="517"/>
          <w:tblHeader/>
        </w:trPr>
        <w:tc>
          <w:tcPr>
            <w:tcW w:w="1298" w:type="dxa"/>
            <w:vMerge/>
            <w:tcBorders>
              <w:top w:val="single" w:sz="4" w:space="0" w:color="17365D"/>
              <w:left w:val="nil"/>
              <w:bottom w:val="single" w:sz="4" w:space="0" w:color="17365D"/>
              <w:right w:val="nil"/>
            </w:tcBorders>
            <w:vAlign w:val="center"/>
            <w:hideMark/>
          </w:tcPr>
          <w:p w14:paraId="3C95180A"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033" w:type="dxa"/>
            <w:gridSpan w:val="2"/>
            <w:vMerge/>
            <w:tcBorders>
              <w:top w:val="single" w:sz="4" w:space="0" w:color="17365D"/>
              <w:left w:val="nil"/>
              <w:bottom w:val="single" w:sz="4" w:space="0" w:color="17365D"/>
              <w:right w:val="nil"/>
            </w:tcBorders>
            <w:vAlign w:val="center"/>
            <w:hideMark/>
          </w:tcPr>
          <w:p w14:paraId="3EC80E8D"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987" w:type="dxa"/>
            <w:gridSpan w:val="2"/>
            <w:vMerge/>
            <w:tcBorders>
              <w:top w:val="single" w:sz="4" w:space="0" w:color="17365D"/>
              <w:left w:val="nil"/>
              <w:bottom w:val="single" w:sz="4" w:space="0" w:color="17365D"/>
              <w:right w:val="nil"/>
            </w:tcBorders>
            <w:vAlign w:val="center"/>
            <w:hideMark/>
          </w:tcPr>
          <w:p w14:paraId="1BE305AD"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030" w:type="dxa"/>
            <w:vMerge/>
            <w:tcBorders>
              <w:top w:val="single" w:sz="4" w:space="0" w:color="17365D"/>
              <w:left w:val="nil"/>
              <w:bottom w:val="single" w:sz="4" w:space="0" w:color="17365D"/>
              <w:right w:val="nil"/>
            </w:tcBorders>
            <w:vAlign w:val="center"/>
            <w:hideMark/>
          </w:tcPr>
          <w:p w14:paraId="6F5D7824"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066" w:type="dxa"/>
            <w:vMerge/>
            <w:tcBorders>
              <w:top w:val="single" w:sz="4" w:space="0" w:color="17365D"/>
              <w:left w:val="nil"/>
              <w:bottom w:val="single" w:sz="4" w:space="0" w:color="17365D"/>
              <w:right w:val="nil"/>
            </w:tcBorders>
            <w:vAlign w:val="center"/>
            <w:hideMark/>
          </w:tcPr>
          <w:p w14:paraId="6FD6E30E"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036" w:type="dxa"/>
            <w:vMerge/>
            <w:tcBorders>
              <w:top w:val="single" w:sz="4" w:space="0" w:color="17365D"/>
              <w:left w:val="nil"/>
              <w:bottom w:val="single" w:sz="4" w:space="0" w:color="17365D"/>
              <w:right w:val="nil"/>
            </w:tcBorders>
            <w:vAlign w:val="center"/>
            <w:hideMark/>
          </w:tcPr>
          <w:p w14:paraId="21D1722B"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978" w:type="dxa"/>
            <w:gridSpan w:val="3"/>
            <w:vMerge/>
            <w:tcBorders>
              <w:top w:val="single" w:sz="4" w:space="0" w:color="17365D"/>
              <w:left w:val="nil"/>
              <w:bottom w:val="single" w:sz="4" w:space="0" w:color="17365D"/>
              <w:right w:val="nil"/>
            </w:tcBorders>
            <w:vAlign w:val="center"/>
            <w:hideMark/>
          </w:tcPr>
          <w:p w14:paraId="7B15AC9E"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105" w:type="dxa"/>
            <w:gridSpan w:val="3"/>
            <w:vMerge/>
            <w:tcBorders>
              <w:top w:val="single" w:sz="4" w:space="0" w:color="17365D"/>
              <w:left w:val="nil"/>
              <w:bottom w:val="single" w:sz="4" w:space="0" w:color="17365D"/>
              <w:right w:val="nil"/>
            </w:tcBorders>
            <w:vAlign w:val="center"/>
            <w:hideMark/>
          </w:tcPr>
          <w:p w14:paraId="098C10CE"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293" w:type="dxa"/>
            <w:gridSpan w:val="2"/>
            <w:vMerge/>
            <w:tcBorders>
              <w:top w:val="single" w:sz="4" w:space="0" w:color="17365D"/>
              <w:left w:val="nil"/>
              <w:bottom w:val="single" w:sz="4" w:space="0" w:color="17365D"/>
              <w:right w:val="nil"/>
            </w:tcBorders>
            <w:vAlign w:val="center"/>
            <w:hideMark/>
          </w:tcPr>
          <w:p w14:paraId="5D6D556C"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r>
      <w:tr w:rsidR="000C1009" w:rsidRPr="00A27896" w14:paraId="1F391629" w14:textId="77777777" w:rsidTr="00170582">
        <w:trPr>
          <w:trHeight w:val="270"/>
          <w:tblHeader/>
        </w:trPr>
        <w:tc>
          <w:tcPr>
            <w:tcW w:w="1298" w:type="dxa"/>
            <w:tcBorders>
              <w:top w:val="single" w:sz="4" w:space="0" w:color="17365D"/>
              <w:left w:val="nil"/>
              <w:bottom w:val="single" w:sz="4" w:space="0" w:color="auto"/>
              <w:right w:val="nil"/>
            </w:tcBorders>
            <w:shd w:val="clear" w:color="auto" w:fill="auto"/>
            <w:vAlign w:val="center"/>
            <w:hideMark/>
          </w:tcPr>
          <w:p w14:paraId="44ACA87E"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826" w:type="dxa"/>
            <w:tcBorders>
              <w:top w:val="single" w:sz="4" w:space="0" w:color="17365D"/>
              <w:left w:val="nil"/>
              <w:bottom w:val="single" w:sz="4" w:space="0" w:color="auto"/>
              <w:right w:val="nil"/>
            </w:tcBorders>
            <w:shd w:val="clear" w:color="auto" w:fill="auto"/>
            <w:vAlign w:val="center"/>
            <w:hideMark/>
          </w:tcPr>
          <w:p w14:paraId="2EC8C44A"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194" w:type="dxa"/>
            <w:gridSpan w:val="3"/>
            <w:tcBorders>
              <w:top w:val="single" w:sz="4" w:space="0" w:color="17365D"/>
              <w:left w:val="nil"/>
              <w:bottom w:val="single" w:sz="4" w:space="0" w:color="auto"/>
              <w:right w:val="nil"/>
            </w:tcBorders>
            <w:shd w:val="clear" w:color="auto" w:fill="auto"/>
            <w:vAlign w:val="center"/>
            <w:hideMark/>
          </w:tcPr>
          <w:p w14:paraId="671F0E8A"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030" w:type="dxa"/>
            <w:tcBorders>
              <w:top w:val="single" w:sz="4" w:space="0" w:color="17365D"/>
              <w:left w:val="nil"/>
              <w:bottom w:val="single" w:sz="4" w:space="0" w:color="auto"/>
              <w:right w:val="nil"/>
            </w:tcBorders>
            <w:shd w:val="clear" w:color="auto" w:fill="auto"/>
            <w:vAlign w:val="center"/>
            <w:hideMark/>
          </w:tcPr>
          <w:p w14:paraId="2D7DC529"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066" w:type="dxa"/>
            <w:tcBorders>
              <w:top w:val="single" w:sz="4" w:space="0" w:color="17365D"/>
              <w:left w:val="nil"/>
              <w:bottom w:val="single" w:sz="4" w:space="0" w:color="auto"/>
              <w:right w:val="nil"/>
            </w:tcBorders>
            <w:shd w:val="clear" w:color="auto" w:fill="auto"/>
            <w:vAlign w:val="center"/>
            <w:hideMark/>
          </w:tcPr>
          <w:p w14:paraId="4D01877E"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036" w:type="dxa"/>
            <w:tcBorders>
              <w:top w:val="single" w:sz="4" w:space="0" w:color="17365D"/>
              <w:left w:val="nil"/>
              <w:bottom w:val="single" w:sz="4" w:space="0" w:color="auto"/>
              <w:right w:val="nil"/>
            </w:tcBorders>
            <w:shd w:val="clear" w:color="auto" w:fill="auto"/>
            <w:vAlign w:val="center"/>
            <w:hideMark/>
          </w:tcPr>
          <w:p w14:paraId="4EB7BF32"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870" w:type="dxa"/>
            <w:gridSpan w:val="2"/>
            <w:tcBorders>
              <w:top w:val="single" w:sz="4" w:space="0" w:color="17365D"/>
              <w:left w:val="nil"/>
              <w:bottom w:val="single" w:sz="4" w:space="0" w:color="auto"/>
              <w:right w:val="nil"/>
            </w:tcBorders>
            <w:shd w:val="clear" w:color="auto" w:fill="auto"/>
            <w:vAlign w:val="center"/>
            <w:hideMark/>
          </w:tcPr>
          <w:p w14:paraId="7A2EB382"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c>
          <w:tcPr>
            <w:tcW w:w="914" w:type="dxa"/>
            <w:gridSpan w:val="3"/>
            <w:tcBorders>
              <w:top w:val="single" w:sz="4" w:space="0" w:color="17365D"/>
              <w:left w:val="nil"/>
              <w:bottom w:val="single" w:sz="4" w:space="0" w:color="auto"/>
              <w:right w:val="nil"/>
            </w:tcBorders>
            <w:shd w:val="clear" w:color="auto" w:fill="auto"/>
            <w:vAlign w:val="center"/>
            <w:hideMark/>
          </w:tcPr>
          <w:p w14:paraId="6CA973F7"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7</w:t>
            </w:r>
          </w:p>
        </w:tc>
        <w:tc>
          <w:tcPr>
            <w:tcW w:w="1592" w:type="dxa"/>
            <w:gridSpan w:val="3"/>
            <w:tcBorders>
              <w:top w:val="single" w:sz="4" w:space="0" w:color="17365D"/>
              <w:left w:val="nil"/>
              <w:bottom w:val="single" w:sz="4" w:space="0" w:color="auto"/>
              <w:right w:val="nil"/>
            </w:tcBorders>
            <w:shd w:val="clear" w:color="auto" w:fill="auto"/>
            <w:vAlign w:val="center"/>
            <w:hideMark/>
          </w:tcPr>
          <w:p w14:paraId="3BD2C0BE"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8</w:t>
            </w:r>
          </w:p>
        </w:tc>
      </w:tr>
      <w:tr w:rsidR="00170582" w:rsidRPr="00A27896" w14:paraId="043D5E2A" w14:textId="77777777" w:rsidTr="00170582">
        <w:trPr>
          <w:trHeight w:val="270"/>
        </w:trPr>
        <w:tc>
          <w:tcPr>
            <w:tcW w:w="1298" w:type="dxa"/>
            <w:tcBorders>
              <w:top w:val="single" w:sz="4" w:space="0" w:color="auto"/>
              <w:left w:val="nil"/>
              <w:bottom w:val="single" w:sz="4" w:space="0" w:color="auto"/>
              <w:right w:val="nil"/>
            </w:tcBorders>
            <w:shd w:val="clear" w:color="auto" w:fill="auto"/>
            <w:vAlign w:val="center"/>
            <w:hideMark/>
          </w:tcPr>
          <w:p w14:paraId="6C13F444" w14:textId="77777777" w:rsidR="00170582" w:rsidRPr="00A27896" w:rsidRDefault="00170582" w:rsidP="00170582">
            <w:pPr>
              <w:spacing w:after="0" w:line="240" w:lineRule="auto"/>
              <w:ind w:left="-57" w:right="-57"/>
              <w:rPr>
                <w:rFonts w:eastAsia="Times New Roman" w:cs="Times New Roman"/>
                <w:b/>
                <w:color w:val="17365D"/>
                <w:sz w:val="16"/>
                <w:szCs w:val="16"/>
                <w:lang w:eastAsia="lv-LV"/>
              </w:rPr>
            </w:pPr>
            <w:r w:rsidRPr="00A27896">
              <w:rPr>
                <w:rFonts w:eastAsia="Times New Roman" w:cs="Times New Roman"/>
                <w:b/>
                <w:color w:val="17365D"/>
                <w:sz w:val="16"/>
                <w:szCs w:val="16"/>
                <w:lang w:eastAsia="lv-LV"/>
              </w:rPr>
              <w:t>Finanšu saistības</w:t>
            </w:r>
          </w:p>
        </w:tc>
        <w:tc>
          <w:tcPr>
            <w:tcW w:w="1033" w:type="dxa"/>
            <w:gridSpan w:val="2"/>
            <w:tcBorders>
              <w:top w:val="single" w:sz="4" w:space="0" w:color="auto"/>
              <w:left w:val="nil"/>
              <w:bottom w:val="single" w:sz="4" w:space="0" w:color="auto"/>
              <w:right w:val="nil"/>
            </w:tcBorders>
            <w:shd w:val="clear" w:color="auto" w:fill="auto"/>
            <w:vAlign w:val="center"/>
            <w:hideMark/>
          </w:tcPr>
          <w:p w14:paraId="548EB895" w14:textId="3DDE7856" w:rsidR="00170582" w:rsidRPr="00A27896" w:rsidRDefault="00170582" w:rsidP="00170582">
            <w:pPr>
              <w:spacing w:after="0" w:line="240" w:lineRule="auto"/>
              <w:ind w:left="-57" w:right="-57"/>
              <w:jc w:val="right"/>
              <w:rPr>
                <w:rFonts w:cs="Times New Roman"/>
                <w:b/>
                <w:color w:val="17365D"/>
                <w:sz w:val="16"/>
                <w:szCs w:val="16"/>
              </w:rPr>
            </w:pPr>
            <w:r w:rsidRPr="00A27896">
              <w:rPr>
                <w:rFonts w:cs="Times New Roman"/>
                <w:b/>
                <w:color w:val="17365D"/>
                <w:sz w:val="16"/>
                <w:szCs w:val="16"/>
              </w:rPr>
              <w:t>2 350 607 560</w:t>
            </w:r>
          </w:p>
        </w:tc>
        <w:tc>
          <w:tcPr>
            <w:tcW w:w="987" w:type="dxa"/>
            <w:gridSpan w:val="2"/>
            <w:tcBorders>
              <w:top w:val="single" w:sz="4" w:space="0" w:color="auto"/>
              <w:left w:val="nil"/>
              <w:bottom w:val="single" w:sz="4" w:space="0" w:color="auto"/>
              <w:right w:val="nil"/>
            </w:tcBorders>
            <w:shd w:val="clear" w:color="auto" w:fill="auto"/>
            <w:vAlign w:val="center"/>
            <w:hideMark/>
          </w:tcPr>
          <w:p w14:paraId="024C0AEB" w14:textId="21512611" w:rsidR="00170582" w:rsidRPr="00A27896" w:rsidRDefault="00170582" w:rsidP="00170582">
            <w:pPr>
              <w:spacing w:after="0" w:line="240" w:lineRule="auto"/>
              <w:ind w:left="-170" w:right="-113"/>
              <w:jc w:val="right"/>
              <w:rPr>
                <w:rFonts w:cs="Times New Roman"/>
                <w:b/>
                <w:color w:val="17365D"/>
                <w:sz w:val="16"/>
                <w:szCs w:val="16"/>
              </w:rPr>
            </w:pPr>
            <w:r w:rsidRPr="00A27896">
              <w:rPr>
                <w:rFonts w:cs="Times New Roman"/>
                <w:b/>
                <w:color w:val="17365D"/>
                <w:sz w:val="16"/>
                <w:szCs w:val="16"/>
              </w:rPr>
              <w:t>10 408 719 773</w:t>
            </w:r>
          </w:p>
        </w:tc>
        <w:tc>
          <w:tcPr>
            <w:tcW w:w="1030" w:type="dxa"/>
            <w:tcBorders>
              <w:top w:val="single" w:sz="4" w:space="0" w:color="auto"/>
              <w:left w:val="nil"/>
              <w:bottom w:val="single" w:sz="4" w:space="0" w:color="auto"/>
              <w:right w:val="nil"/>
            </w:tcBorders>
            <w:shd w:val="clear" w:color="auto" w:fill="auto"/>
            <w:vAlign w:val="center"/>
            <w:hideMark/>
          </w:tcPr>
          <w:p w14:paraId="3A4B843B" w14:textId="23A5799A" w:rsidR="00170582" w:rsidRPr="00A27896" w:rsidRDefault="00170582" w:rsidP="00170582">
            <w:pPr>
              <w:spacing w:after="0" w:line="240" w:lineRule="auto"/>
              <w:ind w:left="-113" w:right="-57"/>
              <w:jc w:val="right"/>
              <w:rPr>
                <w:rFonts w:cs="Times New Roman"/>
                <w:b/>
                <w:color w:val="17365D"/>
                <w:sz w:val="16"/>
                <w:szCs w:val="16"/>
              </w:rPr>
            </w:pPr>
            <w:r w:rsidRPr="00A27896">
              <w:rPr>
                <w:rFonts w:cs="Times New Roman"/>
                <w:b/>
                <w:color w:val="17365D"/>
                <w:sz w:val="16"/>
                <w:szCs w:val="16"/>
              </w:rPr>
              <w:t>8 427 666 328</w:t>
            </w:r>
          </w:p>
        </w:tc>
        <w:tc>
          <w:tcPr>
            <w:tcW w:w="1066" w:type="dxa"/>
            <w:tcBorders>
              <w:top w:val="single" w:sz="4" w:space="0" w:color="auto"/>
              <w:left w:val="nil"/>
              <w:bottom w:val="single" w:sz="4" w:space="0" w:color="auto"/>
              <w:right w:val="nil"/>
            </w:tcBorders>
            <w:shd w:val="clear" w:color="auto" w:fill="auto"/>
            <w:vAlign w:val="center"/>
            <w:hideMark/>
          </w:tcPr>
          <w:p w14:paraId="7E1CA160" w14:textId="38DDFF41" w:rsidR="00170582" w:rsidRPr="00A27896" w:rsidRDefault="00170582" w:rsidP="00170582">
            <w:pPr>
              <w:spacing w:after="0" w:line="240" w:lineRule="auto"/>
              <w:ind w:left="-113" w:right="-57"/>
              <w:jc w:val="right"/>
              <w:rPr>
                <w:rFonts w:cs="Times New Roman"/>
                <w:b/>
                <w:color w:val="17365D"/>
                <w:sz w:val="16"/>
                <w:szCs w:val="16"/>
              </w:rPr>
            </w:pPr>
            <w:r w:rsidRPr="00A27896">
              <w:rPr>
                <w:rFonts w:cs="Times New Roman"/>
                <w:b/>
                <w:color w:val="17365D"/>
                <w:sz w:val="16"/>
                <w:szCs w:val="16"/>
              </w:rPr>
              <w:t>21 186 993 661</w:t>
            </w:r>
          </w:p>
        </w:tc>
        <w:tc>
          <w:tcPr>
            <w:tcW w:w="1036" w:type="dxa"/>
            <w:tcBorders>
              <w:top w:val="single" w:sz="4" w:space="0" w:color="auto"/>
              <w:left w:val="nil"/>
              <w:bottom w:val="single" w:sz="4" w:space="0" w:color="auto"/>
              <w:right w:val="nil"/>
            </w:tcBorders>
            <w:shd w:val="clear" w:color="auto" w:fill="auto"/>
            <w:vAlign w:val="center"/>
            <w:hideMark/>
          </w:tcPr>
          <w:p w14:paraId="2B67DDD5" w14:textId="19B1E14A" w:rsidR="00170582" w:rsidRPr="00A27896" w:rsidRDefault="00170582" w:rsidP="00170582">
            <w:pPr>
              <w:spacing w:after="0" w:line="240" w:lineRule="auto"/>
              <w:ind w:left="-57" w:right="-57"/>
              <w:jc w:val="right"/>
              <w:rPr>
                <w:rFonts w:cs="Times New Roman"/>
                <w:b/>
                <w:color w:val="17365D"/>
                <w:sz w:val="16"/>
                <w:szCs w:val="16"/>
              </w:rPr>
            </w:pPr>
            <w:r w:rsidRPr="00A27896">
              <w:rPr>
                <w:rFonts w:cs="Times New Roman"/>
                <w:b/>
                <w:color w:val="17365D"/>
                <w:sz w:val="16"/>
                <w:szCs w:val="16"/>
              </w:rPr>
              <w:t>1 819 867 548</w:t>
            </w:r>
          </w:p>
        </w:tc>
        <w:tc>
          <w:tcPr>
            <w:tcW w:w="1112" w:type="dxa"/>
            <w:gridSpan w:val="4"/>
            <w:tcBorders>
              <w:top w:val="single" w:sz="4" w:space="0" w:color="auto"/>
              <w:left w:val="nil"/>
              <w:bottom w:val="single" w:sz="4" w:space="0" w:color="auto"/>
              <w:right w:val="nil"/>
            </w:tcBorders>
            <w:shd w:val="clear" w:color="auto" w:fill="auto"/>
            <w:vAlign w:val="center"/>
            <w:hideMark/>
          </w:tcPr>
          <w:p w14:paraId="4AB5F4E4" w14:textId="5AD1F6F6" w:rsidR="00170582" w:rsidRPr="00A27896" w:rsidRDefault="00170582" w:rsidP="00170582">
            <w:pPr>
              <w:spacing w:after="0" w:line="240" w:lineRule="auto"/>
              <w:ind w:left="-57" w:right="-57"/>
              <w:jc w:val="right"/>
              <w:rPr>
                <w:rFonts w:cs="Times New Roman"/>
                <w:b/>
                <w:color w:val="17365D"/>
                <w:sz w:val="16"/>
                <w:szCs w:val="16"/>
              </w:rPr>
            </w:pPr>
            <w:r w:rsidRPr="00A27896">
              <w:rPr>
                <w:rFonts w:cs="Times New Roman"/>
                <w:b/>
                <w:color w:val="17365D"/>
                <w:sz w:val="16"/>
                <w:szCs w:val="16"/>
              </w:rPr>
              <w:t>9 228 995 649</w:t>
            </w:r>
          </w:p>
        </w:tc>
        <w:tc>
          <w:tcPr>
            <w:tcW w:w="1104" w:type="dxa"/>
            <w:gridSpan w:val="3"/>
            <w:tcBorders>
              <w:top w:val="single" w:sz="4" w:space="0" w:color="auto"/>
              <w:left w:val="nil"/>
              <w:bottom w:val="single" w:sz="4" w:space="0" w:color="auto"/>
              <w:right w:val="nil"/>
            </w:tcBorders>
            <w:shd w:val="clear" w:color="auto" w:fill="auto"/>
            <w:vAlign w:val="center"/>
            <w:hideMark/>
          </w:tcPr>
          <w:p w14:paraId="4180B7BA" w14:textId="3B30681F" w:rsidR="00170582" w:rsidRPr="00A27896" w:rsidRDefault="00170582" w:rsidP="00170582">
            <w:pPr>
              <w:spacing w:after="0" w:line="240" w:lineRule="auto"/>
              <w:ind w:left="-57" w:right="-57"/>
              <w:jc w:val="right"/>
              <w:rPr>
                <w:rFonts w:cs="Times New Roman"/>
                <w:b/>
                <w:color w:val="17365D"/>
                <w:sz w:val="16"/>
                <w:szCs w:val="16"/>
              </w:rPr>
            </w:pPr>
            <w:r w:rsidRPr="00A27896">
              <w:rPr>
                <w:rFonts w:cs="Times New Roman"/>
                <w:b/>
                <w:color w:val="17365D"/>
                <w:sz w:val="16"/>
                <w:szCs w:val="16"/>
              </w:rPr>
              <w:t>9 420 422 867</w:t>
            </w:r>
          </w:p>
        </w:tc>
        <w:tc>
          <w:tcPr>
            <w:tcW w:w="1160" w:type="dxa"/>
            <w:tcBorders>
              <w:top w:val="single" w:sz="4" w:space="0" w:color="auto"/>
              <w:left w:val="nil"/>
              <w:bottom w:val="single" w:sz="4" w:space="0" w:color="auto"/>
              <w:right w:val="nil"/>
            </w:tcBorders>
            <w:shd w:val="clear" w:color="auto" w:fill="auto"/>
            <w:vAlign w:val="center"/>
            <w:hideMark/>
          </w:tcPr>
          <w:p w14:paraId="02153FCD" w14:textId="5671693B" w:rsidR="00170582" w:rsidRPr="00A27896" w:rsidRDefault="00170582" w:rsidP="00170582">
            <w:pPr>
              <w:spacing w:after="0" w:line="240" w:lineRule="auto"/>
              <w:ind w:left="-57" w:right="-57"/>
              <w:jc w:val="right"/>
              <w:rPr>
                <w:rFonts w:cs="Times New Roman"/>
                <w:b/>
                <w:color w:val="17365D"/>
                <w:sz w:val="16"/>
                <w:szCs w:val="16"/>
              </w:rPr>
            </w:pPr>
            <w:r w:rsidRPr="00A27896">
              <w:rPr>
                <w:rFonts w:cs="Times New Roman"/>
                <w:b/>
                <w:color w:val="17365D"/>
                <w:sz w:val="16"/>
                <w:szCs w:val="16"/>
              </w:rPr>
              <w:t>20 469 286 064</w:t>
            </w:r>
          </w:p>
        </w:tc>
      </w:tr>
      <w:tr w:rsidR="00170582" w:rsidRPr="00A27896" w14:paraId="1EEF001E" w14:textId="77777777" w:rsidTr="00170582">
        <w:trPr>
          <w:trHeight w:val="395"/>
        </w:trPr>
        <w:tc>
          <w:tcPr>
            <w:tcW w:w="1298" w:type="dxa"/>
            <w:tcBorders>
              <w:top w:val="single" w:sz="4" w:space="0" w:color="auto"/>
              <w:left w:val="nil"/>
              <w:bottom w:val="single" w:sz="4" w:space="0" w:color="auto"/>
              <w:right w:val="nil"/>
            </w:tcBorders>
            <w:shd w:val="clear" w:color="auto" w:fill="auto"/>
            <w:vAlign w:val="center"/>
            <w:hideMark/>
          </w:tcPr>
          <w:p w14:paraId="415217B3" w14:textId="77777777" w:rsidR="00170582" w:rsidRPr="00A27896" w:rsidRDefault="00170582" w:rsidP="00170582">
            <w:pPr>
              <w:spacing w:after="0" w:line="240" w:lineRule="auto"/>
              <w:ind w:left="-57"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Neatvasinātās finanšu saistības</w:t>
            </w:r>
          </w:p>
        </w:tc>
        <w:tc>
          <w:tcPr>
            <w:tcW w:w="1033" w:type="dxa"/>
            <w:gridSpan w:val="2"/>
            <w:tcBorders>
              <w:top w:val="single" w:sz="4" w:space="0" w:color="auto"/>
              <w:left w:val="nil"/>
              <w:bottom w:val="single" w:sz="4" w:space="0" w:color="auto"/>
              <w:right w:val="nil"/>
            </w:tcBorders>
            <w:shd w:val="clear" w:color="auto" w:fill="auto"/>
            <w:vAlign w:val="center"/>
            <w:hideMark/>
          </w:tcPr>
          <w:p w14:paraId="0563FF78" w14:textId="1A36B3F5"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2 331 462 310</w:t>
            </w:r>
          </w:p>
        </w:tc>
        <w:tc>
          <w:tcPr>
            <w:tcW w:w="987" w:type="dxa"/>
            <w:gridSpan w:val="2"/>
            <w:tcBorders>
              <w:top w:val="single" w:sz="4" w:space="0" w:color="auto"/>
              <w:left w:val="nil"/>
              <w:bottom w:val="single" w:sz="4" w:space="0" w:color="auto"/>
              <w:right w:val="nil"/>
            </w:tcBorders>
            <w:shd w:val="clear" w:color="auto" w:fill="auto"/>
            <w:vAlign w:val="center"/>
            <w:hideMark/>
          </w:tcPr>
          <w:p w14:paraId="684C53CA" w14:textId="59D38038" w:rsidR="00170582" w:rsidRPr="00A27896" w:rsidRDefault="00170582" w:rsidP="00170582">
            <w:pPr>
              <w:spacing w:after="0" w:line="240" w:lineRule="auto"/>
              <w:ind w:left="-170" w:right="-113"/>
              <w:jc w:val="right"/>
              <w:rPr>
                <w:rFonts w:cs="Times New Roman"/>
                <w:color w:val="17365D"/>
                <w:sz w:val="16"/>
                <w:szCs w:val="16"/>
              </w:rPr>
            </w:pPr>
            <w:r w:rsidRPr="00A27896">
              <w:rPr>
                <w:rFonts w:cs="Times New Roman"/>
                <w:color w:val="17365D"/>
                <w:sz w:val="16"/>
                <w:szCs w:val="16"/>
              </w:rPr>
              <w:t>10 336 899 773</w:t>
            </w:r>
          </w:p>
        </w:tc>
        <w:tc>
          <w:tcPr>
            <w:tcW w:w="1030" w:type="dxa"/>
            <w:tcBorders>
              <w:top w:val="single" w:sz="4" w:space="0" w:color="auto"/>
              <w:left w:val="nil"/>
              <w:bottom w:val="single" w:sz="4" w:space="0" w:color="auto"/>
              <w:right w:val="nil"/>
            </w:tcBorders>
            <w:shd w:val="clear" w:color="auto" w:fill="auto"/>
            <w:vAlign w:val="center"/>
            <w:hideMark/>
          </w:tcPr>
          <w:p w14:paraId="53376B3C" w14:textId="486BE1C5" w:rsidR="00170582" w:rsidRPr="00A27896" w:rsidRDefault="00170582" w:rsidP="00170582">
            <w:pPr>
              <w:spacing w:after="0" w:line="240" w:lineRule="auto"/>
              <w:ind w:left="-113" w:right="-57"/>
              <w:jc w:val="right"/>
              <w:rPr>
                <w:rFonts w:cs="Times New Roman"/>
                <w:color w:val="17365D"/>
                <w:sz w:val="16"/>
                <w:szCs w:val="16"/>
              </w:rPr>
            </w:pPr>
            <w:r w:rsidRPr="00A27896">
              <w:rPr>
                <w:rFonts w:cs="Times New Roman"/>
                <w:color w:val="17365D"/>
                <w:sz w:val="16"/>
                <w:szCs w:val="16"/>
              </w:rPr>
              <w:t>8 427 666 328</w:t>
            </w:r>
          </w:p>
        </w:tc>
        <w:tc>
          <w:tcPr>
            <w:tcW w:w="1066" w:type="dxa"/>
            <w:tcBorders>
              <w:top w:val="single" w:sz="4" w:space="0" w:color="auto"/>
              <w:left w:val="nil"/>
              <w:bottom w:val="single" w:sz="4" w:space="0" w:color="auto"/>
              <w:right w:val="nil"/>
            </w:tcBorders>
            <w:shd w:val="clear" w:color="auto" w:fill="auto"/>
            <w:vAlign w:val="center"/>
            <w:hideMark/>
          </w:tcPr>
          <w:p w14:paraId="1019CA7F" w14:textId="22188E3A" w:rsidR="00170582" w:rsidRPr="00A27896" w:rsidRDefault="00170582" w:rsidP="00170582">
            <w:pPr>
              <w:spacing w:after="0" w:line="240" w:lineRule="auto"/>
              <w:ind w:left="-113" w:right="-57"/>
              <w:jc w:val="right"/>
              <w:rPr>
                <w:rFonts w:cs="Times New Roman"/>
                <w:color w:val="17365D"/>
                <w:sz w:val="16"/>
                <w:szCs w:val="16"/>
              </w:rPr>
            </w:pPr>
            <w:r w:rsidRPr="00A27896">
              <w:rPr>
                <w:rFonts w:cs="Times New Roman"/>
                <w:color w:val="17365D"/>
                <w:sz w:val="16"/>
                <w:szCs w:val="16"/>
              </w:rPr>
              <w:t>21 096 028 411</w:t>
            </w:r>
          </w:p>
        </w:tc>
        <w:tc>
          <w:tcPr>
            <w:tcW w:w="1036" w:type="dxa"/>
            <w:tcBorders>
              <w:top w:val="single" w:sz="4" w:space="0" w:color="auto"/>
              <w:left w:val="nil"/>
              <w:bottom w:val="single" w:sz="4" w:space="0" w:color="auto"/>
              <w:right w:val="nil"/>
            </w:tcBorders>
            <w:shd w:val="clear" w:color="auto" w:fill="auto"/>
            <w:vAlign w:val="center"/>
            <w:hideMark/>
          </w:tcPr>
          <w:p w14:paraId="487A1A9D" w14:textId="782A0F87"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1 799 616 766</w:t>
            </w:r>
          </w:p>
        </w:tc>
        <w:tc>
          <w:tcPr>
            <w:tcW w:w="1112" w:type="dxa"/>
            <w:gridSpan w:val="4"/>
            <w:tcBorders>
              <w:top w:val="single" w:sz="4" w:space="0" w:color="auto"/>
              <w:left w:val="nil"/>
              <w:bottom w:val="single" w:sz="4" w:space="0" w:color="auto"/>
              <w:right w:val="nil"/>
            </w:tcBorders>
            <w:shd w:val="clear" w:color="auto" w:fill="auto"/>
            <w:vAlign w:val="center"/>
            <w:hideMark/>
          </w:tcPr>
          <w:p w14:paraId="0F5BE6E2" w14:textId="794BD7ED"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9 145 719 401</w:t>
            </w:r>
          </w:p>
        </w:tc>
        <w:tc>
          <w:tcPr>
            <w:tcW w:w="1104" w:type="dxa"/>
            <w:gridSpan w:val="3"/>
            <w:tcBorders>
              <w:top w:val="single" w:sz="4" w:space="0" w:color="auto"/>
              <w:left w:val="nil"/>
              <w:bottom w:val="single" w:sz="4" w:space="0" w:color="auto"/>
              <w:right w:val="nil"/>
            </w:tcBorders>
            <w:shd w:val="clear" w:color="auto" w:fill="auto"/>
            <w:vAlign w:val="center"/>
            <w:hideMark/>
          </w:tcPr>
          <w:p w14:paraId="53B52A84" w14:textId="538B7F31"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9 412 442 867</w:t>
            </w:r>
          </w:p>
        </w:tc>
        <w:tc>
          <w:tcPr>
            <w:tcW w:w="1160" w:type="dxa"/>
            <w:tcBorders>
              <w:top w:val="single" w:sz="4" w:space="0" w:color="auto"/>
              <w:left w:val="nil"/>
              <w:bottom w:val="single" w:sz="4" w:space="0" w:color="auto"/>
              <w:right w:val="nil"/>
            </w:tcBorders>
            <w:shd w:val="clear" w:color="auto" w:fill="auto"/>
            <w:vAlign w:val="center"/>
            <w:hideMark/>
          </w:tcPr>
          <w:p w14:paraId="682CEF8E" w14:textId="4613B45F"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20 357 779 034</w:t>
            </w:r>
          </w:p>
        </w:tc>
      </w:tr>
      <w:tr w:rsidR="00170582" w:rsidRPr="00A27896" w14:paraId="1BA96192" w14:textId="77777777" w:rsidTr="00170582">
        <w:trPr>
          <w:trHeight w:val="270"/>
        </w:trPr>
        <w:tc>
          <w:tcPr>
            <w:tcW w:w="1298" w:type="dxa"/>
            <w:tcBorders>
              <w:top w:val="single" w:sz="4" w:space="0" w:color="auto"/>
              <w:left w:val="nil"/>
              <w:bottom w:val="single" w:sz="4" w:space="0" w:color="auto"/>
              <w:right w:val="nil"/>
            </w:tcBorders>
            <w:shd w:val="clear" w:color="auto" w:fill="auto"/>
            <w:vAlign w:val="center"/>
          </w:tcPr>
          <w:p w14:paraId="4D883CD0" w14:textId="7EB29AB9" w:rsidR="00170582" w:rsidRPr="00A27896" w:rsidRDefault="00170582" w:rsidP="00170582">
            <w:pPr>
              <w:spacing w:after="0" w:line="240" w:lineRule="auto"/>
              <w:ind w:left="175"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Emitētie vērtspapīri</w:t>
            </w:r>
          </w:p>
        </w:tc>
        <w:tc>
          <w:tcPr>
            <w:tcW w:w="1033" w:type="dxa"/>
            <w:gridSpan w:val="2"/>
            <w:tcBorders>
              <w:top w:val="single" w:sz="4" w:space="0" w:color="auto"/>
              <w:left w:val="nil"/>
              <w:bottom w:val="single" w:sz="4" w:space="0" w:color="auto"/>
              <w:right w:val="nil"/>
            </w:tcBorders>
            <w:shd w:val="clear" w:color="auto" w:fill="auto"/>
            <w:vAlign w:val="center"/>
          </w:tcPr>
          <w:p w14:paraId="7E91E5B4" w14:textId="57DF115D"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1 668 308 766</w:t>
            </w:r>
          </w:p>
        </w:tc>
        <w:tc>
          <w:tcPr>
            <w:tcW w:w="987" w:type="dxa"/>
            <w:gridSpan w:val="2"/>
            <w:tcBorders>
              <w:top w:val="single" w:sz="4" w:space="0" w:color="auto"/>
              <w:left w:val="nil"/>
              <w:bottom w:val="single" w:sz="4" w:space="0" w:color="auto"/>
              <w:right w:val="nil"/>
            </w:tcBorders>
            <w:shd w:val="clear" w:color="auto" w:fill="auto"/>
            <w:vAlign w:val="center"/>
          </w:tcPr>
          <w:p w14:paraId="3E262B0B" w14:textId="4D75069F" w:rsidR="00170582" w:rsidRPr="00A27896" w:rsidRDefault="00170582" w:rsidP="00170582">
            <w:pPr>
              <w:spacing w:after="0" w:line="240" w:lineRule="auto"/>
              <w:ind w:left="-113" w:right="-57"/>
              <w:jc w:val="right"/>
              <w:rPr>
                <w:rFonts w:cs="Times New Roman"/>
                <w:color w:val="17365D"/>
                <w:sz w:val="16"/>
                <w:szCs w:val="16"/>
              </w:rPr>
            </w:pPr>
            <w:r w:rsidRPr="00A27896">
              <w:rPr>
                <w:rFonts w:cs="Times New Roman"/>
                <w:color w:val="17365D"/>
                <w:sz w:val="16"/>
                <w:szCs w:val="16"/>
              </w:rPr>
              <w:t>7 964 805 381</w:t>
            </w:r>
          </w:p>
        </w:tc>
        <w:tc>
          <w:tcPr>
            <w:tcW w:w="1030" w:type="dxa"/>
            <w:tcBorders>
              <w:top w:val="single" w:sz="4" w:space="0" w:color="auto"/>
              <w:left w:val="nil"/>
              <w:bottom w:val="single" w:sz="4" w:space="0" w:color="auto"/>
              <w:right w:val="nil"/>
            </w:tcBorders>
            <w:shd w:val="clear" w:color="auto" w:fill="auto"/>
            <w:vAlign w:val="center"/>
          </w:tcPr>
          <w:p w14:paraId="594E1A30" w14:textId="182143E1" w:rsidR="00170582" w:rsidRPr="00A27896" w:rsidRDefault="00170582" w:rsidP="00170582">
            <w:pPr>
              <w:spacing w:after="0" w:line="240" w:lineRule="auto"/>
              <w:ind w:left="-113" w:right="-57"/>
              <w:jc w:val="right"/>
              <w:rPr>
                <w:rFonts w:cs="Times New Roman"/>
                <w:color w:val="17365D"/>
                <w:sz w:val="16"/>
                <w:szCs w:val="16"/>
              </w:rPr>
            </w:pPr>
            <w:r w:rsidRPr="00A27896">
              <w:rPr>
                <w:rFonts w:cs="Times New Roman"/>
                <w:color w:val="17365D"/>
                <w:sz w:val="16"/>
                <w:szCs w:val="16"/>
              </w:rPr>
              <w:t>6 611 715 057</w:t>
            </w:r>
          </w:p>
        </w:tc>
        <w:tc>
          <w:tcPr>
            <w:tcW w:w="1066" w:type="dxa"/>
            <w:tcBorders>
              <w:top w:val="single" w:sz="4" w:space="0" w:color="auto"/>
              <w:left w:val="nil"/>
              <w:bottom w:val="single" w:sz="4" w:space="0" w:color="auto"/>
              <w:right w:val="nil"/>
            </w:tcBorders>
            <w:shd w:val="clear" w:color="auto" w:fill="auto"/>
            <w:vAlign w:val="center"/>
          </w:tcPr>
          <w:p w14:paraId="244F916F" w14:textId="6039DDAE" w:rsidR="00170582" w:rsidRPr="00A27896" w:rsidRDefault="00170582" w:rsidP="00170582">
            <w:pPr>
              <w:spacing w:after="0" w:line="240" w:lineRule="auto"/>
              <w:ind w:left="-113" w:right="-57"/>
              <w:jc w:val="right"/>
              <w:rPr>
                <w:rFonts w:cs="Times New Roman"/>
                <w:color w:val="17365D"/>
                <w:sz w:val="16"/>
                <w:szCs w:val="16"/>
              </w:rPr>
            </w:pPr>
            <w:r w:rsidRPr="00A27896">
              <w:rPr>
                <w:rFonts w:cs="Times New Roman"/>
                <w:color w:val="17365D"/>
                <w:sz w:val="16"/>
                <w:szCs w:val="16"/>
              </w:rPr>
              <w:t>16 244 829 204</w:t>
            </w:r>
          </w:p>
        </w:tc>
        <w:tc>
          <w:tcPr>
            <w:tcW w:w="1036" w:type="dxa"/>
            <w:tcBorders>
              <w:top w:val="single" w:sz="4" w:space="0" w:color="auto"/>
              <w:left w:val="nil"/>
              <w:bottom w:val="single" w:sz="4" w:space="0" w:color="auto"/>
              <w:right w:val="nil"/>
            </w:tcBorders>
            <w:shd w:val="clear" w:color="auto" w:fill="auto"/>
            <w:vAlign w:val="center"/>
          </w:tcPr>
          <w:p w14:paraId="1B8B1BAE" w14:textId="6AA4839D"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1 597 317 727</w:t>
            </w:r>
          </w:p>
        </w:tc>
        <w:tc>
          <w:tcPr>
            <w:tcW w:w="1112" w:type="dxa"/>
            <w:gridSpan w:val="4"/>
            <w:tcBorders>
              <w:top w:val="single" w:sz="4" w:space="0" w:color="auto"/>
              <w:left w:val="nil"/>
              <w:bottom w:val="single" w:sz="4" w:space="0" w:color="auto"/>
              <w:right w:val="nil"/>
            </w:tcBorders>
            <w:shd w:val="clear" w:color="auto" w:fill="auto"/>
            <w:vAlign w:val="center"/>
          </w:tcPr>
          <w:p w14:paraId="42B19935" w14:textId="4CF4021D"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6 950 883 960</w:t>
            </w:r>
          </w:p>
        </w:tc>
        <w:tc>
          <w:tcPr>
            <w:tcW w:w="1104" w:type="dxa"/>
            <w:gridSpan w:val="3"/>
            <w:tcBorders>
              <w:top w:val="single" w:sz="4" w:space="0" w:color="auto"/>
              <w:left w:val="nil"/>
              <w:bottom w:val="single" w:sz="4" w:space="0" w:color="auto"/>
              <w:right w:val="nil"/>
            </w:tcBorders>
            <w:shd w:val="clear" w:color="auto" w:fill="auto"/>
            <w:vAlign w:val="center"/>
          </w:tcPr>
          <w:p w14:paraId="324F6C88" w14:textId="0B99BEC7"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7 253 594 568</w:t>
            </w:r>
          </w:p>
        </w:tc>
        <w:tc>
          <w:tcPr>
            <w:tcW w:w="1160" w:type="dxa"/>
            <w:tcBorders>
              <w:top w:val="single" w:sz="4" w:space="0" w:color="auto"/>
              <w:left w:val="nil"/>
              <w:bottom w:val="single" w:sz="4" w:space="0" w:color="auto"/>
              <w:right w:val="nil"/>
            </w:tcBorders>
            <w:shd w:val="clear" w:color="auto" w:fill="auto"/>
            <w:vAlign w:val="center"/>
          </w:tcPr>
          <w:p w14:paraId="2C0374ED" w14:textId="2737632C"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15 801 796 255</w:t>
            </w:r>
          </w:p>
        </w:tc>
      </w:tr>
      <w:tr w:rsidR="00170582" w:rsidRPr="00A27896" w14:paraId="4DAB3F80" w14:textId="77777777" w:rsidTr="00170582">
        <w:trPr>
          <w:trHeight w:val="270"/>
        </w:trPr>
        <w:tc>
          <w:tcPr>
            <w:tcW w:w="1298" w:type="dxa"/>
            <w:tcBorders>
              <w:top w:val="single" w:sz="4" w:space="0" w:color="auto"/>
              <w:left w:val="nil"/>
              <w:bottom w:val="single" w:sz="4" w:space="0" w:color="auto"/>
              <w:right w:val="nil"/>
            </w:tcBorders>
            <w:shd w:val="clear" w:color="auto" w:fill="auto"/>
            <w:vAlign w:val="center"/>
            <w:hideMark/>
          </w:tcPr>
          <w:p w14:paraId="51E43718" w14:textId="77777777" w:rsidR="00170582" w:rsidRPr="00A27896" w:rsidRDefault="00170582" w:rsidP="00170582">
            <w:pPr>
              <w:spacing w:after="0" w:line="240" w:lineRule="auto"/>
              <w:ind w:left="175"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Aizņēmumi</w:t>
            </w:r>
          </w:p>
        </w:tc>
        <w:tc>
          <w:tcPr>
            <w:tcW w:w="1033" w:type="dxa"/>
            <w:gridSpan w:val="2"/>
            <w:tcBorders>
              <w:top w:val="single" w:sz="4" w:space="0" w:color="auto"/>
              <w:left w:val="nil"/>
              <w:bottom w:val="single" w:sz="4" w:space="0" w:color="auto"/>
              <w:right w:val="nil"/>
            </w:tcBorders>
            <w:shd w:val="clear" w:color="auto" w:fill="auto"/>
            <w:vAlign w:val="center"/>
            <w:hideMark/>
          </w:tcPr>
          <w:p w14:paraId="3B227666" w14:textId="5E098A2B"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323 848 871</w:t>
            </w:r>
          </w:p>
        </w:tc>
        <w:tc>
          <w:tcPr>
            <w:tcW w:w="987" w:type="dxa"/>
            <w:gridSpan w:val="2"/>
            <w:tcBorders>
              <w:top w:val="single" w:sz="4" w:space="0" w:color="auto"/>
              <w:left w:val="nil"/>
              <w:bottom w:val="single" w:sz="4" w:space="0" w:color="auto"/>
              <w:right w:val="nil"/>
            </w:tcBorders>
            <w:shd w:val="clear" w:color="auto" w:fill="auto"/>
            <w:vAlign w:val="center"/>
            <w:hideMark/>
          </w:tcPr>
          <w:p w14:paraId="3425095D" w14:textId="294DE3BE" w:rsidR="00170582" w:rsidRPr="00A27896" w:rsidRDefault="00170582" w:rsidP="00170582">
            <w:pPr>
              <w:spacing w:after="0" w:line="240" w:lineRule="auto"/>
              <w:ind w:left="-113" w:right="-57"/>
              <w:jc w:val="right"/>
              <w:rPr>
                <w:rFonts w:cs="Times New Roman"/>
                <w:color w:val="17365D"/>
                <w:sz w:val="16"/>
                <w:szCs w:val="16"/>
              </w:rPr>
            </w:pPr>
            <w:r w:rsidRPr="00A27896">
              <w:rPr>
                <w:rFonts w:cs="Times New Roman"/>
                <w:color w:val="17365D"/>
                <w:sz w:val="16"/>
                <w:szCs w:val="16"/>
              </w:rPr>
              <w:t>1 908 747 592</w:t>
            </w:r>
          </w:p>
        </w:tc>
        <w:tc>
          <w:tcPr>
            <w:tcW w:w="1030" w:type="dxa"/>
            <w:tcBorders>
              <w:top w:val="single" w:sz="4" w:space="0" w:color="auto"/>
              <w:left w:val="nil"/>
              <w:bottom w:val="single" w:sz="4" w:space="0" w:color="auto"/>
              <w:right w:val="nil"/>
            </w:tcBorders>
            <w:shd w:val="clear" w:color="auto" w:fill="auto"/>
            <w:vAlign w:val="center"/>
            <w:hideMark/>
          </w:tcPr>
          <w:p w14:paraId="0BE4F441" w14:textId="6315E341" w:rsidR="00170582" w:rsidRPr="00A27896" w:rsidRDefault="00170582" w:rsidP="00170582">
            <w:pPr>
              <w:spacing w:after="0" w:line="240" w:lineRule="auto"/>
              <w:ind w:left="-113" w:right="-57"/>
              <w:jc w:val="right"/>
              <w:rPr>
                <w:rFonts w:cs="Times New Roman"/>
                <w:color w:val="17365D"/>
                <w:sz w:val="16"/>
                <w:szCs w:val="16"/>
              </w:rPr>
            </w:pPr>
            <w:r w:rsidRPr="00A27896">
              <w:rPr>
                <w:rFonts w:cs="Times New Roman"/>
                <w:color w:val="17365D"/>
                <w:sz w:val="16"/>
                <w:szCs w:val="16"/>
              </w:rPr>
              <w:t>1 815 951 271</w:t>
            </w:r>
          </w:p>
        </w:tc>
        <w:tc>
          <w:tcPr>
            <w:tcW w:w="1066" w:type="dxa"/>
            <w:tcBorders>
              <w:top w:val="single" w:sz="4" w:space="0" w:color="auto"/>
              <w:left w:val="nil"/>
              <w:bottom w:val="single" w:sz="4" w:space="0" w:color="auto"/>
              <w:right w:val="nil"/>
            </w:tcBorders>
            <w:shd w:val="clear" w:color="auto" w:fill="auto"/>
            <w:vAlign w:val="center"/>
            <w:hideMark/>
          </w:tcPr>
          <w:p w14:paraId="697B0F51" w14:textId="2112AC54" w:rsidR="00170582" w:rsidRPr="00A27896" w:rsidRDefault="00170582" w:rsidP="00170582">
            <w:pPr>
              <w:spacing w:after="0" w:line="240" w:lineRule="auto"/>
              <w:ind w:left="-113" w:right="-57"/>
              <w:jc w:val="right"/>
              <w:rPr>
                <w:rFonts w:cs="Times New Roman"/>
                <w:color w:val="17365D"/>
                <w:sz w:val="16"/>
                <w:szCs w:val="16"/>
              </w:rPr>
            </w:pPr>
            <w:r w:rsidRPr="00A27896">
              <w:rPr>
                <w:rFonts w:cs="Times New Roman"/>
                <w:color w:val="17365D"/>
                <w:sz w:val="16"/>
                <w:szCs w:val="16"/>
              </w:rPr>
              <w:t>4 048 547 734</w:t>
            </w:r>
          </w:p>
        </w:tc>
        <w:tc>
          <w:tcPr>
            <w:tcW w:w="1036" w:type="dxa"/>
            <w:tcBorders>
              <w:top w:val="single" w:sz="4" w:space="0" w:color="auto"/>
              <w:left w:val="nil"/>
              <w:bottom w:val="single" w:sz="4" w:space="0" w:color="auto"/>
              <w:right w:val="nil"/>
            </w:tcBorders>
            <w:shd w:val="clear" w:color="auto" w:fill="auto"/>
            <w:vAlign w:val="center"/>
            <w:hideMark/>
          </w:tcPr>
          <w:p w14:paraId="31078EFD" w14:textId="4BB79219"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199 814 739</w:t>
            </w:r>
          </w:p>
        </w:tc>
        <w:tc>
          <w:tcPr>
            <w:tcW w:w="1112" w:type="dxa"/>
            <w:gridSpan w:val="4"/>
            <w:tcBorders>
              <w:top w:val="single" w:sz="4" w:space="0" w:color="auto"/>
              <w:left w:val="nil"/>
              <w:bottom w:val="single" w:sz="4" w:space="0" w:color="auto"/>
              <w:right w:val="nil"/>
            </w:tcBorders>
            <w:shd w:val="clear" w:color="auto" w:fill="auto"/>
            <w:vAlign w:val="center"/>
            <w:hideMark/>
          </w:tcPr>
          <w:p w14:paraId="0A053D5B" w14:textId="4CFE1D10"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1 736 497 792</w:t>
            </w:r>
          </w:p>
        </w:tc>
        <w:tc>
          <w:tcPr>
            <w:tcW w:w="1104" w:type="dxa"/>
            <w:gridSpan w:val="3"/>
            <w:tcBorders>
              <w:top w:val="single" w:sz="4" w:space="0" w:color="auto"/>
              <w:left w:val="nil"/>
              <w:bottom w:val="single" w:sz="4" w:space="0" w:color="auto"/>
              <w:right w:val="nil"/>
            </w:tcBorders>
            <w:shd w:val="clear" w:color="auto" w:fill="auto"/>
            <w:vAlign w:val="center"/>
            <w:hideMark/>
          </w:tcPr>
          <w:p w14:paraId="060F7D71" w14:textId="66C92B63"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2 158 550 653</w:t>
            </w:r>
          </w:p>
        </w:tc>
        <w:tc>
          <w:tcPr>
            <w:tcW w:w="1160" w:type="dxa"/>
            <w:tcBorders>
              <w:top w:val="single" w:sz="4" w:space="0" w:color="auto"/>
              <w:left w:val="nil"/>
              <w:bottom w:val="single" w:sz="4" w:space="0" w:color="auto"/>
              <w:right w:val="nil"/>
            </w:tcBorders>
            <w:shd w:val="clear" w:color="auto" w:fill="auto"/>
            <w:vAlign w:val="center"/>
            <w:hideMark/>
          </w:tcPr>
          <w:p w14:paraId="1B4C0011" w14:textId="61445FB5"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4 094 863 184</w:t>
            </w:r>
          </w:p>
        </w:tc>
      </w:tr>
      <w:tr w:rsidR="00170582" w:rsidRPr="00A27896" w14:paraId="778F7948" w14:textId="77777777" w:rsidTr="00170582">
        <w:trPr>
          <w:trHeight w:val="355"/>
        </w:trPr>
        <w:tc>
          <w:tcPr>
            <w:tcW w:w="1298" w:type="dxa"/>
            <w:tcBorders>
              <w:top w:val="single" w:sz="4" w:space="0" w:color="auto"/>
              <w:left w:val="nil"/>
              <w:bottom w:val="single" w:sz="4" w:space="0" w:color="auto"/>
              <w:right w:val="nil"/>
            </w:tcBorders>
            <w:shd w:val="clear" w:color="auto" w:fill="auto"/>
            <w:vAlign w:val="center"/>
          </w:tcPr>
          <w:p w14:paraId="5662DF71" w14:textId="685F03A6" w:rsidR="00170582" w:rsidRPr="00A27896" w:rsidRDefault="00170582" w:rsidP="00170582">
            <w:pPr>
              <w:spacing w:after="0" w:line="240" w:lineRule="auto"/>
              <w:ind w:left="175"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Pieņemtie noguldījumi</w:t>
            </w:r>
          </w:p>
        </w:tc>
        <w:tc>
          <w:tcPr>
            <w:tcW w:w="1033" w:type="dxa"/>
            <w:gridSpan w:val="2"/>
            <w:tcBorders>
              <w:top w:val="single" w:sz="4" w:space="0" w:color="auto"/>
              <w:left w:val="nil"/>
              <w:bottom w:val="single" w:sz="4" w:space="0" w:color="auto"/>
              <w:right w:val="nil"/>
            </w:tcBorders>
            <w:shd w:val="clear" w:color="auto" w:fill="auto"/>
            <w:vAlign w:val="center"/>
          </w:tcPr>
          <w:p w14:paraId="2A22D4BC" w14:textId="25D1B275"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339 304 673</w:t>
            </w:r>
          </w:p>
        </w:tc>
        <w:tc>
          <w:tcPr>
            <w:tcW w:w="987" w:type="dxa"/>
            <w:gridSpan w:val="2"/>
            <w:tcBorders>
              <w:top w:val="single" w:sz="4" w:space="0" w:color="auto"/>
              <w:left w:val="nil"/>
              <w:bottom w:val="single" w:sz="4" w:space="0" w:color="auto"/>
              <w:right w:val="nil"/>
            </w:tcBorders>
            <w:shd w:val="clear" w:color="auto" w:fill="auto"/>
            <w:vAlign w:val="center"/>
          </w:tcPr>
          <w:p w14:paraId="1547EC3E" w14:textId="428899A6"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463 346 800</w:t>
            </w:r>
          </w:p>
        </w:tc>
        <w:tc>
          <w:tcPr>
            <w:tcW w:w="1030" w:type="dxa"/>
            <w:tcBorders>
              <w:top w:val="single" w:sz="4" w:space="0" w:color="auto"/>
              <w:left w:val="nil"/>
              <w:bottom w:val="single" w:sz="4" w:space="0" w:color="auto"/>
              <w:right w:val="nil"/>
            </w:tcBorders>
            <w:shd w:val="clear" w:color="auto" w:fill="auto"/>
            <w:vAlign w:val="center"/>
          </w:tcPr>
          <w:p w14:paraId="033EC5FE" w14:textId="4DA69AFA"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0</w:t>
            </w:r>
          </w:p>
        </w:tc>
        <w:tc>
          <w:tcPr>
            <w:tcW w:w="1066" w:type="dxa"/>
            <w:tcBorders>
              <w:top w:val="single" w:sz="4" w:space="0" w:color="auto"/>
              <w:left w:val="nil"/>
              <w:bottom w:val="single" w:sz="4" w:space="0" w:color="auto"/>
              <w:right w:val="nil"/>
            </w:tcBorders>
            <w:shd w:val="clear" w:color="auto" w:fill="auto"/>
            <w:vAlign w:val="center"/>
          </w:tcPr>
          <w:p w14:paraId="1A3E4EFB" w14:textId="51DF5E4A"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802 651 473</w:t>
            </w:r>
          </w:p>
        </w:tc>
        <w:tc>
          <w:tcPr>
            <w:tcW w:w="1036" w:type="dxa"/>
            <w:tcBorders>
              <w:top w:val="single" w:sz="4" w:space="0" w:color="auto"/>
              <w:left w:val="nil"/>
              <w:bottom w:val="single" w:sz="4" w:space="0" w:color="auto"/>
              <w:right w:val="nil"/>
            </w:tcBorders>
            <w:shd w:val="clear" w:color="auto" w:fill="auto"/>
            <w:vAlign w:val="center"/>
          </w:tcPr>
          <w:p w14:paraId="6368C561" w14:textId="553B721E"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2 366 518</w:t>
            </w:r>
          </w:p>
        </w:tc>
        <w:tc>
          <w:tcPr>
            <w:tcW w:w="1112" w:type="dxa"/>
            <w:gridSpan w:val="4"/>
            <w:tcBorders>
              <w:top w:val="single" w:sz="4" w:space="0" w:color="auto"/>
              <w:left w:val="nil"/>
              <w:bottom w:val="single" w:sz="4" w:space="0" w:color="auto"/>
              <w:right w:val="nil"/>
            </w:tcBorders>
            <w:shd w:val="clear" w:color="auto" w:fill="auto"/>
            <w:vAlign w:val="center"/>
          </w:tcPr>
          <w:p w14:paraId="4569150C" w14:textId="60D5645D"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458 055 151</w:t>
            </w:r>
          </w:p>
        </w:tc>
        <w:tc>
          <w:tcPr>
            <w:tcW w:w="1104" w:type="dxa"/>
            <w:gridSpan w:val="3"/>
            <w:tcBorders>
              <w:top w:val="single" w:sz="4" w:space="0" w:color="auto"/>
              <w:left w:val="nil"/>
              <w:bottom w:val="single" w:sz="4" w:space="0" w:color="auto"/>
              <w:right w:val="nil"/>
            </w:tcBorders>
            <w:shd w:val="clear" w:color="auto" w:fill="auto"/>
            <w:vAlign w:val="center"/>
          </w:tcPr>
          <w:p w14:paraId="6B593C08" w14:textId="1D9F2315"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0</w:t>
            </w:r>
          </w:p>
        </w:tc>
        <w:tc>
          <w:tcPr>
            <w:tcW w:w="1160" w:type="dxa"/>
            <w:tcBorders>
              <w:top w:val="single" w:sz="4" w:space="0" w:color="auto"/>
              <w:left w:val="nil"/>
              <w:bottom w:val="single" w:sz="4" w:space="0" w:color="auto"/>
              <w:right w:val="nil"/>
            </w:tcBorders>
            <w:shd w:val="clear" w:color="auto" w:fill="auto"/>
            <w:vAlign w:val="center"/>
          </w:tcPr>
          <w:p w14:paraId="5960F478" w14:textId="27649B60"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460 421 669</w:t>
            </w:r>
          </w:p>
        </w:tc>
      </w:tr>
      <w:tr w:rsidR="00170582" w:rsidRPr="00A27896" w14:paraId="230D3953" w14:textId="77777777" w:rsidTr="00170582">
        <w:trPr>
          <w:trHeight w:val="262"/>
        </w:trPr>
        <w:tc>
          <w:tcPr>
            <w:tcW w:w="1298" w:type="dxa"/>
            <w:tcBorders>
              <w:top w:val="single" w:sz="4" w:space="0" w:color="auto"/>
              <w:left w:val="nil"/>
              <w:bottom w:val="single" w:sz="4" w:space="0" w:color="auto"/>
              <w:right w:val="nil"/>
            </w:tcBorders>
            <w:shd w:val="clear" w:color="auto" w:fill="auto"/>
            <w:vAlign w:val="center"/>
            <w:hideMark/>
          </w:tcPr>
          <w:p w14:paraId="3DAFFB99" w14:textId="77777777" w:rsidR="00170582" w:rsidRPr="00A27896" w:rsidRDefault="00170582" w:rsidP="00170582">
            <w:pPr>
              <w:spacing w:after="0" w:line="240" w:lineRule="auto"/>
              <w:ind w:left="175"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Pārējie finanšu instrumenti</w:t>
            </w:r>
          </w:p>
        </w:tc>
        <w:tc>
          <w:tcPr>
            <w:tcW w:w="1033" w:type="dxa"/>
            <w:gridSpan w:val="2"/>
            <w:tcBorders>
              <w:top w:val="single" w:sz="4" w:space="0" w:color="auto"/>
              <w:left w:val="nil"/>
              <w:bottom w:val="single" w:sz="4" w:space="0" w:color="auto"/>
              <w:right w:val="nil"/>
            </w:tcBorders>
            <w:shd w:val="clear" w:color="auto" w:fill="auto"/>
            <w:vAlign w:val="center"/>
            <w:hideMark/>
          </w:tcPr>
          <w:p w14:paraId="2353FE37" w14:textId="581CC041"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0</w:t>
            </w:r>
          </w:p>
        </w:tc>
        <w:tc>
          <w:tcPr>
            <w:tcW w:w="987" w:type="dxa"/>
            <w:gridSpan w:val="2"/>
            <w:tcBorders>
              <w:top w:val="single" w:sz="4" w:space="0" w:color="auto"/>
              <w:left w:val="nil"/>
              <w:bottom w:val="single" w:sz="4" w:space="0" w:color="auto"/>
              <w:right w:val="nil"/>
            </w:tcBorders>
            <w:shd w:val="clear" w:color="auto" w:fill="auto"/>
            <w:vAlign w:val="center"/>
            <w:hideMark/>
          </w:tcPr>
          <w:p w14:paraId="684C5174" w14:textId="7851694E"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0</w:t>
            </w:r>
          </w:p>
        </w:tc>
        <w:tc>
          <w:tcPr>
            <w:tcW w:w="1030" w:type="dxa"/>
            <w:tcBorders>
              <w:top w:val="single" w:sz="4" w:space="0" w:color="auto"/>
              <w:left w:val="nil"/>
              <w:bottom w:val="single" w:sz="4" w:space="0" w:color="auto"/>
              <w:right w:val="nil"/>
            </w:tcBorders>
            <w:shd w:val="clear" w:color="auto" w:fill="auto"/>
            <w:vAlign w:val="center"/>
            <w:hideMark/>
          </w:tcPr>
          <w:p w14:paraId="52DDC84D" w14:textId="05B86BBF"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0</w:t>
            </w:r>
          </w:p>
        </w:tc>
        <w:tc>
          <w:tcPr>
            <w:tcW w:w="1066" w:type="dxa"/>
            <w:tcBorders>
              <w:top w:val="single" w:sz="4" w:space="0" w:color="auto"/>
              <w:left w:val="nil"/>
              <w:bottom w:val="single" w:sz="4" w:space="0" w:color="auto"/>
              <w:right w:val="nil"/>
            </w:tcBorders>
            <w:shd w:val="clear" w:color="auto" w:fill="auto"/>
            <w:vAlign w:val="center"/>
            <w:hideMark/>
          </w:tcPr>
          <w:p w14:paraId="215A00CD" w14:textId="16445028"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0</w:t>
            </w:r>
          </w:p>
        </w:tc>
        <w:tc>
          <w:tcPr>
            <w:tcW w:w="1036" w:type="dxa"/>
            <w:tcBorders>
              <w:top w:val="single" w:sz="4" w:space="0" w:color="auto"/>
              <w:left w:val="nil"/>
              <w:bottom w:val="single" w:sz="4" w:space="0" w:color="auto"/>
              <w:right w:val="nil"/>
            </w:tcBorders>
            <w:shd w:val="clear" w:color="auto" w:fill="auto"/>
            <w:vAlign w:val="center"/>
            <w:hideMark/>
          </w:tcPr>
          <w:p w14:paraId="14DD6F40" w14:textId="53FEE0FD"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117 782</w:t>
            </w:r>
          </w:p>
        </w:tc>
        <w:tc>
          <w:tcPr>
            <w:tcW w:w="1112" w:type="dxa"/>
            <w:gridSpan w:val="4"/>
            <w:tcBorders>
              <w:top w:val="single" w:sz="4" w:space="0" w:color="auto"/>
              <w:left w:val="nil"/>
              <w:bottom w:val="single" w:sz="4" w:space="0" w:color="auto"/>
              <w:right w:val="nil"/>
            </w:tcBorders>
            <w:shd w:val="clear" w:color="auto" w:fill="auto"/>
            <w:vAlign w:val="center"/>
            <w:hideMark/>
          </w:tcPr>
          <w:p w14:paraId="0E019543" w14:textId="472C4A57"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282 498</w:t>
            </w:r>
          </w:p>
        </w:tc>
        <w:tc>
          <w:tcPr>
            <w:tcW w:w="1104" w:type="dxa"/>
            <w:gridSpan w:val="3"/>
            <w:tcBorders>
              <w:top w:val="single" w:sz="4" w:space="0" w:color="auto"/>
              <w:left w:val="nil"/>
              <w:bottom w:val="single" w:sz="4" w:space="0" w:color="auto"/>
              <w:right w:val="nil"/>
            </w:tcBorders>
            <w:shd w:val="clear" w:color="auto" w:fill="auto"/>
            <w:vAlign w:val="center"/>
            <w:hideMark/>
          </w:tcPr>
          <w:p w14:paraId="6DC7E8DA" w14:textId="15BC36CC"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297 646</w:t>
            </w:r>
          </w:p>
        </w:tc>
        <w:tc>
          <w:tcPr>
            <w:tcW w:w="1160" w:type="dxa"/>
            <w:tcBorders>
              <w:top w:val="single" w:sz="4" w:space="0" w:color="auto"/>
              <w:left w:val="nil"/>
              <w:bottom w:val="single" w:sz="4" w:space="0" w:color="auto"/>
              <w:right w:val="nil"/>
            </w:tcBorders>
            <w:shd w:val="clear" w:color="auto" w:fill="auto"/>
            <w:vAlign w:val="center"/>
            <w:hideMark/>
          </w:tcPr>
          <w:p w14:paraId="293CF845" w14:textId="343F48DB"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697 926</w:t>
            </w:r>
          </w:p>
        </w:tc>
      </w:tr>
      <w:tr w:rsidR="00170582" w:rsidRPr="00A27896" w14:paraId="2154F897" w14:textId="77777777" w:rsidTr="00170582">
        <w:trPr>
          <w:trHeight w:val="323"/>
        </w:trPr>
        <w:tc>
          <w:tcPr>
            <w:tcW w:w="1298" w:type="dxa"/>
            <w:tcBorders>
              <w:top w:val="single" w:sz="4" w:space="0" w:color="auto"/>
              <w:left w:val="nil"/>
              <w:bottom w:val="single" w:sz="4" w:space="0" w:color="auto"/>
              <w:right w:val="nil"/>
            </w:tcBorders>
            <w:shd w:val="clear" w:color="auto" w:fill="auto"/>
            <w:vAlign w:val="center"/>
            <w:hideMark/>
          </w:tcPr>
          <w:p w14:paraId="4D5CD8DA" w14:textId="77777777" w:rsidR="00170582" w:rsidRPr="00A27896" w:rsidRDefault="00170582" w:rsidP="00170582">
            <w:pPr>
              <w:spacing w:after="0" w:line="240" w:lineRule="auto"/>
              <w:ind w:left="-57"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Atvasinātās finanšu saistības</w:t>
            </w:r>
          </w:p>
        </w:tc>
        <w:tc>
          <w:tcPr>
            <w:tcW w:w="1033" w:type="dxa"/>
            <w:gridSpan w:val="2"/>
            <w:tcBorders>
              <w:top w:val="single" w:sz="4" w:space="0" w:color="auto"/>
              <w:left w:val="nil"/>
              <w:bottom w:val="single" w:sz="4" w:space="0" w:color="auto"/>
              <w:right w:val="nil"/>
            </w:tcBorders>
            <w:shd w:val="clear" w:color="auto" w:fill="auto"/>
            <w:vAlign w:val="center"/>
            <w:hideMark/>
          </w:tcPr>
          <w:p w14:paraId="7DF809C5" w14:textId="364ED45A"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19 145 250</w:t>
            </w:r>
          </w:p>
        </w:tc>
        <w:tc>
          <w:tcPr>
            <w:tcW w:w="987" w:type="dxa"/>
            <w:gridSpan w:val="2"/>
            <w:tcBorders>
              <w:top w:val="single" w:sz="4" w:space="0" w:color="auto"/>
              <w:left w:val="nil"/>
              <w:bottom w:val="single" w:sz="4" w:space="0" w:color="auto"/>
              <w:right w:val="nil"/>
            </w:tcBorders>
            <w:shd w:val="clear" w:color="auto" w:fill="auto"/>
            <w:vAlign w:val="center"/>
            <w:hideMark/>
          </w:tcPr>
          <w:p w14:paraId="2F9BBDF5" w14:textId="5BC5AF22"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71 820 000</w:t>
            </w:r>
          </w:p>
        </w:tc>
        <w:tc>
          <w:tcPr>
            <w:tcW w:w="1030" w:type="dxa"/>
            <w:tcBorders>
              <w:top w:val="single" w:sz="4" w:space="0" w:color="auto"/>
              <w:left w:val="nil"/>
              <w:bottom w:val="single" w:sz="4" w:space="0" w:color="auto"/>
              <w:right w:val="nil"/>
            </w:tcBorders>
            <w:shd w:val="clear" w:color="auto" w:fill="auto"/>
            <w:vAlign w:val="center"/>
            <w:hideMark/>
          </w:tcPr>
          <w:p w14:paraId="04D32F5B" w14:textId="2F979050"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0</w:t>
            </w:r>
          </w:p>
        </w:tc>
        <w:tc>
          <w:tcPr>
            <w:tcW w:w="1066" w:type="dxa"/>
            <w:tcBorders>
              <w:top w:val="single" w:sz="4" w:space="0" w:color="auto"/>
              <w:left w:val="nil"/>
              <w:bottom w:val="single" w:sz="4" w:space="0" w:color="auto"/>
              <w:right w:val="nil"/>
            </w:tcBorders>
            <w:shd w:val="clear" w:color="auto" w:fill="auto"/>
            <w:vAlign w:val="center"/>
            <w:hideMark/>
          </w:tcPr>
          <w:p w14:paraId="34CC773F" w14:textId="561B3FA8"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90 965 250</w:t>
            </w:r>
          </w:p>
        </w:tc>
        <w:tc>
          <w:tcPr>
            <w:tcW w:w="1036" w:type="dxa"/>
            <w:tcBorders>
              <w:top w:val="single" w:sz="4" w:space="0" w:color="auto"/>
              <w:left w:val="nil"/>
              <w:bottom w:val="single" w:sz="4" w:space="0" w:color="auto"/>
              <w:right w:val="nil"/>
            </w:tcBorders>
            <w:shd w:val="clear" w:color="auto" w:fill="auto"/>
            <w:vAlign w:val="center"/>
            <w:hideMark/>
          </w:tcPr>
          <w:p w14:paraId="230786C7" w14:textId="5ADA72DE"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20 250 782</w:t>
            </w:r>
          </w:p>
        </w:tc>
        <w:tc>
          <w:tcPr>
            <w:tcW w:w="1112" w:type="dxa"/>
            <w:gridSpan w:val="4"/>
            <w:tcBorders>
              <w:top w:val="single" w:sz="4" w:space="0" w:color="auto"/>
              <w:left w:val="nil"/>
              <w:bottom w:val="single" w:sz="4" w:space="0" w:color="auto"/>
              <w:right w:val="nil"/>
            </w:tcBorders>
            <w:shd w:val="clear" w:color="auto" w:fill="auto"/>
            <w:vAlign w:val="center"/>
            <w:hideMark/>
          </w:tcPr>
          <w:p w14:paraId="72CA406E" w14:textId="7D976E5B"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83 276 248</w:t>
            </w:r>
          </w:p>
        </w:tc>
        <w:tc>
          <w:tcPr>
            <w:tcW w:w="1104" w:type="dxa"/>
            <w:gridSpan w:val="3"/>
            <w:tcBorders>
              <w:top w:val="single" w:sz="4" w:space="0" w:color="auto"/>
              <w:left w:val="nil"/>
              <w:bottom w:val="single" w:sz="4" w:space="0" w:color="auto"/>
              <w:right w:val="nil"/>
            </w:tcBorders>
            <w:shd w:val="clear" w:color="auto" w:fill="auto"/>
            <w:vAlign w:val="center"/>
            <w:hideMark/>
          </w:tcPr>
          <w:p w14:paraId="5416A862" w14:textId="5EA1D8A9"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7 980 000</w:t>
            </w:r>
          </w:p>
        </w:tc>
        <w:tc>
          <w:tcPr>
            <w:tcW w:w="1160" w:type="dxa"/>
            <w:tcBorders>
              <w:top w:val="single" w:sz="4" w:space="0" w:color="auto"/>
              <w:left w:val="nil"/>
              <w:bottom w:val="single" w:sz="4" w:space="0" w:color="auto"/>
              <w:right w:val="nil"/>
            </w:tcBorders>
            <w:shd w:val="clear" w:color="auto" w:fill="auto"/>
            <w:vAlign w:val="center"/>
            <w:hideMark/>
          </w:tcPr>
          <w:p w14:paraId="04468B27" w14:textId="14691DC1"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111 507 030</w:t>
            </w:r>
          </w:p>
        </w:tc>
      </w:tr>
      <w:tr w:rsidR="00170582" w:rsidRPr="00A27896" w14:paraId="25E15467" w14:textId="77777777" w:rsidTr="00170582">
        <w:trPr>
          <w:trHeight w:val="495"/>
        </w:trPr>
        <w:tc>
          <w:tcPr>
            <w:tcW w:w="1298" w:type="dxa"/>
            <w:tcBorders>
              <w:top w:val="single" w:sz="4" w:space="0" w:color="auto"/>
              <w:left w:val="nil"/>
              <w:bottom w:val="single" w:sz="4" w:space="0" w:color="auto"/>
              <w:right w:val="nil"/>
            </w:tcBorders>
            <w:shd w:val="clear" w:color="auto" w:fill="auto"/>
            <w:vAlign w:val="center"/>
            <w:hideMark/>
          </w:tcPr>
          <w:p w14:paraId="53D16CC8" w14:textId="77777777" w:rsidR="00170582" w:rsidRPr="00A27896" w:rsidRDefault="00170582" w:rsidP="00170582">
            <w:pPr>
              <w:spacing w:after="0" w:line="240" w:lineRule="auto"/>
              <w:ind w:left="175"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Atvasinātie finanšu instrumenti</w:t>
            </w:r>
          </w:p>
        </w:tc>
        <w:tc>
          <w:tcPr>
            <w:tcW w:w="1033" w:type="dxa"/>
            <w:gridSpan w:val="2"/>
            <w:tcBorders>
              <w:top w:val="single" w:sz="4" w:space="0" w:color="auto"/>
              <w:left w:val="nil"/>
              <w:bottom w:val="single" w:sz="4" w:space="0" w:color="auto"/>
              <w:right w:val="nil"/>
            </w:tcBorders>
            <w:shd w:val="clear" w:color="auto" w:fill="auto"/>
            <w:vAlign w:val="center"/>
            <w:hideMark/>
          </w:tcPr>
          <w:p w14:paraId="244709C7" w14:textId="6F030108"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19 145 250</w:t>
            </w:r>
          </w:p>
        </w:tc>
        <w:tc>
          <w:tcPr>
            <w:tcW w:w="987" w:type="dxa"/>
            <w:gridSpan w:val="2"/>
            <w:tcBorders>
              <w:top w:val="single" w:sz="4" w:space="0" w:color="auto"/>
              <w:left w:val="nil"/>
              <w:bottom w:val="single" w:sz="4" w:space="0" w:color="auto"/>
              <w:right w:val="nil"/>
            </w:tcBorders>
            <w:shd w:val="clear" w:color="auto" w:fill="auto"/>
            <w:vAlign w:val="center"/>
            <w:hideMark/>
          </w:tcPr>
          <w:p w14:paraId="544ED7F5" w14:textId="27D67719"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71 820 000</w:t>
            </w:r>
          </w:p>
        </w:tc>
        <w:tc>
          <w:tcPr>
            <w:tcW w:w="1030" w:type="dxa"/>
            <w:tcBorders>
              <w:top w:val="single" w:sz="4" w:space="0" w:color="auto"/>
              <w:left w:val="nil"/>
              <w:bottom w:val="single" w:sz="4" w:space="0" w:color="auto"/>
              <w:right w:val="nil"/>
            </w:tcBorders>
            <w:shd w:val="clear" w:color="auto" w:fill="auto"/>
            <w:vAlign w:val="center"/>
            <w:hideMark/>
          </w:tcPr>
          <w:p w14:paraId="6FBFA279" w14:textId="49821EE3"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0</w:t>
            </w:r>
          </w:p>
        </w:tc>
        <w:tc>
          <w:tcPr>
            <w:tcW w:w="1066" w:type="dxa"/>
            <w:tcBorders>
              <w:top w:val="single" w:sz="4" w:space="0" w:color="auto"/>
              <w:left w:val="nil"/>
              <w:bottom w:val="single" w:sz="4" w:space="0" w:color="auto"/>
              <w:right w:val="nil"/>
            </w:tcBorders>
            <w:shd w:val="clear" w:color="auto" w:fill="auto"/>
            <w:vAlign w:val="center"/>
            <w:hideMark/>
          </w:tcPr>
          <w:p w14:paraId="25C8FF4F" w14:textId="1726AFBF"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90 965 250</w:t>
            </w:r>
          </w:p>
        </w:tc>
        <w:tc>
          <w:tcPr>
            <w:tcW w:w="1036" w:type="dxa"/>
            <w:tcBorders>
              <w:top w:val="single" w:sz="4" w:space="0" w:color="auto"/>
              <w:left w:val="nil"/>
              <w:bottom w:val="single" w:sz="4" w:space="0" w:color="auto"/>
              <w:right w:val="nil"/>
            </w:tcBorders>
            <w:shd w:val="clear" w:color="auto" w:fill="auto"/>
            <w:vAlign w:val="center"/>
            <w:hideMark/>
          </w:tcPr>
          <w:p w14:paraId="2AF73D36" w14:textId="6B08A8C5"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20 250 782</w:t>
            </w:r>
          </w:p>
        </w:tc>
        <w:tc>
          <w:tcPr>
            <w:tcW w:w="1112" w:type="dxa"/>
            <w:gridSpan w:val="4"/>
            <w:tcBorders>
              <w:top w:val="single" w:sz="4" w:space="0" w:color="auto"/>
              <w:left w:val="nil"/>
              <w:bottom w:val="single" w:sz="4" w:space="0" w:color="auto"/>
              <w:right w:val="nil"/>
            </w:tcBorders>
            <w:shd w:val="clear" w:color="auto" w:fill="auto"/>
            <w:vAlign w:val="center"/>
            <w:hideMark/>
          </w:tcPr>
          <w:p w14:paraId="69F40D57" w14:textId="0E9BF6D6"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83 276 248</w:t>
            </w:r>
          </w:p>
        </w:tc>
        <w:tc>
          <w:tcPr>
            <w:tcW w:w="1104" w:type="dxa"/>
            <w:gridSpan w:val="3"/>
            <w:tcBorders>
              <w:top w:val="single" w:sz="4" w:space="0" w:color="auto"/>
              <w:left w:val="nil"/>
              <w:bottom w:val="single" w:sz="4" w:space="0" w:color="auto"/>
              <w:right w:val="nil"/>
            </w:tcBorders>
            <w:shd w:val="clear" w:color="auto" w:fill="auto"/>
            <w:vAlign w:val="center"/>
            <w:hideMark/>
          </w:tcPr>
          <w:p w14:paraId="52B0C2CF" w14:textId="4957EE1B"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7 980 000</w:t>
            </w:r>
          </w:p>
        </w:tc>
        <w:tc>
          <w:tcPr>
            <w:tcW w:w="1160" w:type="dxa"/>
            <w:tcBorders>
              <w:top w:val="single" w:sz="4" w:space="0" w:color="auto"/>
              <w:left w:val="nil"/>
              <w:bottom w:val="single" w:sz="4" w:space="0" w:color="auto"/>
              <w:right w:val="nil"/>
            </w:tcBorders>
            <w:shd w:val="clear" w:color="auto" w:fill="auto"/>
            <w:vAlign w:val="center"/>
            <w:hideMark/>
          </w:tcPr>
          <w:p w14:paraId="622E50DF" w14:textId="06D58C29" w:rsidR="00170582" w:rsidRPr="00A27896" w:rsidRDefault="00170582" w:rsidP="00170582">
            <w:pPr>
              <w:spacing w:after="0" w:line="240" w:lineRule="auto"/>
              <w:ind w:left="-57" w:right="-57"/>
              <w:jc w:val="right"/>
              <w:rPr>
                <w:rFonts w:cs="Times New Roman"/>
                <w:color w:val="17365D"/>
                <w:sz w:val="16"/>
                <w:szCs w:val="16"/>
              </w:rPr>
            </w:pPr>
            <w:r w:rsidRPr="00A27896">
              <w:rPr>
                <w:rFonts w:cs="Times New Roman"/>
                <w:color w:val="17365D"/>
                <w:sz w:val="16"/>
                <w:szCs w:val="16"/>
              </w:rPr>
              <w:t>111 507 030</w:t>
            </w:r>
          </w:p>
        </w:tc>
      </w:tr>
      <w:tr w:rsidR="000C1009" w:rsidRPr="00A27896" w14:paraId="26958A32" w14:textId="77777777" w:rsidTr="00B62824">
        <w:trPr>
          <w:trHeight w:val="130"/>
        </w:trPr>
        <w:tc>
          <w:tcPr>
            <w:tcW w:w="2442" w:type="dxa"/>
            <w:gridSpan w:val="4"/>
            <w:tcBorders>
              <w:top w:val="single" w:sz="4" w:space="0" w:color="auto"/>
              <w:left w:val="nil"/>
              <w:bottom w:val="nil"/>
              <w:right w:val="nil"/>
            </w:tcBorders>
            <w:shd w:val="clear" w:color="000000" w:fill="B9CDE5"/>
            <w:noWrap/>
            <w:vAlign w:val="center"/>
            <w:hideMark/>
          </w:tcPr>
          <w:p w14:paraId="51915E44" w14:textId="77777777" w:rsidR="00C275AD" w:rsidRPr="00A27896" w:rsidRDefault="00C275AD" w:rsidP="00F9724A">
            <w:pPr>
              <w:spacing w:after="0" w:line="240" w:lineRule="auto"/>
              <w:ind w:left="-57" w:right="-57"/>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4518" w:type="dxa"/>
            <w:gridSpan w:val="5"/>
            <w:tcBorders>
              <w:top w:val="single" w:sz="4" w:space="0" w:color="auto"/>
              <w:left w:val="nil"/>
              <w:bottom w:val="nil"/>
              <w:right w:val="nil"/>
            </w:tcBorders>
            <w:shd w:val="clear" w:color="000000" w:fill="B9CDE5"/>
            <w:noWrap/>
            <w:vAlign w:val="center"/>
            <w:hideMark/>
          </w:tcPr>
          <w:p w14:paraId="50DA2A3F" w14:textId="77777777" w:rsidR="00C275AD" w:rsidRPr="00A27896" w:rsidRDefault="00C275AD" w:rsidP="00F9724A">
            <w:pPr>
              <w:spacing w:after="0" w:line="240" w:lineRule="auto"/>
              <w:ind w:left="-57"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866" w:type="dxa"/>
            <w:gridSpan w:val="7"/>
            <w:tcBorders>
              <w:top w:val="single" w:sz="4" w:space="0" w:color="auto"/>
              <w:left w:val="nil"/>
              <w:bottom w:val="nil"/>
              <w:right w:val="nil"/>
            </w:tcBorders>
            <w:shd w:val="clear" w:color="000000" w:fill="B9CDE5"/>
            <w:vAlign w:val="center"/>
            <w:hideMark/>
          </w:tcPr>
          <w:p w14:paraId="5C93A108" w14:textId="77777777" w:rsidR="00C275AD" w:rsidRPr="00A27896" w:rsidRDefault="00C275AD" w:rsidP="00F9724A">
            <w:pPr>
              <w:spacing w:after="0" w:line="240" w:lineRule="auto"/>
              <w:ind w:left="-57"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1B118920" w14:textId="79CD2AC3" w:rsidR="00415130" w:rsidRPr="00A27896" w:rsidRDefault="00415130" w:rsidP="00816325">
      <w:pPr>
        <w:pStyle w:val="Pamatteksts"/>
        <w:rPr>
          <w:color w:val="17365D"/>
        </w:rPr>
      </w:pPr>
    </w:p>
    <w:p w14:paraId="722CAD8A" w14:textId="636E4FB8" w:rsidR="00844915" w:rsidRPr="00A27896" w:rsidRDefault="00844915" w:rsidP="00816325">
      <w:pPr>
        <w:pStyle w:val="Heading6"/>
        <w:jc w:val="left"/>
        <w:rPr>
          <w:color w:val="17365D"/>
        </w:rPr>
      </w:pPr>
      <w:r w:rsidRPr="00A27896">
        <w:rPr>
          <w:rFonts w:eastAsiaTheme="minorHAnsi"/>
          <w:bCs w:val="0"/>
          <w:color w:val="17365D"/>
          <w:szCs w:val="22"/>
        </w:rPr>
        <w:lastRenderedPageBreak/>
        <w:t>Atvasinātie finanšu instrumenti</w:t>
      </w:r>
    </w:p>
    <w:p w14:paraId="370A7BCC" w14:textId="01BE5E04" w:rsidR="007351E3" w:rsidRPr="00A27896" w:rsidRDefault="00844915" w:rsidP="00816325">
      <w:pPr>
        <w:spacing w:before="120" w:after="120" w:line="240" w:lineRule="auto"/>
        <w:ind w:firstLine="284"/>
        <w:jc w:val="both"/>
        <w:rPr>
          <w:rFonts w:cs="Times New Roman"/>
          <w:color w:val="17365D"/>
        </w:rPr>
      </w:pPr>
      <w:r w:rsidRPr="00A27896">
        <w:rPr>
          <w:rFonts w:cs="Times New Roman"/>
          <w:color w:val="17365D"/>
        </w:rPr>
        <w:t xml:space="preserve">Konsolidētajā bilancē uzrādīti Valsts kases un Rīgas </w:t>
      </w:r>
      <w:proofErr w:type="spellStart"/>
      <w:r w:rsidR="00EE7E0B" w:rsidRPr="00A27896">
        <w:rPr>
          <w:rFonts w:cs="Times New Roman"/>
          <w:color w:val="17365D"/>
        </w:rPr>
        <w:t>valsts</w:t>
      </w:r>
      <w:r w:rsidRPr="00A27896">
        <w:rPr>
          <w:rFonts w:cs="Times New Roman"/>
          <w:color w:val="17365D"/>
        </w:rPr>
        <w:t>pilsētas</w:t>
      </w:r>
      <w:proofErr w:type="spellEnd"/>
      <w:r w:rsidRPr="00A27896">
        <w:rPr>
          <w:rFonts w:cs="Times New Roman"/>
          <w:color w:val="17365D"/>
        </w:rPr>
        <w:t xml:space="preserve"> pašvaldības izmantotie atvasinātie finanšu instrumenti.</w:t>
      </w:r>
      <w:r w:rsidR="007351E3" w:rsidRPr="00A27896">
        <w:rPr>
          <w:rFonts w:cs="Times New Roman"/>
          <w:color w:val="17365D"/>
        </w:rPr>
        <w:t xml:space="preserve"> </w:t>
      </w:r>
    </w:p>
    <w:p w14:paraId="4D738448" w14:textId="143BC7B9" w:rsidR="00D65E28" w:rsidRPr="00A27896" w:rsidRDefault="00D65E28" w:rsidP="00D65E28">
      <w:pPr>
        <w:spacing w:before="120" w:after="120" w:line="240" w:lineRule="auto"/>
        <w:ind w:firstLine="284"/>
        <w:jc w:val="both"/>
        <w:rPr>
          <w:rFonts w:cs="Times New Roman"/>
          <w:color w:val="17365D"/>
        </w:rPr>
      </w:pPr>
      <w:r w:rsidRPr="00A27896">
        <w:rPr>
          <w:rFonts w:cs="Times New Roman"/>
          <w:color w:val="17365D"/>
        </w:rPr>
        <w:t xml:space="preserve">Rīgas pilsētas pašvaldības izmantotais atvasinātais finanšu instruments 2022. gada pārskatā klasificēts finanšu instrumentu kategorijā “Patiesajā vērtībā novērtētas finanšu saistības” </w:t>
      </w:r>
      <w:r w:rsidR="00D1373A" w:rsidRPr="00A27896">
        <w:rPr>
          <w:rFonts w:cs="Times New Roman"/>
          <w:color w:val="17365D"/>
        </w:rPr>
        <w:t xml:space="preserve">(skatīt 32.tabulu) </w:t>
      </w:r>
      <w:r w:rsidRPr="00A27896">
        <w:rPr>
          <w:rFonts w:cs="Times New Roman"/>
          <w:color w:val="17365D"/>
        </w:rPr>
        <w:t xml:space="preserve">un uzrādīts </w:t>
      </w:r>
      <w:r w:rsidR="00814FB5" w:rsidRPr="00A27896">
        <w:rPr>
          <w:rFonts w:cs="Times New Roman"/>
          <w:color w:val="17365D"/>
        </w:rPr>
        <w:t xml:space="preserve">bilances postenī “Ilgtermiņa uzkrātās saistības” </w:t>
      </w:r>
      <w:r w:rsidRPr="00A27896">
        <w:rPr>
          <w:rFonts w:cs="Times New Roman"/>
          <w:color w:val="17365D"/>
        </w:rPr>
        <w:t xml:space="preserve">tā patiesajā vērtībā 79 174 840 </w:t>
      </w:r>
      <w:proofErr w:type="spellStart"/>
      <w:r w:rsidRPr="00A27896">
        <w:rPr>
          <w:rFonts w:cs="Times New Roman"/>
          <w:i/>
          <w:iCs/>
          <w:color w:val="17365D"/>
        </w:rPr>
        <w:t>euro</w:t>
      </w:r>
      <w:proofErr w:type="spellEnd"/>
      <w:r w:rsidRPr="00A27896">
        <w:rPr>
          <w:rFonts w:cs="Times New Roman"/>
          <w:color w:val="17365D"/>
        </w:rPr>
        <w:t xml:space="preserve">, balstoties uz Rīgas pilsētas pašvaldības izstrādātu aprēķinu metodoloģiju un principiem. </w:t>
      </w:r>
      <w:r w:rsidR="00BB06CE" w:rsidRPr="00A27896">
        <w:rPr>
          <w:rFonts w:cs="Times New Roman"/>
          <w:color w:val="17365D"/>
        </w:rPr>
        <w:t>Atvasinātā finanšu instrumenta p</w:t>
      </w:r>
      <w:r w:rsidRPr="00A27896">
        <w:rPr>
          <w:rFonts w:cs="Times New Roman"/>
          <w:color w:val="17365D"/>
        </w:rPr>
        <w:t xml:space="preserve">atiesā vērtība aprēķināta, ņemot vērā iespējamo mijmaiņas darījuma līguma nākotnes naudas plūsmu, kas modelēta, izmantojot DB </w:t>
      </w:r>
      <w:proofErr w:type="spellStart"/>
      <w:r w:rsidRPr="00A27896">
        <w:rPr>
          <w:rFonts w:cs="Times New Roman"/>
          <w:color w:val="17365D"/>
        </w:rPr>
        <w:t>Pulse</w:t>
      </w:r>
      <w:proofErr w:type="spellEnd"/>
      <w:r w:rsidRPr="00A27896">
        <w:rPr>
          <w:rFonts w:cs="Times New Roman"/>
          <w:color w:val="17365D"/>
        </w:rPr>
        <w:t xml:space="preserve"> </w:t>
      </w:r>
      <w:proofErr w:type="spellStart"/>
      <w:r w:rsidRPr="00A27896">
        <w:rPr>
          <w:rFonts w:cs="Times New Roman"/>
          <w:color w:val="17365D"/>
        </w:rPr>
        <w:t>Basket</w:t>
      </w:r>
      <w:proofErr w:type="spellEnd"/>
      <w:r w:rsidRPr="00A27896">
        <w:rPr>
          <w:rFonts w:cs="Times New Roman"/>
          <w:color w:val="17365D"/>
        </w:rPr>
        <w:t xml:space="preserve"> un DB FRB indeksu vēsturisko attīstību, ņemot vērā </w:t>
      </w:r>
      <w:proofErr w:type="spellStart"/>
      <w:r w:rsidRPr="00A27896">
        <w:rPr>
          <w:rFonts w:cs="Times New Roman"/>
          <w:i/>
          <w:color w:val="17365D"/>
        </w:rPr>
        <w:t>euro</w:t>
      </w:r>
      <w:proofErr w:type="spellEnd"/>
      <w:r w:rsidRPr="00A27896">
        <w:rPr>
          <w:rFonts w:cs="Times New Roman"/>
          <w:color w:val="17365D"/>
        </w:rPr>
        <w:t xml:space="preserve"> un USD likmju izmaiņas, un kā diskonta likmi izmantojot </w:t>
      </w:r>
      <w:proofErr w:type="spellStart"/>
      <w:r w:rsidRPr="00A27896">
        <w:rPr>
          <w:rFonts w:cs="Times New Roman"/>
          <w:i/>
          <w:color w:val="17365D"/>
        </w:rPr>
        <w:t>euro</w:t>
      </w:r>
      <w:proofErr w:type="spellEnd"/>
      <w:r w:rsidRPr="00A27896">
        <w:rPr>
          <w:rFonts w:cs="Times New Roman"/>
          <w:color w:val="17365D"/>
        </w:rPr>
        <w:t xml:space="preserve"> procentu likmju līkni uz 2022. gada 31. decembri, kas koriģēta ar Latvijas valsts kredītsaistību neizpildes mijmaiņas līgumu (CDS) ilgtermiņa </w:t>
      </w:r>
      <w:r w:rsidR="00BB06CE" w:rsidRPr="00A27896">
        <w:rPr>
          <w:rFonts w:cs="Times New Roman"/>
          <w:color w:val="17365D"/>
        </w:rPr>
        <w:t>likmi, un tas ietilpst patiesās vērtības hierarhijas 3. līmenī.</w:t>
      </w:r>
    </w:p>
    <w:p w14:paraId="3A226DD0" w14:textId="3B00467E" w:rsidR="00D1373A" w:rsidRPr="00A27896" w:rsidRDefault="00814FB5" w:rsidP="00D1373A">
      <w:pPr>
        <w:spacing w:after="120" w:line="240" w:lineRule="auto"/>
        <w:ind w:firstLine="284"/>
        <w:jc w:val="both"/>
        <w:rPr>
          <w:rFonts w:cs="Times New Roman"/>
          <w:color w:val="17365D"/>
        </w:rPr>
      </w:pPr>
      <w:r w:rsidRPr="00A27896">
        <w:rPr>
          <w:rFonts w:cs="Times New Roman"/>
          <w:color w:val="17365D"/>
        </w:rPr>
        <w:t>Valsts budžeta finanšu uzskaitē uz 2022.</w:t>
      </w:r>
      <w:r w:rsidR="0057470D" w:rsidRPr="00A27896">
        <w:rPr>
          <w:rFonts w:cs="Times New Roman"/>
          <w:color w:val="17365D"/>
        </w:rPr>
        <w:t xml:space="preserve"> </w:t>
      </w:r>
      <w:r w:rsidRPr="00A27896">
        <w:rPr>
          <w:rFonts w:cs="Times New Roman"/>
          <w:color w:val="17365D"/>
        </w:rPr>
        <w:t>gada 31.</w:t>
      </w:r>
      <w:r w:rsidR="0057470D" w:rsidRPr="00A27896">
        <w:rPr>
          <w:rFonts w:cs="Times New Roman"/>
          <w:color w:val="17365D"/>
        </w:rPr>
        <w:t xml:space="preserve"> </w:t>
      </w:r>
      <w:r w:rsidRPr="00A27896">
        <w:rPr>
          <w:rFonts w:cs="Times New Roman"/>
          <w:color w:val="17365D"/>
        </w:rPr>
        <w:t xml:space="preserve">decembri atzītais atvasinātais finanšu instruments </w:t>
      </w:r>
      <w:r w:rsidRPr="00A27896">
        <w:rPr>
          <w:rFonts w:cs="Times New Roman"/>
          <w:color w:val="17365D"/>
          <w:szCs w:val="24"/>
        </w:rPr>
        <w:t>– p</w:t>
      </w:r>
      <w:r w:rsidRPr="00A27896">
        <w:rPr>
          <w:rFonts w:cs="Times New Roman"/>
          <w:color w:val="17365D"/>
        </w:rPr>
        <w:t>rocentu likmju mijmaiņas darījums (IRS) klasificēts kā riska ierobežošanas instruments un 2022.</w:t>
      </w:r>
      <w:r w:rsidR="0057470D" w:rsidRPr="00A27896">
        <w:rPr>
          <w:rFonts w:cs="Times New Roman"/>
          <w:color w:val="17365D"/>
        </w:rPr>
        <w:t xml:space="preserve"> </w:t>
      </w:r>
      <w:r w:rsidRPr="00A27896">
        <w:rPr>
          <w:rFonts w:cs="Times New Roman"/>
          <w:color w:val="17365D"/>
        </w:rPr>
        <w:t>gada pā</w:t>
      </w:r>
      <w:r w:rsidR="00E173A7" w:rsidRPr="00A27896">
        <w:rPr>
          <w:rFonts w:cs="Times New Roman"/>
          <w:color w:val="17365D"/>
        </w:rPr>
        <w:t>r</w:t>
      </w:r>
      <w:r w:rsidRPr="00A27896">
        <w:rPr>
          <w:rFonts w:cs="Times New Roman"/>
          <w:color w:val="17365D"/>
        </w:rPr>
        <w:t>skatā uzrādīt</w:t>
      </w:r>
      <w:r w:rsidR="00E01689" w:rsidRPr="00A27896">
        <w:rPr>
          <w:rFonts w:cs="Times New Roman"/>
          <w:color w:val="17365D"/>
        </w:rPr>
        <w:t>s</w:t>
      </w:r>
      <w:r w:rsidRPr="00A27896">
        <w:rPr>
          <w:rFonts w:cs="Times New Roman"/>
          <w:color w:val="17365D"/>
        </w:rPr>
        <w:t xml:space="preserve"> bilances postenī “Īstermiņa finanšu ieguldījumi” 1 226 971 </w:t>
      </w:r>
      <w:proofErr w:type="spellStart"/>
      <w:r w:rsidRPr="00A27896">
        <w:rPr>
          <w:rFonts w:cs="Times New Roman"/>
          <w:i/>
          <w:color w:val="17365D"/>
        </w:rPr>
        <w:t>euro</w:t>
      </w:r>
      <w:proofErr w:type="spellEnd"/>
      <w:r w:rsidRPr="00A27896">
        <w:rPr>
          <w:rFonts w:cs="Times New Roman"/>
          <w:color w:val="17365D"/>
        </w:rPr>
        <w:t xml:space="preserve"> vērtībā.</w:t>
      </w:r>
      <w:r w:rsidR="00D1373A" w:rsidRPr="00A27896">
        <w:rPr>
          <w:rFonts w:cs="Times New Roman"/>
          <w:color w:val="17365D"/>
        </w:rPr>
        <w:t xml:space="preserve"> Valsts kases izmantotais atvasinātais finanšu instruments ietilpst patiesās vērtības hierarhijas 2. līmenī, jo tā patiesās vērtības novērtēšanas metode balstīta uz tirgus cenām.</w:t>
      </w:r>
    </w:p>
    <w:p w14:paraId="3539F173" w14:textId="77777777" w:rsidR="006B69DC" w:rsidRPr="00A27896" w:rsidRDefault="006B69DC" w:rsidP="006B69DC">
      <w:pPr>
        <w:pStyle w:val="Heading7"/>
        <w:rPr>
          <w:rFonts w:ascii="Times New Roman" w:eastAsiaTheme="minorHAnsi" w:hAnsi="Times New Roman" w:cs="Times New Roman"/>
          <w:b/>
          <w:i w:val="0"/>
          <w:iCs w:val="0"/>
          <w:color w:val="17365D"/>
          <w:sz w:val="24"/>
        </w:rPr>
      </w:pPr>
      <w:r w:rsidRPr="00A27896">
        <w:rPr>
          <w:rFonts w:ascii="Times New Roman" w:eastAsiaTheme="minorHAnsi" w:hAnsi="Times New Roman" w:cs="Times New Roman"/>
          <w:b/>
          <w:i w:val="0"/>
          <w:iCs w:val="0"/>
          <w:color w:val="17365D"/>
          <w:sz w:val="24"/>
        </w:rPr>
        <w:t>Riska ierobežošanas uzskaite</w:t>
      </w:r>
    </w:p>
    <w:p w14:paraId="0AF08D57" w14:textId="333FE10B" w:rsidR="006B69DC" w:rsidRPr="00A27896" w:rsidRDefault="006B69DC" w:rsidP="006B69DC">
      <w:pPr>
        <w:spacing w:after="120" w:line="240" w:lineRule="auto"/>
        <w:ind w:firstLine="284"/>
        <w:jc w:val="both"/>
        <w:rPr>
          <w:rFonts w:cs="Times New Roman"/>
          <w:color w:val="17365D"/>
          <w:szCs w:val="24"/>
        </w:rPr>
      </w:pPr>
      <w:r w:rsidRPr="00A27896">
        <w:rPr>
          <w:rFonts w:cs="Times New Roman"/>
          <w:color w:val="17365D"/>
          <w:szCs w:val="24"/>
        </w:rPr>
        <w:t>Valsts budžeta finanšu uzskaitē atvasinātam finanšu instrumentam –</w:t>
      </w:r>
      <w:r w:rsidR="00090D03" w:rsidRPr="00A27896">
        <w:rPr>
          <w:rFonts w:cs="Times New Roman"/>
          <w:color w:val="17365D"/>
          <w:szCs w:val="24"/>
        </w:rPr>
        <w:t xml:space="preserve"> </w:t>
      </w:r>
      <w:r w:rsidRPr="00A27896">
        <w:rPr>
          <w:rFonts w:cs="Times New Roman"/>
          <w:color w:val="17365D"/>
          <w:szCs w:val="24"/>
        </w:rPr>
        <w:t xml:space="preserve">procentu likmju mijmaiņas darījumam (IRS) Valsts kase piemēro naudas plūsmas riska ierobežošanu. </w:t>
      </w:r>
    </w:p>
    <w:p w14:paraId="496AFDCC" w14:textId="77777777" w:rsidR="006B69DC" w:rsidRPr="00A27896" w:rsidRDefault="006B69DC" w:rsidP="006B69DC">
      <w:pPr>
        <w:spacing w:after="120" w:line="240" w:lineRule="auto"/>
        <w:ind w:firstLine="284"/>
        <w:jc w:val="both"/>
        <w:rPr>
          <w:rFonts w:cs="Times New Roman"/>
          <w:color w:val="17365D"/>
          <w:szCs w:val="24"/>
        </w:rPr>
      </w:pPr>
      <w:r w:rsidRPr="00A27896">
        <w:rPr>
          <w:rFonts w:cs="Times New Roman"/>
          <w:color w:val="17365D"/>
          <w:szCs w:val="24"/>
        </w:rPr>
        <w:t xml:space="preserve">Nākotnes valūtu mijmaiņas darījuma riska vadības veids ir ierobežot ārvalstu valūtas risku (EUR/USD valūtas </w:t>
      </w:r>
      <w:proofErr w:type="spellStart"/>
      <w:r w:rsidRPr="00A27896">
        <w:rPr>
          <w:rFonts w:cs="Times New Roman"/>
          <w:color w:val="17365D"/>
          <w:szCs w:val="24"/>
        </w:rPr>
        <w:t>spot</w:t>
      </w:r>
      <w:proofErr w:type="spellEnd"/>
      <w:r w:rsidRPr="00A27896">
        <w:rPr>
          <w:rFonts w:cs="Times New Roman"/>
          <w:color w:val="17365D"/>
          <w:szCs w:val="24"/>
        </w:rPr>
        <w:t xml:space="preserve"> kursa svārstību risks). Pret risku ierobežotais postenis ir aizņēmuma pamatsummas USD valūtā nākotnes maksājuma (nākotnes norēķinu datums 25.11.2022.) naudas plūsma 388 286 USD apmērā. Tiek sagaidīts, ka pret risku ierobežotā posteņa un riska ierobežošanas instrumenta vērtības mainīsies ar pretējām zīmēm (pretējos virzienos), reaģējot uz viena un tā paša riska (EUR/USD valūtu </w:t>
      </w:r>
      <w:proofErr w:type="spellStart"/>
      <w:r w:rsidRPr="00A27896">
        <w:rPr>
          <w:rFonts w:cs="Times New Roman"/>
          <w:color w:val="17365D"/>
          <w:szCs w:val="24"/>
        </w:rPr>
        <w:t>spot</w:t>
      </w:r>
      <w:proofErr w:type="spellEnd"/>
      <w:r w:rsidRPr="00A27896">
        <w:rPr>
          <w:rFonts w:cs="Times New Roman"/>
          <w:color w:val="17365D"/>
          <w:szCs w:val="24"/>
        </w:rPr>
        <w:t xml:space="preserve"> kursa) izmaiņām. Ņemot vērā to, ka posteņa un instrumenta maksāšanas datumi precīzi sakrīt (maksājumi notiek vienā datumā), riska ierobežošanas ekonomiskās attiecības ir ciešas un riska ierobežošanas efektivitāte ir 100 %. Kredītrisks nav dominējošais attiecībās. Darījuma partnerim </w:t>
      </w:r>
      <w:proofErr w:type="spellStart"/>
      <w:r w:rsidRPr="00A27896">
        <w:rPr>
          <w:rFonts w:cs="Times New Roman"/>
          <w:color w:val="17365D"/>
          <w:szCs w:val="24"/>
        </w:rPr>
        <w:t>Merrill</w:t>
      </w:r>
      <w:proofErr w:type="spellEnd"/>
      <w:r w:rsidRPr="00A27896">
        <w:rPr>
          <w:rFonts w:cs="Times New Roman"/>
          <w:color w:val="17365D"/>
          <w:szCs w:val="24"/>
        </w:rPr>
        <w:t xml:space="preserve"> </w:t>
      </w:r>
      <w:proofErr w:type="spellStart"/>
      <w:r w:rsidRPr="00A27896">
        <w:rPr>
          <w:rFonts w:cs="Times New Roman"/>
          <w:color w:val="17365D"/>
          <w:szCs w:val="24"/>
        </w:rPr>
        <w:t>Lynch</w:t>
      </w:r>
      <w:proofErr w:type="spellEnd"/>
      <w:r w:rsidRPr="00A27896">
        <w:rPr>
          <w:rFonts w:cs="Times New Roman"/>
          <w:color w:val="17365D"/>
          <w:szCs w:val="24"/>
        </w:rPr>
        <w:t xml:space="preserve"> </w:t>
      </w:r>
      <w:proofErr w:type="spellStart"/>
      <w:r w:rsidRPr="00A27896">
        <w:rPr>
          <w:rFonts w:cs="Times New Roman"/>
          <w:color w:val="17365D"/>
          <w:szCs w:val="24"/>
        </w:rPr>
        <w:t>International</w:t>
      </w:r>
      <w:proofErr w:type="spellEnd"/>
      <w:r w:rsidRPr="00A27896">
        <w:rPr>
          <w:rFonts w:cs="Times New Roman"/>
          <w:color w:val="17365D"/>
          <w:szCs w:val="24"/>
        </w:rPr>
        <w:t xml:space="preserve"> ir augsts kredītreitings gan darījuma noslēgšanas brīdī, gan riska ierobežošanas uzskaites uzsākšanas brīdī – A1 (zemākais no piemērotiem kredītreitingiem pēc </w:t>
      </w:r>
      <w:proofErr w:type="spellStart"/>
      <w:r w:rsidRPr="00A27896">
        <w:rPr>
          <w:rFonts w:cs="Times New Roman"/>
          <w:color w:val="17365D"/>
          <w:szCs w:val="24"/>
        </w:rPr>
        <w:t>Moody’s</w:t>
      </w:r>
      <w:proofErr w:type="spellEnd"/>
      <w:r w:rsidRPr="00A27896">
        <w:rPr>
          <w:rFonts w:cs="Times New Roman"/>
          <w:color w:val="17365D"/>
          <w:szCs w:val="24"/>
        </w:rPr>
        <w:t xml:space="preserve">, Standard &amp; </w:t>
      </w:r>
      <w:proofErr w:type="spellStart"/>
      <w:r w:rsidRPr="00A27896">
        <w:rPr>
          <w:rFonts w:cs="Times New Roman"/>
          <w:color w:val="17365D"/>
          <w:szCs w:val="24"/>
        </w:rPr>
        <w:t>Poor’s</w:t>
      </w:r>
      <w:proofErr w:type="spellEnd"/>
      <w:r w:rsidRPr="00A27896">
        <w:rPr>
          <w:rFonts w:cs="Times New Roman"/>
          <w:color w:val="17365D"/>
          <w:szCs w:val="24"/>
        </w:rPr>
        <w:t xml:space="preserve"> un </w:t>
      </w:r>
      <w:proofErr w:type="spellStart"/>
      <w:r w:rsidRPr="00A27896">
        <w:rPr>
          <w:rFonts w:cs="Times New Roman"/>
          <w:color w:val="17365D"/>
          <w:szCs w:val="24"/>
        </w:rPr>
        <w:t>Fitch</w:t>
      </w:r>
      <w:proofErr w:type="spellEnd"/>
      <w:r w:rsidRPr="00A27896">
        <w:rPr>
          <w:rFonts w:cs="Times New Roman"/>
          <w:color w:val="17365D"/>
          <w:szCs w:val="24"/>
        </w:rPr>
        <w:t xml:space="preserve">). Riska ierobežošanas uzskaites uzsākšanas dienā 31.12.2021. </w:t>
      </w:r>
      <w:proofErr w:type="spellStart"/>
      <w:r w:rsidRPr="00A27896">
        <w:rPr>
          <w:rFonts w:cs="Times New Roman"/>
          <w:color w:val="17365D"/>
          <w:szCs w:val="24"/>
        </w:rPr>
        <w:t>Forward</w:t>
      </w:r>
      <w:proofErr w:type="spellEnd"/>
      <w:r w:rsidRPr="00A27896">
        <w:rPr>
          <w:rFonts w:cs="Times New Roman"/>
          <w:color w:val="17365D"/>
          <w:szCs w:val="24"/>
        </w:rPr>
        <w:t xml:space="preserve"> kredītrisks ir nebūtisks 275 </w:t>
      </w:r>
      <w:proofErr w:type="spellStart"/>
      <w:r w:rsidRPr="00A27896">
        <w:rPr>
          <w:rFonts w:cs="Times New Roman"/>
          <w:i/>
          <w:color w:val="17365D"/>
          <w:szCs w:val="24"/>
        </w:rPr>
        <w:t>euro</w:t>
      </w:r>
      <w:proofErr w:type="spellEnd"/>
      <w:r w:rsidRPr="00A27896">
        <w:rPr>
          <w:rFonts w:cs="Times New Roman"/>
          <w:color w:val="17365D"/>
          <w:szCs w:val="24"/>
        </w:rPr>
        <w:t xml:space="preserve"> apmērā.</w:t>
      </w:r>
    </w:p>
    <w:p w14:paraId="289767FB" w14:textId="0E899A66" w:rsidR="006B69DC" w:rsidRPr="00A27896" w:rsidRDefault="006B69DC" w:rsidP="006B69DC">
      <w:pPr>
        <w:spacing w:after="120" w:line="240" w:lineRule="auto"/>
        <w:ind w:firstLine="284"/>
        <w:jc w:val="both"/>
        <w:rPr>
          <w:rFonts w:cs="Times New Roman"/>
          <w:color w:val="17365D"/>
          <w:szCs w:val="24"/>
        </w:rPr>
      </w:pPr>
      <w:r w:rsidRPr="00A27896">
        <w:rPr>
          <w:rFonts w:cs="Times New Roman"/>
          <w:color w:val="17365D"/>
        </w:rPr>
        <w:t xml:space="preserve">Parāda portfeļa procentu likmju risks tiek vadīts, aprēķinot optimālo parāda apkalpošanas izmaksu un izmaksu pieauguma riska līdzsvaru un nosakot procentu likmju vidējo svērto fiksēto periodu (gados), tas ir, </w:t>
      </w:r>
      <w:proofErr w:type="spellStart"/>
      <w:r w:rsidRPr="00A27896">
        <w:rPr>
          <w:rFonts w:cs="Times New Roman"/>
          <w:i/>
          <w:color w:val="17365D"/>
        </w:rPr>
        <w:t>duration</w:t>
      </w:r>
      <w:proofErr w:type="spellEnd"/>
      <w:r w:rsidRPr="00A27896">
        <w:rPr>
          <w:rFonts w:cs="Times New Roman"/>
          <w:color w:val="17365D"/>
        </w:rPr>
        <w:t xml:space="preserve"> rādītāju. </w:t>
      </w:r>
      <w:r w:rsidRPr="00A27896">
        <w:rPr>
          <w:rFonts w:cs="Times New Roman"/>
          <w:color w:val="17365D"/>
          <w:szCs w:val="24"/>
        </w:rPr>
        <w:t>Uzsākot riska ierobežošanas uzskaiti, pret risku ierobežotais postenis tiek konkretizēts (līdz šim IRS tika piesaistīts parāda portfelim), piesaistot IRS konkrētā aizņēmuma ar mainīgo procentu likmi naudas plūsmai</w:t>
      </w:r>
      <w:r w:rsidRPr="00A27896">
        <w:rPr>
          <w:rFonts w:cs="Times New Roman"/>
          <w:color w:val="17365D"/>
        </w:rPr>
        <w:t>.</w:t>
      </w:r>
      <w:r w:rsidRPr="00A27896">
        <w:rPr>
          <w:rFonts w:cs="Times New Roman"/>
          <w:color w:val="17365D"/>
          <w:szCs w:val="24"/>
        </w:rPr>
        <w:t xml:space="preserve"> Procentu likmju mijmaiņas darījumam (IRS) riska vadības veids ir procentu likmju izmaiņu risks (6 mēnešu EURIBOR likmes izmaiņu risks). Pret risku ierobežotais postenis ir aizņēmuma procentu maksājumu naudas plūsma ar nominālvērtību 155 milj. </w:t>
      </w:r>
      <w:proofErr w:type="spellStart"/>
      <w:r w:rsidRPr="00A27896">
        <w:rPr>
          <w:rFonts w:cs="Times New Roman"/>
          <w:i/>
          <w:color w:val="17365D"/>
          <w:szCs w:val="24"/>
        </w:rPr>
        <w:t>euro</w:t>
      </w:r>
      <w:proofErr w:type="spellEnd"/>
      <w:r w:rsidRPr="00A27896">
        <w:rPr>
          <w:rFonts w:cs="Times New Roman"/>
          <w:color w:val="17365D"/>
          <w:szCs w:val="24"/>
        </w:rPr>
        <w:t xml:space="preserve"> (laika periodā 31.12.2020. – 30.10.2023.). Sagaidāms, ka pret risku ierobežotā posteņa un riska ierobežošanas instrumenta vērtības mainīsies ar pretējām zīmēm (pretējos virzienos), reaģējot uz viena un tā paša riska (ierobežotā riska) izmaiņām, tomēr, ņemot vērā to, ka posteņa un instrumenta maksāšanas datumi precīzi nesakrīt (maksājumi notiek vienā kalendārajā mēnesī, bet dažādos datumos), pret risku ierobežotā posteņa un riska ierobežošanas instrumenta vērtības varētu būt ar nelielām starpībām, pie nosacījuma, ka finanšu tirgos nebūs satricinājumi un likmju svārstības nebūs būtiskas.</w:t>
      </w:r>
    </w:p>
    <w:p w14:paraId="4FF4E58A" w14:textId="2365226B" w:rsidR="00E132A3" w:rsidRPr="00A27896" w:rsidRDefault="00E132A3" w:rsidP="00E132A3">
      <w:pPr>
        <w:spacing w:after="120" w:line="240" w:lineRule="auto"/>
        <w:ind w:firstLine="284"/>
        <w:jc w:val="both"/>
        <w:rPr>
          <w:rFonts w:cs="Times New Roman"/>
          <w:color w:val="17365D"/>
        </w:rPr>
      </w:pPr>
      <w:r w:rsidRPr="00A27896">
        <w:rPr>
          <w:rFonts w:cs="Times New Roman"/>
          <w:color w:val="17365D"/>
        </w:rPr>
        <w:lastRenderedPageBreak/>
        <w:t>Tīrā valūtu parāda atklātās pozīcijas saglabāšanu Valsts parāda un naudas līdzekļu vadības stratēģijā noteiktajās robežās 2022. gadā nodrošināja iepriekšējos gados noslēgtie FORWARD un CCIRS darījumi. 2022. gadā ir beidzies pēdējais no iepriekšējos gados noslēgtiem CCIRS darījumiem, kā arī Valsts kase nav veikusi jaunus aizņēmumus ārvalstu valūtās un attiecīgi nav slēgusi jaunus darījumus valsts parāda valūtu riska izslēgšanai.</w:t>
      </w:r>
    </w:p>
    <w:p w14:paraId="537CDF19" w14:textId="27E77E89" w:rsidR="006B69DC" w:rsidRPr="00A27896" w:rsidRDefault="006B69DC" w:rsidP="006B69DC">
      <w:pPr>
        <w:spacing w:before="120" w:after="0" w:line="240" w:lineRule="auto"/>
        <w:ind w:left="142"/>
        <w:jc w:val="right"/>
        <w:rPr>
          <w:rFonts w:cs="Times New Roman"/>
          <w:i/>
          <w:color w:val="17365D"/>
          <w:sz w:val="20"/>
        </w:rPr>
      </w:pPr>
      <w:r w:rsidRPr="00A27896">
        <w:rPr>
          <w:rFonts w:cs="Times New Roman"/>
          <w:i/>
          <w:color w:val="17365D"/>
          <w:sz w:val="20"/>
        </w:rPr>
        <w:t>3</w:t>
      </w:r>
      <w:r w:rsidR="00EB372A" w:rsidRPr="00A27896">
        <w:rPr>
          <w:rFonts w:cs="Times New Roman"/>
          <w:i/>
          <w:color w:val="17365D"/>
          <w:sz w:val="20"/>
        </w:rPr>
        <w:t>7</w:t>
      </w:r>
      <w:r w:rsidRPr="00A27896">
        <w:rPr>
          <w:rFonts w:cs="Times New Roman"/>
          <w:i/>
          <w:color w:val="17365D"/>
          <w:sz w:val="20"/>
        </w:rPr>
        <w:t>. tabula.</w:t>
      </w:r>
      <w:r w:rsidRPr="00A27896">
        <w:rPr>
          <w:rFonts w:cs="Times New Roman"/>
          <w:color w:val="17365D"/>
        </w:rPr>
        <w:t xml:space="preserve"> </w:t>
      </w:r>
      <w:r w:rsidRPr="00A27896">
        <w:rPr>
          <w:rFonts w:cs="Times New Roman"/>
          <w:i/>
          <w:color w:val="17365D"/>
          <w:sz w:val="20"/>
        </w:rPr>
        <w:t>Valsts kases izmantoto atvasināto finanšu instrumentu neto rezultāts (</w:t>
      </w:r>
      <w:proofErr w:type="spellStart"/>
      <w:r w:rsidRPr="00A27896">
        <w:rPr>
          <w:rFonts w:cs="Times New Roman"/>
          <w:i/>
          <w:color w:val="17365D"/>
          <w:sz w:val="20"/>
        </w:rPr>
        <w:t>euro</w:t>
      </w:r>
      <w:proofErr w:type="spellEnd"/>
      <w:r w:rsidRPr="00A27896">
        <w:rPr>
          <w:rFonts w:cs="Times New Roman"/>
          <w:i/>
          <w:color w:val="17365D"/>
          <w:sz w:val="20"/>
        </w:rPr>
        <w:t>)</w:t>
      </w:r>
    </w:p>
    <w:tbl>
      <w:tblPr>
        <w:tblW w:w="9356" w:type="dxa"/>
        <w:tblLayout w:type="fixed"/>
        <w:tblLook w:val="04A0" w:firstRow="1" w:lastRow="0" w:firstColumn="1" w:lastColumn="0" w:noHBand="0" w:noVBand="1"/>
      </w:tblPr>
      <w:tblGrid>
        <w:gridCol w:w="4391"/>
        <w:gridCol w:w="1276"/>
        <w:gridCol w:w="1134"/>
        <w:gridCol w:w="1275"/>
        <w:gridCol w:w="1280"/>
      </w:tblGrid>
      <w:tr w:rsidR="006B69DC" w:rsidRPr="00A27896" w14:paraId="597E2FF2" w14:textId="77777777" w:rsidTr="00A8735F">
        <w:trPr>
          <w:trHeight w:val="159"/>
          <w:tblHeader/>
        </w:trPr>
        <w:tc>
          <w:tcPr>
            <w:tcW w:w="4391" w:type="dxa"/>
            <w:vMerge w:val="restart"/>
            <w:tcBorders>
              <w:bottom w:val="single" w:sz="4" w:space="0" w:color="auto"/>
            </w:tcBorders>
            <w:shd w:val="clear" w:color="auto" w:fill="B9CDE5"/>
            <w:vAlign w:val="center"/>
          </w:tcPr>
          <w:p w14:paraId="09804FDA" w14:textId="4CBF9E04" w:rsidR="006B69DC" w:rsidRPr="00A27896" w:rsidRDefault="002A3AA7" w:rsidP="002A3AA7">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instrumenta nosaukums</w:t>
            </w:r>
          </w:p>
        </w:tc>
        <w:tc>
          <w:tcPr>
            <w:tcW w:w="4965" w:type="dxa"/>
            <w:gridSpan w:val="4"/>
            <w:tcBorders>
              <w:left w:val="nil"/>
              <w:bottom w:val="single" w:sz="4" w:space="0" w:color="auto"/>
              <w:right w:val="nil"/>
            </w:tcBorders>
            <w:shd w:val="clear" w:color="000000" w:fill="B9CDE5"/>
            <w:vAlign w:val="center"/>
          </w:tcPr>
          <w:p w14:paraId="1A841DF6" w14:textId="77777777" w:rsidR="006B69DC" w:rsidRPr="00A27896" w:rsidRDefault="006B69DC" w:rsidP="00D334AF">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periodā</w:t>
            </w:r>
          </w:p>
        </w:tc>
      </w:tr>
      <w:tr w:rsidR="006B69DC" w:rsidRPr="00A27896" w14:paraId="53CCE8A2" w14:textId="77777777" w:rsidTr="00D334AF">
        <w:trPr>
          <w:trHeight w:val="224"/>
          <w:tblHeader/>
        </w:trPr>
        <w:tc>
          <w:tcPr>
            <w:tcW w:w="4391" w:type="dxa"/>
            <w:vMerge/>
            <w:tcBorders>
              <w:top w:val="single" w:sz="4" w:space="0" w:color="auto"/>
              <w:bottom w:val="single" w:sz="4" w:space="0" w:color="auto"/>
            </w:tcBorders>
            <w:shd w:val="clear" w:color="auto" w:fill="B9CDE5"/>
            <w:vAlign w:val="center"/>
          </w:tcPr>
          <w:p w14:paraId="59023EFD" w14:textId="77777777" w:rsidR="006B69DC" w:rsidRPr="00A27896" w:rsidRDefault="006B69DC" w:rsidP="00D334AF">
            <w:pPr>
              <w:spacing w:after="0" w:line="240" w:lineRule="auto"/>
              <w:jc w:val="center"/>
              <w:rPr>
                <w:rFonts w:eastAsia="Times New Roman" w:cs="Times New Roman"/>
                <w:b/>
                <w:color w:val="17365D"/>
                <w:sz w:val="18"/>
                <w:szCs w:val="18"/>
                <w:lang w:eastAsia="lv-LV"/>
              </w:rPr>
            </w:pPr>
          </w:p>
        </w:tc>
        <w:tc>
          <w:tcPr>
            <w:tcW w:w="4965" w:type="dxa"/>
            <w:gridSpan w:val="4"/>
            <w:tcBorders>
              <w:top w:val="single" w:sz="4" w:space="0" w:color="auto"/>
              <w:left w:val="nil"/>
              <w:bottom w:val="single" w:sz="4" w:space="0" w:color="17365D"/>
            </w:tcBorders>
            <w:shd w:val="clear" w:color="000000" w:fill="B9CDE5"/>
            <w:vAlign w:val="center"/>
          </w:tcPr>
          <w:p w14:paraId="46375537" w14:textId="77777777" w:rsidR="006B69DC" w:rsidRPr="00A27896" w:rsidRDefault="006B69DC" w:rsidP="00D334AF">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Patiesās vērtības izmaiņas</w:t>
            </w:r>
          </w:p>
        </w:tc>
      </w:tr>
      <w:tr w:rsidR="006B69DC" w:rsidRPr="00A27896" w14:paraId="3CEACF12" w14:textId="77777777" w:rsidTr="00D334AF">
        <w:trPr>
          <w:trHeight w:val="413"/>
          <w:tblHeader/>
        </w:trPr>
        <w:tc>
          <w:tcPr>
            <w:tcW w:w="4391" w:type="dxa"/>
            <w:vMerge/>
            <w:tcBorders>
              <w:bottom w:val="single" w:sz="4" w:space="0" w:color="012169"/>
            </w:tcBorders>
            <w:shd w:val="clear" w:color="auto" w:fill="B9CDE5"/>
            <w:vAlign w:val="center"/>
            <w:hideMark/>
          </w:tcPr>
          <w:p w14:paraId="77057DE4" w14:textId="77777777" w:rsidR="006B69DC" w:rsidRPr="00A27896" w:rsidRDefault="006B69DC" w:rsidP="00D334AF">
            <w:pPr>
              <w:spacing w:after="0" w:line="240" w:lineRule="auto"/>
              <w:jc w:val="center"/>
              <w:rPr>
                <w:rFonts w:eastAsia="Times New Roman" w:cs="Times New Roman"/>
                <w:b/>
                <w:color w:val="17365D"/>
                <w:sz w:val="18"/>
                <w:szCs w:val="18"/>
                <w:lang w:eastAsia="lv-LV"/>
              </w:rPr>
            </w:pPr>
          </w:p>
        </w:tc>
        <w:tc>
          <w:tcPr>
            <w:tcW w:w="1276" w:type="dxa"/>
            <w:tcBorders>
              <w:top w:val="single" w:sz="4" w:space="0" w:color="17365D"/>
              <w:left w:val="nil"/>
              <w:bottom w:val="single" w:sz="4" w:space="0" w:color="012169"/>
            </w:tcBorders>
            <w:shd w:val="clear" w:color="000000" w:fill="B9CDE5"/>
            <w:vAlign w:val="center"/>
          </w:tcPr>
          <w:p w14:paraId="28BB9B60" w14:textId="77777777" w:rsidR="006B69DC" w:rsidRPr="00A27896" w:rsidRDefault="006B69DC" w:rsidP="00D334AF">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Ieņēmumi (+)</w:t>
            </w:r>
          </w:p>
        </w:tc>
        <w:tc>
          <w:tcPr>
            <w:tcW w:w="1134" w:type="dxa"/>
            <w:tcBorders>
              <w:top w:val="single" w:sz="4" w:space="0" w:color="17365D"/>
              <w:bottom w:val="single" w:sz="4" w:space="0" w:color="012169"/>
            </w:tcBorders>
            <w:shd w:val="clear" w:color="000000" w:fill="B9CDE5"/>
            <w:vAlign w:val="center"/>
          </w:tcPr>
          <w:p w14:paraId="40447BFB" w14:textId="77777777" w:rsidR="006B69DC" w:rsidRPr="00A27896" w:rsidRDefault="006B69DC" w:rsidP="00D334AF">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Izdevumi</w:t>
            </w:r>
          </w:p>
          <w:p w14:paraId="1E551850" w14:textId="77777777" w:rsidR="006B69DC" w:rsidRPr="00A27896" w:rsidRDefault="006B69DC" w:rsidP="00D334AF">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 (-)</w:t>
            </w:r>
          </w:p>
        </w:tc>
        <w:tc>
          <w:tcPr>
            <w:tcW w:w="1275" w:type="dxa"/>
            <w:tcBorders>
              <w:top w:val="single" w:sz="4" w:space="0" w:color="17365D"/>
              <w:bottom w:val="single" w:sz="4" w:space="0" w:color="012169"/>
            </w:tcBorders>
            <w:shd w:val="clear" w:color="000000" w:fill="B9CDE5"/>
            <w:vAlign w:val="center"/>
          </w:tcPr>
          <w:p w14:paraId="41927D85" w14:textId="77777777" w:rsidR="006B69DC" w:rsidRPr="00A27896" w:rsidRDefault="006B69DC" w:rsidP="00D334AF">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Rezerves </w:t>
            </w:r>
          </w:p>
          <w:p w14:paraId="2BE62398" w14:textId="77777777" w:rsidR="006B69DC" w:rsidRPr="00A27896" w:rsidRDefault="006B69DC" w:rsidP="00D334AF">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w:t>
            </w:r>
          </w:p>
        </w:tc>
        <w:tc>
          <w:tcPr>
            <w:tcW w:w="1280" w:type="dxa"/>
            <w:tcBorders>
              <w:top w:val="single" w:sz="4" w:space="0" w:color="17365D"/>
              <w:bottom w:val="single" w:sz="4" w:space="0" w:color="012169"/>
            </w:tcBorders>
            <w:shd w:val="clear" w:color="000000" w:fill="B9CDE5"/>
            <w:vAlign w:val="center"/>
          </w:tcPr>
          <w:p w14:paraId="36F0549D" w14:textId="77777777" w:rsidR="006B69DC" w:rsidRPr="00A27896" w:rsidRDefault="006B69DC" w:rsidP="00D334AF">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Kopā</w:t>
            </w:r>
          </w:p>
        </w:tc>
      </w:tr>
      <w:tr w:rsidR="006B69DC" w:rsidRPr="00A27896" w14:paraId="7882F52C" w14:textId="77777777" w:rsidTr="00D334AF">
        <w:trPr>
          <w:trHeight w:val="97"/>
          <w:tblHeader/>
        </w:trPr>
        <w:tc>
          <w:tcPr>
            <w:tcW w:w="4391" w:type="dxa"/>
            <w:tcBorders>
              <w:top w:val="single" w:sz="4" w:space="0" w:color="012169"/>
              <w:bottom w:val="single" w:sz="4" w:space="0" w:color="012169"/>
            </w:tcBorders>
            <w:shd w:val="clear" w:color="auto" w:fill="auto"/>
            <w:vAlign w:val="center"/>
            <w:hideMark/>
          </w:tcPr>
          <w:p w14:paraId="1716BCAF" w14:textId="77777777" w:rsidR="006B69DC" w:rsidRPr="00A27896" w:rsidRDefault="006B69DC" w:rsidP="00D334AF">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1276" w:type="dxa"/>
            <w:tcBorders>
              <w:top w:val="single" w:sz="4" w:space="0" w:color="012169"/>
              <w:bottom w:val="single" w:sz="4" w:space="0" w:color="012169"/>
            </w:tcBorders>
            <w:shd w:val="clear" w:color="auto" w:fill="auto"/>
            <w:vAlign w:val="center"/>
            <w:hideMark/>
          </w:tcPr>
          <w:p w14:paraId="5E514290" w14:textId="77777777" w:rsidR="006B69DC" w:rsidRPr="00A27896" w:rsidRDefault="006B69DC" w:rsidP="00D334AF">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1134" w:type="dxa"/>
            <w:tcBorders>
              <w:top w:val="single" w:sz="4" w:space="0" w:color="012169"/>
              <w:bottom w:val="single" w:sz="4" w:space="0" w:color="012169"/>
            </w:tcBorders>
            <w:shd w:val="clear" w:color="auto" w:fill="auto"/>
            <w:vAlign w:val="center"/>
            <w:hideMark/>
          </w:tcPr>
          <w:p w14:paraId="6E7388F8" w14:textId="77777777" w:rsidR="006B69DC" w:rsidRPr="00A27896" w:rsidRDefault="006B69DC" w:rsidP="00D334AF">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1275" w:type="dxa"/>
            <w:tcBorders>
              <w:top w:val="single" w:sz="4" w:space="0" w:color="012169"/>
              <w:bottom w:val="single" w:sz="4" w:space="0" w:color="012169"/>
            </w:tcBorders>
          </w:tcPr>
          <w:p w14:paraId="615A7932" w14:textId="77777777" w:rsidR="006B69DC" w:rsidRPr="00A27896" w:rsidRDefault="006B69DC" w:rsidP="00D334AF">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1280" w:type="dxa"/>
            <w:tcBorders>
              <w:top w:val="single" w:sz="4" w:space="0" w:color="012169"/>
              <w:bottom w:val="single" w:sz="4" w:space="0" w:color="auto"/>
            </w:tcBorders>
          </w:tcPr>
          <w:p w14:paraId="66E84A9A" w14:textId="77777777" w:rsidR="006B69DC" w:rsidRPr="00A27896" w:rsidRDefault="006B69DC" w:rsidP="00D334AF">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6B69DC" w:rsidRPr="00A27896" w14:paraId="48EFE730" w14:textId="77777777" w:rsidTr="00D334AF">
        <w:trPr>
          <w:trHeight w:val="187"/>
        </w:trPr>
        <w:tc>
          <w:tcPr>
            <w:tcW w:w="4391" w:type="dxa"/>
            <w:tcBorders>
              <w:top w:val="single" w:sz="4" w:space="0" w:color="012169"/>
              <w:bottom w:val="single" w:sz="4" w:space="0" w:color="012169"/>
            </w:tcBorders>
            <w:shd w:val="clear" w:color="auto" w:fill="auto"/>
            <w:hideMark/>
          </w:tcPr>
          <w:p w14:paraId="53048328" w14:textId="77777777" w:rsidR="006B69DC" w:rsidRPr="00A27896" w:rsidRDefault="006B69DC" w:rsidP="00D334AF">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aktīvi</w:t>
            </w:r>
          </w:p>
        </w:tc>
        <w:tc>
          <w:tcPr>
            <w:tcW w:w="1276" w:type="dxa"/>
            <w:tcBorders>
              <w:top w:val="single" w:sz="4" w:space="0" w:color="auto"/>
              <w:bottom w:val="single" w:sz="4" w:space="0" w:color="auto"/>
            </w:tcBorders>
            <w:shd w:val="clear" w:color="auto" w:fill="auto"/>
            <w:noWrap/>
            <w:vAlign w:val="center"/>
            <w:hideMark/>
          </w:tcPr>
          <w:p w14:paraId="6F287E34" w14:textId="77777777" w:rsidR="006B69DC" w:rsidRPr="00A27896" w:rsidRDefault="006B69DC" w:rsidP="00D334AF">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109 547</w:t>
            </w:r>
          </w:p>
        </w:tc>
        <w:tc>
          <w:tcPr>
            <w:tcW w:w="1134" w:type="dxa"/>
            <w:tcBorders>
              <w:top w:val="single" w:sz="4" w:space="0" w:color="auto"/>
              <w:bottom w:val="single" w:sz="4" w:space="0" w:color="auto"/>
            </w:tcBorders>
            <w:shd w:val="clear" w:color="auto" w:fill="auto"/>
            <w:noWrap/>
            <w:vAlign w:val="center"/>
          </w:tcPr>
          <w:p w14:paraId="7F7E8793" w14:textId="77777777" w:rsidR="006B69DC" w:rsidRPr="00A27896" w:rsidRDefault="006B69DC" w:rsidP="00D334AF">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-3 841 139</w:t>
            </w:r>
          </w:p>
        </w:tc>
        <w:tc>
          <w:tcPr>
            <w:tcW w:w="1275" w:type="dxa"/>
            <w:tcBorders>
              <w:top w:val="single" w:sz="4" w:space="0" w:color="auto"/>
              <w:bottom w:val="single" w:sz="4" w:space="0" w:color="auto"/>
            </w:tcBorders>
            <w:shd w:val="clear" w:color="auto" w:fill="auto"/>
            <w:vAlign w:val="center"/>
          </w:tcPr>
          <w:p w14:paraId="342407D1" w14:textId="77777777" w:rsidR="006B69DC" w:rsidRPr="00A27896" w:rsidRDefault="006B69DC" w:rsidP="00D334AF">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-57 125</w:t>
            </w:r>
          </w:p>
        </w:tc>
        <w:tc>
          <w:tcPr>
            <w:tcW w:w="1280" w:type="dxa"/>
            <w:tcBorders>
              <w:top w:val="single" w:sz="4" w:space="0" w:color="auto"/>
              <w:bottom w:val="single" w:sz="4" w:space="0" w:color="auto"/>
            </w:tcBorders>
            <w:shd w:val="clear" w:color="auto" w:fill="auto"/>
            <w:vAlign w:val="center"/>
          </w:tcPr>
          <w:p w14:paraId="654CA8AD" w14:textId="77777777" w:rsidR="006B69DC" w:rsidRPr="00A27896" w:rsidRDefault="006B69DC" w:rsidP="00D334AF">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-3 788 717</w:t>
            </w:r>
          </w:p>
        </w:tc>
      </w:tr>
      <w:tr w:rsidR="006B69DC" w:rsidRPr="00A27896" w14:paraId="7C2469AE" w14:textId="77777777" w:rsidTr="00D334AF">
        <w:trPr>
          <w:trHeight w:val="64"/>
        </w:trPr>
        <w:tc>
          <w:tcPr>
            <w:tcW w:w="4391" w:type="dxa"/>
            <w:tcBorders>
              <w:top w:val="single" w:sz="4" w:space="0" w:color="012169"/>
              <w:bottom w:val="single" w:sz="4" w:space="0" w:color="012169"/>
            </w:tcBorders>
            <w:shd w:val="clear" w:color="auto" w:fill="auto"/>
          </w:tcPr>
          <w:p w14:paraId="3684FD52" w14:textId="77777777" w:rsidR="006B69DC" w:rsidRPr="00A27896" w:rsidRDefault="006B69DC" w:rsidP="00D334A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Riska ierobežošanai noteiktie atvasinātie finanšu instrumenti, kopā</w:t>
            </w:r>
          </w:p>
        </w:tc>
        <w:tc>
          <w:tcPr>
            <w:tcW w:w="1276" w:type="dxa"/>
            <w:tcBorders>
              <w:top w:val="single" w:sz="4" w:space="0" w:color="auto"/>
              <w:bottom w:val="single" w:sz="4" w:space="0" w:color="auto"/>
            </w:tcBorders>
            <w:shd w:val="clear" w:color="auto" w:fill="auto"/>
            <w:noWrap/>
            <w:vAlign w:val="center"/>
          </w:tcPr>
          <w:p w14:paraId="26F7074F" w14:textId="77777777" w:rsidR="006B69DC" w:rsidRPr="00A27896" w:rsidRDefault="006B69DC" w:rsidP="00D334A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109 547</w:t>
            </w:r>
          </w:p>
        </w:tc>
        <w:tc>
          <w:tcPr>
            <w:tcW w:w="1134" w:type="dxa"/>
            <w:tcBorders>
              <w:top w:val="single" w:sz="4" w:space="0" w:color="auto"/>
              <w:bottom w:val="single" w:sz="4" w:space="0" w:color="auto"/>
            </w:tcBorders>
            <w:shd w:val="clear" w:color="auto" w:fill="auto"/>
            <w:noWrap/>
            <w:vAlign w:val="center"/>
          </w:tcPr>
          <w:p w14:paraId="6DE03757" w14:textId="77777777" w:rsidR="006B69DC" w:rsidRPr="00A27896" w:rsidRDefault="006B69DC" w:rsidP="00D334A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-3 841 139</w:t>
            </w:r>
          </w:p>
        </w:tc>
        <w:tc>
          <w:tcPr>
            <w:tcW w:w="1275" w:type="dxa"/>
            <w:tcBorders>
              <w:top w:val="single" w:sz="4" w:space="0" w:color="auto"/>
              <w:bottom w:val="single" w:sz="4" w:space="0" w:color="auto"/>
            </w:tcBorders>
            <w:shd w:val="clear" w:color="auto" w:fill="auto"/>
            <w:vAlign w:val="center"/>
          </w:tcPr>
          <w:p w14:paraId="4DB7F60C" w14:textId="77777777" w:rsidR="006B69DC" w:rsidRPr="00A27896" w:rsidRDefault="006B69DC" w:rsidP="00D334A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-57 125</w:t>
            </w:r>
          </w:p>
        </w:tc>
        <w:tc>
          <w:tcPr>
            <w:tcW w:w="1280" w:type="dxa"/>
            <w:tcBorders>
              <w:top w:val="single" w:sz="4" w:space="0" w:color="auto"/>
              <w:bottom w:val="single" w:sz="4" w:space="0" w:color="auto"/>
            </w:tcBorders>
            <w:shd w:val="clear" w:color="auto" w:fill="auto"/>
            <w:vAlign w:val="center"/>
          </w:tcPr>
          <w:p w14:paraId="25670480" w14:textId="77777777" w:rsidR="006B69DC" w:rsidRPr="00A27896" w:rsidRDefault="006B69DC" w:rsidP="00D334A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-3 788 717</w:t>
            </w:r>
          </w:p>
        </w:tc>
      </w:tr>
      <w:tr w:rsidR="006B69DC" w:rsidRPr="00A27896" w14:paraId="2D0ECDA8" w14:textId="77777777" w:rsidTr="00D334AF">
        <w:trPr>
          <w:trHeight w:val="130"/>
        </w:trPr>
        <w:tc>
          <w:tcPr>
            <w:tcW w:w="4391" w:type="dxa"/>
            <w:tcBorders>
              <w:top w:val="single" w:sz="4" w:space="0" w:color="012169"/>
              <w:bottom w:val="single" w:sz="4" w:space="0" w:color="012169"/>
            </w:tcBorders>
            <w:shd w:val="clear" w:color="auto" w:fill="auto"/>
          </w:tcPr>
          <w:p w14:paraId="1BF7277B" w14:textId="77777777" w:rsidR="006B69DC" w:rsidRPr="00A27896" w:rsidRDefault="006B69DC" w:rsidP="00D334AF">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saistības</w:t>
            </w:r>
          </w:p>
        </w:tc>
        <w:tc>
          <w:tcPr>
            <w:tcW w:w="1276" w:type="dxa"/>
            <w:tcBorders>
              <w:top w:val="single" w:sz="4" w:space="0" w:color="auto"/>
              <w:bottom w:val="single" w:sz="4" w:space="0" w:color="auto"/>
            </w:tcBorders>
            <w:shd w:val="clear" w:color="auto" w:fill="auto"/>
            <w:noWrap/>
            <w:vAlign w:val="center"/>
          </w:tcPr>
          <w:p w14:paraId="73B2697B" w14:textId="77777777" w:rsidR="006B69DC" w:rsidRPr="00A27896" w:rsidRDefault="006B69DC" w:rsidP="00D334AF">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179 264</w:t>
            </w:r>
          </w:p>
        </w:tc>
        <w:tc>
          <w:tcPr>
            <w:tcW w:w="1134" w:type="dxa"/>
            <w:tcBorders>
              <w:top w:val="single" w:sz="4" w:space="0" w:color="auto"/>
              <w:bottom w:val="single" w:sz="4" w:space="0" w:color="auto"/>
            </w:tcBorders>
            <w:shd w:val="clear" w:color="auto" w:fill="auto"/>
            <w:noWrap/>
            <w:vAlign w:val="center"/>
          </w:tcPr>
          <w:p w14:paraId="1E857EAF" w14:textId="77777777" w:rsidR="006B69DC" w:rsidRPr="00A27896" w:rsidRDefault="006B69DC" w:rsidP="00D334AF">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0</w:t>
            </w:r>
          </w:p>
        </w:tc>
        <w:tc>
          <w:tcPr>
            <w:tcW w:w="1275" w:type="dxa"/>
            <w:tcBorders>
              <w:top w:val="single" w:sz="4" w:space="0" w:color="auto"/>
              <w:bottom w:val="single" w:sz="4" w:space="0" w:color="auto"/>
            </w:tcBorders>
            <w:shd w:val="clear" w:color="auto" w:fill="auto"/>
            <w:vAlign w:val="center"/>
          </w:tcPr>
          <w:p w14:paraId="0259C1BD" w14:textId="77777777" w:rsidR="006B69DC" w:rsidRPr="00A27896" w:rsidRDefault="006B69DC" w:rsidP="00D334AF">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8 469 765</w:t>
            </w:r>
          </w:p>
        </w:tc>
        <w:tc>
          <w:tcPr>
            <w:tcW w:w="1280" w:type="dxa"/>
            <w:tcBorders>
              <w:top w:val="single" w:sz="4" w:space="0" w:color="auto"/>
              <w:bottom w:val="single" w:sz="4" w:space="0" w:color="auto"/>
            </w:tcBorders>
            <w:shd w:val="clear" w:color="auto" w:fill="auto"/>
            <w:vAlign w:val="center"/>
          </w:tcPr>
          <w:p w14:paraId="486A320C" w14:textId="77777777" w:rsidR="006B69DC" w:rsidRPr="00A27896" w:rsidRDefault="006B69DC" w:rsidP="00D334AF">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8 649 029</w:t>
            </w:r>
          </w:p>
        </w:tc>
      </w:tr>
      <w:tr w:rsidR="006B69DC" w:rsidRPr="00A27896" w14:paraId="63CE8440" w14:textId="77777777" w:rsidTr="00090D03">
        <w:trPr>
          <w:trHeight w:val="64"/>
        </w:trPr>
        <w:tc>
          <w:tcPr>
            <w:tcW w:w="4391" w:type="dxa"/>
            <w:tcBorders>
              <w:top w:val="single" w:sz="4" w:space="0" w:color="012169"/>
              <w:bottom w:val="single" w:sz="4" w:space="0" w:color="012169"/>
            </w:tcBorders>
            <w:shd w:val="clear" w:color="auto" w:fill="auto"/>
          </w:tcPr>
          <w:p w14:paraId="2BF4619A" w14:textId="77777777" w:rsidR="006B69DC" w:rsidRPr="00A27896" w:rsidRDefault="006B69DC" w:rsidP="00D334A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Riska ierobežošanai noteiktie atvasinātie finanšu instrumenti, kopā</w:t>
            </w:r>
          </w:p>
        </w:tc>
        <w:tc>
          <w:tcPr>
            <w:tcW w:w="1276" w:type="dxa"/>
            <w:tcBorders>
              <w:top w:val="single" w:sz="4" w:space="0" w:color="auto"/>
              <w:bottom w:val="single" w:sz="4" w:space="0" w:color="auto"/>
            </w:tcBorders>
            <w:shd w:val="clear" w:color="auto" w:fill="auto"/>
            <w:noWrap/>
            <w:vAlign w:val="center"/>
          </w:tcPr>
          <w:p w14:paraId="595113EE" w14:textId="77777777" w:rsidR="006B69DC" w:rsidRPr="00A27896" w:rsidRDefault="006B69DC" w:rsidP="00D334A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179 264</w:t>
            </w:r>
          </w:p>
        </w:tc>
        <w:tc>
          <w:tcPr>
            <w:tcW w:w="1134" w:type="dxa"/>
            <w:tcBorders>
              <w:top w:val="single" w:sz="4" w:space="0" w:color="auto"/>
              <w:bottom w:val="single" w:sz="4" w:space="0" w:color="auto"/>
            </w:tcBorders>
            <w:shd w:val="clear" w:color="auto" w:fill="auto"/>
            <w:noWrap/>
            <w:vAlign w:val="center"/>
          </w:tcPr>
          <w:p w14:paraId="16767A23" w14:textId="77777777" w:rsidR="006B69DC" w:rsidRPr="00A27896" w:rsidRDefault="006B69DC" w:rsidP="00D334A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5" w:type="dxa"/>
            <w:tcBorders>
              <w:top w:val="single" w:sz="4" w:space="0" w:color="auto"/>
              <w:bottom w:val="single" w:sz="4" w:space="0" w:color="auto"/>
            </w:tcBorders>
            <w:shd w:val="clear" w:color="auto" w:fill="auto"/>
            <w:vAlign w:val="center"/>
          </w:tcPr>
          <w:p w14:paraId="5A386109" w14:textId="77777777" w:rsidR="006B69DC" w:rsidRPr="00A27896" w:rsidRDefault="006B69DC" w:rsidP="00D334A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8 469 765</w:t>
            </w:r>
          </w:p>
        </w:tc>
        <w:tc>
          <w:tcPr>
            <w:tcW w:w="1280" w:type="dxa"/>
            <w:tcBorders>
              <w:top w:val="single" w:sz="4" w:space="0" w:color="auto"/>
              <w:bottom w:val="single" w:sz="4" w:space="0" w:color="auto"/>
            </w:tcBorders>
            <w:shd w:val="clear" w:color="auto" w:fill="auto"/>
            <w:vAlign w:val="center"/>
          </w:tcPr>
          <w:p w14:paraId="3FEF8BAF" w14:textId="77777777" w:rsidR="006B69DC" w:rsidRPr="00A27896" w:rsidRDefault="006B69DC" w:rsidP="00D334A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8 649 029</w:t>
            </w:r>
          </w:p>
        </w:tc>
      </w:tr>
      <w:tr w:rsidR="006B69DC" w:rsidRPr="00A27896" w14:paraId="6CB59767" w14:textId="77777777" w:rsidTr="00D334AF">
        <w:trPr>
          <w:trHeight w:val="64"/>
        </w:trPr>
        <w:tc>
          <w:tcPr>
            <w:tcW w:w="4391" w:type="dxa"/>
            <w:tcBorders>
              <w:top w:val="single" w:sz="4" w:space="0" w:color="012169"/>
            </w:tcBorders>
            <w:shd w:val="clear" w:color="auto" w:fill="B8CCE4" w:themeFill="accent1" w:themeFillTint="66"/>
            <w:vAlign w:val="center"/>
          </w:tcPr>
          <w:p w14:paraId="04B476A0" w14:textId="77777777" w:rsidR="006B69DC" w:rsidRPr="00A27896" w:rsidRDefault="006B69DC" w:rsidP="00D334AF">
            <w:pPr>
              <w:spacing w:after="0" w:line="240" w:lineRule="auto"/>
              <w:rPr>
                <w:rFonts w:eastAsia="Times New Roman" w:cs="Times New Roman"/>
                <w:color w:val="17365D"/>
                <w:sz w:val="18"/>
                <w:szCs w:val="18"/>
                <w:lang w:eastAsia="lv-LV"/>
              </w:rPr>
            </w:pPr>
          </w:p>
        </w:tc>
        <w:tc>
          <w:tcPr>
            <w:tcW w:w="1276" w:type="dxa"/>
            <w:tcBorders>
              <w:top w:val="single" w:sz="4" w:space="0" w:color="012169"/>
            </w:tcBorders>
            <w:shd w:val="clear" w:color="auto" w:fill="B8CCE4" w:themeFill="accent1" w:themeFillTint="66"/>
            <w:noWrap/>
            <w:vAlign w:val="center"/>
          </w:tcPr>
          <w:p w14:paraId="1A3796C5" w14:textId="77777777" w:rsidR="006B69DC" w:rsidRPr="00A27896" w:rsidRDefault="006B69DC" w:rsidP="00D334AF">
            <w:pPr>
              <w:spacing w:after="0" w:line="240" w:lineRule="auto"/>
              <w:jc w:val="center"/>
              <w:rPr>
                <w:rFonts w:eastAsia="Times New Roman" w:cs="Times New Roman"/>
                <w:color w:val="17365D"/>
                <w:sz w:val="18"/>
                <w:szCs w:val="18"/>
                <w:lang w:eastAsia="lv-LV"/>
              </w:rPr>
            </w:pPr>
          </w:p>
        </w:tc>
        <w:tc>
          <w:tcPr>
            <w:tcW w:w="1134" w:type="dxa"/>
            <w:tcBorders>
              <w:top w:val="single" w:sz="4" w:space="0" w:color="012169"/>
            </w:tcBorders>
            <w:shd w:val="clear" w:color="auto" w:fill="B8CCE4" w:themeFill="accent1" w:themeFillTint="66"/>
            <w:noWrap/>
            <w:vAlign w:val="center"/>
          </w:tcPr>
          <w:p w14:paraId="619FB159" w14:textId="77777777" w:rsidR="006B69DC" w:rsidRPr="00A27896" w:rsidRDefault="006B69DC" w:rsidP="00D334AF">
            <w:pPr>
              <w:spacing w:after="0" w:line="240" w:lineRule="auto"/>
              <w:jc w:val="right"/>
              <w:rPr>
                <w:rFonts w:eastAsia="Times New Roman" w:cs="Times New Roman"/>
                <w:color w:val="17365D"/>
                <w:sz w:val="18"/>
                <w:szCs w:val="18"/>
              </w:rPr>
            </w:pPr>
          </w:p>
        </w:tc>
        <w:tc>
          <w:tcPr>
            <w:tcW w:w="1275" w:type="dxa"/>
            <w:tcBorders>
              <w:top w:val="single" w:sz="4" w:space="0" w:color="012169"/>
            </w:tcBorders>
            <w:shd w:val="clear" w:color="auto" w:fill="B8CCE4" w:themeFill="accent1" w:themeFillTint="66"/>
          </w:tcPr>
          <w:p w14:paraId="46637C7F" w14:textId="77777777" w:rsidR="006B69DC" w:rsidRPr="00A27896" w:rsidRDefault="006B69DC" w:rsidP="00D334AF">
            <w:pPr>
              <w:spacing w:after="0" w:line="240" w:lineRule="auto"/>
              <w:jc w:val="right"/>
              <w:rPr>
                <w:rFonts w:eastAsia="Times New Roman" w:cs="Times New Roman"/>
                <w:color w:val="17365D"/>
                <w:sz w:val="18"/>
                <w:szCs w:val="18"/>
              </w:rPr>
            </w:pPr>
          </w:p>
        </w:tc>
        <w:tc>
          <w:tcPr>
            <w:tcW w:w="1280" w:type="dxa"/>
            <w:tcBorders>
              <w:top w:val="single" w:sz="4" w:space="0" w:color="012169"/>
            </w:tcBorders>
            <w:shd w:val="clear" w:color="auto" w:fill="B8CCE4" w:themeFill="accent1" w:themeFillTint="66"/>
          </w:tcPr>
          <w:p w14:paraId="71ABF3D1" w14:textId="77777777" w:rsidR="006B69DC" w:rsidRPr="00A27896" w:rsidRDefault="006B69DC" w:rsidP="00D334AF">
            <w:pPr>
              <w:spacing w:after="0" w:line="240" w:lineRule="auto"/>
              <w:jc w:val="right"/>
              <w:rPr>
                <w:rFonts w:eastAsia="Times New Roman" w:cs="Times New Roman"/>
                <w:color w:val="17365D"/>
                <w:sz w:val="18"/>
                <w:szCs w:val="18"/>
              </w:rPr>
            </w:pPr>
          </w:p>
        </w:tc>
      </w:tr>
    </w:tbl>
    <w:p w14:paraId="6F317302" w14:textId="7BD9E1B9" w:rsidR="00A31677" w:rsidRPr="00A27896" w:rsidRDefault="00A31677" w:rsidP="00AE1683">
      <w:pPr>
        <w:pStyle w:val="Heading7"/>
        <w:rPr>
          <w:rFonts w:ascii="Times New Roman" w:hAnsi="Times New Roman" w:cs="Times New Roman"/>
          <w:color w:val="17365D"/>
        </w:rPr>
      </w:pPr>
      <w:r w:rsidRPr="00A27896">
        <w:rPr>
          <w:rFonts w:ascii="Times New Roman" w:eastAsiaTheme="minorHAnsi" w:hAnsi="Times New Roman" w:cs="Times New Roman"/>
          <w:b/>
          <w:i w:val="0"/>
          <w:iCs w:val="0"/>
          <w:color w:val="17365D"/>
          <w:sz w:val="24"/>
        </w:rPr>
        <w:t xml:space="preserve">Atvasināto finanšu instrumentu nediskontētās nākotnes naudas plūsmas </w:t>
      </w:r>
      <w:proofErr w:type="spellStart"/>
      <w:r w:rsidRPr="00A27896">
        <w:rPr>
          <w:rFonts w:ascii="Times New Roman" w:eastAsiaTheme="minorHAnsi" w:hAnsi="Times New Roman" w:cs="Times New Roman"/>
          <w:b/>
          <w:i w:val="0"/>
          <w:iCs w:val="0"/>
          <w:color w:val="17365D"/>
          <w:sz w:val="24"/>
        </w:rPr>
        <w:t>termiņstruktūra</w:t>
      </w:r>
      <w:proofErr w:type="spellEnd"/>
    </w:p>
    <w:p w14:paraId="0119507A" w14:textId="1B5483F3" w:rsidR="00A31677" w:rsidRPr="00A27896" w:rsidRDefault="00090D03" w:rsidP="00592C1E">
      <w:pPr>
        <w:spacing w:after="0" w:line="240" w:lineRule="auto"/>
        <w:ind w:firstLine="284"/>
        <w:jc w:val="both"/>
        <w:rPr>
          <w:rFonts w:cs="Times New Roman"/>
          <w:color w:val="17365D"/>
        </w:rPr>
      </w:pPr>
      <w:r w:rsidRPr="00A27896">
        <w:rPr>
          <w:rFonts w:cs="Times New Roman"/>
          <w:color w:val="17365D"/>
        </w:rPr>
        <w:t>Valsts budžeta finanšu uzskaitē a</w:t>
      </w:r>
      <w:r w:rsidR="00A31677" w:rsidRPr="00A27896">
        <w:rPr>
          <w:rFonts w:cs="Times New Roman"/>
          <w:color w:val="17365D"/>
        </w:rPr>
        <w:t>tvasināto finanšu instrumentu nediskontētās nākotnes naudas plūsmas termiņa struktūra uzrāda atvasināto finanšu instrumentu termiņa sadalījumu līdz gadam, no viena līdz pieciem gadiem un virs pieciem gadiem pa atvasināto finanšu instrumentu līgumiem.</w:t>
      </w:r>
    </w:p>
    <w:p w14:paraId="4580C39F" w14:textId="52C50914" w:rsidR="005C5AD9" w:rsidRPr="00A27896" w:rsidRDefault="005C5AD9" w:rsidP="005C5AD9">
      <w:pPr>
        <w:spacing w:after="0" w:line="240" w:lineRule="auto"/>
        <w:ind w:firstLine="284"/>
        <w:jc w:val="both"/>
        <w:rPr>
          <w:rFonts w:cs="Times New Roman"/>
          <w:color w:val="17365D"/>
        </w:rPr>
      </w:pPr>
      <w:r w:rsidRPr="00A27896">
        <w:rPr>
          <w:rFonts w:cs="Times New Roman"/>
          <w:color w:val="17365D"/>
        </w:rPr>
        <w:t xml:space="preserve">Šī pārskata sagatavošanas periodā </w:t>
      </w:r>
      <w:proofErr w:type="spellStart"/>
      <w:r w:rsidRPr="00A27896">
        <w:rPr>
          <w:rFonts w:cs="Times New Roman"/>
          <w:i/>
          <w:color w:val="17365D"/>
        </w:rPr>
        <w:t>euro</w:t>
      </w:r>
      <w:proofErr w:type="spellEnd"/>
      <w:r w:rsidRPr="00A27896">
        <w:rPr>
          <w:rFonts w:cs="Times New Roman"/>
          <w:color w:val="17365D"/>
        </w:rPr>
        <w:t xml:space="preserve"> valūtas procentu likmes būtiski pieauga, līdz ar to, IRS darījumu izmantošana ir saistīta ar ieņēmumiem.</w:t>
      </w:r>
    </w:p>
    <w:p w14:paraId="53853E85" w14:textId="5BEA3230" w:rsidR="00A31677" w:rsidRPr="00A27896" w:rsidRDefault="00A31677" w:rsidP="00592C1E">
      <w:pPr>
        <w:spacing w:after="0" w:line="240" w:lineRule="auto"/>
        <w:ind w:firstLine="284"/>
        <w:jc w:val="both"/>
        <w:rPr>
          <w:rFonts w:cs="Times New Roman"/>
          <w:color w:val="17365D"/>
        </w:rPr>
      </w:pPr>
      <w:r w:rsidRPr="00A27896">
        <w:rPr>
          <w:rFonts w:cs="Times New Roman"/>
          <w:color w:val="17365D"/>
        </w:rPr>
        <w:t>IRS darījumiem saskaņā ar līgumu nosacījumiem paredzēti neto norēķini, tādēļ naudas plūsmas no IRS līgumiem uzrādītas neto vērtībā.</w:t>
      </w:r>
    </w:p>
    <w:p w14:paraId="429442EA" w14:textId="77777777" w:rsidR="005C5AD9" w:rsidRPr="004A7653" w:rsidRDefault="005C5AD9" w:rsidP="00592C1E">
      <w:pPr>
        <w:spacing w:after="0" w:line="240" w:lineRule="auto"/>
        <w:ind w:firstLine="284"/>
        <w:jc w:val="both"/>
        <w:rPr>
          <w:rFonts w:cs="Times New Roman"/>
          <w:color w:val="17365D"/>
          <w:sz w:val="6"/>
        </w:rPr>
      </w:pPr>
    </w:p>
    <w:p w14:paraId="608BE34B" w14:textId="372356B8" w:rsidR="00135FA0" w:rsidRPr="00A27896" w:rsidRDefault="00CA17B2" w:rsidP="00B62824">
      <w:pPr>
        <w:widowControl w:val="0"/>
        <w:spacing w:before="120" w:after="0" w:line="240" w:lineRule="auto"/>
        <w:ind w:left="720"/>
        <w:contextualSpacing/>
        <w:jc w:val="right"/>
        <w:rPr>
          <w:rFonts w:eastAsia="Times New Roman" w:cs="Times New Roman"/>
          <w:bCs/>
          <w:i/>
          <w:iCs/>
          <w:color w:val="17365D"/>
          <w:sz w:val="20"/>
          <w:szCs w:val="18"/>
          <w:lang w:eastAsia="lv-LV"/>
        </w:rPr>
      </w:pPr>
      <w:r w:rsidRPr="00A27896">
        <w:rPr>
          <w:rFonts w:eastAsia="Times New Roman" w:cs="Times New Roman"/>
          <w:i/>
          <w:color w:val="17365D"/>
          <w:sz w:val="20"/>
          <w:szCs w:val="18"/>
          <w:lang w:eastAsia="lv-LV"/>
        </w:rPr>
        <w:t>3</w:t>
      </w:r>
      <w:r w:rsidR="00EB372A" w:rsidRPr="00A27896">
        <w:rPr>
          <w:rFonts w:eastAsia="Times New Roman" w:cs="Times New Roman"/>
          <w:i/>
          <w:color w:val="17365D"/>
          <w:sz w:val="20"/>
          <w:szCs w:val="18"/>
          <w:lang w:eastAsia="lv-LV"/>
        </w:rPr>
        <w:t>8</w:t>
      </w:r>
      <w:r w:rsidR="00E00313" w:rsidRPr="00A27896">
        <w:rPr>
          <w:rFonts w:eastAsia="Times New Roman" w:cs="Times New Roman"/>
          <w:i/>
          <w:color w:val="17365D"/>
          <w:sz w:val="20"/>
          <w:szCs w:val="18"/>
          <w:lang w:eastAsia="lv-LV"/>
        </w:rPr>
        <w:t>.</w:t>
      </w:r>
      <w:r w:rsidR="00D2147C" w:rsidRPr="00A27896">
        <w:rPr>
          <w:rFonts w:eastAsia="Times New Roman" w:cs="Times New Roman"/>
          <w:i/>
          <w:color w:val="17365D"/>
          <w:sz w:val="20"/>
          <w:szCs w:val="18"/>
          <w:lang w:eastAsia="lv-LV"/>
        </w:rPr>
        <w:t xml:space="preserve"> </w:t>
      </w:r>
      <w:r w:rsidR="00E00313" w:rsidRPr="00A27896">
        <w:rPr>
          <w:rFonts w:eastAsia="Times New Roman" w:cs="Times New Roman"/>
          <w:i/>
          <w:color w:val="17365D"/>
          <w:sz w:val="20"/>
          <w:szCs w:val="18"/>
          <w:lang w:eastAsia="lv-LV"/>
        </w:rPr>
        <w:t>tabula</w:t>
      </w:r>
      <w:r w:rsidR="00797B92" w:rsidRPr="00A27896">
        <w:rPr>
          <w:rFonts w:eastAsia="Times New Roman" w:cs="Times New Roman"/>
          <w:i/>
          <w:color w:val="17365D"/>
          <w:sz w:val="20"/>
          <w:szCs w:val="18"/>
          <w:lang w:eastAsia="lv-LV"/>
        </w:rPr>
        <w:t>.</w:t>
      </w:r>
      <w:r w:rsidR="00E00313" w:rsidRPr="00A27896">
        <w:rPr>
          <w:rFonts w:eastAsia="Times New Roman" w:cs="Times New Roman"/>
          <w:i/>
          <w:color w:val="17365D"/>
          <w:sz w:val="20"/>
          <w:szCs w:val="18"/>
          <w:lang w:eastAsia="lv-LV"/>
        </w:rPr>
        <w:t xml:space="preserve"> </w:t>
      </w:r>
      <w:r w:rsidR="00E00313" w:rsidRPr="00A27896">
        <w:rPr>
          <w:rFonts w:eastAsia="Times New Roman" w:cs="Times New Roman"/>
          <w:bCs/>
          <w:i/>
          <w:iCs/>
          <w:color w:val="17365D"/>
          <w:sz w:val="20"/>
          <w:szCs w:val="18"/>
          <w:lang w:eastAsia="lv-LV"/>
        </w:rPr>
        <w:t>Atvasināto finanšu instrumentu nediskontētās nākotnes</w:t>
      </w:r>
    </w:p>
    <w:p w14:paraId="07C89E26" w14:textId="3CCB4F96" w:rsidR="00E00313" w:rsidRPr="00A27896" w:rsidRDefault="00135FA0" w:rsidP="00B62824">
      <w:pPr>
        <w:widowControl w:val="0"/>
        <w:spacing w:before="120" w:after="0" w:line="240" w:lineRule="auto"/>
        <w:ind w:left="720"/>
        <w:contextualSpacing/>
        <w:jc w:val="right"/>
        <w:rPr>
          <w:rFonts w:eastAsia="Times New Roman" w:cs="Times New Roman"/>
          <w:bCs/>
          <w:i/>
          <w:iCs/>
          <w:color w:val="17365D"/>
          <w:sz w:val="20"/>
          <w:szCs w:val="18"/>
          <w:lang w:eastAsia="lv-LV"/>
        </w:rPr>
      </w:pPr>
      <w:r w:rsidRPr="00A27896">
        <w:rPr>
          <w:rFonts w:eastAsia="Times New Roman" w:cs="Times New Roman"/>
          <w:bCs/>
          <w:i/>
          <w:iCs/>
          <w:color w:val="17365D"/>
          <w:sz w:val="20"/>
          <w:szCs w:val="18"/>
          <w:lang w:eastAsia="lv-LV"/>
        </w:rPr>
        <w:t xml:space="preserve">naudas plūsmas </w:t>
      </w:r>
      <w:proofErr w:type="spellStart"/>
      <w:r w:rsidRPr="00A27896">
        <w:rPr>
          <w:rFonts w:eastAsia="Times New Roman" w:cs="Times New Roman"/>
          <w:bCs/>
          <w:i/>
          <w:iCs/>
          <w:color w:val="17365D"/>
          <w:sz w:val="20"/>
          <w:szCs w:val="18"/>
          <w:lang w:eastAsia="lv-LV"/>
        </w:rPr>
        <w:t>termiņstruktūra</w:t>
      </w:r>
      <w:proofErr w:type="spellEnd"/>
      <w:r w:rsidRPr="00A27896">
        <w:rPr>
          <w:rFonts w:eastAsia="Times New Roman" w:cs="Times New Roman"/>
          <w:bCs/>
          <w:i/>
          <w:iCs/>
          <w:color w:val="17365D"/>
          <w:sz w:val="20"/>
          <w:szCs w:val="18"/>
          <w:lang w:eastAsia="lv-LV"/>
        </w:rPr>
        <w:t xml:space="preserve"> 202</w:t>
      </w:r>
      <w:r w:rsidR="006C792B" w:rsidRPr="00A27896">
        <w:rPr>
          <w:rFonts w:eastAsia="Times New Roman" w:cs="Times New Roman"/>
          <w:bCs/>
          <w:i/>
          <w:iCs/>
          <w:color w:val="17365D"/>
          <w:sz w:val="20"/>
          <w:szCs w:val="18"/>
          <w:lang w:eastAsia="lv-LV"/>
        </w:rPr>
        <w:t>2</w:t>
      </w:r>
      <w:r w:rsidRPr="00A27896">
        <w:rPr>
          <w:rFonts w:eastAsia="Times New Roman" w:cs="Times New Roman"/>
          <w:bCs/>
          <w:i/>
          <w:iCs/>
          <w:color w:val="17365D"/>
          <w:sz w:val="20"/>
          <w:szCs w:val="18"/>
          <w:lang w:eastAsia="lv-LV"/>
        </w:rPr>
        <w:t>. gada 31. decembrī</w:t>
      </w:r>
      <w:r w:rsidRPr="00A27896">
        <w:rPr>
          <w:rFonts w:eastAsia="Times New Roman" w:cs="Times New Roman"/>
          <w:i/>
          <w:color w:val="17365D"/>
          <w:sz w:val="20"/>
          <w:szCs w:val="18"/>
          <w:lang w:eastAsia="lv-LV"/>
        </w:rPr>
        <w:t xml:space="preserve"> (</w:t>
      </w:r>
      <w:proofErr w:type="spellStart"/>
      <w:r w:rsidRPr="00A27896">
        <w:rPr>
          <w:rFonts w:eastAsia="Times New Roman" w:cs="Times New Roman"/>
          <w:i/>
          <w:color w:val="17365D"/>
          <w:sz w:val="20"/>
          <w:szCs w:val="18"/>
          <w:lang w:eastAsia="lv-LV"/>
        </w:rPr>
        <w:t>euro</w:t>
      </w:r>
      <w:proofErr w:type="spellEnd"/>
      <w:r w:rsidRPr="00A27896">
        <w:rPr>
          <w:rFonts w:eastAsia="Times New Roman" w:cs="Times New Roman"/>
          <w:i/>
          <w:color w:val="17365D"/>
          <w:sz w:val="20"/>
          <w:szCs w:val="18"/>
          <w:lang w:eastAsia="lv-LV"/>
        </w:rPr>
        <w:t>)</w:t>
      </w:r>
      <w:r w:rsidR="00E00313" w:rsidRPr="00A27896">
        <w:rPr>
          <w:rFonts w:eastAsia="Times New Roman" w:cs="Times New Roman"/>
          <w:bCs/>
          <w:i/>
          <w:iCs/>
          <w:color w:val="17365D"/>
          <w:sz w:val="20"/>
          <w:szCs w:val="18"/>
          <w:lang w:eastAsia="lv-LV"/>
        </w:rPr>
        <w:t xml:space="preserve"> </w:t>
      </w:r>
    </w:p>
    <w:tbl>
      <w:tblPr>
        <w:tblW w:w="9498" w:type="dxa"/>
        <w:jc w:val="center"/>
        <w:tblLayout w:type="fixed"/>
        <w:tblLook w:val="04A0" w:firstRow="1" w:lastRow="0" w:firstColumn="1" w:lastColumn="0" w:noHBand="0" w:noVBand="1"/>
      </w:tblPr>
      <w:tblGrid>
        <w:gridCol w:w="1981"/>
        <w:gridCol w:w="617"/>
        <w:gridCol w:w="374"/>
        <w:gridCol w:w="714"/>
        <w:gridCol w:w="693"/>
        <w:gridCol w:w="967"/>
        <w:gridCol w:w="6"/>
        <w:gridCol w:w="1170"/>
        <w:gridCol w:w="244"/>
        <w:gridCol w:w="749"/>
        <w:gridCol w:w="56"/>
        <w:gridCol w:w="737"/>
        <w:gridCol w:w="58"/>
        <w:gridCol w:w="1132"/>
      </w:tblGrid>
      <w:tr w:rsidR="000C1009" w:rsidRPr="00A27896" w14:paraId="41B5DCBE" w14:textId="77777777" w:rsidTr="002E49EF">
        <w:trPr>
          <w:trHeight w:val="270"/>
          <w:tblHeader/>
          <w:jc w:val="center"/>
        </w:trPr>
        <w:tc>
          <w:tcPr>
            <w:tcW w:w="1981" w:type="dxa"/>
            <w:vMerge w:val="restart"/>
            <w:tcBorders>
              <w:bottom w:val="single" w:sz="4" w:space="0" w:color="17365D"/>
            </w:tcBorders>
            <w:shd w:val="clear" w:color="auto" w:fill="B8CCE4" w:themeFill="accent1" w:themeFillTint="66"/>
            <w:vAlign w:val="center"/>
          </w:tcPr>
          <w:p w14:paraId="31600F3E" w14:textId="2C2C3030" w:rsidR="00B62824" w:rsidRPr="00A27896" w:rsidRDefault="00B62824" w:rsidP="00135FA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Atvasināto finanšu instrumentu līgumi</w:t>
            </w:r>
          </w:p>
        </w:tc>
        <w:tc>
          <w:tcPr>
            <w:tcW w:w="3371" w:type="dxa"/>
            <w:gridSpan w:val="6"/>
            <w:tcBorders>
              <w:bottom w:val="single" w:sz="4" w:space="0" w:color="17365D"/>
            </w:tcBorders>
            <w:shd w:val="clear" w:color="auto" w:fill="B8CCE4" w:themeFill="accent1" w:themeFillTint="66"/>
          </w:tcPr>
          <w:p w14:paraId="25F47594" w14:textId="0DB37176" w:rsidR="00B62824" w:rsidRPr="00A27896" w:rsidRDefault="00B62824" w:rsidP="00CE104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4146" w:type="dxa"/>
            <w:gridSpan w:val="7"/>
            <w:tcBorders>
              <w:bottom w:val="single" w:sz="4" w:space="0" w:color="17365D"/>
            </w:tcBorders>
            <w:shd w:val="clear" w:color="auto" w:fill="B8CCE4" w:themeFill="accent1" w:themeFillTint="66"/>
          </w:tcPr>
          <w:p w14:paraId="31AFD61D" w14:textId="25482312" w:rsidR="00B62824" w:rsidRPr="00A27896" w:rsidRDefault="00B62824" w:rsidP="00CE104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7154A870" w14:textId="77777777" w:rsidTr="002E49EF">
        <w:trPr>
          <w:trHeight w:val="270"/>
          <w:tblHeader/>
          <w:jc w:val="center"/>
        </w:trPr>
        <w:tc>
          <w:tcPr>
            <w:tcW w:w="1981" w:type="dxa"/>
            <w:vMerge/>
            <w:tcBorders>
              <w:top w:val="single" w:sz="4" w:space="0" w:color="17365D"/>
              <w:bottom w:val="single" w:sz="4" w:space="0" w:color="17365D"/>
            </w:tcBorders>
            <w:shd w:val="clear" w:color="auto" w:fill="B8CCE4" w:themeFill="accent1" w:themeFillTint="66"/>
          </w:tcPr>
          <w:p w14:paraId="161B2BA7" w14:textId="77777777" w:rsidR="00B62824" w:rsidRPr="00A27896" w:rsidRDefault="00B62824" w:rsidP="00B62824">
            <w:pPr>
              <w:spacing w:after="0" w:line="240" w:lineRule="auto"/>
              <w:jc w:val="center"/>
              <w:rPr>
                <w:rFonts w:eastAsia="Times New Roman" w:cs="Times New Roman"/>
                <w:b/>
                <w:bCs/>
                <w:color w:val="17365D"/>
                <w:sz w:val="18"/>
                <w:szCs w:val="18"/>
                <w:lang w:eastAsia="lv-LV"/>
              </w:rPr>
            </w:pPr>
          </w:p>
        </w:tc>
        <w:tc>
          <w:tcPr>
            <w:tcW w:w="991" w:type="dxa"/>
            <w:gridSpan w:val="2"/>
            <w:tcBorders>
              <w:top w:val="single" w:sz="4" w:space="0" w:color="17365D"/>
              <w:bottom w:val="single" w:sz="4" w:space="0" w:color="17365D"/>
            </w:tcBorders>
            <w:shd w:val="clear" w:color="000000" w:fill="B9CDE5"/>
            <w:vAlign w:val="center"/>
          </w:tcPr>
          <w:p w14:paraId="73FBEC50" w14:textId="77777777" w:rsidR="00B62824" w:rsidRPr="00A27896" w:rsidRDefault="00B62824" w:rsidP="00B62824">
            <w:pPr>
              <w:spacing w:before="20" w:after="2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līdz</w:t>
            </w:r>
          </w:p>
          <w:p w14:paraId="2B6668CE" w14:textId="22A5C15C" w:rsidR="00B62824" w:rsidRPr="00A27896" w:rsidRDefault="00B62824" w:rsidP="00B628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12 mēnešiem</w:t>
            </w:r>
          </w:p>
        </w:tc>
        <w:tc>
          <w:tcPr>
            <w:tcW w:w="714" w:type="dxa"/>
            <w:tcBorders>
              <w:top w:val="single" w:sz="4" w:space="0" w:color="17365D"/>
              <w:bottom w:val="single" w:sz="4" w:space="0" w:color="17365D"/>
            </w:tcBorders>
            <w:shd w:val="clear" w:color="000000" w:fill="B9CDE5"/>
            <w:vAlign w:val="center"/>
          </w:tcPr>
          <w:p w14:paraId="12CF7716" w14:textId="00947DCE" w:rsidR="00B62824" w:rsidRPr="00A27896" w:rsidRDefault="00B62824" w:rsidP="002E49EF">
            <w:pPr>
              <w:spacing w:before="20" w:after="2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1 - 5 gadi</w:t>
            </w:r>
          </w:p>
        </w:tc>
        <w:tc>
          <w:tcPr>
            <w:tcW w:w="693" w:type="dxa"/>
            <w:tcBorders>
              <w:top w:val="single" w:sz="4" w:space="0" w:color="17365D"/>
              <w:bottom w:val="single" w:sz="4" w:space="0" w:color="17365D"/>
            </w:tcBorders>
            <w:shd w:val="clear" w:color="000000" w:fill="B9CDE5"/>
            <w:vAlign w:val="center"/>
          </w:tcPr>
          <w:p w14:paraId="772DC353" w14:textId="77777777" w:rsidR="00B62824" w:rsidRPr="00A27896" w:rsidRDefault="00B62824" w:rsidP="005D4F13">
            <w:pPr>
              <w:spacing w:before="20" w:after="20" w:line="240" w:lineRule="auto"/>
              <w:ind w:lef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vairāk</w:t>
            </w:r>
          </w:p>
          <w:p w14:paraId="3C184F13" w14:textId="31AB39B8" w:rsidR="00B62824" w:rsidRPr="00A27896" w:rsidRDefault="00B62824" w:rsidP="005D4F13">
            <w:pPr>
              <w:spacing w:after="0" w:line="240" w:lineRule="auto"/>
              <w:ind w:lef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kā 5 gadi</w:t>
            </w:r>
          </w:p>
        </w:tc>
        <w:tc>
          <w:tcPr>
            <w:tcW w:w="967" w:type="dxa"/>
            <w:tcBorders>
              <w:top w:val="single" w:sz="4" w:space="0" w:color="17365D"/>
              <w:bottom w:val="single" w:sz="4" w:space="0" w:color="17365D"/>
            </w:tcBorders>
            <w:shd w:val="clear" w:color="000000" w:fill="B9CDE5"/>
            <w:vAlign w:val="center"/>
          </w:tcPr>
          <w:p w14:paraId="10D21759" w14:textId="77777777" w:rsidR="00B62824" w:rsidRPr="00A27896" w:rsidRDefault="00B62824" w:rsidP="00B62824">
            <w:pPr>
              <w:spacing w:before="20" w:after="2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w:t>
            </w:r>
          </w:p>
          <w:p w14:paraId="0B9E5BB4" w14:textId="77777777" w:rsidR="00B62824" w:rsidRPr="00A27896" w:rsidRDefault="00B62824" w:rsidP="00B62824">
            <w:pPr>
              <w:spacing w:after="0" w:line="240" w:lineRule="auto"/>
              <w:jc w:val="center"/>
              <w:rPr>
                <w:rFonts w:eastAsia="Times New Roman" w:cs="Times New Roman"/>
                <w:b/>
                <w:bCs/>
                <w:color w:val="17365D"/>
                <w:sz w:val="18"/>
                <w:szCs w:val="18"/>
                <w:lang w:eastAsia="lv-LV"/>
              </w:rPr>
            </w:pPr>
          </w:p>
        </w:tc>
        <w:tc>
          <w:tcPr>
            <w:tcW w:w="1176" w:type="dxa"/>
            <w:gridSpan w:val="2"/>
            <w:tcBorders>
              <w:top w:val="single" w:sz="4" w:space="0" w:color="17365D"/>
              <w:bottom w:val="single" w:sz="4" w:space="0" w:color="17365D"/>
            </w:tcBorders>
            <w:shd w:val="clear" w:color="000000" w:fill="B9CDE5"/>
            <w:vAlign w:val="center"/>
          </w:tcPr>
          <w:p w14:paraId="66D65A17" w14:textId="77777777" w:rsidR="00B62824" w:rsidRPr="00A27896" w:rsidRDefault="00B62824" w:rsidP="00B62824">
            <w:pPr>
              <w:spacing w:before="20" w:after="2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līdz</w:t>
            </w:r>
          </w:p>
          <w:p w14:paraId="5530CD06" w14:textId="484B1D5D" w:rsidR="00B62824" w:rsidRPr="00A27896" w:rsidRDefault="00B62824" w:rsidP="00B628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12 mēnešiem</w:t>
            </w:r>
          </w:p>
        </w:tc>
        <w:tc>
          <w:tcPr>
            <w:tcW w:w="993" w:type="dxa"/>
            <w:gridSpan w:val="2"/>
            <w:tcBorders>
              <w:top w:val="single" w:sz="4" w:space="0" w:color="17365D"/>
              <w:bottom w:val="single" w:sz="4" w:space="0" w:color="17365D"/>
            </w:tcBorders>
            <w:shd w:val="clear" w:color="000000" w:fill="B9CDE5"/>
            <w:vAlign w:val="center"/>
          </w:tcPr>
          <w:p w14:paraId="4C3647B4" w14:textId="5BD9460E" w:rsidR="00B62824" w:rsidRPr="00A27896" w:rsidRDefault="00B62824" w:rsidP="002E49EF">
            <w:pPr>
              <w:spacing w:before="20" w:after="2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1 - 5 gadi</w:t>
            </w:r>
          </w:p>
        </w:tc>
        <w:tc>
          <w:tcPr>
            <w:tcW w:w="851" w:type="dxa"/>
            <w:gridSpan w:val="3"/>
            <w:tcBorders>
              <w:top w:val="single" w:sz="4" w:space="0" w:color="17365D"/>
              <w:bottom w:val="single" w:sz="4" w:space="0" w:color="17365D"/>
            </w:tcBorders>
            <w:shd w:val="clear" w:color="000000" w:fill="B9CDE5"/>
            <w:vAlign w:val="center"/>
          </w:tcPr>
          <w:p w14:paraId="0D7396EE" w14:textId="77777777" w:rsidR="00B62824" w:rsidRPr="00A27896" w:rsidRDefault="00B62824" w:rsidP="00B62824">
            <w:pPr>
              <w:spacing w:before="20" w:after="2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vairāk</w:t>
            </w:r>
          </w:p>
          <w:p w14:paraId="5969AD24" w14:textId="2671ED06" w:rsidR="00B62824" w:rsidRPr="00A27896" w:rsidRDefault="00B62824" w:rsidP="00B628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kā 5 gadi</w:t>
            </w:r>
          </w:p>
        </w:tc>
        <w:tc>
          <w:tcPr>
            <w:tcW w:w="1132" w:type="dxa"/>
            <w:tcBorders>
              <w:top w:val="single" w:sz="4" w:space="0" w:color="17365D"/>
              <w:bottom w:val="single" w:sz="4" w:space="0" w:color="17365D"/>
            </w:tcBorders>
            <w:shd w:val="clear" w:color="000000" w:fill="B9CDE5"/>
            <w:vAlign w:val="center"/>
          </w:tcPr>
          <w:p w14:paraId="4624155F" w14:textId="54B4B06A" w:rsidR="00B62824" w:rsidRPr="00A27896" w:rsidRDefault="00B62824" w:rsidP="002E49EF">
            <w:pPr>
              <w:spacing w:before="20" w:after="2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w:t>
            </w:r>
          </w:p>
        </w:tc>
      </w:tr>
      <w:tr w:rsidR="000C1009" w:rsidRPr="00A27896" w14:paraId="1FEA06C2" w14:textId="77777777" w:rsidTr="002E49EF">
        <w:trPr>
          <w:trHeight w:val="270"/>
          <w:tblHeader/>
          <w:jc w:val="center"/>
        </w:trPr>
        <w:tc>
          <w:tcPr>
            <w:tcW w:w="1981" w:type="dxa"/>
            <w:tcBorders>
              <w:top w:val="single" w:sz="4" w:space="0" w:color="17365D"/>
              <w:bottom w:val="single" w:sz="4" w:space="0" w:color="17365D"/>
            </w:tcBorders>
            <w:shd w:val="clear" w:color="auto" w:fill="auto"/>
            <w:vAlign w:val="center"/>
            <w:hideMark/>
          </w:tcPr>
          <w:p w14:paraId="5B2D275E" w14:textId="092737EB" w:rsidR="00CE104B" w:rsidRPr="00A27896" w:rsidRDefault="00CE104B" w:rsidP="00A27544">
            <w:pPr>
              <w:spacing w:after="0" w:line="240" w:lineRule="auto"/>
              <w:jc w:val="center"/>
              <w:rPr>
                <w:rFonts w:eastAsia="Times New Roman" w:cs="Times New Roman"/>
                <w:b/>
                <w:color w:val="17365D"/>
                <w:sz w:val="17"/>
                <w:szCs w:val="17"/>
                <w:lang w:eastAsia="lv-LV"/>
              </w:rPr>
            </w:pPr>
            <w:r w:rsidRPr="00A27896">
              <w:rPr>
                <w:rFonts w:eastAsia="Times New Roman" w:cs="Times New Roman"/>
                <w:b/>
                <w:color w:val="17365D"/>
                <w:sz w:val="17"/>
                <w:szCs w:val="17"/>
                <w:lang w:eastAsia="lv-LV"/>
              </w:rPr>
              <w:t>A</w:t>
            </w:r>
          </w:p>
        </w:tc>
        <w:tc>
          <w:tcPr>
            <w:tcW w:w="991" w:type="dxa"/>
            <w:gridSpan w:val="2"/>
            <w:tcBorders>
              <w:top w:val="single" w:sz="4" w:space="0" w:color="17365D"/>
              <w:bottom w:val="single" w:sz="4" w:space="0" w:color="17365D"/>
            </w:tcBorders>
            <w:shd w:val="clear" w:color="auto" w:fill="auto"/>
            <w:vAlign w:val="center"/>
            <w:hideMark/>
          </w:tcPr>
          <w:p w14:paraId="6E4C258D" w14:textId="6FBFE1EE" w:rsidR="00CE104B" w:rsidRPr="00A27896" w:rsidRDefault="00CE104B" w:rsidP="004A7653">
            <w:pPr>
              <w:spacing w:after="0" w:line="240" w:lineRule="auto"/>
              <w:jc w:val="center"/>
              <w:rPr>
                <w:rFonts w:eastAsia="Times New Roman" w:cs="Times New Roman"/>
                <w:b/>
                <w:color w:val="17365D"/>
                <w:sz w:val="17"/>
                <w:szCs w:val="17"/>
                <w:lang w:eastAsia="lv-LV"/>
              </w:rPr>
            </w:pPr>
            <w:r w:rsidRPr="00A27896">
              <w:rPr>
                <w:rFonts w:eastAsia="Times New Roman" w:cs="Times New Roman"/>
                <w:b/>
                <w:color w:val="17365D"/>
                <w:sz w:val="17"/>
                <w:szCs w:val="17"/>
                <w:lang w:eastAsia="lv-LV"/>
              </w:rPr>
              <w:t>1</w:t>
            </w:r>
          </w:p>
        </w:tc>
        <w:tc>
          <w:tcPr>
            <w:tcW w:w="714" w:type="dxa"/>
            <w:tcBorders>
              <w:top w:val="single" w:sz="4" w:space="0" w:color="17365D"/>
              <w:bottom w:val="single" w:sz="4" w:space="0" w:color="17365D"/>
            </w:tcBorders>
            <w:shd w:val="clear" w:color="auto" w:fill="auto"/>
            <w:vAlign w:val="center"/>
            <w:hideMark/>
          </w:tcPr>
          <w:p w14:paraId="7A4986CF" w14:textId="77316067" w:rsidR="00CE104B" w:rsidRPr="00A27896" w:rsidRDefault="00CE104B" w:rsidP="004A7653">
            <w:pPr>
              <w:spacing w:after="0" w:line="240" w:lineRule="auto"/>
              <w:jc w:val="center"/>
              <w:rPr>
                <w:rFonts w:eastAsia="Times New Roman" w:cs="Times New Roman"/>
                <w:b/>
                <w:color w:val="17365D"/>
                <w:sz w:val="17"/>
                <w:szCs w:val="17"/>
                <w:lang w:eastAsia="lv-LV"/>
              </w:rPr>
            </w:pPr>
            <w:r w:rsidRPr="00A27896">
              <w:rPr>
                <w:rFonts w:eastAsia="Times New Roman" w:cs="Times New Roman"/>
                <w:b/>
                <w:color w:val="17365D"/>
                <w:sz w:val="17"/>
                <w:szCs w:val="17"/>
                <w:lang w:eastAsia="lv-LV"/>
              </w:rPr>
              <w:t>2</w:t>
            </w:r>
          </w:p>
        </w:tc>
        <w:tc>
          <w:tcPr>
            <w:tcW w:w="693" w:type="dxa"/>
            <w:tcBorders>
              <w:top w:val="single" w:sz="4" w:space="0" w:color="17365D"/>
              <w:bottom w:val="single" w:sz="4" w:space="0" w:color="17365D"/>
            </w:tcBorders>
            <w:shd w:val="clear" w:color="auto" w:fill="auto"/>
            <w:vAlign w:val="center"/>
            <w:hideMark/>
          </w:tcPr>
          <w:p w14:paraId="71C5A550" w14:textId="5671FA43" w:rsidR="00CE104B" w:rsidRPr="00A27896" w:rsidRDefault="00CE104B" w:rsidP="004A7653">
            <w:pPr>
              <w:spacing w:after="0" w:line="240" w:lineRule="auto"/>
              <w:jc w:val="center"/>
              <w:rPr>
                <w:rFonts w:eastAsia="Times New Roman" w:cs="Times New Roman"/>
                <w:b/>
                <w:color w:val="17365D"/>
                <w:sz w:val="17"/>
                <w:szCs w:val="17"/>
                <w:lang w:eastAsia="lv-LV"/>
              </w:rPr>
            </w:pPr>
            <w:r w:rsidRPr="00A27896">
              <w:rPr>
                <w:rFonts w:eastAsia="Times New Roman" w:cs="Times New Roman"/>
                <w:b/>
                <w:color w:val="17365D"/>
                <w:sz w:val="17"/>
                <w:szCs w:val="17"/>
                <w:lang w:eastAsia="lv-LV"/>
              </w:rPr>
              <w:t>3</w:t>
            </w:r>
          </w:p>
        </w:tc>
        <w:tc>
          <w:tcPr>
            <w:tcW w:w="967" w:type="dxa"/>
            <w:tcBorders>
              <w:top w:val="single" w:sz="4" w:space="0" w:color="17365D"/>
              <w:bottom w:val="single" w:sz="4" w:space="0" w:color="17365D"/>
            </w:tcBorders>
            <w:shd w:val="clear" w:color="auto" w:fill="auto"/>
            <w:vAlign w:val="center"/>
            <w:hideMark/>
          </w:tcPr>
          <w:p w14:paraId="4663E07A" w14:textId="6798C2D9" w:rsidR="00CE104B" w:rsidRPr="00A27896" w:rsidRDefault="00CE104B" w:rsidP="004A7653">
            <w:pPr>
              <w:spacing w:after="0" w:line="240" w:lineRule="auto"/>
              <w:jc w:val="center"/>
              <w:rPr>
                <w:rFonts w:eastAsia="Times New Roman" w:cs="Times New Roman"/>
                <w:b/>
                <w:color w:val="17365D"/>
                <w:sz w:val="17"/>
                <w:szCs w:val="17"/>
                <w:lang w:eastAsia="lv-LV"/>
              </w:rPr>
            </w:pPr>
            <w:r w:rsidRPr="00A27896">
              <w:rPr>
                <w:rFonts w:eastAsia="Times New Roman" w:cs="Times New Roman"/>
                <w:b/>
                <w:color w:val="17365D"/>
                <w:sz w:val="17"/>
                <w:szCs w:val="17"/>
                <w:lang w:eastAsia="lv-LV"/>
              </w:rPr>
              <w:t>4</w:t>
            </w:r>
          </w:p>
        </w:tc>
        <w:tc>
          <w:tcPr>
            <w:tcW w:w="1176" w:type="dxa"/>
            <w:gridSpan w:val="2"/>
            <w:tcBorders>
              <w:top w:val="single" w:sz="4" w:space="0" w:color="17365D"/>
              <w:bottom w:val="single" w:sz="4" w:space="0" w:color="17365D"/>
            </w:tcBorders>
            <w:shd w:val="clear" w:color="auto" w:fill="auto"/>
            <w:vAlign w:val="center"/>
            <w:hideMark/>
          </w:tcPr>
          <w:p w14:paraId="00A79040" w14:textId="179F9808" w:rsidR="00CE104B" w:rsidRPr="00A27896" w:rsidRDefault="00CE104B" w:rsidP="004A7653">
            <w:pPr>
              <w:spacing w:after="0" w:line="240" w:lineRule="auto"/>
              <w:jc w:val="center"/>
              <w:rPr>
                <w:rFonts w:eastAsia="Times New Roman" w:cs="Times New Roman"/>
                <w:b/>
                <w:color w:val="17365D"/>
                <w:sz w:val="17"/>
                <w:szCs w:val="17"/>
                <w:lang w:eastAsia="lv-LV"/>
              </w:rPr>
            </w:pPr>
            <w:r w:rsidRPr="00A27896">
              <w:rPr>
                <w:rFonts w:eastAsia="Times New Roman" w:cs="Times New Roman"/>
                <w:b/>
                <w:color w:val="17365D"/>
                <w:sz w:val="17"/>
                <w:szCs w:val="17"/>
                <w:lang w:eastAsia="lv-LV"/>
              </w:rPr>
              <w:t>5</w:t>
            </w:r>
          </w:p>
        </w:tc>
        <w:tc>
          <w:tcPr>
            <w:tcW w:w="993" w:type="dxa"/>
            <w:gridSpan w:val="2"/>
            <w:tcBorders>
              <w:top w:val="single" w:sz="4" w:space="0" w:color="17365D"/>
              <w:bottom w:val="single" w:sz="4" w:space="0" w:color="17365D"/>
            </w:tcBorders>
            <w:shd w:val="clear" w:color="auto" w:fill="auto"/>
            <w:vAlign w:val="center"/>
            <w:hideMark/>
          </w:tcPr>
          <w:p w14:paraId="37559841" w14:textId="48EECEF6" w:rsidR="00CE104B" w:rsidRPr="00A27896" w:rsidRDefault="00CE104B" w:rsidP="004A7653">
            <w:pPr>
              <w:spacing w:after="0" w:line="240" w:lineRule="auto"/>
              <w:jc w:val="center"/>
              <w:rPr>
                <w:rFonts w:eastAsia="Times New Roman" w:cs="Times New Roman"/>
                <w:b/>
                <w:color w:val="17365D"/>
                <w:sz w:val="17"/>
                <w:szCs w:val="17"/>
                <w:lang w:eastAsia="lv-LV"/>
              </w:rPr>
            </w:pPr>
            <w:r w:rsidRPr="00A27896">
              <w:rPr>
                <w:rFonts w:eastAsia="Times New Roman" w:cs="Times New Roman"/>
                <w:b/>
                <w:color w:val="17365D"/>
                <w:sz w:val="17"/>
                <w:szCs w:val="17"/>
                <w:lang w:eastAsia="lv-LV"/>
              </w:rPr>
              <w:t>6</w:t>
            </w:r>
          </w:p>
        </w:tc>
        <w:tc>
          <w:tcPr>
            <w:tcW w:w="851" w:type="dxa"/>
            <w:gridSpan w:val="3"/>
            <w:tcBorders>
              <w:top w:val="single" w:sz="4" w:space="0" w:color="17365D"/>
              <w:bottom w:val="single" w:sz="4" w:space="0" w:color="auto"/>
            </w:tcBorders>
            <w:shd w:val="clear" w:color="auto" w:fill="auto"/>
            <w:vAlign w:val="center"/>
            <w:hideMark/>
          </w:tcPr>
          <w:p w14:paraId="69BEC782" w14:textId="1FB349A3" w:rsidR="00CE104B" w:rsidRPr="00A27896" w:rsidRDefault="00CE104B" w:rsidP="004A7653">
            <w:pPr>
              <w:spacing w:after="0" w:line="240" w:lineRule="auto"/>
              <w:jc w:val="center"/>
              <w:rPr>
                <w:rFonts w:eastAsia="Times New Roman" w:cs="Times New Roman"/>
                <w:b/>
                <w:color w:val="17365D"/>
                <w:sz w:val="17"/>
                <w:szCs w:val="17"/>
                <w:lang w:eastAsia="lv-LV"/>
              </w:rPr>
            </w:pPr>
            <w:r w:rsidRPr="00A27896">
              <w:rPr>
                <w:rFonts w:eastAsia="Times New Roman" w:cs="Times New Roman"/>
                <w:b/>
                <w:color w:val="17365D"/>
                <w:sz w:val="17"/>
                <w:szCs w:val="17"/>
                <w:lang w:eastAsia="lv-LV"/>
              </w:rPr>
              <w:t>7</w:t>
            </w:r>
          </w:p>
        </w:tc>
        <w:tc>
          <w:tcPr>
            <w:tcW w:w="1132" w:type="dxa"/>
            <w:tcBorders>
              <w:top w:val="single" w:sz="4" w:space="0" w:color="17365D"/>
              <w:bottom w:val="single" w:sz="4" w:space="0" w:color="auto"/>
            </w:tcBorders>
            <w:shd w:val="clear" w:color="auto" w:fill="auto"/>
            <w:vAlign w:val="center"/>
            <w:hideMark/>
          </w:tcPr>
          <w:p w14:paraId="56F8BFFC" w14:textId="34353025" w:rsidR="00CE104B" w:rsidRPr="00A27896" w:rsidRDefault="00CE104B" w:rsidP="004A7653">
            <w:pPr>
              <w:spacing w:after="0" w:line="240" w:lineRule="auto"/>
              <w:jc w:val="center"/>
              <w:rPr>
                <w:rFonts w:eastAsia="Times New Roman" w:cs="Times New Roman"/>
                <w:b/>
                <w:color w:val="17365D"/>
                <w:sz w:val="17"/>
                <w:szCs w:val="17"/>
                <w:lang w:eastAsia="lv-LV"/>
              </w:rPr>
            </w:pPr>
            <w:r w:rsidRPr="00A27896">
              <w:rPr>
                <w:rFonts w:eastAsia="Times New Roman" w:cs="Times New Roman"/>
                <w:b/>
                <w:color w:val="17365D"/>
                <w:sz w:val="17"/>
                <w:szCs w:val="17"/>
                <w:lang w:eastAsia="lv-LV"/>
              </w:rPr>
              <w:t>8</w:t>
            </w:r>
          </w:p>
        </w:tc>
      </w:tr>
      <w:tr w:rsidR="007F6EA6" w:rsidRPr="004A7653" w14:paraId="109849BE" w14:textId="77777777" w:rsidTr="002E49EF">
        <w:trPr>
          <w:trHeight w:val="270"/>
          <w:jc w:val="center"/>
        </w:trPr>
        <w:tc>
          <w:tcPr>
            <w:tcW w:w="1981" w:type="dxa"/>
            <w:tcBorders>
              <w:top w:val="single" w:sz="4" w:space="0" w:color="auto"/>
              <w:left w:val="nil"/>
              <w:bottom w:val="single" w:sz="4" w:space="0" w:color="17365D"/>
            </w:tcBorders>
            <w:shd w:val="clear" w:color="auto" w:fill="auto"/>
            <w:vAlign w:val="center"/>
          </w:tcPr>
          <w:p w14:paraId="38B77200" w14:textId="33A90614" w:rsidR="007F6EA6" w:rsidRPr="004A7653" w:rsidRDefault="007F6EA6" w:rsidP="009A44DD">
            <w:pPr>
              <w:spacing w:after="0" w:line="240" w:lineRule="auto"/>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Atvasinātie finanšu instrumenti, kopā (neto naudas plūsma)</w:t>
            </w:r>
          </w:p>
        </w:tc>
        <w:tc>
          <w:tcPr>
            <w:tcW w:w="991" w:type="dxa"/>
            <w:gridSpan w:val="2"/>
            <w:tcBorders>
              <w:top w:val="single" w:sz="4" w:space="0" w:color="auto"/>
              <w:bottom w:val="single" w:sz="4" w:space="0" w:color="auto"/>
            </w:tcBorders>
            <w:shd w:val="clear" w:color="auto" w:fill="auto"/>
            <w:vAlign w:val="center"/>
          </w:tcPr>
          <w:p w14:paraId="709D4D34" w14:textId="42D7922A" w:rsidR="007F6EA6" w:rsidRPr="004A7653" w:rsidRDefault="007F6EA6" w:rsidP="009A44D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1 279 875</w:t>
            </w:r>
          </w:p>
        </w:tc>
        <w:tc>
          <w:tcPr>
            <w:tcW w:w="714" w:type="dxa"/>
            <w:tcBorders>
              <w:top w:val="single" w:sz="4" w:space="0" w:color="auto"/>
              <w:bottom w:val="single" w:sz="4" w:space="0" w:color="auto"/>
            </w:tcBorders>
            <w:shd w:val="clear" w:color="auto" w:fill="auto"/>
            <w:vAlign w:val="center"/>
          </w:tcPr>
          <w:p w14:paraId="5DA7B09C" w14:textId="5A293392" w:rsidR="007F6EA6" w:rsidRPr="004A7653" w:rsidRDefault="007F6EA6" w:rsidP="009A44D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0</w:t>
            </w:r>
          </w:p>
        </w:tc>
        <w:tc>
          <w:tcPr>
            <w:tcW w:w="693" w:type="dxa"/>
            <w:tcBorders>
              <w:top w:val="single" w:sz="4" w:space="0" w:color="auto"/>
              <w:bottom w:val="single" w:sz="4" w:space="0" w:color="auto"/>
            </w:tcBorders>
            <w:shd w:val="clear" w:color="auto" w:fill="auto"/>
            <w:vAlign w:val="center"/>
          </w:tcPr>
          <w:p w14:paraId="052F4018" w14:textId="480E6172" w:rsidR="007F6EA6" w:rsidRPr="004A7653" w:rsidRDefault="007F6EA6" w:rsidP="009A44D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0</w:t>
            </w:r>
          </w:p>
        </w:tc>
        <w:tc>
          <w:tcPr>
            <w:tcW w:w="967" w:type="dxa"/>
            <w:tcBorders>
              <w:top w:val="single" w:sz="4" w:space="0" w:color="auto"/>
              <w:bottom w:val="single" w:sz="4" w:space="0" w:color="auto"/>
            </w:tcBorders>
            <w:shd w:val="clear" w:color="auto" w:fill="auto"/>
            <w:vAlign w:val="center"/>
          </w:tcPr>
          <w:p w14:paraId="00BA9005" w14:textId="1A491398" w:rsidR="007F6EA6" w:rsidRPr="004A7653" w:rsidRDefault="007F6EA6" w:rsidP="009A44D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1 279 875</w:t>
            </w:r>
          </w:p>
        </w:tc>
        <w:tc>
          <w:tcPr>
            <w:tcW w:w="1176" w:type="dxa"/>
            <w:gridSpan w:val="2"/>
            <w:tcBorders>
              <w:top w:val="single" w:sz="4" w:space="0" w:color="auto"/>
              <w:bottom w:val="single" w:sz="4" w:space="0" w:color="auto"/>
            </w:tcBorders>
            <w:shd w:val="clear" w:color="auto" w:fill="auto"/>
            <w:vAlign w:val="center"/>
          </w:tcPr>
          <w:p w14:paraId="1033C53E" w14:textId="0E618853" w:rsidR="007F6EA6" w:rsidRPr="004A7653" w:rsidRDefault="007F6EA6" w:rsidP="009A44D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-3 947 954</w:t>
            </w:r>
          </w:p>
        </w:tc>
        <w:tc>
          <w:tcPr>
            <w:tcW w:w="1049" w:type="dxa"/>
            <w:gridSpan w:val="3"/>
            <w:tcBorders>
              <w:top w:val="single" w:sz="4" w:space="0" w:color="auto"/>
              <w:bottom w:val="single" w:sz="4" w:space="0" w:color="auto"/>
            </w:tcBorders>
            <w:shd w:val="clear" w:color="auto" w:fill="auto"/>
            <w:vAlign w:val="center"/>
          </w:tcPr>
          <w:p w14:paraId="2D22A28F" w14:textId="748608D0" w:rsidR="007F6EA6" w:rsidRPr="004A7653" w:rsidRDefault="007F6EA6" w:rsidP="009A44D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-3 476 248</w:t>
            </w:r>
          </w:p>
        </w:tc>
        <w:tc>
          <w:tcPr>
            <w:tcW w:w="737" w:type="dxa"/>
            <w:tcBorders>
              <w:top w:val="single" w:sz="4" w:space="0" w:color="auto"/>
              <w:bottom w:val="single" w:sz="4" w:space="0" w:color="auto"/>
            </w:tcBorders>
            <w:shd w:val="clear" w:color="auto" w:fill="auto"/>
            <w:vAlign w:val="center"/>
          </w:tcPr>
          <w:p w14:paraId="24C30E6C" w14:textId="3B7CB161" w:rsidR="007F6EA6" w:rsidRPr="004A7653" w:rsidRDefault="007F6EA6" w:rsidP="009A44D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0</w:t>
            </w:r>
          </w:p>
        </w:tc>
        <w:tc>
          <w:tcPr>
            <w:tcW w:w="1190" w:type="dxa"/>
            <w:gridSpan w:val="2"/>
            <w:tcBorders>
              <w:top w:val="single" w:sz="4" w:space="0" w:color="auto"/>
              <w:bottom w:val="single" w:sz="4" w:space="0" w:color="auto"/>
            </w:tcBorders>
            <w:shd w:val="clear" w:color="auto" w:fill="auto"/>
            <w:vAlign w:val="center"/>
          </w:tcPr>
          <w:p w14:paraId="6A0D057C" w14:textId="16B5700E" w:rsidR="007F6EA6" w:rsidRPr="004A7653" w:rsidRDefault="007F6EA6" w:rsidP="009A44D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-7 424 202</w:t>
            </w:r>
          </w:p>
        </w:tc>
      </w:tr>
      <w:tr w:rsidR="007F6EA6" w:rsidRPr="004A7653" w14:paraId="270413F7" w14:textId="77777777" w:rsidTr="002E49EF">
        <w:trPr>
          <w:trHeight w:val="270"/>
          <w:jc w:val="center"/>
        </w:trPr>
        <w:tc>
          <w:tcPr>
            <w:tcW w:w="1981" w:type="dxa"/>
            <w:tcBorders>
              <w:top w:val="single" w:sz="4" w:space="0" w:color="17365D"/>
              <w:left w:val="nil"/>
              <w:bottom w:val="single" w:sz="4" w:space="0" w:color="17365D"/>
            </w:tcBorders>
            <w:shd w:val="clear" w:color="auto" w:fill="auto"/>
            <w:vAlign w:val="center"/>
          </w:tcPr>
          <w:p w14:paraId="7011FCA4" w14:textId="53820068" w:rsidR="009A44DD" w:rsidRPr="004A7653" w:rsidRDefault="009A44DD" w:rsidP="009A44DD">
            <w:pPr>
              <w:spacing w:after="0" w:line="240" w:lineRule="auto"/>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Riska ierobežošanai noteiktie atvasinātie finanšu instrumenti, kopā (neto naudas plūsma)***</w:t>
            </w:r>
          </w:p>
        </w:tc>
        <w:tc>
          <w:tcPr>
            <w:tcW w:w="991" w:type="dxa"/>
            <w:gridSpan w:val="2"/>
            <w:tcBorders>
              <w:top w:val="single" w:sz="4" w:space="0" w:color="auto"/>
              <w:bottom w:val="single" w:sz="4" w:space="0" w:color="auto"/>
            </w:tcBorders>
            <w:shd w:val="clear" w:color="auto" w:fill="auto"/>
            <w:vAlign w:val="center"/>
          </w:tcPr>
          <w:p w14:paraId="7D161A4F" w14:textId="5EB908FA" w:rsidR="009A44DD" w:rsidRPr="004A7653" w:rsidRDefault="009A44DD" w:rsidP="009A44D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1 279 875</w:t>
            </w:r>
          </w:p>
        </w:tc>
        <w:tc>
          <w:tcPr>
            <w:tcW w:w="714" w:type="dxa"/>
            <w:tcBorders>
              <w:top w:val="single" w:sz="4" w:space="0" w:color="auto"/>
              <w:bottom w:val="single" w:sz="4" w:space="0" w:color="auto"/>
            </w:tcBorders>
            <w:shd w:val="clear" w:color="auto" w:fill="auto"/>
            <w:vAlign w:val="center"/>
          </w:tcPr>
          <w:p w14:paraId="53FC36EB" w14:textId="7B9A56B4" w:rsidR="009A44DD" w:rsidRPr="004A7653" w:rsidRDefault="009A44DD" w:rsidP="009A44D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0</w:t>
            </w:r>
          </w:p>
        </w:tc>
        <w:tc>
          <w:tcPr>
            <w:tcW w:w="693" w:type="dxa"/>
            <w:tcBorders>
              <w:top w:val="single" w:sz="4" w:space="0" w:color="auto"/>
              <w:bottom w:val="single" w:sz="4" w:space="0" w:color="auto"/>
            </w:tcBorders>
            <w:shd w:val="clear" w:color="auto" w:fill="auto"/>
            <w:vAlign w:val="center"/>
          </w:tcPr>
          <w:p w14:paraId="0DD3B6B5" w14:textId="6AFD2934" w:rsidR="009A44DD" w:rsidRPr="004A7653" w:rsidRDefault="009A44DD" w:rsidP="009A44D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0</w:t>
            </w:r>
          </w:p>
        </w:tc>
        <w:tc>
          <w:tcPr>
            <w:tcW w:w="967" w:type="dxa"/>
            <w:tcBorders>
              <w:top w:val="single" w:sz="4" w:space="0" w:color="auto"/>
              <w:bottom w:val="single" w:sz="4" w:space="0" w:color="auto"/>
            </w:tcBorders>
            <w:shd w:val="clear" w:color="auto" w:fill="auto"/>
            <w:vAlign w:val="center"/>
          </w:tcPr>
          <w:p w14:paraId="0E14EF5C" w14:textId="0D22ACCD" w:rsidR="009A44DD" w:rsidRPr="004A7653" w:rsidRDefault="009A44DD" w:rsidP="009A44D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1 279 875</w:t>
            </w:r>
          </w:p>
        </w:tc>
        <w:tc>
          <w:tcPr>
            <w:tcW w:w="1176" w:type="dxa"/>
            <w:gridSpan w:val="2"/>
            <w:tcBorders>
              <w:top w:val="single" w:sz="4" w:space="0" w:color="auto"/>
              <w:bottom w:val="single" w:sz="4" w:space="0" w:color="auto"/>
            </w:tcBorders>
            <w:shd w:val="clear" w:color="auto" w:fill="auto"/>
            <w:vAlign w:val="center"/>
          </w:tcPr>
          <w:p w14:paraId="542F5956" w14:textId="064BE029" w:rsidR="009A44DD" w:rsidRPr="004A7653" w:rsidRDefault="009A44DD" w:rsidP="009A44D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-3 947 954</w:t>
            </w:r>
          </w:p>
        </w:tc>
        <w:tc>
          <w:tcPr>
            <w:tcW w:w="1049" w:type="dxa"/>
            <w:gridSpan w:val="3"/>
            <w:tcBorders>
              <w:top w:val="single" w:sz="4" w:space="0" w:color="auto"/>
              <w:bottom w:val="single" w:sz="4" w:space="0" w:color="auto"/>
            </w:tcBorders>
            <w:shd w:val="clear" w:color="auto" w:fill="auto"/>
            <w:vAlign w:val="center"/>
          </w:tcPr>
          <w:p w14:paraId="37832BEF" w14:textId="27E33467" w:rsidR="009A44DD" w:rsidRPr="004A7653" w:rsidRDefault="009A44DD" w:rsidP="009A44D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-3 476 248</w:t>
            </w:r>
          </w:p>
        </w:tc>
        <w:tc>
          <w:tcPr>
            <w:tcW w:w="737" w:type="dxa"/>
            <w:tcBorders>
              <w:top w:val="single" w:sz="4" w:space="0" w:color="auto"/>
              <w:bottom w:val="single" w:sz="4" w:space="0" w:color="auto"/>
            </w:tcBorders>
            <w:shd w:val="clear" w:color="auto" w:fill="auto"/>
            <w:vAlign w:val="center"/>
          </w:tcPr>
          <w:p w14:paraId="3E3934AF" w14:textId="525E0D09" w:rsidR="009A44DD" w:rsidRPr="004A7653" w:rsidRDefault="009A44DD" w:rsidP="009A44D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0</w:t>
            </w:r>
          </w:p>
        </w:tc>
        <w:tc>
          <w:tcPr>
            <w:tcW w:w="1190" w:type="dxa"/>
            <w:gridSpan w:val="2"/>
            <w:tcBorders>
              <w:bottom w:val="single" w:sz="4" w:space="0" w:color="auto"/>
            </w:tcBorders>
            <w:shd w:val="clear" w:color="auto" w:fill="auto"/>
            <w:vAlign w:val="center"/>
          </w:tcPr>
          <w:p w14:paraId="33A6F4A4" w14:textId="7D270641" w:rsidR="009A44DD" w:rsidRPr="004A7653" w:rsidRDefault="009A44DD" w:rsidP="009A44D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-7 424 202</w:t>
            </w:r>
          </w:p>
        </w:tc>
      </w:tr>
      <w:tr w:rsidR="000C1009" w:rsidRPr="004A7653" w14:paraId="1FBDA6B7" w14:textId="77777777" w:rsidTr="002E49EF">
        <w:trPr>
          <w:trHeight w:val="495"/>
          <w:jc w:val="center"/>
        </w:trPr>
        <w:tc>
          <w:tcPr>
            <w:tcW w:w="1981" w:type="dxa"/>
            <w:tcBorders>
              <w:top w:val="single" w:sz="4" w:space="0" w:color="17365D"/>
              <w:left w:val="nil"/>
              <w:bottom w:val="single" w:sz="4" w:space="0" w:color="17365D"/>
              <w:right w:val="nil"/>
            </w:tcBorders>
            <w:shd w:val="clear" w:color="auto" w:fill="auto"/>
            <w:vAlign w:val="center"/>
          </w:tcPr>
          <w:p w14:paraId="627EC325" w14:textId="4755DE17" w:rsidR="00CE104B" w:rsidRPr="004A7653" w:rsidRDefault="00CE104B" w:rsidP="009A779C">
            <w:pPr>
              <w:spacing w:after="0" w:line="240" w:lineRule="auto"/>
              <w:rPr>
                <w:rFonts w:eastAsia="Times New Roman" w:cs="Times New Roman"/>
                <w:color w:val="17365D"/>
                <w:sz w:val="18"/>
                <w:szCs w:val="18"/>
                <w:lang w:eastAsia="lv-LV"/>
              </w:rPr>
            </w:pPr>
            <w:r w:rsidRPr="004A7653">
              <w:rPr>
                <w:rFonts w:eastAsia="Times New Roman" w:cs="Times New Roman"/>
                <w:color w:val="17365D"/>
                <w:sz w:val="18"/>
                <w:szCs w:val="18"/>
                <w:lang w:eastAsia="lv-LV"/>
              </w:rPr>
              <w:t>Valūtas nākotnes līgumi (FORWARD)</w:t>
            </w:r>
          </w:p>
        </w:tc>
        <w:tc>
          <w:tcPr>
            <w:tcW w:w="991" w:type="dxa"/>
            <w:gridSpan w:val="2"/>
            <w:tcBorders>
              <w:top w:val="single" w:sz="4" w:space="0" w:color="17365D"/>
              <w:left w:val="nil"/>
              <w:bottom w:val="single" w:sz="4" w:space="0" w:color="17365D"/>
              <w:right w:val="nil"/>
            </w:tcBorders>
            <w:shd w:val="clear" w:color="auto" w:fill="auto"/>
            <w:vAlign w:val="center"/>
          </w:tcPr>
          <w:p w14:paraId="3411492B" w14:textId="0FDAA237" w:rsidR="00CE104B" w:rsidRPr="004A7653" w:rsidRDefault="00CE104B" w:rsidP="00A27544">
            <w:pPr>
              <w:spacing w:after="0" w:line="240" w:lineRule="auto"/>
              <w:jc w:val="right"/>
              <w:rPr>
                <w:rFonts w:eastAsia="Times New Roman" w:cs="Times New Roman"/>
                <w:color w:val="17365D"/>
                <w:sz w:val="18"/>
                <w:szCs w:val="18"/>
                <w:lang w:eastAsia="lv-LV"/>
              </w:rPr>
            </w:pPr>
          </w:p>
        </w:tc>
        <w:tc>
          <w:tcPr>
            <w:tcW w:w="714" w:type="dxa"/>
            <w:tcBorders>
              <w:top w:val="single" w:sz="4" w:space="0" w:color="17365D"/>
              <w:left w:val="nil"/>
              <w:bottom w:val="single" w:sz="4" w:space="0" w:color="17365D"/>
              <w:right w:val="nil"/>
            </w:tcBorders>
            <w:shd w:val="clear" w:color="auto" w:fill="auto"/>
            <w:vAlign w:val="center"/>
          </w:tcPr>
          <w:p w14:paraId="1630D196" w14:textId="32C704B0" w:rsidR="00CE104B" w:rsidRPr="004A7653" w:rsidRDefault="00CE104B" w:rsidP="00A27544">
            <w:pPr>
              <w:spacing w:after="0" w:line="240" w:lineRule="auto"/>
              <w:jc w:val="right"/>
              <w:rPr>
                <w:rFonts w:eastAsia="Times New Roman" w:cs="Times New Roman"/>
                <w:color w:val="17365D"/>
                <w:sz w:val="18"/>
                <w:szCs w:val="18"/>
                <w:lang w:eastAsia="lv-LV"/>
              </w:rPr>
            </w:pPr>
          </w:p>
        </w:tc>
        <w:tc>
          <w:tcPr>
            <w:tcW w:w="693" w:type="dxa"/>
            <w:tcBorders>
              <w:top w:val="single" w:sz="4" w:space="0" w:color="17365D"/>
              <w:left w:val="nil"/>
              <w:bottom w:val="single" w:sz="4" w:space="0" w:color="17365D"/>
              <w:right w:val="nil"/>
            </w:tcBorders>
            <w:shd w:val="clear" w:color="auto" w:fill="auto"/>
            <w:vAlign w:val="center"/>
          </w:tcPr>
          <w:p w14:paraId="69E52E99" w14:textId="2475E2E3" w:rsidR="00CE104B" w:rsidRPr="004A7653" w:rsidRDefault="00CE104B" w:rsidP="00A27544">
            <w:pPr>
              <w:spacing w:after="0" w:line="240" w:lineRule="auto"/>
              <w:jc w:val="right"/>
              <w:rPr>
                <w:rFonts w:eastAsia="Times New Roman" w:cs="Times New Roman"/>
                <w:color w:val="17365D"/>
                <w:sz w:val="18"/>
                <w:szCs w:val="18"/>
                <w:lang w:eastAsia="lv-LV"/>
              </w:rPr>
            </w:pPr>
          </w:p>
        </w:tc>
        <w:tc>
          <w:tcPr>
            <w:tcW w:w="967" w:type="dxa"/>
            <w:tcBorders>
              <w:top w:val="single" w:sz="4" w:space="0" w:color="17365D"/>
              <w:left w:val="nil"/>
              <w:bottom w:val="single" w:sz="4" w:space="0" w:color="17365D"/>
              <w:right w:val="nil"/>
            </w:tcBorders>
            <w:shd w:val="clear" w:color="auto" w:fill="auto"/>
            <w:vAlign w:val="center"/>
          </w:tcPr>
          <w:p w14:paraId="18398BE3" w14:textId="4ACCB797" w:rsidR="00CE104B" w:rsidRPr="004A7653" w:rsidRDefault="00CE104B" w:rsidP="00A27544">
            <w:pPr>
              <w:spacing w:after="0" w:line="240" w:lineRule="auto"/>
              <w:jc w:val="right"/>
              <w:rPr>
                <w:rFonts w:eastAsia="Times New Roman" w:cs="Times New Roman"/>
                <w:color w:val="17365D"/>
                <w:sz w:val="18"/>
                <w:szCs w:val="18"/>
                <w:lang w:eastAsia="lv-LV"/>
              </w:rPr>
            </w:pPr>
          </w:p>
        </w:tc>
        <w:tc>
          <w:tcPr>
            <w:tcW w:w="1176" w:type="dxa"/>
            <w:gridSpan w:val="2"/>
            <w:tcBorders>
              <w:top w:val="single" w:sz="4" w:space="0" w:color="17365D"/>
              <w:left w:val="nil"/>
              <w:bottom w:val="single" w:sz="4" w:space="0" w:color="17365D"/>
              <w:right w:val="nil"/>
            </w:tcBorders>
            <w:shd w:val="clear" w:color="auto" w:fill="auto"/>
            <w:vAlign w:val="center"/>
          </w:tcPr>
          <w:p w14:paraId="72B830F2" w14:textId="62171CB1" w:rsidR="00CE104B" w:rsidRPr="004A7653" w:rsidRDefault="00CE104B" w:rsidP="00A27544">
            <w:pPr>
              <w:spacing w:after="0" w:line="240" w:lineRule="auto"/>
              <w:jc w:val="right"/>
              <w:rPr>
                <w:rFonts w:eastAsia="Times New Roman" w:cs="Times New Roman"/>
                <w:color w:val="17365D"/>
                <w:sz w:val="18"/>
                <w:szCs w:val="18"/>
                <w:lang w:eastAsia="lv-LV"/>
              </w:rPr>
            </w:pPr>
          </w:p>
        </w:tc>
        <w:tc>
          <w:tcPr>
            <w:tcW w:w="1049" w:type="dxa"/>
            <w:gridSpan w:val="3"/>
            <w:tcBorders>
              <w:top w:val="single" w:sz="4" w:space="0" w:color="17365D"/>
              <w:left w:val="nil"/>
              <w:bottom w:val="single" w:sz="4" w:space="0" w:color="17365D"/>
              <w:right w:val="nil"/>
            </w:tcBorders>
            <w:shd w:val="clear" w:color="auto" w:fill="auto"/>
            <w:vAlign w:val="center"/>
          </w:tcPr>
          <w:p w14:paraId="1F3A9792" w14:textId="67D1C9E6" w:rsidR="00CE104B" w:rsidRPr="004A7653" w:rsidRDefault="00CE104B" w:rsidP="00A27544">
            <w:pPr>
              <w:spacing w:after="0" w:line="240" w:lineRule="auto"/>
              <w:jc w:val="right"/>
              <w:rPr>
                <w:rFonts w:eastAsia="Times New Roman" w:cs="Times New Roman"/>
                <w:color w:val="17365D"/>
                <w:sz w:val="18"/>
                <w:szCs w:val="18"/>
                <w:lang w:eastAsia="lv-LV"/>
              </w:rPr>
            </w:pPr>
          </w:p>
        </w:tc>
        <w:tc>
          <w:tcPr>
            <w:tcW w:w="737" w:type="dxa"/>
            <w:tcBorders>
              <w:top w:val="single" w:sz="4" w:space="0" w:color="auto"/>
              <w:left w:val="nil"/>
              <w:bottom w:val="single" w:sz="4" w:space="0" w:color="17365D"/>
              <w:right w:val="nil"/>
            </w:tcBorders>
            <w:shd w:val="clear" w:color="auto" w:fill="auto"/>
            <w:vAlign w:val="center"/>
          </w:tcPr>
          <w:p w14:paraId="25D585FF" w14:textId="7C0E6829" w:rsidR="00CE104B" w:rsidRPr="004A7653" w:rsidRDefault="00CE104B" w:rsidP="00A27544">
            <w:pPr>
              <w:spacing w:after="0" w:line="240" w:lineRule="auto"/>
              <w:jc w:val="right"/>
              <w:rPr>
                <w:rFonts w:eastAsia="Times New Roman" w:cs="Times New Roman"/>
                <w:color w:val="17365D"/>
                <w:sz w:val="18"/>
                <w:szCs w:val="18"/>
                <w:lang w:eastAsia="lv-LV"/>
              </w:rPr>
            </w:pPr>
          </w:p>
        </w:tc>
        <w:tc>
          <w:tcPr>
            <w:tcW w:w="1190" w:type="dxa"/>
            <w:gridSpan w:val="2"/>
            <w:tcBorders>
              <w:top w:val="single" w:sz="4" w:space="0" w:color="auto"/>
              <w:left w:val="nil"/>
              <w:bottom w:val="single" w:sz="4" w:space="0" w:color="17365D"/>
              <w:right w:val="nil"/>
            </w:tcBorders>
            <w:shd w:val="clear" w:color="auto" w:fill="auto"/>
            <w:vAlign w:val="center"/>
          </w:tcPr>
          <w:p w14:paraId="0B8245D5" w14:textId="78230AB1" w:rsidR="00CE104B" w:rsidRPr="004A7653" w:rsidRDefault="00CE104B" w:rsidP="00A27544">
            <w:pPr>
              <w:spacing w:after="0" w:line="240" w:lineRule="auto"/>
              <w:jc w:val="right"/>
              <w:rPr>
                <w:rFonts w:eastAsia="Times New Roman" w:cs="Times New Roman"/>
                <w:color w:val="17365D"/>
                <w:sz w:val="18"/>
                <w:szCs w:val="18"/>
                <w:lang w:eastAsia="lv-LV"/>
              </w:rPr>
            </w:pPr>
          </w:p>
        </w:tc>
      </w:tr>
      <w:tr w:rsidR="009D3452" w:rsidRPr="004A7653" w14:paraId="37ECE1EA" w14:textId="77777777" w:rsidTr="002E49EF">
        <w:trPr>
          <w:trHeight w:val="270"/>
          <w:jc w:val="center"/>
        </w:trPr>
        <w:tc>
          <w:tcPr>
            <w:tcW w:w="1981" w:type="dxa"/>
            <w:tcBorders>
              <w:top w:val="single" w:sz="4" w:space="0" w:color="17365D"/>
              <w:left w:val="nil"/>
              <w:bottom w:val="single" w:sz="4" w:space="0" w:color="17365D"/>
              <w:right w:val="nil"/>
            </w:tcBorders>
            <w:shd w:val="clear" w:color="auto" w:fill="auto"/>
            <w:vAlign w:val="center"/>
          </w:tcPr>
          <w:p w14:paraId="49B18602" w14:textId="1815DADD" w:rsidR="009D3452" w:rsidRPr="004A7653" w:rsidRDefault="009D3452" w:rsidP="009D3452">
            <w:pPr>
              <w:spacing w:after="0" w:line="240" w:lineRule="auto"/>
              <w:rPr>
                <w:rFonts w:eastAsia="Times New Roman" w:cs="Times New Roman"/>
                <w:color w:val="17365D"/>
                <w:sz w:val="18"/>
                <w:szCs w:val="18"/>
                <w:lang w:eastAsia="lv-LV"/>
              </w:rPr>
            </w:pPr>
            <w:r w:rsidRPr="004A7653">
              <w:rPr>
                <w:rFonts w:eastAsia="Times New Roman" w:cs="Times New Roman"/>
                <w:color w:val="17365D"/>
                <w:sz w:val="18"/>
                <w:szCs w:val="18"/>
                <w:lang w:eastAsia="lv-LV"/>
              </w:rPr>
              <w:t xml:space="preserve"> Ienākošā naudas plūsma </w:t>
            </w:r>
          </w:p>
        </w:tc>
        <w:tc>
          <w:tcPr>
            <w:tcW w:w="991" w:type="dxa"/>
            <w:gridSpan w:val="2"/>
            <w:tcBorders>
              <w:top w:val="single" w:sz="4" w:space="0" w:color="17365D"/>
              <w:left w:val="nil"/>
              <w:bottom w:val="single" w:sz="4" w:space="0" w:color="17365D"/>
              <w:right w:val="nil"/>
            </w:tcBorders>
            <w:shd w:val="clear" w:color="auto" w:fill="auto"/>
            <w:vAlign w:val="center"/>
          </w:tcPr>
          <w:p w14:paraId="3A6ED82A" w14:textId="5D27F2B5" w:rsidR="009D3452" w:rsidRPr="004A7653" w:rsidRDefault="009D3452" w:rsidP="009D3452">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714" w:type="dxa"/>
            <w:tcBorders>
              <w:top w:val="single" w:sz="4" w:space="0" w:color="17365D"/>
              <w:left w:val="nil"/>
              <w:bottom w:val="single" w:sz="4" w:space="0" w:color="17365D"/>
              <w:right w:val="nil"/>
            </w:tcBorders>
            <w:shd w:val="clear" w:color="auto" w:fill="auto"/>
            <w:vAlign w:val="center"/>
          </w:tcPr>
          <w:p w14:paraId="49678A24" w14:textId="05407B3B" w:rsidR="009D3452" w:rsidRPr="004A7653" w:rsidRDefault="009D3452" w:rsidP="009D3452">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693" w:type="dxa"/>
            <w:tcBorders>
              <w:top w:val="single" w:sz="4" w:space="0" w:color="17365D"/>
              <w:left w:val="nil"/>
              <w:bottom w:val="single" w:sz="4" w:space="0" w:color="17365D"/>
              <w:right w:val="nil"/>
            </w:tcBorders>
            <w:shd w:val="clear" w:color="auto" w:fill="auto"/>
            <w:vAlign w:val="center"/>
          </w:tcPr>
          <w:p w14:paraId="242B5A7A" w14:textId="006374AF" w:rsidR="009D3452" w:rsidRPr="004A7653" w:rsidRDefault="009D3452" w:rsidP="009D3452">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967" w:type="dxa"/>
            <w:tcBorders>
              <w:top w:val="single" w:sz="4" w:space="0" w:color="17365D"/>
              <w:left w:val="nil"/>
              <w:bottom w:val="single" w:sz="4" w:space="0" w:color="17365D"/>
              <w:right w:val="nil"/>
            </w:tcBorders>
            <w:shd w:val="clear" w:color="auto" w:fill="auto"/>
            <w:vAlign w:val="center"/>
          </w:tcPr>
          <w:p w14:paraId="2E3AB42B" w14:textId="6096F6C6" w:rsidR="009D3452" w:rsidRPr="004A7653" w:rsidRDefault="009D3452" w:rsidP="009D3452">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1176" w:type="dxa"/>
            <w:gridSpan w:val="2"/>
            <w:tcBorders>
              <w:top w:val="single" w:sz="4" w:space="0" w:color="17365D"/>
              <w:left w:val="nil"/>
              <w:bottom w:val="single" w:sz="4" w:space="0" w:color="17365D"/>
              <w:right w:val="nil"/>
            </w:tcBorders>
            <w:shd w:val="clear" w:color="auto" w:fill="auto"/>
            <w:vAlign w:val="center"/>
          </w:tcPr>
          <w:p w14:paraId="1D1E91CA" w14:textId="1A85EEC9" w:rsidR="009D3452" w:rsidRPr="004A7653" w:rsidRDefault="009D3452" w:rsidP="009D3452">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342 828</w:t>
            </w:r>
          </w:p>
        </w:tc>
        <w:tc>
          <w:tcPr>
            <w:tcW w:w="1049" w:type="dxa"/>
            <w:gridSpan w:val="3"/>
            <w:tcBorders>
              <w:top w:val="single" w:sz="4" w:space="0" w:color="17365D"/>
              <w:left w:val="nil"/>
              <w:bottom w:val="single" w:sz="4" w:space="0" w:color="17365D"/>
              <w:right w:val="nil"/>
            </w:tcBorders>
            <w:shd w:val="clear" w:color="auto" w:fill="auto"/>
            <w:vAlign w:val="center"/>
          </w:tcPr>
          <w:p w14:paraId="38CBC6C1" w14:textId="1F265B3B" w:rsidR="009D3452" w:rsidRPr="004A7653" w:rsidRDefault="009D3452" w:rsidP="009D3452">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737" w:type="dxa"/>
            <w:tcBorders>
              <w:top w:val="single" w:sz="4" w:space="0" w:color="17365D"/>
              <w:left w:val="nil"/>
              <w:bottom w:val="single" w:sz="4" w:space="0" w:color="17365D"/>
              <w:right w:val="nil"/>
            </w:tcBorders>
            <w:shd w:val="clear" w:color="auto" w:fill="auto"/>
            <w:vAlign w:val="center"/>
          </w:tcPr>
          <w:p w14:paraId="7C94A1D1" w14:textId="1D86A17B" w:rsidR="009D3452" w:rsidRPr="004A7653" w:rsidRDefault="009D3452" w:rsidP="009D3452">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1190" w:type="dxa"/>
            <w:gridSpan w:val="2"/>
            <w:tcBorders>
              <w:top w:val="single" w:sz="4" w:space="0" w:color="17365D"/>
              <w:left w:val="nil"/>
              <w:bottom w:val="single" w:sz="4" w:space="0" w:color="17365D"/>
              <w:right w:val="nil"/>
            </w:tcBorders>
            <w:shd w:val="clear" w:color="auto" w:fill="auto"/>
            <w:vAlign w:val="center"/>
          </w:tcPr>
          <w:p w14:paraId="6D10C89B" w14:textId="50EDA441" w:rsidR="009D3452" w:rsidRPr="004A7653" w:rsidRDefault="009D3452" w:rsidP="009D3452">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342 828</w:t>
            </w:r>
          </w:p>
        </w:tc>
      </w:tr>
      <w:tr w:rsidR="009D3452" w:rsidRPr="004A7653" w14:paraId="34D78FFF" w14:textId="77777777" w:rsidTr="002E49EF">
        <w:trPr>
          <w:trHeight w:val="215"/>
          <w:jc w:val="center"/>
        </w:trPr>
        <w:tc>
          <w:tcPr>
            <w:tcW w:w="1981" w:type="dxa"/>
            <w:tcBorders>
              <w:top w:val="single" w:sz="4" w:space="0" w:color="17365D"/>
              <w:left w:val="nil"/>
              <w:bottom w:val="single" w:sz="4" w:space="0" w:color="17365D"/>
              <w:right w:val="nil"/>
            </w:tcBorders>
            <w:shd w:val="clear" w:color="auto" w:fill="auto"/>
            <w:vAlign w:val="center"/>
          </w:tcPr>
          <w:p w14:paraId="15A38E60" w14:textId="663F8434" w:rsidR="009D3452" w:rsidRPr="004A7653" w:rsidRDefault="009D3452" w:rsidP="009D3452">
            <w:pPr>
              <w:spacing w:after="0" w:line="240" w:lineRule="auto"/>
              <w:rPr>
                <w:rFonts w:eastAsia="Times New Roman" w:cs="Times New Roman"/>
                <w:color w:val="17365D"/>
                <w:sz w:val="18"/>
                <w:szCs w:val="18"/>
                <w:lang w:eastAsia="lv-LV"/>
              </w:rPr>
            </w:pPr>
            <w:r w:rsidRPr="004A7653">
              <w:rPr>
                <w:rFonts w:eastAsia="Times New Roman" w:cs="Times New Roman"/>
                <w:color w:val="17365D"/>
                <w:sz w:val="18"/>
                <w:szCs w:val="18"/>
                <w:lang w:eastAsia="lv-LV"/>
              </w:rPr>
              <w:t xml:space="preserve"> Izejošā naudas plūsma </w:t>
            </w:r>
          </w:p>
        </w:tc>
        <w:tc>
          <w:tcPr>
            <w:tcW w:w="991" w:type="dxa"/>
            <w:gridSpan w:val="2"/>
            <w:tcBorders>
              <w:top w:val="single" w:sz="4" w:space="0" w:color="17365D"/>
              <w:left w:val="nil"/>
              <w:bottom w:val="single" w:sz="4" w:space="0" w:color="17365D"/>
              <w:right w:val="nil"/>
            </w:tcBorders>
            <w:shd w:val="clear" w:color="auto" w:fill="auto"/>
            <w:vAlign w:val="center"/>
          </w:tcPr>
          <w:p w14:paraId="3E99AD7A" w14:textId="47C330C6" w:rsidR="009D3452" w:rsidRPr="004A7653" w:rsidRDefault="009D3452" w:rsidP="009D3452">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714" w:type="dxa"/>
            <w:tcBorders>
              <w:top w:val="single" w:sz="4" w:space="0" w:color="17365D"/>
              <w:left w:val="nil"/>
              <w:bottom w:val="single" w:sz="4" w:space="0" w:color="17365D"/>
              <w:right w:val="nil"/>
            </w:tcBorders>
            <w:shd w:val="clear" w:color="auto" w:fill="auto"/>
            <w:vAlign w:val="center"/>
          </w:tcPr>
          <w:p w14:paraId="28A0E86E" w14:textId="0CA8D82C" w:rsidR="009D3452" w:rsidRPr="004A7653" w:rsidRDefault="009D3452" w:rsidP="009D3452">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693" w:type="dxa"/>
            <w:tcBorders>
              <w:top w:val="single" w:sz="4" w:space="0" w:color="17365D"/>
              <w:left w:val="nil"/>
              <w:bottom w:val="single" w:sz="4" w:space="0" w:color="17365D"/>
              <w:right w:val="nil"/>
            </w:tcBorders>
            <w:shd w:val="clear" w:color="auto" w:fill="auto"/>
            <w:vAlign w:val="center"/>
          </w:tcPr>
          <w:p w14:paraId="400185E6" w14:textId="2C41B834" w:rsidR="009D3452" w:rsidRPr="004A7653" w:rsidRDefault="009D3452" w:rsidP="009D3452">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967" w:type="dxa"/>
            <w:tcBorders>
              <w:top w:val="single" w:sz="4" w:space="0" w:color="17365D"/>
              <w:left w:val="nil"/>
              <w:bottom w:val="single" w:sz="4" w:space="0" w:color="17365D"/>
              <w:right w:val="nil"/>
            </w:tcBorders>
            <w:shd w:val="clear" w:color="auto" w:fill="auto"/>
            <w:vAlign w:val="center"/>
          </w:tcPr>
          <w:p w14:paraId="157A9C67" w14:textId="2632E9A2" w:rsidR="009D3452" w:rsidRPr="004A7653" w:rsidRDefault="009D3452" w:rsidP="009D3452">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1176" w:type="dxa"/>
            <w:gridSpan w:val="2"/>
            <w:tcBorders>
              <w:top w:val="single" w:sz="4" w:space="0" w:color="17365D"/>
              <w:left w:val="nil"/>
              <w:bottom w:val="single" w:sz="4" w:space="0" w:color="17365D"/>
              <w:right w:val="nil"/>
            </w:tcBorders>
            <w:shd w:val="clear" w:color="auto" w:fill="auto"/>
            <w:vAlign w:val="center"/>
          </w:tcPr>
          <w:p w14:paraId="1BCED8B6" w14:textId="0A39AD31" w:rsidR="009D3452" w:rsidRPr="004A7653" w:rsidRDefault="009D3452" w:rsidP="009D3452">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-285 715</w:t>
            </w:r>
          </w:p>
        </w:tc>
        <w:tc>
          <w:tcPr>
            <w:tcW w:w="1049" w:type="dxa"/>
            <w:gridSpan w:val="3"/>
            <w:tcBorders>
              <w:top w:val="single" w:sz="4" w:space="0" w:color="17365D"/>
              <w:left w:val="nil"/>
              <w:bottom w:val="single" w:sz="4" w:space="0" w:color="17365D"/>
              <w:right w:val="nil"/>
            </w:tcBorders>
            <w:shd w:val="clear" w:color="auto" w:fill="auto"/>
            <w:vAlign w:val="center"/>
          </w:tcPr>
          <w:p w14:paraId="695C87EB" w14:textId="61B5F343" w:rsidR="009D3452" w:rsidRPr="004A7653" w:rsidRDefault="009D3452" w:rsidP="009D3452">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737" w:type="dxa"/>
            <w:tcBorders>
              <w:top w:val="single" w:sz="4" w:space="0" w:color="17365D"/>
              <w:left w:val="nil"/>
              <w:bottom w:val="single" w:sz="4" w:space="0" w:color="17365D"/>
              <w:right w:val="nil"/>
            </w:tcBorders>
            <w:shd w:val="clear" w:color="auto" w:fill="auto"/>
            <w:vAlign w:val="center"/>
          </w:tcPr>
          <w:p w14:paraId="1DD73F5B" w14:textId="587EDD5C" w:rsidR="009D3452" w:rsidRPr="004A7653" w:rsidRDefault="009D3452" w:rsidP="009D3452">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1190" w:type="dxa"/>
            <w:gridSpan w:val="2"/>
            <w:tcBorders>
              <w:top w:val="single" w:sz="4" w:space="0" w:color="17365D"/>
              <w:left w:val="nil"/>
              <w:bottom w:val="single" w:sz="4" w:space="0" w:color="17365D"/>
              <w:right w:val="nil"/>
            </w:tcBorders>
            <w:shd w:val="clear" w:color="auto" w:fill="auto"/>
            <w:vAlign w:val="center"/>
          </w:tcPr>
          <w:p w14:paraId="65A638A2" w14:textId="72AD495B" w:rsidR="009D3452" w:rsidRPr="004A7653" w:rsidRDefault="009D3452" w:rsidP="009D3452">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-285 715</w:t>
            </w:r>
          </w:p>
        </w:tc>
      </w:tr>
      <w:tr w:rsidR="000C1009" w:rsidRPr="004A7653" w14:paraId="7777D560" w14:textId="77777777" w:rsidTr="002E49EF">
        <w:trPr>
          <w:trHeight w:val="495"/>
          <w:jc w:val="center"/>
        </w:trPr>
        <w:tc>
          <w:tcPr>
            <w:tcW w:w="1981" w:type="dxa"/>
            <w:tcBorders>
              <w:top w:val="single" w:sz="4" w:space="0" w:color="17365D"/>
              <w:left w:val="nil"/>
              <w:bottom w:val="single" w:sz="4" w:space="0" w:color="17365D"/>
              <w:right w:val="nil"/>
            </w:tcBorders>
            <w:shd w:val="clear" w:color="auto" w:fill="auto"/>
            <w:vAlign w:val="center"/>
          </w:tcPr>
          <w:p w14:paraId="4CBBE7C0" w14:textId="18E73BC1" w:rsidR="00CE104B" w:rsidRPr="004A7653" w:rsidRDefault="00CE104B" w:rsidP="009A779C">
            <w:pPr>
              <w:spacing w:after="0" w:line="240" w:lineRule="auto"/>
              <w:rPr>
                <w:rFonts w:eastAsia="Times New Roman" w:cs="Times New Roman"/>
                <w:color w:val="17365D"/>
                <w:sz w:val="18"/>
                <w:szCs w:val="18"/>
                <w:lang w:eastAsia="lv-LV"/>
              </w:rPr>
            </w:pPr>
            <w:r w:rsidRPr="004A7653">
              <w:rPr>
                <w:rFonts w:eastAsia="Times New Roman" w:cs="Times New Roman"/>
                <w:color w:val="17365D"/>
                <w:sz w:val="18"/>
                <w:szCs w:val="18"/>
                <w:lang w:eastAsia="lv-LV"/>
              </w:rPr>
              <w:t>Procentu mijmaiņas līgumi (IRS) (neto norēķini)*</w:t>
            </w:r>
          </w:p>
        </w:tc>
        <w:tc>
          <w:tcPr>
            <w:tcW w:w="991" w:type="dxa"/>
            <w:gridSpan w:val="2"/>
            <w:tcBorders>
              <w:top w:val="single" w:sz="4" w:space="0" w:color="17365D"/>
              <w:left w:val="nil"/>
              <w:bottom w:val="single" w:sz="4" w:space="0" w:color="17365D"/>
              <w:right w:val="nil"/>
            </w:tcBorders>
            <w:shd w:val="clear" w:color="auto" w:fill="auto"/>
            <w:vAlign w:val="center"/>
          </w:tcPr>
          <w:p w14:paraId="5FB6A0D7" w14:textId="09C9FAC6" w:rsidR="00CE104B" w:rsidRPr="004A7653" w:rsidRDefault="00CE104B" w:rsidP="00A27544">
            <w:pPr>
              <w:spacing w:after="0" w:line="240" w:lineRule="auto"/>
              <w:jc w:val="right"/>
              <w:rPr>
                <w:rFonts w:eastAsia="Times New Roman" w:cs="Times New Roman"/>
                <w:color w:val="17365D"/>
                <w:sz w:val="18"/>
                <w:szCs w:val="18"/>
                <w:lang w:eastAsia="lv-LV"/>
              </w:rPr>
            </w:pPr>
          </w:p>
        </w:tc>
        <w:tc>
          <w:tcPr>
            <w:tcW w:w="714" w:type="dxa"/>
            <w:tcBorders>
              <w:top w:val="single" w:sz="4" w:space="0" w:color="17365D"/>
              <w:left w:val="nil"/>
              <w:bottom w:val="single" w:sz="4" w:space="0" w:color="17365D"/>
              <w:right w:val="nil"/>
            </w:tcBorders>
            <w:shd w:val="clear" w:color="auto" w:fill="auto"/>
            <w:vAlign w:val="center"/>
          </w:tcPr>
          <w:p w14:paraId="7C454E1D" w14:textId="731F3F0A" w:rsidR="00CE104B" w:rsidRPr="004A7653" w:rsidRDefault="00CE104B" w:rsidP="00A27544">
            <w:pPr>
              <w:spacing w:after="0" w:line="240" w:lineRule="auto"/>
              <w:jc w:val="right"/>
              <w:rPr>
                <w:rFonts w:eastAsia="Times New Roman" w:cs="Times New Roman"/>
                <w:color w:val="17365D"/>
                <w:sz w:val="18"/>
                <w:szCs w:val="18"/>
                <w:lang w:eastAsia="lv-LV"/>
              </w:rPr>
            </w:pPr>
          </w:p>
        </w:tc>
        <w:tc>
          <w:tcPr>
            <w:tcW w:w="693" w:type="dxa"/>
            <w:tcBorders>
              <w:top w:val="single" w:sz="4" w:space="0" w:color="17365D"/>
              <w:left w:val="nil"/>
              <w:bottom w:val="single" w:sz="4" w:space="0" w:color="17365D"/>
              <w:right w:val="nil"/>
            </w:tcBorders>
            <w:shd w:val="clear" w:color="auto" w:fill="auto"/>
            <w:vAlign w:val="center"/>
          </w:tcPr>
          <w:p w14:paraId="09D2B1F7" w14:textId="2A1DD7CD" w:rsidR="00CE104B" w:rsidRPr="004A7653" w:rsidRDefault="00CE104B" w:rsidP="00A27544">
            <w:pPr>
              <w:spacing w:after="0" w:line="240" w:lineRule="auto"/>
              <w:jc w:val="right"/>
              <w:rPr>
                <w:rFonts w:eastAsia="Times New Roman" w:cs="Times New Roman"/>
                <w:color w:val="17365D"/>
                <w:sz w:val="18"/>
                <w:szCs w:val="18"/>
                <w:lang w:eastAsia="lv-LV"/>
              </w:rPr>
            </w:pPr>
          </w:p>
        </w:tc>
        <w:tc>
          <w:tcPr>
            <w:tcW w:w="967" w:type="dxa"/>
            <w:tcBorders>
              <w:top w:val="single" w:sz="4" w:space="0" w:color="17365D"/>
              <w:left w:val="nil"/>
              <w:bottom w:val="single" w:sz="4" w:space="0" w:color="17365D"/>
              <w:right w:val="nil"/>
            </w:tcBorders>
            <w:shd w:val="clear" w:color="auto" w:fill="auto"/>
            <w:vAlign w:val="center"/>
          </w:tcPr>
          <w:p w14:paraId="7301F4EB" w14:textId="0165819F" w:rsidR="00CE104B" w:rsidRPr="004A7653" w:rsidRDefault="00CE104B" w:rsidP="00A27544">
            <w:pPr>
              <w:spacing w:after="0" w:line="240" w:lineRule="auto"/>
              <w:jc w:val="right"/>
              <w:rPr>
                <w:rFonts w:eastAsia="Times New Roman" w:cs="Times New Roman"/>
                <w:color w:val="17365D"/>
                <w:sz w:val="18"/>
                <w:szCs w:val="18"/>
                <w:lang w:eastAsia="lv-LV"/>
              </w:rPr>
            </w:pPr>
          </w:p>
        </w:tc>
        <w:tc>
          <w:tcPr>
            <w:tcW w:w="1176" w:type="dxa"/>
            <w:gridSpan w:val="2"/>
            <w:tcBorders>
              <w:top w:val="single" w:sz="4" w:space="0" w:color="17365D"/>
              <w:left w:val="nil"/>
              <w:bottom w:val="single" w:sz="4" w:space="0" w:color="17365D"/>
              <w:right w:val="nil"/>
            </w:tcBorders>
            <w:shd w:val="clear" w:color="auto" w:fill="auto"/>
            <w:vAlign w:val="center"/>
          </w:tcPr>
          <w:p w14:paraId="2D1DD14F" w14:textId="40B5CE83" w:rsidR="00CE104B" w:rsidRPr="004A7653" w:rsidRDefault="00CE104B" w:rsidP="00A27544">
            <w:pPr>
              <w:spacing w:after="0" w:line="240" w:lineRule="auto"/>
              <w:jc w:val="right"/>
              <w:rPr>
                <w:rFonts w:eastAsia="Times New Roman" w:cs="Times New Roman"/>
                <w:color w:val="17365D"/>
                <w:sz w:val="18"/>
                <w:szCs w:val="18"/>
                <w:lang w:eastAsia="lv-LV"/>
              </w:rPr>
            </w:pPr>
          </w:p>
        </w:tc>
        <w:tc>
          <w:tcPr>
            <w:tcW w:w="1049" w:type="dxa"/>
            <w:gridSpan w:val="3"/>
            <w:tcBorders>
              <w:top w:val="single" w:sz="4" w:space="0" w:color="17365D"/>
              <w:left w:val="nil"/>
              <w:bottom w:val="single" w:sz="4" w:space="0" w:color="17365D"/>
              <w:right w:val="nil"/>
            </w:tcBorders>
            <w:shd w:val="clear" w:color="auto" w:fill="auto"/>
            <w:vAlign w:val="center"/>
          </w:tcPr>
          <w:p w14:paraId="6BF399F0" w14:textId="3D641228" w:rsidR="00CE104B" w:rsidRPr="004A7653" w:rsidRDefault="00CE104B" w:rsidP="00A27544">
            <w:pPr>
              <w:spacing w:after="0" w:line="240" w:lineRule="auto"/>
              <w:jc w:val="right"/>
              <w:rPr>
                <w:rFonts w:eastAsia="Times New Roman" w:cs="Times New Roman"/>
                <w:color w:val="17365D"/>
                <w:sz w:val="18"/>
                <w:szCs w:val="18"/>
                <w:lang w:eastAsia="lv-LV"/>
              </w:rPr>
            </w:pPr>
          </w:p>
        </w:tc>
        <w:tc>
          <w:tcPr>
            <w:tcW w:w="737" w:type="dxa"/>
            <w:tcBorders>
              <w:top w:val="single" w:sz="4" w:space="0" w:color="17365D"/>
              <w:left w:val="nil"/>
              <w:bottom w:val="single" w:sz="4" w:space="0" w:color="17365D"/>
              <w:right w:val="nil"/>
            </w:tcBorders>
            <w:shd w:val="clear" w:color="auto" w:fill="auto"/>
            <w:vAlign w:val="center"/>
          </w:tcPr>
          <w:p w14:paraId="7B658F02" w14:textId="00925E23" w:rsidR="00CE104B" w:rsidRPr="004A7653" w:rsidRDefault="00CE104B" w:rsidP="00A27544">
            <w:pPr>
              <w:spacing w:after="0" w:line="240" w:lineRule="auto"/>
              <w:jc w:val="right"/>
              <w:rPr>
                <w:rFonts w:eastAsia="Times New Roman" w:cs="Times New Roman"/>
                <w:color w:val="17365D"/>
                <w:sz w:val="18"/>
                <w:szCs w:val="18"/>
                <w:lang w:eastAsia="lv-LV"/>
              </w:rPr>
            </w:pPr>
          </w:p>
        </w:tc>
        <w:tc>
          <w:tcPr>
            <w:tcW w:w="1190" w:type="dxa"/>
            <w:gridSpan w:val="2"/>
            <w:tcBorders>
              <w:top w:val="single" w:sz="4" w:space="0" w:color="17365D"/>
              <w:left w:val="nil"/>
              <w:bottom w:val="single" w:sz="4" w:space="0" w:color="17365D"/>
              <w:right w:val="nil"/>
            </w:tcBorders>
            <w:shd w:val="clear" w:color="auto" w:fill="auto"/>
            <w:vAlign w:val="center"/>
          </w:tcPr>
          <w:p w14:paraId="022C45A1" w14:textId="731D3C55" w:rsidR="00CE104B" w:rsidRPr="004A7653" w:rsidRDefault="00CE104B" w:rsidP="00A27544">
            <w:pPr>
              <w:spacing w:after="0" w:line="240" w:lineRule="auto"/>
              <w:jc w:val="right"/>
              <w:rPr>
                <w:rFonts w:eastAsia="Times New Roman" w:cs="Times New Roman"/>
                <w:color w:val="17365D"/>
                <w:sz w:val="18"/>
                <w:szCs w:val="18"/>
                <w:lang w:eastAsia="lv-LV"/>
              </w:rPr>
            </w:pPr>
          </w:p>
        </w:tc>
      </w:tr>
      <w:tr w:rsidR="009D3452" w:rsidRPr="004A7653" w14:paraId="047B409E" w14:textId="77777777" w:rsidTr="002E49EF">
        <w:trPr>
          <w:trHeight w:val="242"/>
          <w:jc w:val="center"/>
        </w:trPr>
        <w:tc>
          <w:tcPr>
            <w:tcW w:w="1981" w:type="dxa"/>
            <w:tcBorders>
              <w:top w:val="single" w:sz="4" w:space="0" w:color="17365D"/>
              <w:left w:val="nil"/>
              <w:bottom w:val="single" w:sz="4" w:space="0" w:color="17365D"/>
              <w:right w:val="nil"/>
            </w:tcBorders>
            <w:shd w:val="clear" w:color="auto" w:fill="auto"/>
            <w:vAlign w:val="center"/>
          </w:tcPr>
          <w:p w14:paraId="32F8CF16" w14:textId="6D4D1270" w:rsidR="009D3452" w:rsidRPr="004A7653" w:rsidRDefault="009D3452" w:rsidP="009A779C">
            <w:pPr>
              <w:spacing w:after="0" w:line="240" w:lineRule="auto"/>
              <w:rPr>
                <w:rFonts w:eastAsia="Times New Roman" w:cs="Times New Roman"/>
                <w:color w:val="17365D"/>
                <w:sz w:val="18"/>
                <w:szCs w:val="18"/>
                <w:lang w:eastAsia="lv-LV"/>
              </w:rPr>
            </w:pPr>
            <w:r w:rsidRPr="004A7653">
              <w:rPr>
                <w:rFonts w:eastAsia="Times New Roman" w:cs="Times New Roman"/>
                <w:color w:val="17365D"/>
                <w:sz w:val="18"/>
                <w:szCs w:val="18"/>
                <w:lang w:eastAsia="lv-LV"/>
              </w:rPr>
              <w:t xml:space="preserve"> Ienākošā naudas plūsma</w:t>
            </w:r>
          </w:p>
        </w:tc>
        <w:tc>
          <w:tcPr>
            <w:tcW w:w="991" w:type="dxa"/>
            <w:gridSpan w:val="2"/>
            <w:tcBorders>
              <w:top w:val="single" w:sz="4" w:space="0" w:color="17365D"/>
              <w:left w:val="nil"/>
              <w:bottom w:val="single" w:sz="4" w:space="0" w:color="17365D"/>
              <w:right w:val="nil"/>
            </w:tcBorders>
            <w:shd w:val="clear" w:color="auto" w:fill="auto"/>
            <w:vAlign w:val="center"/>
          </w:tcPr>
          <w:p w14:paraId="0E2D462D" w14:textId="2221DE6E" w:rsidR="009D3452" w:rsidRPr="004A7653" w:rsidRDefault="00474286" w:rsidP="00A27544">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1 279 </w:t>
            </w:r>
            <w:r w:rsidR="0031192A" w:rsidRPr="004A7653">
              <w:rPr>
                <w:rFonts w:eastAsia="Times New Roman" w:cs="Times New Roman"/>
                <w:color w:val="17365D"/>
                <w:sz w:val="18"/>
                <w:szCs w:val="18"/>
                <w:lang w:eastAsia="lv-LV"/>
              </w:rPr>
              <w:t>875</w:t>
            </w:r>
          </w:p>
        </w:tc>
        <w:tc>
          <w:tcPr>
            <w:tcW w:w="714" w:type="dxa"/>
            <w:tcBorders>
              <w:top w:val="single" w:sz="4" w:space="0" w:color="17365D"/>
              <w:left w:val="nil"/>
              <w:bottom w:val="single" w:sz="4" w:space="0" w:color="17365D"/>
              <w:right w:val="nil"/>
            </w:tcBorders>
            <w:shd w:val="clear" w:color="auto" w:fill="auto"/>
            <w:vAlign w:val="center"/>
          </w:tcPr>
          <w:p w14:paraId="79E9F540" w14:textId="359B4446" w:rsidR="009D3452" w:rsidRPr="004A7653" w:rsidDel="004F7F9B" w:rsidRDefault="009D3452" w:rsidP="00A27544">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693" w:type="dxa"/>
            <w:tcBorders>
              <w:top w:val="single" w:sz="4" w:space="0" w:color="17365D"/>
              <w:left w:val="nil"/>
              <w:bottom w:val="single" w:sz="4" w:space="0" w:color="17365D"/>
              <w:right w:val="nil"/>
            </w:tcBorders>
            <w:shd w:val="clear" w:color="auto" w:fill="auto"/>
            <w:vAlign w:val="center"/>
          </w:tcPr>
          <w:p w14:paraId="1F728E57" w14:textId="6BF884C6" w:rsidR="009D3452" w:rsidRPr="004A7653" w:rsidRDefault="009D3452" w:rsidP="00A27544">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967" w:type="dxa"/>
            <w:tcBorders>
              <w:top w:val="single" w:sz="4" w:space="0" w:color="17365D"/>
              <w:left w:val="nil"/>
              <w:bottom w:val="single" w:sz="4" w:space="0" w:color="17365D"/>
              <w:right w:val="nil"/>
            </w:tcBorders>
            <w:shd w:val="clear" w:color="auto" w:fill="auto"/>
            <w:vAlign w:val="center"/>
          </w:tcPr>
          <w:p w14:paraId="08CB5D46" w14:textId="127DABDB" w:rsidR="009D3452" w:rsidRPr="004A7653" w:rsidRDefault="00474286" w:rsidP="00A27544">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1 279 </w:t>
            </w:r>
            <w:r w:rsidR="0031192A" w:rsidRPr="004A7653">
              <w:rPr>
                <w:rFonts w:eastAsia="Times New Roman" w:cs="Times New Roman"/>
                <w:color w:val="17365D"/>
                <w:sz w:val="18"/>
                <w:szCs w:val="18"/>
                <w:lang w:eastAsia="lv-LV"/>
              </w:rPr>
              <w:t>875</w:t>
            </w:r>
          </w:p>
        </w:tc>
        <w:tc>
          <w:tcPr>
            <w:tcW w:w="1176" w:type="dxa"/>
            <w:gridSpan w:val="2"/>
            <w:tcBorders>
              <w:top w:val="single" w:sz="4" w:space="0" w:color="17365D"/>
              <w:left w:val="nil"/>
              <w:bottom w:val="single" w:sz="4" w:space="0" w:color="17365D"/>
              <w:right w:val="nil"/>
            </w:tcBorders>
            <w:shd w:val="clear" w:color="auto" w:fill="auto"/>
            <w:vAlign w:val="center"/>
          </w:tcPr>
          <w:p w14:paraId="7CC60CB6" w14:textId="33D1C372" w:rsidR="009D3452" w:rsidRPr="004A7653" w:rsidRDefault="009D3452" w:rsidP="004F7F9B">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1049" w:type="dxa"/>
            <w:gridSpan w:val="3"/>
            <w:tcBorders>
              <w:top w:val="single" w:sz="4" w:space="0" w:color="17365D"/>
              <w:left w:val="nil"/>
              <w:bottom w:val="single" w:sz="4" w:space="0" w:color="17365D"/>
              <w:right w:val="nil"/>
            </w:tcBorders>
            <w:shd w:val="clear" w:color="auto" w:fill="auto"/>
            <w:vAlign w:val="center"/>
          </w:tcPr>
          <w:p w14:paraId="54E28A7E" w14:textId="2D7A7408" w:rsidR="009D3452" w:rsidRPr="004A7653" w:rsidRDefault="009D3452" w:rsidP="00A27544">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737" w:type="dxa"/>
            <w:tcBorders>
              <w:top w:val="single" w:sz="4" w:space="0" w:color="17365D"/>
              <w:left w:val="nil"/>
              <w:bottom w:val="single" w:sz="4" w:space="0" w:color="17365D"/>
              <w:right w:val="nil"/>
            </w:tcBorders>
            <w:shd w:val="clear" w:color="auto" w:fill="auto"/>
            <w:vAlign w:val="center"/>
          </w:tcPr>
          <w:p w14:paraId="11E7DEAA" w14:textId="08EC2C20" w:rsidR="009D3452" w:rsidRPr="004A7653" w:rsidRDefault="009D3452" w:rsidP="00A27544">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1190" w:type="dxa"/>
            <w:gridSpan w:val="2"/>
            <w:tcBorders>
              <w:top w:val="single" w:sz="4" w:space="0" w:color="17365D"/>
              <w:left w:val="nil"/>
              <w:bottom w:val="single" w:sz="4" w:space="0" w:color="17365D"/>
              <w:right w:val="nil"/>
            </w:tcBorders>
            <w:shd w:val="clear" w:color="auto" w:fill="auto"/>
            <w:vAlign w:val="center"/>
          </w:tcPr>
          <w:p w14:paraId="0755DFE6" w14:textId="68812543" w:rsidR="009D3452" w:rsidRPr="004A7653" w:rsidRDefault="009D3452" w:rsidP="00A27544">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r>
      <w:tr w:rsidR="000C1009" w:rsidRPr="004A7653" w14:paraId="78E60870" w14:textId="77777777" w:rsidTr="002E49EF">
        <w:trPr>
          <w:trHeight w:val="242"/>
          <w:jc w:val="center"/>
        </w:trPr>
        <w:tc>
          <w:tcPr>
            <w:tcW w:w="1981" w:type="dxa"/>
            <w:tcBorders>
              <w:top w:val="single" w:sz="4" w:space="0" w:color="17365D"/>
              <w:left w:val="nil"/>
              <w:bottom w:val="single" w:sz="4" w:space="0" w:color="17365D"/>
              <w:right w:val="nil"/>
            </w:tcBorders>
            <w:shd w:val="clear" w:color="auto" w:fill="auto"/>
            <w:vAlign w:val="center"/>
          </w:tcPr>
          <w:p w14:paraId="4B41C44E" w14:textId="41043FC5" w:rsidR="00CE104B" w:rsidRPr="004A7653" w:rsidRDefault="00CE104B" w:rsidP="009A779C">
            <w:pPr>
              <w:spacing w:after="0" w:line="240" w:lineRule="auto"/>
              <w:rPr>
                <w:rFonts w:eastAsia="Times New Roman" w:cs="Times New Roman"/>
                <w:color w:val="17365D"/>
                <w:sz w:val="18"/>
                <w:szCs w:val="18"/>
                <w:lang w:eastAsia="lv-LV"/>
              </w:rPr>
            </w:pPr>
            <w:r w:rsidRPr="004A7653">
              <w:rPr>
                <w:rFonts w:eastAsia="Times New Roman" w:cs="Times New Roman"/>
                <w:color w:val="17365D"/>
                <w:sz w:val="18"/>
                <w:szCs w:val="18"/>
                <w:lang w:eastAsia="lv-LV"/>
              </w:rPr>
              <w:t xml:space="preserve"> Izejošā naudas plūsma </w:t>
            </w:r>
          </w:p>
        </w:tc>
        <w:tc>
          <w:tcPr>
            <w:tcW w:w="991" w:type="dxa"/>
            <w:gridSpan w:val="2"/>
            <w:tcBorders>
              <w:top w:val="single" w:sz="4" w:space="0" w:color="17365D"/>
              <w:left w:val="nil"/>
              <w:bottom w:val="single" w:sz="4" w:space="0" w:color="17365D"/>
              <w:right w:val="nil"/>
            </w:tcBorders>
            <w:shd w:val="clear" w:color="auto" w:fill="auto"/>
            <w:vAlign w:val="center"/>
          </w:tcPr>
          <w:p w14:paraId="3514BBA1" w14:textId="5061C034" w:rsidR="00CE104B" w:rsidRPr="004A7653" w:rsidRDefault="004F7F9B" w:rsidP="00A27544">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714" w:type="dxa"/>
            <w:tcBorders>
              <w:top w:val="single" w:sz="4" w:space="0" w:color="17365D"/>
              <w:left w:val="nil"/>
              <w:bottom w:val="single" w:sz="4" w:space="0" w:color="17365D"/>
              <w:right w:val="nil"/>
            </w:tcBorders>
            <w:shd w:val="clear" w:color="auto" w:fill="auto"/>
            <w:vAlign w:val="center"/>
          </w:tcPr>
          <w:p w14:paraId="776EDA6A" w14:textId="3228EDC1" w:rsidR="00CE104B" w:rsidRPr="004A7653" w:rsidRDefault="004F7F9B" w:rsidP="00A27544">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693" w:type="dxa"/>
            <w:tcBorders>
              <w:top w:val="single" w:sz="4" w:space="0" w:color="17365D"/>
              <w:left w:val="nil"/>
              <w:bottom w:val="single" w:sz="4" w:space="0" w:color="17365D"/>
              <w:right w:val="nil"/>
            </w:tcBorders>
            <w:shd w:val="clear" w:color="auto" w:fill="auto"/>
            <w:vAlign w:val="center"/>
          </w:tcPr>
          <w:p w14:paraId="72BE06EC" w14:textId="18FAB9B0" w:rsidR="00CE104B" w:rsidRPr="004A7653" w:rsidRDefault="00CE104B" w:rsidP="00A27544">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967" w:type="dxa"/>
            <w:tcBorders>
              <w:top w:val="single" w:sz="4" w:space="0" w:color="17365D"/>
              <w:left w:val="nil"/>
              <w:bottom w:val="single" w:sz="4" w:space="0" w:color="17365D"/>
              <w:right w:val="nil"/>
            </w:tcBorders>
            <w:shd w:val="clear" w:color="auto" w:fill="auto"/>
            <w:vAlign w:val="center"/>
          </w:tcPr>
          <w:p w14:paraId="7F1C73A8" w14:textId="201BD46A" w:rsidR="00CE104B" w:rsidRPr="004A7653" w:rsidRDefault="004F7F9B" w:rsidP="00A27544">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1176" w:type="dxa"/>
            <w:gridSpan w:val="2"/>
            <w:tcBorders>
              <w:top w:val="single" w:sz="4" w:space="0" w:color="17365D"/>
              <w:left w:val="nil"/>
              <w:bottom w:val="single" w:sz="4" w:space="0" w:color="17365D"/>
              <w:right w:val="nil"/>
            </w:tcBorders>
            <w:shd w:val="clear" w:color="auto" w:fill="auto"/>
            <w:vAlign w:val="center"/>
          </w:tcPr>
          <w:p w14:paraId="018DF1D7" w14:textId="16B47F77" w:rsidR="00CE104B" w:rsidRPr="004A7653" w:rsidRDefault="004F7F9B" w:rsidP="004F7F9B">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-4 005 067</w:t>
            </w:r>
          </w:p>
        </w:tc>
        <w:tc>
          <w:tcPr>
            <w:tcW w:w="1049" w:type="dxa"/>
            <w:gridSpan w:val="3"/>
            <w:tcBorders>
              <w:top w:val="single" w:sz="4" w:space="0" w:color="17365D"/>
              <w:left w:val="nil"/>
              <w:bottom w:val="single" w:sz="4" w:space="0" w:color="17365D"/>
              <w:right w:val="nil"/>
            </w:tcBorders>
            <w:shd w:val="clear" w:color="auto" w:fill="auto"/>
            <w:vAlign w:val="center"/>
          </w:tcPr>
          <w:p w14:paraId="3D8377AF" w14:textId="258AB406" w:rsidR="00CE104B" w:rsidRPr="004A7653" w:rsidRDefault="004F7F9B" w:rsidP="00A27544">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-3 476 248</w:t>
            </w:r>
          </w:p>
        </w:tc>
        <w:tc>
          <w:tcPr>
            <w:tcW w:w="737" w:type="dxa"/>
            <w:tcBorders>
              <w:top w:val="single" w:sz="4" w:space="0" w:color="17365D"/>
              <w:left w:val="nil"/>
              <w:bottom w:val="single" w:sz="4" w:space="0" w:color="17365D"/>
              <w:right w:val="nil"/>
            </w:tcBorders>
            <w:shd w:val="clear" w:color="auto" w:fill="auto"/>
            <w:vAlign w:val="center"/>
          </w:tcPr>
          <w:p w14:paraId="77933F5A" w14:textId="4A43742F" w:rsidR="00CE104B" w:rsidRPr="004A7653" w:rsidRDefault="00CE104B" w:rsidP="00A27544">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0</w:t>
            </w:r>
          </w:p>
        </w:tc>
        <w:tc>
          <w:tcPr>
            <w:tcW w:w="1190" w:type="dxa"/>
            <w:gridSpan w:val="2"/>
            <w:tcBorders>
              <w:top w:val="single" w:sz="4" w:space="0" w:color="17365D"/>
              <w:left w:val="nil"/>
              <w:bottom w:val="single" w:sz="4" w:space="0" w:color="17365D"/>
              <w:right w:val="nil"/>
            </w:tcBorders>
            <w:shd w:val="clear" w:color="auto" w:fill="auto"/>
            <w:vAlign w:val="center"/>
          </w:tcPr>
          <w:p w14:paraId="66F24FA3" w14:textId="55292212" w:rsidR="00CE104B" w:rsidRPr="004A7653" w:rsidRDefault="004F7F9B" w:rsidP="00A27544">
            <w:pPr>
              <w:spacing w:after="0" w:line="240" w:lineRule="auto"/>
              <w:jc w:val="right"/>
              <w:rPr>
                <w:rFonts w:eastAsia="Times New Roman" w:cs="Times New Roman"/>
                <w:color w:val="17365D"/>
                <w:sz w:val="18"/>
                <w:szCs w:val="18"/>
                <w:lang w:eastAsia="lv-LV"/>
              </w:rPr>
            </w:pPr>
            <w:r w:rsidRPr="004A7653">
              <w:rPr>
                <w:rFonts w:eastAsia="Times New Roman" w:cs="Times New Roman"/>
                <w:color w:val="17365D"/>
                <w:sz w:val="18"/>
                <w:szCs w:val="18"/>
                <w:lang w:eastAsia="lv-LV"/>
              </w:rPr>
              <w:t>-7 481 315</w:t>
            </w:r>
          </w:p>
        </w:tc>
      </w:tr>
      <w:tr w:rsidR="000C1009" w:rsidRPr="00A27896" w14:paraId="499F70C1" w14:textId="77777777" w:rsidTr="002E49EF">
        <w:trPr>
          <w:trHeight w:val="68"/>
          <w:jc w:val="center"/>
        </w:trPr>
        <w:tc>
          <w:tcPr>
            <w:tcW w:w="2598" w:type="dxa"/>
            <w:gridSpan w:val="2"/>
            <w:tcBorders>
              <w:top w:val="single" w:sz="4" w:space="0" w:color="17365D"/>
              <w:left w:val="nil"/>
              <w:bottom w:val="nil"/>
              <w:right w:val="nil"/>
            </w:tcBorders>
            <w:shd w:val="clear" w:color="000000" w:fill="B9CDE5"/>
            <w:noWrap/>
            <w:vAlign w:val="center"/>
            <w:hideMark/>
          </w:tcPr>
          <w:p w14:paraId="2BDEA3EE" w14:textId="77777777" w:rsidR="00345BCC" w:rsidRPr="00A27896" w:rsidRDefault="00345BCC" w:rsidP="00345BCC">
            <w:pPr>
              <w:spacing w:after="0" w:line="240" w:lineRule="auto"/>
              <w:ind w:left="-57" w:right="-57"/>
              <w:jc w:val="center"/>
              <w:rPr>
                <w:rFonts w:eastAsia="Times New Roman" w:cs="Times New Roman"/>
                <w:color w:val="17365D"/>
                <w:sz w:val="17"/>
                <w:szCs w:val="17"/>
                <w:lang w:eastAsia="lv-LV"/>
              </w:rPr>
            </w:pPr>
            <w:r w:rsidRPr="00A27896">
              <w:rPr>
                <w:rFonts w:eastAsia="Times New Roman" w:cs="Times New Roman"/>
                <w:color w:val="17365D"/>
                <w:sz w:val="17"/>
                <w:szCs w:val="17"/>
                <w:lang w:eastAsia="lv-LV"/>
              </w:rPr>
              <w:t> </w:t>
            </w:r>
          </w:p>
        </w:tc>
        <w:tc>
          <w:tcPr>
            <w:tcW w:w="4168" w:type="dxa"/>
            <w:gridSpan w:val="7"/>
            <w:tcBorders>
              <w:top w:val="single" w:sz="4" w:space="0" w:color="17365D"/>
              <w:left w:val="nil"/>
              <w:bottom w:val="nil"/>
              <w:right w:val="nil"/>
            </w:tcBorders>
            <w:shd w:val="clear" w:color="000000" w:fill="B9CDE5"/>
            <w:noWrap/>
            <w:vAlign w:val="center"/>
            <w:hideMark/>
          </w:tcPr>
          <w:p w14:paraId="1743A307" w14:textId="77777777" w:rsidR="00345BCC" w:rsidRPr="00A27896" w:rsidRDefault="00345BCC" w:rsidP="00345BCC">
            <w:pPr>
              <w:spacing w:after="0" w:line="240" w:lineRule="auto"/>
              <w:ind w:left="-57" w:right="-57"/>
              <w:jc w:val="right"/>
              <w:rPr>
                <w:rFonts w:eastAsia="Times New Roman" w:cs="Times New Roman"/>
                <w:color w:val="17365D"/>
                <w:sz w:val="17"/>
                <w:szCs w:val="17"/>
                <w:lang w:eastAsia="lv-LV"/>
              </w:rPr>
            </w:pPr>
            <w:r w:rsidRPr="00A27896">
              <w:rPr>
                <w:rFonts w:eastAsia="Times New Roman" w:cs="Times New Roman"/>
                <w:color w:val="17365D"/>
                <w:sz w:val="17"/>
                <w:szCs w:val="17"/>
                <w:lang w:eastAsia="lv-LV"/>
              </w:rPr>
              <w:t> </w:t>
            </w:r>
          </w:p>
        </w:tc>
        <w:tc>
          <w:tcPr>
            <w:tcW w:w="2732" w:type="dxa"/>
            <w:gridSpan w:val="5"/>
            <w:tcBorders>
              <w:top w:val="single" w:sz="4" w:space="0" w:color="17365D"/>
              <w:left w:val="nil"/>
              <w:bottom w:val="nil"/>
              <w:right w:val="nil"/>
            </w:tcBorders>
            <w:shd w:val="clear" w:color="000000" w:fill="B9CDE5"/>
            <w:vAlign w:val="center"/>
            <w:hideMark/>
          </w:tcPr>
          <w:p w14:paraId="18D1F48C" w14:textId="6A8E581D" w:rsidR="00345BCC" w:rsidRPr="00A27896" w:rsidRDefault="00345BCC" w:rsidP="00345BCC">
            <w:pPr>
              <w:spacing w:after="0" w:line="240" w:lineRule="auto"/>
              <w:ind w:left="-57" w:right="-57"/>
              <w:jc w:val="right"/>
              <w:rPr>
                <w:rFonts w:eastAsia="Times New Roman" w:cs="Times New Roman"/>
                <w:color w:val="17365D"/>
                <w:sz w:val="17"/>
                <w:szCs w:val="17"/>
                <w:lang w:eastAsia="lv-LV"/>
              </w:rPr>
            </w:pPr>
            <w:r w:rsidRPr="00A27896">
              <w:rPr>
                <w:rFonts w:eastAsia="Times New Roman" w:cs="Times New Roman"/>
                <w:color w:val="17365D"/>
                <w:sz w:val="17"/>
                <w:szCs w:val="17"/>
                <w:lang w:eastAsia="lv-LV"/>
              </w:rPr>
              <w:t> </w:t>
            </w:r>
          </w:p>
        </w:tc>
      </w:tr>
    </w:tbl>
    <w:p w14:paraId="5D77CCF2" w14:textId="27D318B7" w:rsidR="00345BCC" w:rsidRPr="004A7653" w:rsidRDefault="00345BCC" w:rsidP="00FD10CC">
      <w:pPr>
        <w:widowControl w:val="0"/>
        <w:spacing w:after="0" w:line="240" w:lineRule="auto"/>
        <w:ind w:left="720" w:right="-30"/>
        <w:contextualSpacing/>
        <w:jc w:val="right"/>
        <w:rPr>
          <w:rFonts w:eastAsia="Times New Roman" w:cs="Times New Roman"/>
          <w:i/>
          <w:color w:val="17365D"/>
          <w:sz w:val="2"/>
          <w:szCs w:val="18"/>
          <w:lang w:eastAsia="lv-LV"/>
        </w:rPr>
      </w:pPr>
    </w:p>
    <w:p w14:paraId="5A7E4964" w14:textId="77777777" w:rsidR="00DD075D" w:rsidRPr="00A27896" w:rsidRDefault="00A31677" w:rsidP="00934128">
      <w:pPr>
        <w:pStyle w:val="CommentText"/>
        <w:spacing w:after="0" w:line="240" w:lineRule="auto"/>
        <w:ind w:right="-2"/>
        <w:jc w:val="both"/>
        <w:rPr>
          <w:rFonts w:eastAsia="Times New Roman" w:cs="Times New Roman"/>
          <w:bCs/>
          <w:i/>
          <w:iCs/>
          <w:color w:val="17365D"/>
          <w:szCs w:val="18"/>
          <w:lang w:eastAsia="lv-LV"/>
        </w:rPr>
      </w:pPr>
      <w:r w:rsidRPr="00A27896">
        <w:rPr>
          <w:rFonts w:eastAsia="Times New Roman" w:cs="Times New Roman"/>
          <w:bCs/>
          <w:i/>
          <w:iCs/>
          <w:color w:val="17365D"/>
          <w:szCs w:val="18"/>
          <w:lang w:eastAsia="lv-LV"/>
        </w:rPr>
        <w:t xml:space="preserve">* kā nākotnes mainīgās, bet vēl nefiksētās procentu likmes naudas plūsmas aprēķinam izmantotas FORWARD likmes, kas noteiktas balstoties uz </w:t>
      </w:r>
      <w:proofErr w:type="spellStart"/>
      <w:r w:rsidRPr="00A27896">
        <w:rPr>
          <w:rFonts w:eastAsia="Times New Roman" w:cs="Times New Roman"/>
          <w:bCs/>
          <w:i/>
          <w:iCs/>
          <w:color w:val="17365D"/>
          <w:szCs w:val="18"/>
          <w:lang w:eastAsia="lv-LV"/>
        </w:rPr>
        <w:t>Bloomberg</w:t>
      </w:r>
      <w:proofErr w:type="spellEnd"/>
      <w:r w:rsidRPr="00A27896">
        <w:rPr>
          <w:rFonts w:eastAsia="Times New Roman" w:cs="Times New Roman"/>
          <w:bCs/>
          <w:i/>
          <w:iCs/>
          <w:color w:val="17365D"/>
          <w:szCs w:val="18"/>
          <w:lang w:eastAsia="lv-LV"/>
        </w:rPr>
        <w:t xml:space="preserve"> finanšu informācijas sistēmas terminālā pēdējā saimnieciskā gada darba dienā fiksētām peļņas līknēm</w:t>
      </w:r>
    </w:p>
    <w:p w14:paraId="6BAEE9F8" w14:textId="1091332C" w:rsidR="009D5F79" w:rsidRPr="00A27896" w:rsidRDefault="009D5F79" w:rsidP="00934128">
      <w:pPr>
        <w:pStyle w:val="CommentText"/>
        <w:spacing w:after="0" w:line="240" w:lineRule="auto"/>
        <w:ind w:right="-2"/>
        <w:jc w:val="both"/>
        <w:rPr>
          <w:rFonts w:eastAsia="Times New Roman" w:cs="Times New Roman"/>
          <w:bCs/>
          <w:i/>
          <w:iCs/>
          <w:color w:val="17365D"/>
          <w:szCs w:val="18"/>
          <w:lang w:eastAsia="lv-LV"/>
        </w:rPr>
      </w:pPr>
      <w:r w:rsidRPr="00A27896">
        <w:rPr>
          <w:rFonts w:eastAsia="Times New Roman" w:cs="Times New Roman"/>
          <w:bCs/>
          <w:i/>
          <w:iCs/>
          <w:color w:val="17365D"/>
          <w:szCs w:val="18"/>
          <w:lang w:eastAsia="lv-LV"/>
        </w:rPr>
        <w:t xml:space="preserve">** </w:t>
      </w:r>
      <w:r w:rsidR="00C70AA6" w:rsidRPr="00A27896">
        <w:rPr>
          <w:rFonts w:eastAsia="Times New Roman" w:cs="Times New Roman"/>
          <w:bCs/>
          <w:i/>
          <w:iCs/>
          <w:color w:val="17365D"/>
          <w:szCs w:val="18"/>
          <w:lang w:eastAsia="lv-LV"/>
        </w:rPr>
        <w:t>i</w:t>
      </w:r>
      <w:r w:rsidRPr="00A27896">
        <w:rPr>
          <w:rFonts w:eastAsia="Times New Roman" w:cs="Times New Roman"/>
          <w:bCs/>
          <w:i/>
          <w:iCs/>
          <w:color w:val="17365D"/>
          <w:szCs w:val="18"/>
          <w:lang w:eastAsia="lv-LV"/>
        </w:rPr>
        <w:t>nformācija sniegta finanšu pārskata skaidrojuma piezīmē V9.</w:t>
      </w:r>
      <w:r w:rsidR="00121F7D" w:rsidRPr="00A27896">
        <w:rPr>
          <w:rFonts w:eastAsia="Times New Roman" w:cs="Times New Roman"/>
          <w:bCs/>
          <w:i/>
          <w:iCs/>
          <w:color w:val="17365D"/>
          <w:szCs w:val="18"/>
          <w:lang w:eastAsia="lv-LV"/>
        </w:rPr>
        <w:t> </w:t>
      </w:r>
      <w:r w:rsidR="00513F64" w:rsidRPr="00A27896">
        <w:rPr>
          <w:rFonts w:eastAsia="Times New Roman" w:cs="Times New Roman"/>
          <w:bCs/>
          <w:i/>
          <w:iCs/>
          <w:color w:val="17365D"/>
          <w:szCs w:val="18"/>
          <w:lang w:eastAsia="lv-LV"/>
        </w:rPr>
        <w:t xml:space="preserve">Informācija par finanšu saistību nediskontēto nākotnes naudas plūsmas </w:t>
      </w:r>
      <w:proofErr w:type="spellStart"/>
      <w:r w:rsidR="00513F64" w:rsidRPr="00A27896">
        <w:rPr>
          <w:rFonts w:eastAsia="Times New Roman" w:cs="Times New Roman"/>
          <w:bCs/>
          <w:i/>
          <w:iCs/>
          <w:color w:val="17365D"/>
          <w:szCs w:val="18"/>
          <w:lang w:eastAsia="lv-LV"/>
        </w:rPr>
        <w:t>termiņstruktūru</w:t>
      </w:r>
      <w:proofErr w:type="spellEnd"/>
      <w:r w:rsidR="00513F64" w:rsidRPr="00A27896">
        <w:rPr>
          <w:rFonts w:eastAsia="Times New Roman" w:cs="Times New Roman"/>
          <w:bCs/>
          <w:i/>
          <w:iCs/>
          <w:color w:val="17365D"/>
          <w:szCs w:val="18"/>
          <w:lang w:eastAsia="lv-LV"/>
        </w:rPr>
        <w:t xml:space="preserve"> sadalījumā pa finanšu instrumentiem</w:t>
      </w:r>
      <w:r w:rsidR="00513F64" w:rsidRPr="00A27896" w:rsidDel="00513F64">
        <w:rPr>
          <w:rFonts w:eastAsia="Times New Roman" w:cs="Times New Roman"/>
          <w:bCs/>
          <w:i/>
          <w:iCs/>
          <w:color w:val="17365D"/>
          <w:szCs w:val="18"/>
          <w:lang w:eastAsia="lv-LV"/>
        </w:rPr>
        <w:t xml:space="preserve"> </w:t>
      </w:r>
    </w:p>
    <w:p w14:paraId="3052C269" w14:textId="260CE8DA" w:rsidR="009D5F79" w:rsidRPr="00A27896" w:rsidRDefault="009D5F79" w:rsidP="00934128">
      <w:pPr>
        <w:pStyle w:val="CommentText"/>
        <w:spacing w:after="0" w:line="240" w:lineRule="auto"/>
        <w:ind w:right="-2"/>
        <w:jc w:val="both"/>
        <w:rPr>
          <w:rFonts w:eastAsia="Times New Roman" w:cs="Times New Roman"/>
          <w:bCs/>
          <w:i/>
          <w:iCs/>
          <w:color w:val="17365D"/>
          <w:szCs w:val="18"/>
          <w:lang w:eastAsia="lv-LV"/>
        </w:rPr>
      </w:pPr>
      <w:r w:rsidRPr="00A27896">
        <w:rPr>
          <w:rFonts w:eastAsia="Times New Roman" w:cs="Times New Roman"/>
          <w:bCs/>
          <w:i/>
          <w:iCs/>
          <w:color w:val="17365D"/>
          <w:szCs w:val="18"/>
          <w:lang w:eastAsia="lv-LV"/>
        </w:rPr>
        <w:t>*** uzrādīta salīdzinošā informācija uz pārskata perioda sākumu par tiem atvasinātiem finanšu instrumentiem, kuri uz 31.12.202</w:t>
      </w:r>
      <w:r w:rsidR="006C792B" w:rsidRPr="00A27896">
        <w:rPr>
          <w:rFonts w:eastAsia="Times New Roman" w:cs="Times New Roman"/>
          <w:bCs/>
          <w:i/>
          <w:iCs/>
          <w:color w:val="17365D"/>
          <w:szCs w:val="18"/>
          <w:lang w:eastAsia="lv-LV"/>
        </w:rPr>
        <w:t>2</w:t>
      </w:r>
      <w:r w:rsidRPr="00A27896">
        <w:rPr>
          <w:rFonts w:eastAsia="Times New Roman" w:cs="Times New Roman"/>
          <w:bCs/>
          <w:i/>
          <w:iCs/>
          <w:color w:val="17365D"/>
          <w:szCs w:val="18"/>
          <w:lang w:eastAsia="lv-LV"/>
        </w:rPr>
        <w:t>. tiek uzskaitīti kā riska ierobežošanas instrumenti</w:t>
      </w:r>
    </w:p>
    <w:p w14:paraId="025B009C" w14:textId="338BAB75" w:rsidR="00CE2433" w:rsidRPr="00A27896" w:rsidRDefault="00A31677" w:rsidP="001E6F19">
      <w:pPr>
        <w:pStyle w:val="Heading7"/>
        <w:jc w:val="both"/>
        <w:rPr>
          <w:rFonts w:ascii="Times New Roman" w:hAnsi="Times New Roman" w:cs="Times New Roman"/>
          <w:iCs w:val="0"/>
          <w:color w:val="17365D"/>
        </w:rPr>
      </w:pPr>
      <w:r w:rsidRPr="00A27896">
        <w:rPr>
          <w:rFonts w:ascii="Times New Roman" w:eastAsiaTheme="minorHAnsi" w:hAnsi="Times New Roman" w:cs="Times New Roman"/>
          <w:b/>
          <w:i w:val="0"/>
          <w:iCs w:val="0"/>
          <w:color w:val="17365D"/>
          <w:sz w:val="24"/>
        </w:rPr>
        <w:lastRenderedPageBreak/>
        <w:t xml:space="preserve">Valsts kases izmantoto atvasināto finanšu instrumentu ilgtermiņa un īstermiņa daļu bilances vērtību </w:t>
      </w:r>
      <w:proofErr w:type="spellStart"/>
      <w:r w:rsidRPr="00A27896">
        <w:rPr>
          <w:rFonts w:ascii="Times New Roman" w:eastAsiaTheme="minorHAnsi" w:hAnsi="Times New Roman" w:cs="Times New Roman"/>
          <w:b/>
          <w:i w:val="0"/>
          <w:iCs w:val="0"/>
          <w:color w:val="17365D"/>
          <w:sz w:val="24"/>
        </w:rPr>
        <w:t>termiņanalīze</w:t>
      </w:r>
      <w:proofErr w:type="spellEnd"/>
    </w:p>
    <w:p w14:paraId="20C8269D" w14:textId="587EC190" w:rsidR="00E00313" w:rsidRPr="00A27896" w:rsidRDefault="00CA17B2" w:rsidP="00CE2433">
      <w:pPr>
        <w:spacing w:after="0" w:line="240" w:lineRule="auto"/>
        <w:ind w:left="142"/>
        <w:jc w:val="right"/>
        <w:rPr>
          <w:rFonts w:cs="Times New Roman"/>
          <w:i/>
          <w:color w:val="17365D"/>
          <w:sz w:val="20"/>
        </w:rPr>
      </w:pPr>
      <w:r w:rsidRPr="00A27896">
        <w:rPr>
          <w:rFonts w:cs="Times New Roman"/>
          <w:i/>
          <w:color w:val="17365D"/>
          <w:sz w:val="20"/>
        </w:rPr>
        <w:t>3</w:t>
      </w:r>
      <w:r w:rsidR="00EB372A" w:rsidRPr="00A27896">
        <w:rPr>
          <w:rFonts w:cs="Times New Roman"/>
          <w:i/>
          <w:color w:val="17365D"/>
          <w:sz w:val="20"/>
        </w:rPr>
        <w:t>9</w:t>
      </w:r>
      <w:r w:rsidR="00E00313" w:rsidRPr="00A27896">
        <w:rPr>
          <w:rFonts w:cs="Times New Roman"/>
          <w:i/>
          <w:color w:val="17365D"/>
          <w:sz w:val="20"/>
        </w:rPr>
        <w:t>.</w:t>
      </w:r>
      <w:r w:rsidR="00D2147C" w:rsidRPr="00A27896">
        <w:rPr>
          <w:rFonts w:cs="Times New Roman"/>
          <w:i/>
          <w:color w:val="17365D"/>
          <w:sz w:val="20"/>
        </w:rPr>
        <w:t xml:space="preserve"> </w:t>
      </w:r>
      <w:r w:rsidR="00E00313" w:rsidRPr="00A27896">
        <w:rPr>
          <w:rFonts w:cs="Times New Roman"/>
          <w:i/>
          <w:color w:val="17365D"/>
          <w:sz w:val="20"/>
        </w:rPr>
        <w:t>tabula</w:t>
      </w:r>
      <w:r w:rsidR="00797B92" w:rsidRPr="00A27896">
        <w:rPr>
          <w:rFonts w:cs="Times New Roman"/>
          <w:i/>
          <w:color w:val="17365D"/>
          <w:sz w:val="20"/>
        </w:rPr>
        <w:t>.</w:t>
      </w:r>
      <w:r w:rsidR="00E00313" w:rsidRPr="00A27896">
        <w:rPr>
          <w:rFonts w:cs="Times New Roman"/>
          <w:color w:val="17365D"/>
        </w:rPr>
        <w:t xml:space="preserve"> </w:t>
      </w:r>
      <w:r w:rsidR="00E00313" w:rsidRPr="00A27896">
        <w:rPr>
          <w:rFonts w:cs="Times New Roman"/>
          <w:i/>
          <w:color w:val="17365D"/>
          <w:sz w:val="20"/>
        </w:rPr>
        <w:t xml:space="preserve">Valsts kases izmantoto atvasināto finanšu instrumentu </w:t>
      </w:r>
    </w:p>
    <w:p w14:paraId="2033E6FE" w14:textId="74ACB5D2" w:rsidR="00A31677" w:rsidRPr="00A27896" w:rsidRDefault="00E00313" w:rsidP="00CE2433">
      <w:pPr>
        <w:spacing w:after="0" w:line="240" w:lineRule="auto"/>
        <w:ind w:left="142"/>
        <w:jc w:val="right"/>
        <w:rPr>
          <w:rFonts w:cs="Times New Roman"/>
          <w:i/>
          <w:color w:val="17365D"/>
          <w:sz w:val="20"/>
        </w:rPr>
      </w:pPr>
      <w:r w:rsidRPr="00A27896">
        <w:rPr>
          <w:rFonts w:cs="Times New Roman"/>
          <w:i/>
          <w:color w:val="17365D"/>
          <w:sz w:val="20"/>
        </w:rPr>
        <w:t xml:space="preserve">ilgtermiņa un īstermiņa daļu bilances vērtību </w:t>
      </w:r>
      <w:proofErr w:type="spellStart"/>
      <w:r w:rsidRPr="00A27896">
        <w:rPr>
          <w:rFonts w:cs="Times New Roman"/>
          <w:i/>
          <w:color w:val="17365D"/>
          <w:sz w:val="20"/>
        </w:rPr>
        <w:t>termiņanalīze</w:t>
      </w:r>
      <w:proofErr w:type="spellEnd"/>
      <w:r w:rsidRPr="00A27896">
        <w:rPr>
          <w:rFonts w:cs="Times New Roman"/>
          <w:i/>
          <w:color w:val="17365D"/>
          <w:sz w:val="20"/>
        </w:rPr>
        <w:t xml:space="preserve"> </w:t>
      </w:r>
      <w:r w:rsidR="00A31677" w:rsidRPr="00A27896">
        <w:rPr>
          <w:rFonts w:cs="Times New Roman"/>
          <w:i/>
          <w:color w:val="17365D"/>
          <w:sz w:val="20"/>
        </w:rPr>
        <w:t>(</w:t>
      </w:r>
      <w:proofErr w:type="spellStart"/>
      <w:r w:rsidR="00A31677" w:rsidRPr="00A27896">
        <w:rPr>
          <w:rFonts w:cs="Times New Roman"/>
          <w:i/>
          <w:color w:val="17365D"/>
          <w:sz w:val="20"/>
        </w:rPr>
        <w:t>euro</w:t>
      </w:r>
      <w:proofErr w:type="spellEnd"/>
      <w:r w:rsidR="00A31677" w:rsidRPr="00A27896">
        <w:rPr>
          <w:rFonts w:cs="Times New Roman"/>
          <w:i/>
          <w:color w:val="17365D"/>
          <w:sz w:val="20"/>
        </w:rPr>
        <w:t>)</w:t>
      </w:r>
    </w:p>
    <w:tbl>
      <w:tblPr>
        <w:tblW w:w="9368" w:type="dxa"/>
        <w:tblInd w:w="-5" w:type="dxa"/>
        <w:tblBorders>
          <w:insideH w:val="single" w:sz="4" w:space="0" w:color="auto"/>
        </w:tblBorders>
        <w:tblLayout w:type="fixed"/>
        <w:tblCellMar>
          <w:left w:w="0" w:type="dxa"/>
          <w:right w:w="6" w:type="dxa"/>
        </w:tblCellMar>
        <w:tblLook w:val="04A0" w:firstRow="1" w:lastRow="0" w:firstColumn="1" w:lastColumn="0" w:noHBand="0" w:noVBand="1"/>
      </w:tblPr>
      <w:tblGrid>
        <w:gridCol w:w="2699"/>
        <w:gridCol w:w="1702"/>
        <w:gridCol w:w="1702"/>
        <w:gridCol w:w="1562"/>
        <w:gridCol w:w="1703"/>
      </w:tblGrid>
      <w:tr w:rsidR="000C1009" w:rsidRPr="00A27896" w14:paraId="13BED466" w14:textId="77777777" w:rsidTr="009B2FBA">
        <w:trPr>
          <w:trHeight w:val="273"/>
          <w:tblHeader/>
        </w:trPr>
        <w:tc>
          <w:tcPr>
            <w:tcW w:w="2699" w:type="dxa"/>
            <w:vMerge w:val="restart"/>
            <w:shd w:val="clear" w:color="auto" w:fill="B8CCE4" w:themeFill="accent1" w:themeFillTint="66"/>
            <w:vAlign w:val="center"/>
            <w:hideMark/>
          </w:tcPr>
          <w:p w14:paraId="134ABBB2"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Atvasinātie finanšu instrumenti</w:t>
            </w:r>
          </w:p>
        </w:tc>
        <w:tc>
          <w:tcPr>
            <w:tcW w:w="3404" w:type="dxa"/>
            <w:gridSpan w:val="2"/>
            <w:shd w:val="clear" w:color="auto" w:fill="B8CCE4" w:themeFill="accent1" w:themeFillTint="66"/>
            <w:vAlign w:val="center"/>
          </w:tcPr>
          <w:p w14:paraId="350F59EE"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Bilances vērtība</w:t>
            </w:r>
          </w:p>
        </w:tc>
        <w:tc>
          <w:tcPr>
            <w:tcW w:w="3265" w:type="dxa"/>
            <w:gridSpan w:val="2"/>
            <w:shd w:val="clear" w:color="auto" w:fill="B8CCE4" w:themeFill="accent1" w:themeFillTint="66"/>
            <w:tcMar>
              <w:top w:w="0" w:type="dxa"/>
              <w:left w:w="108" w:type="dxa"/>
              <w:bottom w:w="0" w:type="dxa"/>
              <w:right w:w="108" w:type="dxa"/>
            </w:tcMar>
            <w:vAlign w:val="center"/>
            <w:hideMark/>
          </w:tcPr>
          <w:p w14:paraId="28F9D721"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Bilances vērtība</w:t>
            </w:r>
          </w:p>
        </w:tc>
      </w:tr>
      <w:tr w:rsidR="000C1009" w:rsidRPr="00A27896" w14:paraId="53FF1901" w14:textId="77777777" w:rsidTr="009B2FBA">
        <w:trPr>
          <w:trHeight w:val="121"/>
          <w:tblHeader/>
        </w:trPr>
        <w:tc>
          <w:tcPr>
            <w:tcW w:w="2699" w:type="dxa"/>
            <w:vMerge/>
            <w:shd w:val="clear" w:color="auto" w:fill="B8CCE4" w:themeFill="accent1" w:themeFillTint="66"/>
            <w:vAlign w:val="center"/>
          </w:tcPr>
          <w:p w14:paraId="1AE70481" w14:textId="77777777" w:rsidR="00CB0E2A" w:rsidRPr="00A27896" w:rsidRDefault="00CB0E2A" w:rsidP="00CB0E2A">
            <w:pPr>
              <w:rPr>
                <w:rFonts w:eastAsia="Times New Roman" w:cs="Times New Roman"/>
                <w:b/>
                <w:color w:val="17365D"/>
                <w:sz w:val="18"/>
                <w:szCs w:val="18"/>
                <w:lang w:eastAsia="lv-LV"/>
              </w:rPr>
            </w:pPr>
          </w:p>
        </w:tc>
        <w:tc>
          <w:tcPr>
            <w:tcW w:w="3404" w:type="dxa"/>
            <w:gridSpan w:val="2"/>
            <w:shd w:val="clear" w:color="auto" w:fill="B8CCE4" w:themeFill="accent1" w:themeFillTint="66"/>
            <w:vAlign w:val="center"/>
          </w:tcPr>
          <w:p w14:paraId="2BA48C3A"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3265" w:type="dxa"/>
            <w:gridSpan w:val="2"/>
            <w:shd w:val="clear" w:color="auto" w:fill="B8CCE4" w:themeFill="accent1" w:themeFillTint="66"/>
            <w:tcMar>
              <w:top w:w="0" w:type="dxa"/>
              <w:left w:w="108" w:type="dxa"/>
              <w:bottom w:w="0" w:type="dxa"/>
              <w:right w:w="108" w:type="dxa"/>
            </w:tcMar>
            <w:vAlign w:val="center"/>
          </w:tcPr>
          <w:p w14:paraId="62A44BDC"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r>
      <w:tr w:rsidR="000C1009" w:rsidRPr="00A27896" w14:paraId="1CDFFC8F" w14:textId="77777777" w:rsidTr="009F2382">
        <w:trPr>
          <w:tblHeader/>
        </w:trPr>
        <w:tc>
          <w:tcPr>
            <w:tcW w:w="2699" w:type="dxa"/>
            <w:vMerge/>
            <w:tcBorders>
              <w:bottom w:val="single" w:sz="4" w:space="0" w:color="17365D"/>
            </w:tcBorders>
            <w:shd w:val="clear" w:color="auto" w:fill="B8CCE4" w:themeFill="accent1" w:themeFillTint="66"/>
            <w:vAlign w:val="center"/>
            <w:hideMark/>
          </w:tcPr>
          <w:p w14:paraId="7C6F0C48" w14:textId="77777777" w:rsidR="00CB0E2A" w:rsidRPr="00A27896" w:rsidRDefault="00CB0E2A" w:rsidP="00CB0E2A">
            <w:pPr>
              <w:rPr>
                <w:rFonts w:eastAsia="Times New Roman" w:cs="Times New Roman"/>
                <w:b/>
                <w:color w:val="17365D"/>
                <w:sz w:val="18"/>
                <w:szCs w:val="18"/>
                <w:lang w:eastAsia="lv-LV"/>
              </w:rPr>
            </w:pPr>
          </w:p>
        </w:tc>
        <w:tc>
          <w:tcPr>
            <w:tcW w:w="1702" w:type="dxa"/>
            <w:tcBorders>
              <w:bottom w:val="single" w:sz="4" w:space="0" w:color="17365D"/>
            </w:tcBorders>
            <w:shd w:val="clear" w:color="auto" w:fill="B8CCE4" w:themeFill="accent1" w:themeFillTint="66"/>
            <w:vAlign w:val="center"/>
          </w:tcPr>
          <w:p w14:paraId="4B372CF4"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Aktīvs</w:t>
            </w:r>
          </w:p>
        </w:tc>
        <w:tc>
          <w:tcPr>
            <w:tcW w:w="1702" w:type="dxa"/>
            <w:tcBorders>
              <w:bottom w:val="single" w:sz="4" w:space="0" w:color="17365D"/>
            </w:tcBorders>
            <w:shd w:val="clear" w:color="auto" w:fill="B8CCE4" w:themeFill="accent1" w:themeFillTint="66"/>
            <w:vAlign w:val="center"/>
          </w:tcPr>
          <w:p w14:paraId="1EC45DCA" w14:textId="77777777" w:rsidR="00CB0E2A" w:rsidRPr="00A27896" w:rsidRDefault="00CB0E2A" w:rsidP="00CB0E2A">
            <w:pPr>
              <w:spacing w:after="0" w:line="240" w:lineRule="auto"/>
              <w:ind w:right="142"/>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Pasīvs</w:t>
            </w:r>
          </w:p>
        </w:tc>
        <w:tc>
          <w:tcPr>
            <w:tcW w:w="1562" w:type="dxa"/>
            <w:tcBorders>
              <w:bottom w:val="single" w:sz="4" w:space="0" w:color="17365D"/>
            </w:tcBorders>
            <w:shd w:val="clear" w:color="auto" w:fill="B8CCE4" w:themeFill="accent1" w:themeFillTint="66"/>
            <w:tcMar>
              <w:top w:w="0" w:type="dxa"/>
              <w:left w:w="108" w:type="dxa"/>
              <w:bottom w:w="0" w:type="dxa"/>
              <w:right w:w="108" w:type="dxa"/>
            </w:tcMar>
            <w:vAlign w:val="center"/>
            <w:hideMark/>
          </w:tcPr>
          <w:p w14:paraId="6E4EDD5B"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Aktīvs</w:t>
            </w:r>
          </w:p>
        </w:tc>
        <w:tc>
          <w:tcPr>
            <w:tcW w:w="1703" w:type="dxa"/>
            <w:tcBorders>
              <w:bottom w:val="single" w:sz="4" w:space="0" w:color="17365D"/>
            </w:tcBorders>
            <w:shd w:val="clear" w:color="auto" w:fill="B8CCE4" w:themeFill="accent1" w:themeFillTint="66"/>
            <w:tcMar>
              <w:top w:w="0" w:type="dxa"/>
              <w:left w:w="108" w:type="dxa"/>
              <w:bottom w:w="0" w:type="dxa"/>
              <w:right w:w="108" w:type="dxa"/>
            </w:tcMar>
            <w:vAlign w:val="center"/>
            <w:hideMark/>
          </w:tcPr>
          <w:p w14:paraId="628ED721"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Pasīvs</w:t>
            </w:r>
          </w:p>
        </w:tc>
      </w:tr>
      <w:tr w:rsidR="000C1009" w:rsidRPr="00A27896" w14:paraId="32E27FBE" w14:textId="77777777" w:rsidTr="009F2382">
        <w:trPr>
          <w:tblHeader/>
        </w:trPr>
        <w:tc>
          <w:tcPr>
            <w:tcW w:w="2699" w:type="dxa"/>
            <w:tcBorders>
              <w:top w:val="single" w:sz="4" w:space="0" w:color="17365D"/>
              <w:bottom w:val="single" w:sz="4" w:space="0" w:color="17365D"/>
            </w:tcBorders>
            <w:shd w:val="clear" w:color="auto" w:fill="auto"/>
            <w:vAlign w:val="center"/>
          </w:tcPr>
          <w:p w14:paraId="57E8BF2F"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1702" w:type="dxa"/>
            <w:tcBorders>
              <w:top w:val="single" w:sz="4" w:space="0" w:color="17365D"/>
              <w:bottom w:val="single" w:sz="4" w:space="0" w:color="17365D"/>
            </w:tcBorders>
            <w:shd w:val="clear" w:color="auto" w:fill="auto"/>
            <w:vAlign w:val="center"/>
          </w:tcPr>
          <w:p w14:paraId="16FB419F"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1702" w:type="dxa"/>
            <w:tcBorders>
              <w:top w:val="single" w:sz="4" w:space="0" w:color="17365D"/>
              <w:bottom w:val="single" w:sz="4" w:space="0" w:color="17365D"/>
            </w:tcBorders>
            <w:shd w:val="clear" w:color="auto" w:fill="auto"/>
            <w:vAlign w:val="center"/>
          </w:tcPr>
          <w:p w14:paraId="4011388B" w14:textId="77777777" w:rsidR="00CB0E2A" w:rsidRPr="00A27896" w:rsidRDefault="00CB0E2A" w:rsidP="00CB0E2A">
            <w:pPr>
              <w:spacing w:after="0" w:line="240" w:lineRule="auto"/>
              <w:ind w:right="142"/>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1562" w:type="dxa"/>
            <w:tcBorders>
              <w:top w:val="single" w:sz="4" w:space="0" w:color="17365D"/>
              <w:bottom w:val="single" w:sz="4" w:space="0" w:color="17365D"/>
            </w:tcBorders>
            <w:shd w:val="clear" w:color="auto" w:fill="auto"/>
            <w:tcMar>
              <w:top w:w="0" w:type="dxa"/>
              <w:left w:w="108" w:type="dxa"/>
              <w:bottom w:w="0" w:type="dxa"/>
              <w:right w:w="108" w:type="dxa"/>
            </w:tcMar>
            <w:vAlign w:val="center"/>
          </w:tcPr>
          <w:p w14:paraId="6FB306C8"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1703" w:type="dxa"/>
            <w:tcBorders>
              <w:top w:val="single" w:sz="4" w:space="0" w:color="17365D"/>
              <w:bottom w:val="single" w:sz="4" w:space="0" w:color="17365D"/>
            </w:tcBorders>
            <w:shd w:val="clear" w:color="auto" w:fill="auto"/>
            <w:tcMar>
              <w:top w:w="0" w:type="dxa"/>
              <w:left w:w="108" w:type="dxa"/>
              <w:bottom w:w="0" w:type="dxa"/>
              <w:right w:w="108" w:type="dxa"/>
            </w:tcMar>
            <w:vAlign w:val="center"/>
          </w:tcPr>
          <w:p w14:paraId="42182223"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0C1009" w:rsidRPr="00A27896" w14:paraId="18F547A6" w14:textId="77777777" w:rsidTr="00A27544">
        <w:tc>
          <w:tcPr>
            <w:tcW w:w="2699" w:type="dxa"/>
            <w:tcBorders>
              <w:top w:val="single" w:sz="4" w:space="0" w:color="17365D"/>
              <w:bottom w:val="single" w:sz="4" w:space="0" w:color="17365D"/>
            </w:tcBorders>
            <w:tcMar>
              <w:top w:w="0" w:type="dxa"/>
              <w:left w:w="108" w:type="dxa"/>
              <w:bottom w:w="0" w:type="dxa"/>
              <w:right w:w="108" w:type="dxa"/>
            </w:tcMar>
            <w:vAlign w:val="center"/>
          </w:tcPr>
          <w:p w14:paraId="40AFDF49" w14:textId="6849035C" w:rsidR="008E0C00" w:rsidRPr="00A27896" w:rsidRDefault="008E0C00" w:rsidP="00A27544">
            <w:pPr>
              <w:spacing w:after="0" w:line="240" w:lineRule="auto"/>
              <w:ind w:left="-57" w:right="-57"/>
              <w:rPr>
                <w:rFonts w:eastAsia="Times New Roman" w:cs="Times New Roman"/>
                <w:b/>
                <w:color w:val="17365D"/>
                <w:sz w:val="16"/>
                <w:szCs w:val="16"/>
                <w:lang w:eastAsia="lv-LV"/>
              </w:rPr>
            </w:pPr>
            <w:r w:rsidRPr="00A27896">
              <w:rPr>
                <w:rFonts w:eastAsia="Times New Roman" w:cs="Times New Roman"/>
                <w:b/>
                <w:color w:val="17365D"/>
                <w:sz w:val="16"/>
                <w:szCs w:val="16"/>
                <w:lang w:eastAsia="lv-LV"/>
              </w:rPr>
              <w:t>Atvasinātie finanšu instrumenti, kopā</w:t>
            </w:r>
          </w:p>
        </w:tc>
        <w:tc>
          <w:tcPr>
            <w:tcW w:w="1702" w:type="dxa"/>
            <w:tcBorders>
              <w:top w:val="single" w:sz="4" w:space="0" w:color="17365D"/>
              <w:bottom w:val="single" w:sz="4" w:space="0" w:color="17365D"/>
            </w:tcBorders>
            <w:tcMar>
              <w:right w:w="57" w:type="dxa"/>
            </w:tcMar>
            <w:vAlign w:val="center"/>
          </w:tcPr>
          <w:p w14:paraId="3615B7DB" w14:textId="19ADB5BC" w:rsidR="008E0C00" w:rsidRPr="00A27896" w:rsidRDefault="007F6EA6" w:rsidP="00934128">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1 226 971</w:t>
            </w:r>
          </w:p>
        </w:tc>
        <w:tc>
          <w:tcPr>
            <w:tcW w:w="1702" w:type="dxa"/>
            <w:tcBorders>
              <w:top w:val="single" w:sz="4" w:space="0" w:color="17365D"/>
              <w:bottom w:val="single" w:sz="4" w:space="0" w:color="17365D"/>
            </w:tcBorders>
            <w:tcMar>
              <w:right w:w="57" w:type="dxa"/>
            </w:tcMar>
            <w:vAlign w:val="center"/>
          </w:tcPr>
          <w:p w14:paraId="7A3B1935" w14:textId="3821AF4F" w:rsidR="008E0C00" w:rsidRPr="00A27896" w:rsidRDefault="00216951" w:rsidP="00934128">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0</w:t>
            </w:r>
          </w:p>
        </w:tc>
        <w:tc>
          <w:tcPr>
            <w:tcW w:w="1562" w:type="dxa"/>
            <w:tcBorders>
              <w:top w:val="single" w:sz="4" w:space="0" w:color="17365D"/>
              <w:bottom w:val="single" w:sz="4" w:space="0" w:color="17365D"/>
            </w:tcBorders>
            <w:noWrap/>
            <w:tcMar>
              <w:top w:w="0" w:type="dxa"/>
              <w:left w:w="0" w:type="dxa"/>
              <w:bottom w:w="0" w:type="dxa"/>
              <w:right w:w="85" w:type="dxa"/>
            </w:tcMar>
            <w:vAlign w:val="center"/>
          </w:tcPr>
          <w:p w14:paraId="4842FF7D" w14:textId="7F4F4482" w:rsidR="008E0C00" w:rsidRPr="00A27896" w:rsidRDefault="00216951" w:rsidP="00934128">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52 999</w:t>
            </w:r>
          </w:p>
        </w:tc>
        <w:tc>
          <w:tcPr>
            <w:tcW w:w="1703" w:type="dxa"/>
            <w:tcBorders>
              <w:top w:val="single" w:sz="4" w:space="0" w:color="17365D"/>
              <w:bottom w:val="single" w:sz="4" w:space="0" w:color="17365D"/>
            </w:tcBorders>
            <w:noWrap/>
            <w:tcMar>
              <w:top w:w="0" w:type="dxa"/>
              <w:left w:w="0" w:type="dxa"/>
              <w:bottom w:w="0" w:type="dxa"/>
              <w:right w:w="85" w:type="dxa"/>
            </w:tcMar>
            <w:vAlign w:val="center"/>
          </w:tcPr>
          <w:p w14:paraId="4D50345A" w14:textId="1F043520" w:rsidR="008E0C00" w:rsidRPr="00A27896" w:rsidRDefault="00216951" w:rsidP="00934128">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7 422 058</w:t>
            </w:r>
          </w:p>
        </w:tc>
      </w:tr>
      <w:tr w:rsidR="002E3918" w:rsidRPr="00A27896" w14:paraId="6B264C9A" w14:textId="77777777" w:rsidTr="0094595A">
        <w:tc>
          <w:tcPr>
            <w:tcW w:w="2699" w:type="dxa"/>
            <w:tcBorders>
              <w:top w:val="single" w:sz="4" w:space="0" w:color="17365D"/>
              <w:bottom w:val="single" w:sz="4" w:space="0" w:color="17365D"/>
            </w:tcBorders>
            <w:tcMar>
              <w:top w:w="0" w:type="dxa"/>
              <w:left w:w="108" w:type="dxa"/>
              <w:bottom w:w="0" w:type="dxa"/>
              <w:right w:w="108" w:type="dxa"/>
            </w:tcMar>
            <w:vAlign w:val="center"/>
          </w:tcPr>
          <w:p w14:paraId="18FC63F7" w14:textId="03C331B2" w:rsidR="002E3918" w:rsidRPr="00A27896" w:rsidRDefault="002E3918" w:rsidP="002E3918">
            <w:pPr>
              <w:spacing w:after="0" w:line="240" w:lineRule="auto"/>
              <w:ind w:left="-57" w:right="-57"/>
              <w:rPr>
                <w:rFonts w:eastAsia="Times New Roman" w:cs="Times New Roman"/>
                <w:b/>
                <w:color w:val="17365D"/>
                <w:sz w:val="16"/>
                <w:szCs w:val="16"/>
                <w:lang w:eastAsia="lv-LV"/>
              </w:rPr>
            </w:pPr>
            <w:r w:rsidRPr="00A27896">
              <w:rPr>
                <w:rFonts w:eastAsia="Times New Roman" w:cs="Times New Roman"/>
                <w:b/>
                <w:color w:val="17365D"/>
                <w:sz w:val="16"/>
                <w:szCs w:val="16"/>
                <w:lang w:eastAsia="lv-LV"/>
              </w:rPr>
              <w:t>Riska ierobežošanai noteiktie atvasinātie finanšu instrumenti, kopā</w:t>
            </w:r>
          </w:p>
        </w:tc>
        <w:tc>
          <w:tcPr>
            <w:tcW w:w="1702" w:type="dxa"/>
            <w:tcBorders>
              <w:top w:val="single" w:sz="4" w:space="0" w:color="17365D"/>
              <w:bottom w:val="single" w:sz="4" w:space="0" w:color="17365D"/>
            </w:tcBorders>
            <w:tcMar>
              <w:right w:w="57" w:type="dxa"/>
            </w:tcMar>
            <w:vAlign w:val="center"/>
          </w:tcPr>
          <w:p w14:paraId="2593C2D1" w14:textId="7F76D6E0" w:rsidR="002E3918" w:rsidRPr="00A27896" w:rsidRDefault="00216951" w:rsidP="002E3918">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1 226 971</w:t>
            </w:r>
          </w:p>
        </w:tc>
        <w:tc>
          <w:tcPr>
            <w:tcW w:w="1702" w:type="dxa"/>
            <w:tcBorders>
              <w:top w:val="single" w:sz="4" w:space="0" w:color="17365D"/>
              <w:bottom w:val="single" w:sz="4" w:space="0" w:color="17365D"/>
            </w:tcBorders>
            <w:tcMar>
              <w:right w:w="57" w:type="dxa"/>
            </w:tcMar>
            <w:vAlign w:val="center"/>
          </w:tcPr>
          <w:p w14:paraId="30A580DD" w14:textId="34A7A7FB" w:rsidR="002E3918" w:rsidRPr="00A27896" w:rsidRDefault="002E3918" w:rsidP="002E3918">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0</w:t>
            </w:r>
          </w:p>
        </w:tc>
        <w:tc>
          <w:tcPr>
            <w:tcW w:w="1562" w:type="dxa"/>
            <w:tcBorders>
              <w:top w:val="single" w:sz="4" w:space="0" w:color="17365D"/>
              <w:bottom w:val="single" w:sz="4" w:space="0" w:color="17365D"/>
            </w:tcBorders>
            <w:noWrap/>
            <w:tcMar>
              <w:top w:w="0" w:type="dxa"/>
              <w:left w:w="0" w:type="dxa"/>
              <w:bottom w:w="0" w:type="dxa"/>
              <w:right w:w="85" w:type="dxa"/>
            </w:tcMar>
            <w:vAlign w:val="center"/>
          </w:tcPr>
          <w:p w14:paraId="584D7191" w14:textId="188DEC47" w:rsidR="002E3918" w:rsidRPr="00A27896" w:rsidRDefault="002E3918" w:rsidP="002E3918">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52 999</w:t>
            </w:r>
          </w:p>
        </w:tc>
        <w:tc>
          <w:tcPr>
            <w:tcW w:w="1703" w:type="dxa"/>
            <w:tcBorders>
              <w:top w:val="single" w:sz="4" w:space="0" w:color="17365D"/>
              <w:bottom w:val="single" w:sz="4" w:space="0" w:color="17365D"/>
            </w:tcBorders>
            <w:noWrap/>
            <w:tcMar>
              <w:top w:w="0" w:type="dxa"/>
              <w:left w:w="0" w:type="dxa"/>
              <w:bottom w:w="0" w:type="dxa"/>
              <w:right w:w="85" w:type="dxa"/>
            </w:tcMar>
            <w:vAlign w:val="center"/>
          </w:tcPr>
          <w:p w14:paraId="2E0AB09D" w14:textId="6F6D4242" w:rsidR="002E3918" w:rsidRPr="00A27896" w:rsidRDefault="002E3918" w:rsidP="002E3918">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7 422 058</w:t>
            </w:r>
          </w:p>
        </w:tc>
      </w:tr>
      <w:tr w:rsidR="002E3918" w:rsidRPr="00A27896" w14:paraId="4B1DC048" w14:textId="77777777" w:rsidTr="0094595A">
        <w:trPr>
          <w:trHeight w:val="136"/>
        </w:trPr>
        <w:tc>
          <w:tcPr>
            <w:tcW w:w="2699" w:type="dxa"/>
            <w:tcBorders>
              <w:top w:val="single" w:sz="4" w:space="0" w:color="17365D"/>
              <w:bottom w:val="single" w:sz="4" w:space="0" w:color="17365D"/>
            </w:tcBorders>
            <w:tcMar>
              <w:top w:w="0" w:type="dxa"/>
              <w:left w:w="108" w:type="dxa"/>
              <w:bottom w:w="0" w:type="dxa"/>
              <w:right w:w="108" w:type="dxa"/>
            </w:tcMar>
            <w:vAlign w:val="center"/>
          </w:tcPr>
          <w:p w14:paraId="25B0D781" w14:textId="6AEB05D4" w:rsidR="002E3918" w:rsidRPr="00A27896" w:rsidRDefault="002E3918" w:rsidP="002E3918">
            <w:pPr>
              <w:spacing w:after="0" w:line="240" w:lineRule="auto"/>
              <w:ind w:left="-57"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Valūtas nākotnes līgumi (FORWARD)</w:t>
            </w:r>
          </w:p>
        </w:tc>
        <w:tc>
          <w:tcPr>
            <w:tcW w:w="1702" w:type="dxa"/>
            <w:tcBorders>
              <w:top w:val="single" w:sz="4" w:space="0" w:color="17365D"/>
              <w:bottom w:val="single" w:sz="4" w:space="0" w:color="17365D"/>
            </w:tcBorders>
            <w:tcMar>
              <w:right w:w="57" w:type="dxa"/>
            </w:tcMar>
            <w:vAlign w:val="center"/>
          </w:tcPr>
          <w:p w14:paraId="0C482750" w14:textId="2EC0A504" w:rsidR="002E3918" w:rsidRPr="00A27896" w:rsidRDefault="002E3918"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702" w:type="dxa"/>
            <w:tcBorders>
              <w:top w:val="single" w:sz="4" w:space="0" w:color="17365D"/>
              <w:bottom w:val="single" w:sz="4" w:space="0" w:color="17365D"/>
            </w:tcBorders>
            <w:tcMar>
              <w:right w:w="57" w:type="dxa"/>
            </w:tcMar>
            <w:vAlign w:val="center"/>
          </w:tcPr>
          <w:p w14:paraId="4718EB6C" w14:textId="481D3944" w:rsidR="002E3918" w:rsidRPr="00A27896" w:rsidRDefault="002E3918"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562" w:type="dxa"/>
            <w:tcBorders>
              <w:top w:val="single" w:sz="4" w:space="0" w:color="17365D"/>
              <w:bottom w:val="single" w:sz="4" w:space="0" w:color="17365D"/>
            </w:tcBorders>
            <w:noWrap/>
            <w:tcMar>
              <w:top w:w="0" w:type="dxa"/>
              <w:left w:w="0" w:type="dxa"/>
              <w:bottom w:w="0" w:type="dxa"/>
              <w:right w:w="85" w:type="dxa"/>
            </w:tcMar>
            <w:vAlign w:val="center"/>
          </w:tcPr>
          <w:p w14:paraId="220C7364" w14:textId="7AC75500" w:rsidR="002E3918" w:rsidRPr="00A27896" w:rsidRDefault="002E3918"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52 999</w:t>
            </w:r>
          </w:p>
        </w:tc>
        <w:tc>
          <w:tcPr>
            <w:tcW w:w="1703" w:type="dxa"/>
            <w:tcBorders>
              <w:top w:val="single" w:sz="4" w:space="0" w:color="17365D"/>
              <w:bottom w:val="single" w:sz="4" w:space="0" w:color="17365D"/>
            </w:tcBorders>
            <w:noWrap/>
            <w:tcMar>
              <w:top w:w="0" w:type="dxa"/>
              <w:left w:w="0" w:type="dxa"/>
              <w:bottom w:w="0" w:type="dxa"/>
              <w:right w:w="85" w:type="dxa"/>
            </w:tcMar>
            <w:vAlign w:val="center"/>
          </w:tcPr>
          <w:p w14:paraId="52B37F0C" w14:textId="4C14C8ED" w:rsidR="002E3918" w:rsidRPr="00A27896" w:rsidRDefault="002E3918"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2E3918" w:rsidRPr="00A27896" w14:paraId="6AC2C66D" w14:textId="77777777" w:rsidTr="0094595A">
        <w:tc>
          <w:tcPr>
            <w:tcW w:w="2699" w:type="dxa"/>
            <w:tcBorders>
              <w:top w:val="single" w:sz="4" w:space="0" w:color="17365D"/>
              <w:bottom w:val="single" w:sz="4" w:space="0" w:color="17365D"/>
            </w:tcBorders>
            <w:tcMar>
              <w:top w:w="0" w:type="dxa"/>
              <w:left w:w="108" w:type="dxa"/>
              <w:bottom w:w="0" w:type="dxa"/>
              <w:right w:w="108" w:type="dxa"/>
            </w:tcMar>
            <w:vAlign w:val="center"/>
          </w:tcPr>
          <w:p w14:paraId="46B3B110" w14:textId="12499725" w:rsidR="002E3918" w:rsidRPr="00A27896" w:rsidRDefault="00D50D19" w:rsidP="002E3918">
            <w:pPr>
              <w:spacing w:after="0" w:line="240" w:lineRule="auto"/>
              <w:ind w:left="-57"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 xml:space="preserve"> </w:t>
            </w:r>
            <w:r w:rsidR="002E3918" w:rsidRPr="00A27896">
              <w:rPr>
                <w:rFonts w:eastAsia="Times New Roman" w:cs="Times New Roman"/>
                <w:color w:val="17365D"/>
                <w:sz w:val="16"/>
                <w:szCs w:val="16"/>
                <w:lang w:eastAsia="lv-LV"/>
              </w:rPr>
              <w:t xml:space="preserve"> t.sk. īstermiņa daļa</w:t>
            </w:r>
          </w:p>
        </w:tc>
        <w:tc>
          <w:tcPr>
            <w:tcW w:w="1702" w:type="dxa"/>
            <w:tcBorders>
              <w:top w:val="single" w:sz="4" w:space="0" w:color="17365D"/>
              <w:bottom w:val="single" w:sz="4" w:space="0" w:color="17365D"/>
            </w:tcBorders>
            <w:tcMar>
              <w:right w:w="57" w:type="dxa"/>
            </w:tcMar>
            <w:vAlign w:val="center"/>
          </w:tcPr>
          <w:p w14:paraId="769C8C93" w14:textId="13B91AE5" w:rsidR="002E3918" w:rsidRPr="00A27896" w:rsidRDefault="002E3918"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702" w:type="dxa"/>
            <w:tcBorders>
              <w:top w:val="single" w:sz="4" w:space="0" w:color="17365D"/>
              <w:bottom w:val="single" w:sz="4" w:space="0" w:color="17365D"/>
            </w:tcBorders>
            <w:tcMar>
              <w:right w:w="57" w:type="dxa"/>
            </w:tcMar>
            <w:vAlign w:val="center"/>
          </w:tcPr>
          <w:p w14:paraId="6EC9D477" w14:textId="61081A0A" w:rsidR="002E3918" w:rsidRPr="00A27896" w:rsidRDefault="002E3918"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562" w:type="dxa"/>
            <w:tcBorders>
              <w:top w:val="single" w:sz="4" w:space="0" w:color="17365D"/>
              <w:bottom w:val="single" w:sz="4" w:space="0" w:color="17365D"/>
            </w:tcBorders>
            <w:noWrap/>
            <w:tcMar>
              <w:top w:w="0" w:type="dxa"/>
              <w:left w:w="0" w:type="dxa"/>
              <w:bottom w:w="0" w:type="dxa"/>
              <w:right w:w="85" w:type="dxa"/>
            </w:tcMar>
            <w:vAlign w:val="center"/>
          </w:tcPr>
          <w:p w14:paraId="4FE8DD2E" w14:textId="0A0420C3" w:rsidR="002E3918" w:rsidRPr="00A27896" w:rsidRDefault="002E3918"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52 999</w:t>
            </w:r>
          </w:p>
        </w:tc>
        <w:tc>
          <w:tcPr>
            <w:tcW w:w="1703" w:type="dxa"/>
            <w:tcBorders>
              <w:top w:val="single" w:sz="4" w:space="0" w:color="17365D"/>
              <w:bottom w:val="single" w:sz="4" w:space="0" w:color="17365D"/>
            </w:tcBorders>
            <w:noWrap/>
            <w:tcMar>
              <w:top w:w="0" w:type="dxa"/>
              <w:left w:w="0" w:type="dxa"/>
              <w:bottom w:w="0" w:type="dxa"/>
              <w:right w:w="85" w:type="dxa"/>
            </w:tcMar>
            <w:vAlign w:val="center"/>
          </w:tcPr>
          <w:p w14:paraId="337A029B" w14:textId="28562FFE" w:rsidR="002E3918" w:rsidRPr="00A27896" w:rsidRDefault="002E3918"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2E3918" w:rsidRPr="00A27896" w14:paraId="39EB3820" w14:textId="77777777" w:rsidTr="0094595A">
        <w:tc>
          <w:tcPr>
            <w:tcW w:w="2699" w:type="dxa"/>
            <w:tcBorders>
              <w:top w:val="single" w:sz="4" w:space="0" w:color="17365D"/>
              <w:bottom w:val="single" w:sz="4" w:space="0" w:color="17365D"/>
            </w:tcBorders>
            <w:tcMar>
              <w:top w:w="0" w:type="dxa"/>
              <w:left w:w="108" w:type="dxa"/>
              <w:bottom w:w="0" w:type="dxa"/>
              <w:right w:w="108" w:type="dxa"/>
            </w:tcMar>
            <w:vAlign w:val="center"/>
          </w:tcPr>
          <w:p w14:paraId="14AF09BE" w14:textId="77A69396" w:rsidR="002E3918" w:rsidRPr="00A27896" w:rsidRDefault="002E3918" w:rsidP="002E3918">
            <w:pPr>
              <w:spacing w:after="0" w:line="240" w:lineRule="auto"/>
              <w:ind w:left="-57"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 xml:space="preserve">Procentu mijmaiņas līgumi (IRS) </w:t>
            </w:r>
          </w:p>
        </w:tc>
        <w:tc>
          <w:tcPr>
            <w:tcW w:w="1702" w:type="dxa"/>
            <w:tcBorders>
              <w:top w:val="single" w:sz="4" w:space="0" w:color="17365D"/>
              <w:bottom w:val="single" w:sz="4" w:space="0" w:color="17365D"/>
            </w:tcBorders>
            <w:tcMar>
              <w:right w:w="57" w:type="dxa"/>
            </w:tcMar>
            <w:vAlign w:val="center"/>
          </w:tcPr>
          <w:p w14:paraId="1A15838F" w14:textId="0D1E4FCE" w:rsidR="002E3918" w:rsidRPr="00A27896" w:rsidRDefault="00216951"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1 226 971</w:t>
            </w:r>
          </w:p>
        </w:tc>
        <w:tc>
          <w:tcPr>
            <w:tcW w:w="1702" w:type="dxa"/>
            <w:tcBorders>
              <w:top w:val="single" w:sz="4" w:space="0" w:color="17365D"/>
              <w:bottom w:val="single" w:sz="4" w:space="0" w:color="17365D"/>
            </w:tcBorders>
            <w:tcMar>
              <w:right w:w="57" w:type="dxa"/>
            </w:tcMar>
            <w:vAlign w:val="center"/>
          </w:tcPr>
          <w:p w14:paraId="4664CE01" w14:textId="19711CC6" w:rsidR="002E3918" w:rsidRPr="00A27896" w:rsidRDefault="002E3918"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562" w:type="dxa"/>
            <w:tcBorders>
              <w:top w:val="single" w:sz="4" w:space="0" w:color="17365D"/>
              <w:bottom w:val="single" w:sz="4" w:space="0" w:color="17365D"/>
            </w:tcBorders>
            <w:noWrap/>
            <w:tcMar>
              <w:top w:w="0" w:type="dxa"/>
              <w:left w:w="0" w:type="dxa"/>
              <w:bottom w:w="0" w:type="dxa"/>
              <w:right w:w="85" w:type="dxa"/>
            </w:tcMar>
            <w:vAlign w:val="center"/>
          </w:tcPr>
          <w:p w14:paraId="243FDA07" w14:textId="49D3B3C7" w:rsidR="002E3918" w:rsidRPr="00A27896" w:rsidRDefault="002E3918"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703" w:type="dxa"/>
            <w:tcBorders>
              <w:top w:val="single" w:sz="4" w:space="0" w:color="17365D"/>
              <w:bottom w:val="single" w:sz="4" w:space="0" w:color="17365D"/>
            </w:tcBorders>
            <w:noWrap/>
            <w:tcMar>
              <w:top w:w="0" w:type="dxa"/>
              <w:left w:w="0" w:type="dxa"/>
              <w:bottom w:w="0" w:type="dxa"/>
              <w:right w:w="85" w:type="dxa"/>
            </w:tcMar>
            <w:vAlign w:val="center"/>
          </w:tcPr>
          <w:p w14:paraId="409BF3F8" w14:textId="07E92C47" w:rsidR="002E3918" w:rsidRPr="00A27896" w:rsidRDefault="002E3918"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7 422 058</w:t>
            </w:r>
          </w:p>
        </w:tc>
      </w:tr>
      <w:tr w:rsidR="002E3918" w:rsidRPr="00A27896" w14:paraId="23C88CB6" w14:textId="77777777" w:rsidTr="0094595A">
        <w:tc>
          <w:tcPr>
            <w:tcW w:w="2699" w:type="dxa"/>
            <w:tcBorders>
              <w:top w:val="single" w:sz="4" w:space="0" w:color="17365D"/>
              <w:bottom w:val="single" w:sz="4" w:space="0" w:color="17365D"/>
            </w:tcBorders>
            <w:tcMar>
              <w:top w:w="0" w:type="dxa"/>
              <w:left w:w="108" w:type="dxa"/>
              <w:bottom w:w="0" w:type="dxa"/>
              <w:right w:w="108" w:type="dxa"/>
            </w:tcMar>
            <w:vAlign w:val="center"/>
          </w:tcPr>
          <w:p w14:paraId="0FD504F6" w14:textId="0312B256" w:rsidR="002E3918" w:rsidRPr="00A27896" w:rsidRDefault="00D50D19" w:rsidP="002E3918">
            <w:pPr>
              <w:spacing w:after="0" w:line="240" w:lineRule="auto"/>
              <w:ind w:left="-57"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 xml:space="preserve"> </w:t>
            </w:r>
            <w:r w:rsidR="002E3918" w:rsidRPr="00A27896">
              <w:rPr>
                <w:rFonts w:eastAsia="Times New Roman" w:cs="Times New Roman"/>
                <w:color w:val="17365D"/>
                <w:sz w:val="16"/>
                <w:szCs w:val="16"/>
                <w:lang w:eastAsia="lv-LV"/>
              </w:rPr>
              <w:t xml:space="preserve"> t.sk. ilgtermiņa daļa</w:t>
            </w:r>
          </w:p>
        </w:tc>
        <w:tc>
          <w:tcPr>
            <w:tcW w:w="1702" w:type="dxa"/>
            <w:tcBorders>
              <w:top w:val="single" w:sz="4" w:space="0" w:color="17365D"/>
              <w:bottom w:val="single" w:sz="4" w:space="0" w:color="17365D"/>
            </w:tcBorders>
            <w:tcMar>
              <w:right w:w="57" w:type="dxa"/>
            </w:tcMar>
            <w:vAlign w:val="center"/>
          </w:tcPr>
          <w:p w14:paraId="7A2C02F7" w14:textId="0E8DD7E5" w:rsidR="002E3918" w:rsidRPr="00A27896" w:rsidRDefault="00C25E2C"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702" w:type="dxa"/>
            <w:tcBorders>
              <w:top w:val="single" w:sz="4" w:space="0" w:color="17365D"/>
              <w:bottom w:val="single" w:sz="4" w:space="0" w:color="17365D"/>
            </w:tcBorders>
            <w:tcMar>
              <w:right w:w="57" w:type="dxa"/>
            </w:tcMar>
            <w:vAlign w:val="center"/>
          </w:tcPr>
          <w:p w14:paraId="057AC761" w14:textId="43B1A22B" w:rsidR="002E3918" w:rsidRPr="00A27896" w:rsidRDefault="002E3918"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562" w:type="dxa"/>
            <w:tcBorders>
              <w:top w:val="single" w:sz="4" w:space="0" w:color="17365D"/>
              <w:bottom w:val="single" w:sz="4" w:space="0" w:color="17365D"/>
            </w:tcBorders>
            <w:noWrap/>
            <w:tcMar>
              <w:top w:w="0" w:type="dxa"/>
              <w:left w:w="0" w:type="dxa"/>
              <w:bottom w:w="0" w:type="dxa"/>
              <w:right w:w="85" w:type="dxa"/>
            </w:tcMar>
            <w:vAlign w:val="center"/>
          </w:tcPr>
          <w:p w14:paraId="523F7B46" w14:textId="3C491FC3" w:rsidR="002E3918" w:rsidRPr="00A27896" w:rsidRDefault="002E3918"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703" w:type="dxa"/>
            <w:tcBorders>
              <w:top w:val="single" w:sz="4" w:space="0" w:color="17365D"/>
              <w:bottom w:val="single" w:sz="4" w:space="0" w:color="17365D"/>
            </w:tcBorders>
            <w:noWrap/>
            <w:tcMar>
              <w:top w:w="0" w:type="dxa"/>
              <w:left w:w="0" w:type="dxa"/>
              <w:bottom w:w="0" w:type="dxa"/>
              <w:right w:w="85" w:type="dxa"/>
            </w:tcMar>
            <w:vAlign w:val="center"/>
          </w:tcPr>
          <w:p w14:paraId="68691E9E" w14:textId="5B2D3C12" w:rsidR="002E3918" w:rsidRPr="00A27896" w:rsidRDefault="002E3918"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3 379 326</w:t>
            </w:r>
          </w:p>
        </w:tc>
      </w:tr>
      <w:tr w:rsidR="002E3918" w:rsidRPr="00A27896" w14:paraId="4DE663F2" w14:textId="77777777" w:rsidTr="0094595A">
        <w:tc>
          <w:tcPr>
            <w:tcW w:w="2699" w:type="dxa"/>
            <w:tcBorders>
              <w:top w:val="single" w:sz="4" w:space="0" w:color="17365D"/>
              <w:bottom w:val="single" w:sz="4" w:space="0" w:color="17365D"/>
            </w:tcBorders>
            <w:tcMar>
              <w:top w:w="0" w:type="dxa"/>
              <w:left w:w="108" w:type="dxa"/>
              <w:bottom w:w="0" w:type="dxa"/>
              <w:right w:w="108" w:type="dxa"/>
            </w:tcMar>
            <w:vAlign w:val="center"/>
          </w:tcPr>
          <w:p w14:paraId="5FCAD883" w14:textId="42F839BA" w:rsidR="002E3918" w:rsidRPr="00A27896" w:rsidRDefault="00D50D19" w:rsidP="002E3918">
            <w:pPr>
              <w:spacing w:after="0" w:line="240" w:lineRule="auto"/>
              <w:ind w:left="-57"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 xml:space="preserve"> </w:t>
            </w:r>
            <w:r w:rsidR="002E3918" w:rsidRPr="00A27896">
              <w:rPr>
                <w:rFonts w:eastAsia="Times New Roman" w:cs="Times New Roman"/>
                <w:color w:val="17365D"/>
                <w:sz w:val="16"/>
                <w:szCs w:val="16"/>
                <w:lang w:eastAsia="lv-LV"/>
              </w:rPr>
              <w:t xml:space="preserve"> t.sk. īstermiņa daļa</w:t>
            </w:r>
          </w:p>
        </w:tc>
        <w:tc>
          <w:tcPr>
            <w:tcW w:w="1702" w:type="dxa"/>
            <w:tcBorders>
              <w:top w:val="single" w:sz="4" w:space="0" w:color="17365D"/>
              <w:bottom w:val="single" w:sz="4" w:space="0" w:color="17365D"/>
            </w:tcBorders>
            <w:tcMar>
              <w:right w:w="57" w:type="dxa"/>
            </w:tcMar>
            <w:vAlign w:val="center"/>
          </w:tcPr>
          <w:p w14:paraId="03E114DA" w14:textId="3D27803A" w:rsidR="002E3918" w:rsidRPr="00A27896" w:rsidRDefault="00C25E2C"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1 226 971</w:t>
            </w:r>
          </w:p>
        </w:tc>
        <w:tc>
          <w:tcPr>
            <w:tcW w:w="1702" w:type="dxa"/>
            <w:tcBorders>
              <w:top w:val="single" w:sz="4" w:space="0" w:color="17365D"/>
              <w:bottom w:val="single" w:sz="4" w:space="0" w:color="17365D"/>
            </w:tcBorders>
            <w:tcMar>
              <w:right w:w="57" w:type="dxa"/>
            </w:tcMar>
            <w:vAlign w:val="center"/>
          </w:tcPr>
          <w:p w14:paraId="6CE99AF3" w14:textId="214DB8C9" w:rsidR="002E3918" w:rsidRPr="00A27896" w:rsidRDefault="002E3918"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562" w:type="dxa"/>
            <w:tcBorders>
              <w:top w:val="single" w:sz="4" w:space="0" w:color="17365D"/>
              <w:bottom w:val="single" w:sz="4" w:space="0" w:color="17365D"/>
            </w:tcBorders>
            <w:noWrap/>
            <w:tcMar>
              <w:top w:w="0" w:type="dxa"/>
              <w:left w:w="0" w:type="dxa"/>
              <w:bottom w:w="0" w:type="dxa"/>
              <w:right w:w="85" w:type="dxa"/>
            </w:tcMar>
            <w:vAlign w:val="center"/>
          </w:tcPr>
          <w:p w14:paraId="58EA5F7A" w14:textId="1F4EC2BF" w:rsidR="002E3918" w:rsidRPr="00A27896" w:rsidRDefault="002E3918"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703" w:type="dxa"/>
            <w:tcBorders>
              <w:top w:val="single" w:sz="4" w:space="0" w:color="17365D"/>
              <w:bottom w:val="single" w:sz="4" w:space="0" w:color="17365D"/>
            </w:tcBorders>
            <w:noWrap/>
            <w:tcMar>
              <w:top w:w="0" w:type="dxa"/>
              <w:left w:w="0" w:type="dxa"/>
              <w:bottom w:w="0" w:type="dxa"/>
              <w:right w:w="85" w:type="dxa"/>
            </w:tcMar>
            <w:vAlign w:val="center"/>
          </w:tcPr>
          <w:p w14:paraId="325DA742" w14:textId="71667094" w:rsidR="002E3918" w:rsidRPr="00A27896" w:rsidRDefault="002E3918" w:rsidP="002E391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4 042 732</w:t>
            </w:r>
          </w:p>
        </w:tc>
      </w:tr>
      <w:tr w:rsidR="000C1009" w:rsidRPr="00A27896" w14:paraId="5E6E074B" w14:textId="77777777" w:rsidTr="00B77FD9">
        <w:tc>
          <w:tcPr>
            <w:tcW w:w="2699" w:type="dxa"/>
            <w:tcBorders>
              <w:top w:val="single" w:sz="4" w:space="0" w:color="17365D"/>
              <w:bottom w:val="nil"/>
            </w:tcBorders>
            <w:shd w:val="clear" w:color="auto" w:fill="B8CCE4" w:themeFill="accent1" w:themeFillTint="66"/>
            <w:tcMar>
              <w:top w:w="0" w:type="dxa"/>
              <w:left w:w="108" w:type="dxa"/>
              <w:bottom w:w="0" w:type="dxa"/>
              <w:right w:w="108" w:type="dxa"/>
            </w:tcMar>
            <w:vAlign w:val="bottom"/>
          </w:tcPr>
          <w:p w14:paraId="72BCC7C7" w14:textId="77777777" w:rsidR="00B77FD9" w:rsidRPr="00A27896" w:rsidRDefault="00B77FD9" w:rsidP="003B239A">
            <w:pPr>
              <w:spacing w:after="0" w:line="240" w:lineRule="auto"/>
              <w:ind w:left="-57" w:right="-57"/>
              <w:rPr>
                <w:rFonts w:eastAsia="Times New Roman" w:cs="Times New Roman"/>
                <w:color w:val="17365D"/>
                <w:sz w:val="16"/>
                <w:szCs w:val="16"/>
                <w:lang w:eastAsia="lv-LV"/>
              </w:rPr>
            </w:pPr>
          </w:p>
        </w:tc>
        <w:tc>
          <w:tcPr>
            <w:tcW w:w="1702" w:type="dxa"/>
            <w:tcBorders>
              <w:top w:val="single" w:sz="4" w:space="0" w:color="17365D"/>
              <w:bottom w:val="nil"/>
            </w:tcBorders>
            <w:shd w:val="clear" w:color="auto" w:fill="B8CCE4" w:themeFill="accent1" w:themeFillTint="66"/>
            <w:tcMar>
              <w:right w:w="57" w:type="dxa"/>
            </w:tcMar>
            <w:vAlign w:val="bottom"/>
          </w:tcPr>
          <w:p w14:paraId="4F4922AB" w14:textId="77777777" w:rsidR="00B77FD9" w:rsidRPr="00A27896" w:rsidRDefault="00B77FD9" w:rsidP="00934128">
            <w:pPr>
              <w:spacing w:after="0" w:line="240" w:lineRule="auto"/>
              <w:jc w:val="right"/>
              <w:rPr>
                <w:rFonts w:eastAsia="Times New Roman" w:cs="Times New Roman"/>
                <w:color w:val="17365D"/>
                <w:sz w:val="18"/>
                <w:szCs w:val="18"/>
                <w:lang w:eastAsia="lv-LV"/>
              </w:rPr>
            </w:pPr>
          </w:p>
        </w:tc>
        <w:tc>
          <w:tcPr>
            <w:tcW w:w="1702" w:type="dxa"/>
            <w:tcBorders>
              <w:top w:val="single" w:sz="4" w:space="0" w:color="17365D"/>
              <w:bottom w:val="nil"/>
            </w:tcBorders>
            <w:shd w:val="clear" w:color="auto" w:fill="B8CCE4" w:themeFill="accent1" w:themeFillTint="66"/>
            <w:tcMar>
              <w:right w:w="57" w:type="dxa"/>
            </w:tcMar>
            <w:vAlign w:val="bottom"/>
          </w:tcPr>
          <w:p w14:paraId="43C3D0F7" w14:textId="77777777" w:rsidR="00B77FD9" w:rsidRPr="00A27896" w:rsidRDefault="00B77FD9" w:rsidP="00934128">
            <w:pPr>
              <w:spacing w:after="0" w:line="240" w:lineRule="auto"/>
              <w:jc w:val="right"/>
              <w:rPr>
                <w:rFonts w:eastAsia="Times New Roman" w:cs="Times New Roman"/>
                <w:color w:val="17365D"/>
                <w:sz w:val="18"/>
                <w:szCs w:val="18"/>
                <w:lang w:eastAsia="lv-LV"/>
              </w:rPr>
            </w:pPr>
          </w:p>
        </w:tc>
        <w:tc>
          <w:tcPr>
            <w:tcW w:w="1562" w:type="dxa"/>
            <w:tcBorders>
              <w:top w:val="single" w:sz="4" w:space="0" w:color="17365D"/>
              <w:bottom w:val="nil"/>
            </w:tcBorders>
            <w:shd w:val="clear" w:color="auto" w:fill="B8CCE4" w:themeFill="accent1" w:themeFillTint="66"/>
            <w:noWrap/>
            <w:tcMar>
              <w:top w:w="0" w:type="dxa"/>
              <w:left w:w="0" w:type="dxa"/>
              <w:bottom w:w="0" w:type="dxa"/>
              <w:right w:w="85" w:type="dxa"/>
            </w:tcMar>
            <w:vAlign w:val="bottom"/>
          </w:tcPr>
          <w:p w14:paraId="4A345B36" w14:textId="77777777" w:rsidR="00B77FD9" w:rsidRPr="00A27896" w:rsidRDefault="00B77FD9" w:rsidP="00934128">
            <w:pPr>
              <w:spacing w:after="0" w:line="240" w:lineRule="auto"/>
              <w:jc w:val="right"/>
              <w:rPr>
                <w:rFonts w:eastAsia="Times New Roman" w:cs="Times New Roman"/>
                <w:color w:val="17365D"/>
                <w:sz w:val="18"/>
                <w:szCs w:val="18"/>
                <w:lang w:eastAsia="lv-LV"/>
              </w:rPr>
            </w:pPr>
          </w:p>
        </w:tc>
        <w:tc>
          <w:tcPr>
            <w:tcW w:w="1703" w:type="dxa"/>
            <w:tcBorders>
              <w:top w:val="single" w:sz="4" w:space="0" w:color="17365D"/>
              <w:bottom w:val="nil"/>
            </w:tcBorders>
            <w:shd w:val="clear" w:color="auto" w:fill="B8CCE4" w:themeFill="accent1" w:themeFillTint="66"/>
            <w:noWrap/>
            <w:tcMar>
              <w:top w:w="0" w:type="dxa"/>
              <w:left w:w="0" w:type="dxa"/>
              <w:bottom w:w="0" w:type="dxa"/>
              <w:right w:w="85" w:type="dxa"/>
            </w:tcMar>
            <w:vAlign w:val="bottom"/>
          </w:tcPr>
          <w:p w14:paraId="559C0B65" w14:textId="77777777" w:rsidR="00B77FD9" w:rsidRPr="00A27896" w:rsidRDefault="00B77FD9" w:rsidP="00934128">
            <w:pPr>
              <w:spacing w:after="0" w:line="240" w:lineRule="auto"/>
              <w:jc w:val="right"/>
              <w:rPr>
                <w:rFonts w:eastAsia="Times New Roman" w:cs="Times New Roman"/>
                <w:color w:val="17365D"/>
                <w:sz w:val="18"/>
                <w:szCs w:val="18"/>
                <w:lang w:eastAsia="lv-LV"/>
              </w:rPr>
            </w:pPr>
          </w:p>
        </w:tc>
      </w:tr>
    </w:tbl>
    <w:p w14:paraId="4277D300" w14:textId="77777777" w:rsidR="00CF1EA9" w:rsidRPr="00A27896" w:rsidRDefault="00CF1EA9" w:rsidP="00CF1EA9">
      <w:pPr>
        <w:pStyle w:val="Heading4"/>
        <w:rPr>
          <w:rFonts w:cs="Times New Roman"/>
        </w:rPr>
      </w:pPr>
      <w:r w:rsidRPr="00A27896">
        <w:rPr>
          <w:rFonts w:cs="Times New Roman"/>
        </w:rPr>
        <w:t>Piezīme Nr. V10. Nekoriģējošie notikumi pēc bilances datuma</w:t>
      </w:r>
    </w:p>
    <w:p w14:paraId="09E67D3F" w14:textId="77777777" w:rsidR="00CF1EA9" w:rsidRPr="00A27896" w:rsidRDefault="00CF1EA9" w:rsidP="00CF1EA9">
      <w:pPr>
        <w:spacing w:after="120" w:line="240" w:lineRule="auto"/>
        <w:ind w:firstLine="284"/>
        <w:jc w:val="both"/>
        <w:rPr>
          <w:rFonts w:cs="Times New Roman"/>
          <w:color w:val="17365D"/>
          <w:szCs w:val="24"/>
        </w:rPr>
      </w:pPr>
      <w:r w:rsidRPr="00A27896">
        <w:rPr>
          <w:rFonts w:cs="Times New Roman"/>
          <w:color w:val="17365D"/>
          <w:szCs w:val="24"/>
        </w:rPr>
        <w:t>Ministru kabineta gada pārskatā ir sniegta informācija par starptautisko tiesvedības procesu virzības gaitu, vienlaicīgi finansiālā ietekme nākamajos pārskata gados nav aplēsta.</w:t>
      </w:r>
    </w:p>
    <w:p w14:paraId="52EB48C6" w14:textId="11FE7080" w:rsidR="00CF1EA9" w:rsidRPr="00A27896" w:rsidRDefault="00F67328" w:rsidP="00CA17B2">
      <w:pPr>
        <w:pStyle w:val="Pamatteksts"/>
        <w:ind w:firstLine="284"/>
        <w:rPr>
          <w:noProof w:val="0"/>
          <w:color w:val="17365D"/>
        </w:rPr>
      </w:pPr>
      <w:r w:rsidRPr="00A27896">
        <w:rPr>
          <w:noProof w:val="0"/>
          <w:color w:val="17365D"/>
        </w:rPr>
        <w:t>Lai nodrošinātu valsts pārvaldes institucionālās sistēmas pilnveidošanu un darbības efektivitāti ar 2022.</w:t>
      </w:r>
      <w:r w:rsidR="0057470D" w:rsidRPr="00A27896">
        <w:rPr>
          <w:noProof w:val="0"/>
          <w:color w:val="17365D"/>
        </w:rPr>
        <w:t xml:space="preserve"> </w:t>
      </w:r>
      <w:r w:rsidRPr="00A27896">
        <w:rPr>
          <w:noProof w:val="0"/>
          <w:color w:val="17365D"/>
        </w:rPr>
        <w:t>gada 15.</w:t>
      </w:r>
      <w:r w:rsidR="0057470D" w:rsidRPr="00A27896">
        <w:rPr>
          <w:noProof w:val="0"/>
          <w:color w:val="17365D"/>
        </w:rPr>
        <w:t xml:space="preserve"> </w:t>
      </w:r>
      <w:r w:rsidRPr="00A27896">
        <w:rPr>
          <w:noProof w:val="0"/>
          <w:color w:val="17365D"/>
        </w:rPr>
        <w:t xml:space="preserve">novembra Ministru kabineta rīkojumu Nr. 808 “Par </w:t>
      </w:r>
      <w:proofErr w:type="spellStart"/>
      <w:r w:rsidRPr="00A27896">
        <w:rPr>
          <w:noProof w:val="0"/>
          <w:color w:val="17365D"/>
        </w:rPr>
        <w:t>Pārresoru</w:t>
      </w:r>
      <w:proofErr w:type="spellEnd"/>
      <w:r w:rsidRPr="00A27896">
        <w:rPr>
          <w:noProof w:val="0"/>
          <w:color w:val="17365D"/>
        </w:rPr>
        <w:t xml:space="preserve"> koordinācijas centra likvidāciju” pieņemts lēmums ar 2023. gada 1. martu likvidēt Ministru prezidenta pakļautībā esošo </w:t>
      </w:r>
      <w:proofErr w:type="spellStart"/>
      <w:r w:rsidRPr="00A27896">
        <w:rPr>
          <w:noProof w:val="0"/>
          <w:color w:val="17365D"/>
        </w:rPr>
        <w:t>Pārresoru</w:t>
      </w:r>
      <w:proofErr w:type="spellEnd"/>
      <w:r w:rsidRPr="00A27896">
        <w:rPr>
          <w:noProof w:val="0"/>
          <w:color w:val="17365D"/>
        </w:rPr>
        <w:t xml:space="preserve"> koordinācijas centru (PKC), pievienojot to Valsts kancelejai. Valsts kanceleja būs PKC funkciju, pārvaldes uzdevumu, tiesību, saistību, prasību, informācijas sistēmu, mantas, finanšu līdzekļu, lietvedības un arhīva pārņēmēja.</w:t>
      </w:r>
    </w:p>
    <w:p w14:paraId="6F11F5B5" w14:textId="5F121A8D" w:rsidR="00CA17B2" w:rsidRDefault="00CA17B2" w:rsidP="00CA17B2">
      <w:pPr>
        <w:pStyle w:val="Pamatteksts"/>
        <w:ind w:firstLine="284"/>
        <w:rPr>
          <w:noProof w:val="0"/>
          <w:color w:val="17365D"/>
        </w:rPr>
      </w:pPr>
      <w:r w:rsidRPr="00A27896">
        <w:rPr>
          <w:noProof w:val="0"/>
          <w:color w:val="17365D"/>
        </w:rPr>
        <w:t xml:space="preserve">Pamatojoties uz Ministru kabineta 2022. gada 23. decembra rīkojumu Nr. 968 “Par Ekonomikas ministrijas un Vides aizsardzības un reģionālās attīstības ministrijas reorganizāciju un Klimata un enerģētikas ministrijas izveidošanu” </w:t>
      </w:r>
      <w:r w:rsidR="00144CE3" w:rsidRPr="00A27896">
        <w:rPr>
          <w:noProof w:val="0"/>
          <w:color w:val="17365D"/>
        </w:rPr>
        <w:t>ar 2023. gada 1. janvāri reorganizēta Ekonomikas ministrija un Vides aizsardzības un reģionālās attīstības ministrija un izveidota Klimata un enerģētikas ministrija.</w:t>
      </w:r>
    </w:p>
    <w:p w14:paraId="5491851D" w14:textId="3DBF755B" w:rsidR="003F4529" w:rsidRPr="00A27896" w:rsidRDefault="003F4529" w:rsidP="00CA17B2">
      <w:pPr>
        <w:pStyle w:val="Pamatteksts"/>
        <w:ind w:firstLine="284"/>
        <w:rPr>
          <w:noProof w:val="0"/>
          <w:color w:val="17365D"/>
        </w:rPr>
      </w:pPr>
      <w:r w:rsidRPr="003F4529">
        <w:rPr>
          <w:noProof w:val="0"/>
          <w:color w:val="17365D"/>
        </w:rPr>
        <w:t>Rēzeknes pilsētas pašvaldība</w:t>
      </w:r>
      <w:r>
        <w:rPr>
          <w:noProof w:val="0"/>
          <w:color w:val="17365D"/>
        </w:rPr>
        <w:t>i 2023.gadā radušās finansiālas grūtības veikt saistību apmaks</w:t>
      </w:r>
      <w:r w:rsidR="005F26F7">
        <w:rPr>
          <w:noProof w:val="0"/>
          <w:color w:val="17365D"/>
        </w:rPr>
        <w:t>u</w:t>
      </w:r>
      <w:r w:rsidR="00000E17">
        <w:rPr>
          <w:noProof w:val="0"/>
          <w:color w:val="17365D"/>
        </w:rPr>
        <w:t>.</w:t>
      </w:r>
      <w:r w:rsidR="005F26F7">
        <w:rPr>
          <w:noProof w:val="0"/>
          <w:color w:val="17365D"/>
        </w:rPr>
        <w:t xml:space="preserve"> </w:t>
      </w:r>
      <w:r w:rsidR="00000E17">
        <w:rPr>
          <w:noProof w:val="0"/>
          <w:color w:val="17365D"/>
        </w:rPr>
        <w:t>S</w:t>
      </w:r>
      <w:r w:rsidR="00000E17" w:rsidRPr="00000E17">
        <w:rPr>
          <w:noProof w:val="0"/>
          <w:color w:val="17365D"/>
        </w:rPr>
        <w:t xml:space="preserve">askaņā ar Rēzeknes pilsētas sniegto informāciju par 2022.gada nekoriģējošiem notikumiem </w:t>
      </w:r>
      <w:r w:rsidR="00771B42">
        <w:rPr>
          <w:noProof w:val="0"/>
          <w:color w:val="17365D"/>
        </w:rPr>
        <w:t>pēc</w:t>
      </w:r>
      <w:r w:rsidR="00000E17" w:rsidRPr="00000E17">
        <w:rPr>
          <w:noProof w:val="0"/>
          <w:color w:val="17365D"/>
        </w:rPr>
        <w:t xml:space="preserve"> bilances datum</w:t>
      </w:r>
      <w:r w:rsidR="00771B42">
        <w:rPr>
          <w:noProof w:val="0"/>
          <w:color w:val="17365D"/>
        </w:rPr>
        <w:t>a</w:t>
      </w:r>
      <w:r w:rsidR="00000E17">
        <w:rPr>
          <w:noProof w:val="0"/>
          <w:color w:val="17365D"/>
        </w:rPr>
        <w:t>,</w:t>
      </w:r>
      <w:r w:rsidR="00000E17" w:rsidRPr="00000E17">
        <w:rPr>
          <w:noProof w:val="0"/>
          <w:color w:val="17365D"/>
        </w:rPr>
        <w:t xml:space="preserve"> </w:t>
      </w:r>
      <w:r w:rsidR="005F26F7">
        <w:rPr>
          <w:noProof w:val="0"/>
          <w:color w:val="17365D"/>
        </w:rPr>
        <w:t xml:space="preserve">tai skaitā </w:t>
      </w:r>
      <w:r w:rsidR="00000E17">
        <w:rPr>
          <w:noProof w:val="0"/>
          <w:color w:val="17365D"/>
        </w:rPr>
        <w:t xml:space="preserve">saistības </w:t>
      </w:r>
      <w:r w:rsidR="005F26F7">
        <w:rPr>
          <w:noProof w:val="0"/>
          <w:color w:val="17365D"/>
        </w:rPr>
        <w:t>par aizņēmumu</w:t>
      </w:r>
      <w:r>
        <w:rPr>
          <w:noProof w:val="0"/>
          <w:color w:val="17365D"/>
        </w:rPr>
        <w:t xml:space="preserve"> procentu maksājumiem un par siltumenerģiju</w:t>
      </w:r>
      <w:r w:rsidR="005F26F7">
        <w:rPr>
          <w:noProof w:val="0"/>
          <w:color w:val="17365D"/>
        </w:rPr>
        <w:t xml:space="preserve"> </w:t>
      </w:r>
      <w:r w:rsidR="00000E17">
        <w:rPr>
          <w:noProof w:val="0"/>
          <w:color w:val="17365D"/>
        </w:rPr>
        <w:t xml:space="preserve">novērtētas </w:t>
      </w:r>
      <w:r w:rsidR="005F26F7" w:rsidRPr="005F26F7">
        <w:rPr>
          <w:noProof w:val="0"/>
          <w:color w:val="17365D"/>
        </w:rPr>
        <w:t>2</w:t>
      </w:r>
      <w:r w:rsidR="005F26F7">
        <w:rPr>
          <w:noProof w:val="0"/>
          <w:color w:val="17365D"/>
        </w:rPr>
        <w:t>,</w:t>
      </w:r>
      <w:r w:rsidR="005F26F7" w:rsidRPr="005F26F7">
        <w:rPr>
          <w:noProof w:val="0"/>
          <w:color w:val="17365D"/>
        </w:rPr>
        <w:t>4</w:t>
      </w:r>
      <w:r w:rsidR="005F26F7">
        <w:rPr>
          <w:noProof w:val="0"/>
          <w:color w:val="17365D"/>
        </w:rPr>
        <w:t xml:space="preserve"> milj.</w:t>
      </w:r>
      <w:r w:rsidR="005F26F7" w:rsidRPr="005F26F7">
        <w:rPr>
          <w:noProof w:val="0"/>
          <w:color w:val="17365D"/>
        </w:rPr>
        <w:t xml:space="preserve"> </w:t>
      </w:r>
      <w:proofErr w:type="spellStart"/>
      <w:r w:rsidR="005F26F7" w:rsidRPr="00DF60AB">
        <w:rPr>
          <w:i/>
          <w:noProof w:val="0"/>
          <w:color w:val="17365D"/>
        </w:rPr>
        <w:t>euro</w:t>
      </w:r>
      <w:proofErr w:type="spellEnd"/>
      <w:r w:rsidR="005F26F7">
        <w:rPr>
          <w:i/>
          <w:noProof w:val="0"/>
          <w:color w:val="17365D"/>
        </w:rPr>
        <w:t xml:space="preserve"> </w:t>
      </w:r>
      <w:r w:rsidR="005F26F7" w:rsidRPr="00DF60AB">
        <w:rPr>
          <w:noProof w:val="0"/>
          <w:color w:val="17365D"/>
        </w:rPr>
        <w:t>apmērā</w:t>
      </w:r>
      <w:r>
        <w:rPr>
          <w:noProof w:val="0"/>
          <w:color w:val="17365D"/>
        </w:rPr>
        <w:t xml:space="preserve">. Finansiālo situāciju ietekmē arī </w:t>
      </w:r>
      <w:r w:rsidRPr="003F4529">
        <w:rPr>
          <w:noProof w:val="0"/>
          <w:color w:val="17365D"/>
        </w:rPr>
        <w:t>vairāki apturēti maksājumi Eiropas Savienības līdzfinansētos projektos</w:t>
      </w:r>
      <w:r w:rsidR="005F26F7">
        <w:rPr>
          <w:noProof w:val="0"/>
          <w:color w:val="17365D"/>
        </w:rPr>
        <w:t xml:space="preserve"> 2,0 m</w:t>
      </w:r>
      <w:r w:rsidR="00275C3B">
        <w:rPr>
          <w:noProof w:val="0"/>
          <w:color w:val="17365D"/>
        </w:rPr>
        <w:t>i</w:t>
      </w:r>
      <w:r w:rsidR="005F26F7">
        <w:rPr>
          <w:noProof w:val="0"/>
          <w:color w:val="17365D"/>
        </w:rPr>
        <w:t>lj</w:t>
      </w:r>
      <w:r w:rsidR="00275C3B">
        <w:rPr>
          <w:noProof w:val="0"/>
          <w:color w:val="17365D"/>
        </w:rPr>
        <w:t>.</w:t>
      </w:r>
      <w:r w:rsidR="005F26F7" w:rsidRPr="005F26F7">
        <w:rPr>
          <w:noProof w:val="0"/>
          <w:color w:val="17365D"/>
        </w:rPr>
        <w:t xml:space="preserve"> </w:t>
      </w:r>
      <w:proofErr w:type="spellStart"/>
      <w:r w:rsidR="005F26F7" w:rsidRPr="00DF60AB">
        <w:rPr>
          <w:i/>
          <w:noProof w:val="0"/>
          <w:color w:val="17365D"/>
        </w:rPr>
        <w:t>euro</w:t>
      </w:r>
      <w:proofErr w:type="spellEnd"/>
      <w:r w:rsidR="005F26F7">
        <w:rPr>
          <w:noProof w:val="0"/>
          <w:color w:val="17365D"/>
        </w:rPr>
        <w:t xml:space="preserve"> apmērā</w:t>
      </w:r>
      <w:r>
        <w:rPr>
          <w:noProof w:val="0"/>
          <w:color w:val="17365D"/>
        </w:rPr>
        <w:t>.</w:t>
      </w:r>
      <w:r w:rsidRPr="003F4529">
        <w:t xml:space="preserve"> </w:t>
      </w:r>
    </w:p>
    <w:p w14:paraId="04E8BA47" w14:textId="0E50F59D" w:rsidR="00BC2401" w:rsidRPr="00A27896" w:rsidRDefault="00BC2401" w:rsidP="00CF1EA9">
      <w:pPr>
        <w:pStyle w:val="Heading4"/>
        <w:rPr>
          <w:rFonts w:cs="Times New Roman"/>
        </w:rPr>
      </w:pPr>
      <w:r w:rsidRPr="00A27896">
        <w:rPr>
          <w:rFonts w:cs="Times New Roman"/>
        </w:rPr>
        <w:t>Piezīme Nr. CITA. Cita informācija pārskatu lietotājiem</w:t>
      </w:r>
    </w:p>
    <w:p w14:paraId="6F3ED9AE" w14:textId="43C26179" w:rsidR="00BC2401" w:rsidRPr="00A27896" w:rsidRDefault="00BC2401" w:rsidP="00460497">
      <w:pPr>
        <w:spacing w:after="120" w:line="240" w:lineRule="auto"/>
        <w:ind w:firstLine="284"/>
        <w:jc w:val="both"/>
        <w:rPr>
          <w:rFonts w:cs="Times New Roman"/>
          <w:color w:val="17365D"/>
          <w:szCs w:val="24"/>
        </w:rPr>
      </w:pPr>
      <w:r w:rsidRPr="00A27896">
        <w:rPr>
          <w:rFonts w:cs="Times New Roman"/>
          <w:color w:val="17365D"/>
          <w:szCs w:val="24"/>
        </w:rPr>
        <w:t>Saistībā ar Konkurences padomes 2021. gada 30. jūlija lēmumu Nr. 22 “Par pārkāpuma konstatēšanu un naudas soda uzlikšanu” (turpmāk – Konkurences padomes lēmums</w:t>
      </w:r>
      <w:r w:rsidR="00CF1EA9" w:rsidRPr="00A27896">
        <w:rPr>
          <w:rFonts w:cs="Times New Roman"/>
          <w:color w:val="17365D"/>
          <w:szCs w:val="24"/>
        </w:rPr>
        <w:t xml:space="preserve"> Nr.22</w:t>
      </w:r>
      <w:r w:rsidRPr="00A27896">
        <w:rPr>
          <w:rFonts w:cs="Times New Roman"/>
          <w:color w:val="17365D"/>
          <w:szCs w:val="24"/>
        </w:rPr>
        <w:t xml:space="preserve">) ministriju un pašvaldību konsolidētajos gada pārskatos ir sniegta informācija par iepirkumu līgumiem, kas noslēgti par Konkurences padomes lēmumā </w:t>
      </w:r>
      <w:r w:rsidR="00CF1EA9" w:rsidRPr="00A27896">
        <w:rPr>
          <w:rFonts w:cs="Times New Roman"/>
          <w:color w:val="17365D"/>
          <w:szCs w:val="24"/>
        </w:rPr>
        <w:t xml:space="preserve">Nr.22 </w:t>
      </w:r>
      <w:r w:rsidRPr="00A27896">
        <w:rPr>
          <w:rFonts w:cs="Times New Roman"/>
          <w:color w:val="17365D"/>
          <w:szCs w:val="24"/>
        </w:rPr>
        <w:t>minētajiem objektiem, – kopā 4</w:t>
      </w:r>
      <w:r w:rsidR="009C026B" w:rsidRPr="00A27896">
        <w:rPr>
          <w:rFonts w:cs="Times New Roman"/>
          <w:color w:val="17365D"/>
          <w:szCs w:val="24"/>
        </w:rPr>
        <w:t>2</w:t>
      </w:r>
      <w:r w:rsidRPr="00A27896">
        <w:rPr>
          <w:rFonts w:cs="Times New Roman"/>
          <w:color w:val="17365D"/>
          <w:szCs w:val="24"/>
        </w:rPr>
        <w:t>8 </w:t>
      </w:r>
      <w:r w:rsidR="009C026B" w:rsidRPr="00A27896">
        <w:rPr>
          <w:rFonts w:cs="Times New Roman"/>
          <w:color w:val="17365D"/>
          <w:szCs w:val="24"/>
        </w:rPr>
        <w:t>312</w:t>
      </w:r>
      <w:r w:rsidRPr="00A27896">
        <w:rPr>
          <w:rFonts w:cs="Times New Roman"/>
          <w:color w:val="17365D"/>
          <w:szCs w:val="24"/>
        </w:rPr>
        <w:t> </w:t>
      </w:r>
      <w:r w:rsidR="009C026B" w:rsidRPr="00A27896">
        <w:rPr>
          <w:rFonts w:cs="Times New Roman"/>
          <w:color w:val="17365D"/>
          <w:szCs w:val="24"/>
        </w:rPr>
        <w:t xml:space="preserve">812 </w:t>
      </w:r>
      <w:proofErr w:type="spellStart"/>
      <w:r w:rsidRPr="00A27896">
        <w:rPr>
          <w:rFonts w:cs="Times New Roman"/>
          <w:i/>
          <w:color w:val="17365D"/>
          <w:szCs w:val="24"/>
        </w:rPr>
        <w:t>euro</w:t>
      </w:r>
      <w:proofErr w:type="spellEnd"/>
      <w:r w:rsidRPr="00A27896">
        <w:rPr>
          <w:rFonts w:cs="Times New Roman"/>
          <w:color w:val="17365D"/>
          <w:szCs w:val="24"/>
        </w:rPr>
        <w:t xml:space="preserve"> vērtībā. Šiem projektiem plānots ES fondu līdzfinansējums </w:t>
      </w:r>
      <w:r w:rsidR="009C026B" w:rsidRPr="00A27896">
        <w:rPr>
          <w:rFonts w:cs="Times New Roman"/>
          <w:color w:val="17365D"/>
          <w:szCs w:val="24"/>
        </w:rPr>
        <w:t xml:space="preserve">107 007 976 </w:t>
      </w:r>
      <w:proofErr w:type="spellStart"/>
      <w:r w:rsidRPr="00A27896">
        <w:rPr>
          <w:rFonts w:cs="Times New Roman"/>
          <w:i/>
          <w:color w:val="17365D"/>
          <w:szCs w:val="24"/>
        </w:rPr>
        <w:t>euro</w:t>
      </w:r>
      <w:proofErr w:type="spellEnd"/>
      <w:r w:rsidRPr="00A27896">
        <w:rPr>
          <w:rFonts w:cs="Times New Roman"/>
          <w:color w:val="17365D"/>
          <w:szCs w:val="24"/>
        </w:rPr>
        <w:t xml:space="preserve"> vērtībā un Emisiju kvotu izsolīšanas instrumenta līdzfinansējums 17 </w:t>
      </w:r>
      <w:r w:rsidR="009C026B" w:rsidRPr="00A27896">
        <w:rPr>
          <w:rFonts w:cs="Times New Roman"/>
          <w:color w:val="17365D"/>
          <w:szCs w:val="24"/>
        </w:rPr>
        <w:t>48</w:t>
      </w:r>
      <w:r w:rsidRPr="00A27896">
        <w:rPr>
          <w:rFonts w:cs="Times New Roman"/>
          <w:color w:val="17365D"/>
          <w:szCs w:val="24"/>
        </w:rPr>
        <w:t>5 00</w:t>
      </w:r>
      <w:r w:rsidR="009C026B" w:rsidRPr="00A27896">
        <w:rPr>
          <w:rFonts w:cs="Times New Roman"/>
          <w:color w:val="17365D"/>
          <w:szCs w:val="24"/>
        </w:rPr>
        <w:t>1</w:t>
      </w:r>
      <w:r w:rsidRPr="00A27896">
        <w:rPr>
          <w:rFonts w:cs="Times New Roman"/>
          <w:color w:val="17365D"/>
          <w:szCs w:val="24"/>
        </w:rPr>
        <w:t xml:space="preserve"> </w:t>
      </w:r>
      <w:proofErr w:type="spellStart"/>
      <w:r w:rsidRPr="00A27896">
        <w:rPr>
          <w:rFonts w:cs="Times New Roman"/>
          <w:i/>
          <w:color w:val="17365D"/>
          <w:szCs w:val="24"/>
        </w:rPr>
        <w:t>euro</w:t>
      </w:r>
      <w:proofErr w:type="spellEnd"/>
      <w:r w:rsidRPr="00A27896">
        <w:rPr>
          <w:rFonts w:cs="Times New Roman"/>
          <w:color w:val="17365D"/>
          <w:szCs w:val="24"/>
        </w:rPr>
        <w:t xml:space="preserve"> vērtībā. </w:t>
      </w:r>
      <w:r w:rsidR="009C026B" w:rsidRPr="00A27896">
        <w:rPr>
          <w:rFonts w:cs="Times New Roman"/>
          <w:color w:val="17365D"/>
          <w:szCs w:val="24"/>
        </w:rPr>
        <w:t xml:space="preserve">Saskaņā ar Centrālās finanšu un līgumu aģentūras un Vides aizsardzības un reģionālās attīstības ministrijas sniegto informāciju </w:t>
      </w:r>
      <w:r w:rsidRPr="00A27896">
        <w:rPr>
          <w:rFonts w:cs="Times New Roman"/>
          <w:color w:val="17365D"/>
          <w:szCs w:val="24"/>
        </w:rPr>
        <w:t xml:space="preserve">ES fondu projektu un Emisiju kvotu izsolīšanas instrumenta līdzfinansēto projektu ietvaros </w:t>
      </w:r>
      <w:r w:rsidR="009C026B" w:rsidRPr="00A27896">
        <w:rPr>
          <w:rFonts w:cs="Times New Roman"/>
          <w:color w:val="17365D"/>
          <w:szCs w:val="24"/>
        </w:rPr>
        <w:t xml:space="preserve">saistībā ar ierosināto tiesvedību par Konkurences padomes lēmumu </w:t>
      </w:r>
      <w:r w:rsidRPr="00A27896">
        <w:rPr>
          <w:rFonts w:cs="Times New Roman"/>
          <w:color w:val="17365D"/>
          <w:szCs w:val="24"/>
        </w:rPr>
        <w:t>konstatēti neatbilstoši veiktie izdevumi 1</w:t>
      </w:r>
      <w:r w:rsidR="009C026B" w:rsidRPr="00A27896">
        <w:rPr>
          <w:rFonts w:cs="Times New Roman"/>
          <w:color w:val="17365D"/>
          <w:szCs w:val="24"/>
        </w:rPr>
        <w:t>6</w:t>
      </w:r>
      <w:r w:rsidRPr="00A27896">
        <w:rPr>
          <w:rFonts w:cs="Times New Roman"/>
          <w:color w:val="17365D"/>
          <w:szCs w:val="24"/>
        </w:rPr>
        <w:t> </w:t>
      </w:r>
      <w:r w:rsidR="009C026B" w:rsidRPr="00A27896">
        <w:rPr>
          <w:rFonts w:cs="Times New Roman"/>
          <w:color w:val="17365D"/>
          <w:szCs w:val="24"/>
        </w:rPr>
        <w:t>434</w:t>
      </w:r>
      <w:r w:rsidRPr="00A27896">
        <w:rPr>
          <w:rFonts w:cs="Times New Roman"/>
          <w:color w:val="17365D"/>
          <w:szCs w:val="24"/>
        </w:rPr>
        <w:t> </w:t>
      </w:r>
      <w:r w:rsidR="009C026B" w:rsidRPr="00A27896">
        <w:rPr>
          <w:rFonts w:cs="Times New Roman"/>
          <w:color w:val="17365D"/>
          <w:szCs w:val="24"/>
        </w:rPr>
        <w:t>504</w:t>
      </w:r>
      <w:r w:rsidRPr="00A27896">
        <w:rPr>
          <w:rFonts w:cs="Times New Roman"/>
          <w:color w:val="17365D"/>
          <w:szCs w:val="24"/>
        </w:rPr>
        <w:t xml:space="preserve"> </w:t>
      </w:r>
      <w:proofErr w:type="spellStart"/>
      <w:r w:rsidRPr="00A27896">
        <w:rPr>
          <w:rFonts w:cs="Times New Roman"/>
          <w:i/>
          <w:color w:val="17365D"/>
          <w:szCs w:val="24"/>
        </w:rPr>
        <w:t>euro</w:t>
      </w:r>
      <w:proofErr w:type="spellEnd"/>
      <w:r w:rsidRPr="00A27896">
        <w:rPr>
          <w:rFonts w:cs="Times New Roman"/>
          <w:color w:val="17365D"/>
          <w:szCs w:val="24"/>
        </w:rPr>
        <w:t>, tai skaitā attiecībā uz finansējuma saņēmējiem, kas ir valsts un pašva</w:t>
      </w:r>
      <w:r w:rsidR="000C1009" w:rsidRPr="00A27896">
        <w:rPr>
          <w:rFonts w:cs="Times New Roman"/>
          <w:color w:val="17365D"/>
          <w:szCs w:val="24"/>
        </w:rPr>
        <w:t>l</w:t>
      </w:r>
      <w:r w:rsidRPr="00A27896">
        <w:rPr>
          <w:rFonts w:cs="Times New Roman"/>
          <w:color w:val="17365D"/>
          <w:szCs w:val="24"/>
        </w:rPr>
        <w:t>dību budžeta iestādes, – 1</w:t>
      </w:r>
      <w:r w:rsidR="00342182" w:rsidRPr="00A27896">
        <w:rPr>
          <w:rFonts w:cs="Times New Roman"/>
          <w:color w:val="17365D"/>
          <w:szCs w:val="24"/>
        </w:rPr>
        <w:t>5</w:t>
      </w:r>
      <w:r w:rsidRPr="00A27896">
        <w:rPr>
          <w:rFonts w:cs="Times New Roman"/>
          <w:color w:val="17365D"/>
          <w:szCs w:val="24"/>
        </w:rPr>
        <w:t> </w:t>
      </w:r>
      <w:r w:rsidR="00342182" w:rsidRPr="00A27896">
        <w:rPr>
          <w:rFonts w:cs="Times New Roman"/>
          <w:color w:val="17365D"/>
          <w:szCs w:val="24"/>
        </w:rPr>
        <w:t>1</w:t>
      </w:r>
      <w:r w:rsidRPr="00A27896">
        <w:rPr>
          <w:rFonts w:cs="Times New Roman"/>
          <w:color w:val="17365D"/>
          <w:szCs w:val="24"/>
        </w:rPr>
        <w:t>6</w:t>
      </w:r>
      <w:r w:rsidR="00342182" w:rsidRPr="00A27896">
        <w:rPr>
          <w:rFonts w:cs="Times New Roman"/>
          <w:color w:val="17365D"/>
          <w:szCs w:val="24"/>
        </w:rPr>
        <w:t>5</w:t>
      </w:r>
      <w:r w:rsidR="0033533F" w:rsidRPr="00A27896">
        <w:rPr>
          <w:rFonts w:cs="Times New Roman"/>
          <w:color w:val="17365D"/>
          <w:szCs w:val="24"/>
        </w:rPr>
        <w:t> </w:t>
      </w:r>
      <w:r w:rsidR="00342182" w:rsidRPr="00A27896">
        <w:rPr>
          <w:rFonts w:cs="Times New Roman"/>
          <w:color w:val="17365D"/>
          <w:szCs w:val="24"/>
        </w:rPr>
        <w:t>162</w:t>
      </w:r>
      <w:r w:rsidR="0033533F" w:rsidRPr="00A27896">
        <w:rPr>
          <w:rFonts w:cs="Times New Roman"/>
          <w:color w:val="17365D"/>
          <w:szCs w:val="24"/>
        </w:rPr>
        <w:t> </w:t>
      </w:r>
      <w:proofErr w:type="spellStart"/>
      <w:r w:rsidRPr="00A27896">
        <w:rPr>
          <w:rFonts w:cs="Times New Roman"/>
          <w:i/>
          <w:color w:val="17365D"/>
          <w:szCs w:val="24"/>
        </w:rPr>
        <w:t>euro</w:t>
      </w:r>
      <w:proofErr w:type="spellEnd"/>
      <w:r w:rsidRPr="00A27896">
        <w:rPr>
          <w:rFonts w:cs="Times New Roman"/>
          <w:color w:val="17365D"/>
          <w:szCs w:val="24"/>
        </w:rPr>
        <w:t>, un minēto projekt</w:t>
      </w:r>
      <w:r w:rsidR="009C026B" w:rsidRPr="00A27896">
        <w:rPr>
          <w:rFonts w:cs="Times New Roman"/>
          <w:color w:val="17365D"/>
          <w:szCs w:val="24"/>
        </w:rPr>
        <w:t>u</w:t>
      </w:r>
      <w:r w:rsidRPr="00A27896">
        <w:rPr>
          <w:rFonts w:cs="Times New Roman"/>
          <w:color w:val="17365D"/>
          <w:szCs w:val="24"/>
        </w:rPr>
        <w:t xml:space="preserve"> maksājumi ir apturēti līdz tiesvedības procesa beigām. Neatbilstoši veiktie izdevumi par projektiem, attiecībā uz kuriem tiesvedība par Konkurences padomes lēmumu </w:t>
      </w:r>
      <w:r w:rsidR="00CF1EA9" w:rsidRPr="00A27896">
        <w:rPr>
          <w:rFonts w:cs="Times New Roman"/>
          <w:color w:val="17365D"/>
          <w:szCs w:val="24"/>
        </w:rPr>
        <w:t xml:space="preserve">Nr.22 </w:t>
      </w:r>
      <w:r w:rsidRPr="00A27896">
        <w:rPr>
          <w:rFonts w:cs="Times New Roman"/>
          <w:color w:val="17365D"/>
          <w:szCs w:val="24"/>
        </w:rPr>
        <w:t xml:space="preserve">nav </w:t>
      </w:r>
      <w:r w:rsidRPr="00A27896">
        <w:rPr>
          <w:rFonts w:cs="Times New Roman"/>
          <w:color w:val="17365D"/>
          <w:szCs w:val="24"/>
        </w:rPr>
        <w:lastRenderedPageBreak/>
        <w:t>ierosināta, pārskata gada beigās ir 2 </w:t>
      </w:r>
      <w:r w:rsidR="00342182" w:rsidRPr="00A27896">
        <w:rPr>
          <w:rFonts w:cs="Times New Roman"/>
          <w:color w:val="17365D"/>
          <w:szCs w:val="24"/>
        </w:rPr>
        <w:t xml:space="preserve">664 900 </w:t>
      </w:r>
      <w:proofErr w:type="spellStart"/>
      <w:r w:rsidRPr="00A27896">
        <w:rPr>
          <w:rFonts w:cs="Times New Roman"/>
          <w:i/>
          <w:color w:val="17365D"/>
          <w:szCs w:val="24"/>
        </w:rPr>
        <w:t>euro</w:t>
      </w:r>
      <w:proofErr w:type="spellEnd"/>
      <w:r w:rsidRPr="00A27896">
        <w:rPr>
          <w:rFonts w:cs="Times New Roman"/>
          <w:color w:val="17365D"/>
          <w:szCs w:val="24"/>
        </w:rPr>
        <w:t>, tai skaitā attiecībā uz finansējuma saņēmējiem, kas ir valsts un pašva</w:t>
      </w:r>
      <w:r w:rsidR="000C1009" w:rsidRPr="00A27896">
        <w:rPr>
          <w:rFonts w:cs="Times New Roman"/>
          <w:color w:val="17365D"/>
          <w:szCs w:val="24"/>
        </w:rPr>
        <w:t>l</w:t>
      </w:r>
      <w:r w:rsidRPr="00A27896">
        <w:rPr>
          <w:rFonts w:cs="Times New Roman"/>
          <w:color w:val="17365D"/>
          <w:szCs w:val="24"/>
        </w:rPr>
        <w:t>dību budžeta iestādes, –</w:t>
      </w:r>
      <w:r w:rsidRPr="00A27896">
        <w:rPr>
          <w:rFonts w:cs="Times New Roman"/>
          <w:color w:val="17365D"/>
        </w:rPr>
        <w:t xml:space="preserve"> </w:t>
      </w:r>
      <w:r w:rsidRPr="00A27896">
        <w:rPr>
          <w:rFonts w:cs="Times New Roman"/>
          <w:color w:val="17365D"/>
          <w:szCs w:val="24"/>
        </w:rPr>
        <w:t xml:space="preserve">1 482 799 </w:t>
      </w:r>
      <w:proofErr w:type="spellStart"/>
      <w:r w:rsidRPr="00A27896">
        <w:rPr>
          <w:rFonts w:cs="Times New Roman"/>
          <w:i/>
          <w:color w:val="17365D"/>
          <w:szCs w:val="24"/>
        </w:rPr>
        <w:t>euro</w:t>
      </w:r>
      <w:proofErr w:type="spellEnd"/>
      <w:r w:rsidRPr="00A27896">
        <w:rPr>
          <w:rFonts w:cs="Times New Roman"/>
          <w:color w:val="17365D"/>
          <w:szCs w:val="24"/>
        </w:rPr>
        <w:t>.</w:t>
      </w:r>
    </w:p>
    <w:p w14:paraId="5931E8A3" w14:textId="14BCF606" w:rsidR="00BC2401" w:rsidRPr="00A27896" w:rsidRDefault="000C1009" w:rsidP="00BC2401">
      <w:pPr>
        <w:spacing w:after="120" w:line="240" w:lineRule="auto"/>
        <w:ind w:firstLine="284"/>
        <w:jc w:val="both"/>
        <w:rPr>
          <w:rFonts w:cs="Times New Roman"/>
          <w:color w:val="17365D"/>
          <w:szCs w:val="24"/>
        </w:rPr>
      </w:pPr>
      <w:r w:rsidRPr="00A27896">
        <w:rPr>
          <w:rFonts w:cs="Times New Roman"/>
          <w:color w:val="17365D"/>
          <w:szCs w:val="24"/>
        </w:rPr>
        <w:t>202</w:t>
      </w:r>
      <w:r w:rsidR="00342182" w:rsidRPr="00A27896">
        <w:rPr>
          <w:rFonts w:cs="Times New Roman"/>
          <w:color w:val="17365D"/>
          <w:szCs w:val="24"/>
        </w:rPr>
        <w:t>2</w:t>
      </w:r>
      <w:r w:rsidRPr="00A27896">
        <w:rPr>
          <w:rFonts w:cs="Times New Roman"/>
          <w:color w:val="17365D"/>
          <w:szCs w:val="24"/>
        </w:rPr>
        <w:t>. gad</w:t>
      </w:r>
      <w:r w:rsidR="00BC2401" w:rsidRPr="00A27896">
        <w:rPr>
          <w:rFonts w:cs="Times New Roman"/>
          <w:color w:val="17365D"/>
          <w:szCs w:val="24"/>
        </w:rPr>
        <w:t xml:space="preserve">a beigās izpildītā iepirkumu līgumu kopsumma saskaņā ar ministriju un pašvaldību sniegto informāciju ir </w:t>
      </w:r>
      <w:r w:rsidR="00342182" w:rsidRPr="00A27896">
        <w:rPr>
          <w:rFonts w:cs="Times New Roman"/>
          <w:color w:val="17365D"/>
          <w:szCs w:val="24"/>
        </w:rPr>
        <w:t>394</w:t>
      </w:r>
      <w:r w:rsidR="00A833F6" w:rsidRPr="00A27896">
        <w:rPr>
          <w:rFonts w:cs="Times New Roman"/>
          <w:color w:val="17365D"/>
          <w:szCs w:val="24"/>
        </w:rPr>
        <w:t> </w:t>
      </w:r>
      <w:r w:rsidR="00342182" w:rsidRPr="00A27896">
        <w:rPr>
          <w:rFonts w:cs="Times New Roman"/>
          <w:color w:val="17365D"/>
          <w:szCs w:val="24"/>
        </w:rPr>
        <w:t>385</w:t>
      </w:r>
      <w:r w:rsidR="00A833F6" w:rsidRPr="00A27896">
        <w:rPr>
          <w:rFonts w:cs="Times New Roman"/>
          <w:color w:val="17365D"/>
          <w:szCs w:val="24"/>
        </w:rPr>
        <w:t> </w:t>
      </w:r>
      <w:r w:rsidR="00342182" w:rsidRPr="00A27896">
        <w:rPr>
          <w:rFonts w:cs="Times New Roman"/>
          <w:color w:val="17365D"/>
          <w:szCs w:val="24"/>
        </w:rPr>
        <w:t>723</w:t>
      </w:r>
      <w:r w:rsidR="00342182" w:rsidRPr="00A27896" w:rsidDel="00342182">
        <w:rPr>
          <w:rFonts w:cs="Times New Roman"/>
          <w:color w:val="17365D"/>
          <w:szCs w:val="24"/>
        </w:rPr>
        <w:t xml:space="preserve"> </w:t>
      </w:r>
      <w:proofErr w:type="spellStart"/>
      <w:r w:rsidR="00BC2401" w:rsidRPr="00A27896">
        <w:rPr>
          <w:rFonts w:cs="Times New Roman"/>
          <w:i/>
          <w:color w:val="17365D"/>
          <w:szCs w:val="24"/>
        </w:rPr>
        <w:t>euro</w:t>
      </w:r>
      <w:proofErr w:type="spellEnd"/>
      <w:r w:rsidR="00BC2401" w:rsidRPr="00A27896">
        <w:rPr>
          <w:rFonts w:cs="Times New Roman"/>
          <w:color w:val="17365D"/>
          <w:szCs w:val="24"/>
        </w:rPr>
        <w:t xml:space="preserve">, kur lielāko daļu veido pamatlīdzekļi. Iespējas īstenot Konkurences likuma 21. pantā noteiktās tiesības prasīt un saņemt no pārkāpēja zaudējumu atlīdzību tiks izvērtētas pēc uzsāktās tiesvedības procesa par Konkurences padomes lēmumu </w:t>
      </w:r>
      <w:r w:rsidR="00CF1EA9" w:rsidRPr="00A27896">
        <w:rPr>
          <w:rFonts w:cs="Times New Roman"/>
          <w:color w:val="17365D"/>
          <w:szCs w:val="24"/>
        </w:rPr>
        <w:t xml:space="preserve">Nr.22 </w:t>
      </w:r>
      <w:r w:rsidR="00BC2401" w:rsidRPr="00A27896">
        <w:rPr>
          <w:rFonts w:cs="Times New Roman"/>
          <w:color w:val="17365D"/>
          <w:szCs w:val="24"/>
        </w:rPr>
        <w:t xml:space="preserve">noslēguma. </w:t>
      </w:r>
    </w:p>
    <w:p w14:paraId="6AB69BF0" w14:textId="033336EC" w:rsidR="00BC2401" w:rsidRPr="00A27896" w:rsidRDefault="00342182" w:rsidP="00BC2401">
      <w:pPr>
        <w:spacing w:after="120" w:line="240" w:lineRule="auto"/>
        <w:ind w:firstLine="284"/>
        <w:jc w:val="both"/>
        <w:rPr>
          <w:rFonts w:cs="Times New Roman"/>
          <w:color w:val="17365D"/>
          <w:szCs w:val="24"/>
        </w:rPr>
      </w:pPr>
      <w:r w:rsidRPr="00A27896">
        <w:rPr>
          <w:rFonts w:cs="Times New Roman"/>
          <w:color w:val="17365D"/>
          <w:szCs w:val="24"/>
        </w:rPr>
        <w:t xml:space="preserve">Valsts kase saistībā ar Konkurences padomes lēmumu </w:t>
      </w:r>
      <w:r w:rsidR="00CF1EA9" w:rsidRPr="00A27896">
        <w:rPr>
          <w:rFonts w:cs="Times New Roman"/>
          <w:color w:val="17365D"/>
          <w:szCs w:val="24"/>
        </w:rPr>
        <w:t xml:space="preserve">Nr.22 </w:t>
      </w:r>
      <w:r w:rsidRPr="00A27896">
        <w:rPr>
          <w:rFonts w:cs="Times New Roman"/>
          <w:color w:val="17365D"/>
          <w:szCs w:val="24"/>
        </w:rPr>
        <w:t>nav konstatējusi valsts budžeta aizdevumu neatgūšanas riskus, nav veikta valsts budžeta aizdevumu izmaksas aizturēšana, pirmstermiņa atmaksas pieprasījumi, līguma laušana vai aktīva vērtības samazinājums pārskata gada beigās, aizņēmēji nav pārkāpuši aizņēmējam saistošo normatīvo aktu prasības.</w:t>
      </w:r>
    </w:p>
    <w:p w14:paraId="49825410" w14:textId="3B7605C5" w:rsidR="001F0F65" w:rsidRPr="00A27896" w:rsidRDefault="001F0F65" w:rsidP="00BC2401">
      <w:pPr>
        <w:spacing w:after="120" w:line="240" w:lineRule="auto"/>
        <w:ind w:firstLine="284"/>
        <w:jc w:val="both"/>
        <w:rPr>
          <w:rFonts w:cs="Times New Roman"/>
          <w:color w:val="17365D"/>
          <w:szCs w:val="24"/>
        </w:rPr>
      </w:pPr>
      <w:r w:rsidRPr="00A27896">
        <w:rPr>
          <w:rFonts w:cs="Times New Roman"/>
          <w:color w:val="17365D"/>
          <w:szCs w:val="24"/>
        </w:rPr>
        <w:t>Saistībā ar Konkurences padomes 2014. gada 15.decembra lēmumu Nr. E02-68</w:t>
      </w:r>
      <w:r w:rsidR="00CF1EA9" w:rsidRPr="00A27896">
        <w:rPr>
          <w:rFonts w:cs="Times New Roman"/>
          <w:color w:val="17365D"/>
          <w:szCs w:val="24"/>
        </w:rPr>
        <w:t xml:space="preserve"> (turpmāk – Konkurences padomes lēmums Nr. E02-68)</w:t>
      </w:r>
      <w:r w:rsidRPr="00A27896">
        <w:rPr>
          <w:rFonts w:cs="Times New Roman"/>
          <w:color w:val="17365D"/>
          <w:szCs w:val="24"/>
        </w:rPr>
        <w:t>, kas stājies spēkā 2021. gada no 13.decembrī attiecībā uz vienu no karteļa dalībniekiem un 2022. gada</w:t>
      </w:r>
      <w:r w:rsidR="00D50D19" w:rsidRPr="00A27896">
        <w:rPr>
          <w:rFonts w:cs="Times New Roman"/>
          <w:color w:val="17365D"/>
          <w:szCs w:val="24"/>
        </w:rPr>
        <w:t xml:space="preserve"> </w:t>
      </w:r>
      <w:r w:rsidRPr="00A27896">
        <w:rPr>
          <w:rFonts w:cs="Times New Roman"/>
          <w:color w:val="17365D"/>
          <w:szCs w:val="24"/>
        </w:rPr>
        <w:t>21.septembrī attiecībā uz pārējiem karteļa dalībniekiem</w:t>
      </w:r>
      <w:r w:rsidR="009679CE" w:rsidRPr="00A27896">
        <w:rPr>
          <w:rFonts w:cs="Times New Roman"/>
          <w:color w:val="17365D"/>
          <w:szCs w:val="24"/>
        </w:rPr>
        <w:t>,</w:t>
      </w:r>
      <w:r w:rsidRPr="00A27896">
        <w:rPr>
          <w:rFonts w:cs="Times New Roman"/>
          <w:color w:val="17365D"/>
          <w:szCs w:val="24"/>
        </w:rPr>
        <w:t xml:space="preserve"> ministriju un pašvaldību konsolidētajos gada pārskatos ir sniegta informācija par pieņemtiem lēmumiem</w:t>
      </w:r>
      <w:r w:rsidR="009679CE" w:rsidRPr="00A27896">
        <w:rPr>
          <w:rFonts w:cs="Times New Roman"/>
          <w:color w:val="17365D"/>
          <w:szCs w:val="24"/>
        </w:rPr>
        <w:t xml:space="preserve"> attiecībā uz zaudējumu atlīdzināšanas pieprasījumu Konkurences padomes l</w:t>
      </w:r>
      <w:r w:rsidR="004E314E" w:rsidRPr="00A27896">
        <w:rPr>
          <w:rFonts w:cs="Times New Roman"/>
          <w:color w:val="17365D"/>
          <w:szCs w:val="24"/>
        </w:rPr>
        <w:t xml:space="preserve">ēmumā </w:t>
      </w:r>
      <w:r w:rsidR="00CF1EA9" w:rsidRPr="00A27896">
        <w:rPr>
          <w:rFonts w:cs="Times New Roman"/>
          <w:color w:val="17365D"/>
          <w:szCs w:val="24"/>
        </w:rPr>
        <w:t xml:space="preserve">Nr. E02-68 </w:t>
      </w:r>
      <w:r w:rsidR="004E314E" w:rsidRPr="00A27896">
        <w:rPr>
          <w:rFonts w:cs="Times New Roman"/>
          <w:color w:val="17365D"/>
          <w:szCs w:val="24"/>
        </w:rPr>
        <w:t>minētajiem uzņēmumiem. Lielākoties budžeta iestādes pieņēmušas lēmumu nepiedzīt zaudējumus</w:t>
      </w:r>
      <w:r w:rsidR="00F04C88" w:rsidRPr="00A27896">
        <w:rPr>
          <w:rFonts w:cs="Times New Roman"/>
          <w:color w:val="17365D"/>
          <w:szCs w:val="24"/>
        </w:rPr>
        <w:t xml:space="preserve">, jo </w:t>
      </w:r>
      <w:r w:rsidR="009C026B" w:rsidRPr="00A27896">
        <w:rPr>
          <w:rFonts w:cs="Times New Roman"/>
          <w:color w:val="17365D"/>
          <w:szCs w:val="24"/>
        </w:rPr>
        <w:t>tiesvedības uzsākšana nav ekonomiski pamatota,</w:t>
      </w:r>
      <w:r w:rsidR="004E314E" w:rsidRPr="00A27896">
        <w:rPr>
          <w:rFonts w:cs="Times New Roman"/>
          <w:color w:val="17365D"/>
          <w:szCs w:val="24"/>
        </w:rPr>
        <w:t xml:space="preserve"> vai vēl nav šādu </w:t>
      </w:r>
      <w:proofErr w:type="spellStart"/>
      <w:r w:rsidR="004E314E" w:rsidRPr="00A27896">
        <w:rPr>
          <w:rFonts w:cs="Times New Roman"/>
          <w:color w:val="17365D"/>
          <w:szCs w:val="24"/>
        </w:rPr>
        <w:t>izvērtējumu</w:t>
      </w:r>
      <w:proofErr w:type="spellEnd"/>
      <w:r w:rsidR="004E314E" w:rsidRPr="00A27896">
        <w:rPr>
          <w:rFonts w:cs="Times New Roman"/>
          <w:color w:val="17365D"/>
          <w:szCs w:val="24"/>
        </w:rPr>
        <w:t xml:space="preserve"> veikušas. Saskaņā ar Konkurences padomes gada pārskatā norādīto, kartelī iesaistītie uzņēmumi iemaksājuši valsts budžetā tiem piemēroto naudas sodu vairāk nekā 7 m</w:t>
      </w:r>
      <w:r w:rsidR="009C026B" w:rsidRPr="00A27896">
        <w:rPr>
          <w:rFonts w:cs="Times New Roman"/>
          <w:color w:val="17365D"/>
          <w:szCs w:val="24"/>
        </w:rPr>
        <w:t>i</w:t>
      </w:r>
      <w:r w:rsidR="004E314E" w:rsidRPr="00A27896">
        <w:rPr>
          <w:rFonts w:cs="Times New Roman"/>
          <w:color w:val="17365D"/>
          <w:szCs w:val="24"/>
        </w:rPr>
        <w:t>lj.</w:t>
      </w:r>
      <w:r w:rsidR="00E173A7" w:rsidRPr="00A27896">
        <w:rPr>
          <w:rFonts w:cs="Times New Roman"/>
          <w:color w:val="17365D"/>
          <w:szCs w:val="24"/>
        </w:rPr>
        <w:t xml:space="preserve"> </w:t>
      </w:r>
      <w:proofErr w:type="spellStart"/>
      <w:r w:rsidR="004E314E" w:rsidRPr="00A27896">
        <w:rPr>
          <w:rFonts w:cs="Times New Roman"/>
          <w:i/>
          <w:color w:val="17365D"/>
          <w:szCs w:val="24"/>
        </w:rPr>
        <w:t>euro</w:t>
      </w:r>
      <w:proofErr w:type="spellEnd"/>
      <w:r w:rsidR="004E314E" w:rsidRPr="00A27896">
        <w:rPr>
          <w:rFonts w:cs="Times New Roman"/>
          <w:color w:val="17365D"/>
          <w:szCs w:val="24"/>
        </w:rPr>
        <w:t xml:space="preserve"> apmērā.</w:t>
      </w:r>
    </w:p>
    <w:p w14:paraId="62164C6F" w14:textId="2A93CE42" w:rsidR="00F04C88" w:rsidRPr="00A27896" w:rsidRDefault="00F04C88" w:rsidP="00F04C88">
      <w:pPr>
        <w:spacing w:after="120" w:line="240" w:lineRule="auto"/>
        <w:ind w:firstLine="284"/>
        <w:jc w:val="both"/>
        <w:rPr>
          <w:rFonts w:cs="Times New Roman"/>
          <w:color w:val="17365D"/>
          <w:szCs w:val="24"/>
        </w:rPr>
      </w:pPr>
      <w:r w:rsidRPr="00A27896">
        <w:rPr>
          <w:rFonts w:cs="Times New Roman"/>
          <w:color w:val="17365D"/>
          <w:szCs w:val="24"/>
        </w:rPr>
        <w:t xml:space="preserve">Konkurences padome 2023. gada 5. janvārī pieņēma lēmumu Nr. 2 “Par Konkurences likuma 11. panta pirmās daļas un Līguma par ES darbību 101. panta 1. punktā noteiktā aizlieguma pārkāpumu” (turpmāk – </w:t>
      </w:r>
      <w:r w:rsidR="00CF1EA9" w:rsidRPr="00A27896">
        <w:rPr>
          <w:rFonts w:cs="Times New Roman"/>
          <w:color w:val="17365D"/>
          <w:szCs w:val="24"/>
        </w:rPr>
        <w:t xml:space="preserve">Konkurences padomes </w:t>
      </w:r>
      <w:r w:rsidRPr="00A27896">
        <w:rPr>
          <w:rFonts w:cs="Times New Roman"/>
          <w:color w:val="17365D"/>
          <w:szCs w:val="24"/>
        </w:rPr>
        <w:t>lēmums</w:t>
      </w:r>
      <w:r w:rsidR="00CF1EA9" w:rsidRPr="00A27896">
        <w:rPr>
          <w:rFonts w:cs="Times New Roman"/>
          <w:color w:val="17365D"/>
          <w:szCs w:val="24"/>
        </w:rPr>
        <w:t xml:space="preserve"> Nr.2</w:t>
      </w:r>
      <w:r w:rsidR="001E6F19" w:rsidRPr="00A27896">
        <w:rPr>
          <w:rFonts w:cs="Times New Roman"/>
          <w:color w:val="17365D"/>
          <w:szCs w:val="24"/>
        </w:rPr>
        <w:t xml:space="preserve">) </w:t>
      </w:r>
      <w:r w:rsidR="009F6D44" w:rsidRPr="00A27896">
        <w:rPr>
          <w:rFonts w:cs="Times New Roman"/>
          <w:color w:val="17365D"/>
          <w:szCs w:val="24"/>
        </w:rPr>
        <w:t>attiecībā uz</w:t>
      </w:r>
      <w:r w:rsidRPr="00A27896">
        <w:rPr>
          <w:rFonts w:cs="Times New Roman"/>
          <w:color w:val="17365D"/>
          <w:szCs w:val="24"/>
        </w:rPr>
        <w:t xml:space="preserve"> </w:t>
      </w:r>
      <w:r w:rsidR="001E6F19" w:rsidRPr="00A27896">
        <w:rPr>
          <w:rFonts w:cs="Times New Roman"/>
          <w:color w:val="17365D"/>
          <w:szCs w:val="24"/>
        </w:rPr>
        <w:t xml:space="preserve">VSIA “Autotransporta direkcija” (turpmāk – ATD) rīkoto iepirkumu “Par tiesību piešķiršanu sabiedriskā transporta pakalpojumu sniegšanai ar autobusiem reģionālās nozīmes maršrutu tīklā laika periodā no 2021. līdz 2030. gadam”, kurā piedalījās </w:t>
      </w:r>
      <w:r w:rsidRPr="00A27896">
        <w:rPr>
          <w:rFonts w:cs="Times New Roman"/>
          <w:color w:val="17365D"/>
          <w:szCs w:val="24"/>
        </w:rPr>
        <w:t>AS “Liepājas autobusu parks”, SIA “Latvijas Sabiedriskais Autobuss”, AS “</w:t>
      </w:r>
      <w:proofErr w:type="spellStart"/>
      <w:r w:rsidRPr="00A27896">
        <w:rPr>
          <w:rFonts w:cs="Times New Roman"/>
          <w:color w:val="17365D"/>
          <w:szCs w:val="24"/>
        </w:rPr>
        <w:t>Nordeka</w:t>
      </w:r>
      <w:proofErr w:type="spellEnd"/>
      <w:r w:rsidRPr="00A27896">
        <w:rPr>
          <w:rFonts w:cs="Times New Roman"/>
          <w:color w:val="17365D"/>
          <w:szCs w:val="24"/>
        </w:rPr>
        <w:t>”</w:t>
      </w:r>
      <w:r w:rsidR="001E6F19" w:rsidRPr="00A27896">
        <w:rPr>
          <w:rFonts w:cs="Times New Roman"/>
          <w:color w:val="17365D"/>
          <w:szCs w:val="24"/>
        </w:rPr>
        <w:t xml:space="preserve"> (turpmāk – Pārvadātāji).</w:t>
      </w:r>
    </w:p>
    <w:p w14:paraId="0C7F1DC9" w14:textId="653C5AED" w:rsidR="00F04C88" w:rsidRPr="00A27896" w:rsidRDefault="00F04C88" w:rsidP="00F04C88">
      <w:pPr>
        <w:spacing w:after="120" w:line="240" w:lineRule="auto"/>
        <w:ind w:firstLine="284"/>
        <w:jc w:val="both"/>
        <w:rPr>
          <w:rFonts w:cs="Times New Roman"/>
          <w:color w:val="17365D"/>
          <w:szCs w:val="24"/>
        </w:rPr>
      </w:pPr>
      <w:r w:rsidRPr="00A27896">
        <w:rPr>
          <w:rFonts w:cs="Times New Roman"/>
          <w:color w:val="17365D"/>
          <w:szCs w:val="24"/>
        </w:rPr>
        <w:t xml:space="preserve">Konkurences padome pieņēmusi lēmumu par soda naudas piemērošanu trim </w:t>
      </w:r>
      <w:r w:rsidR="009F6D44" w:rsidRPr="00A27896">
        <w:rPr>
          <w:rFonts w:cs="Times New Roman"/>
          <w:color w:val="17365D"/>
          <w:szCs w:val="24"/>
        </w:rPr>
        <w:t>P</w:t>
      </w:r>
      <w:r w:rsidRPr="00A27896">
        <w:rPr>
          <w:rFonts w:cs="Times New Roman"/>
          <w:color w:val="17365D"/>
          <w:szCs w:val="24"/>
        </w:rPr>
        <w:t>ārvadātājiem, tai skaitā AS “Liepājas autobusu parks” 862</w:t>
      </w:r>
      <w:r w:rsidR="00A833F6" w:rsidRPr="00A27896">
        <w:rPr>
          <w:rFonts w:cs="Times New Roman"/>
          <w:color w:val="17365D"/>
          <w:szCs w:val="24"/>
        </w:rPr>
        <w:t> </w:t>
      </w:r>
      <w:r w:rsidRPr="00A27896">
        <w:rPr>
          <w:rFonts w:cs="Times New Roman"/>
          <w:color w:val="17365D"/>
          <w:szCs w:val="24"/>
        </w:rPr>
        <w:t xml:space="preserve">700 </w:t>
      </w:r>
      <w:proofErr w:type="spellStart"/>
      <w:r w:rsidRPr="00A27896">
        <w:rPr>
          <w:rFonts w:cs="Times New Roman"/>
          <w:i/>
          <w:color w:val="17365D"/>
          <w:szCs w:val="24"/>
        </w:rPr>
        <w:t>euro</w:t>
      </w:r>
      <w:proofErr w:type="spellEnd"/>
      <w:r w:rsidRPr="00A27896">
        <w:rPr>
          <w:rFonts w:cs="Times New Roman"/>
          <w:color w:val="17365D"/>
          <w:szCs w:val="24"/>
        </w:rPr>
        <w:t xml:space="preserve"> apmērā, kurā Liepājas </w:t>
      </w:r>
      <w:proofErr w:type="spellStart"/>
      <w:r w:rsidRPr="00A27896">
        <w:rPr>
          <w:rFonts w:cs="Times New Roman"/>
          <w:color w:val="17365D"/>
          <w:szCs w:val="24"/>
        </w:rPr>
        <w:t>valstspilsētas</w:t>
      </w:r>
      <w:proofErr w:type="spellEnd"/>
      <w:r w:rsidRPr="00A27896">
        <w:rPr>
          <w:rFonts w:cs="Times New Roman"/>
          <w:color w:val="17365D"/>
          <w:szCs w:val="24"/>
        </w:rPr>
        <w:t xml:space="preserve"> pašvaldībai ir līdzdalības daļa 34</w:t>
      </w:r>
      <w:r w:rsidR="00CF1EA9" w:rsidRPr="00A27896">
        <w:rPr>
          <w:rFonts w:cs="Times New Roman"/>
          <w:color w:val="17365D"/>
          <w:szCs w:val="24"/>
        </w:rPr>
        <w:t>,</w:t>
      </w:r>
      <w:r w:rsidRPr="00A27896">
        <w:rPr>
          <w:rFonts w:cs="Times New Roman"/>
          <w:color w:val="17365D"/>
          <w:szCs w:val="24"/>
        </w:rPr>
        <w:t>848 % apmērā.</w:t>
      </w:r>
    </w:p>
    <w:p w14:paraId="03A66B3C" w14:textId="39452206" w:rsidR="00F04C88" w:rsidRPr="00A27896" w:rsidRDefault="00F04C88" w:rsidP="00F04C88">
      <w:pPr>
        <w:spacing w:after="120" w:line="240" w:lineRule="auto"/>
        <w:ind w:firstLine="284"/>
        <w:jc w:val="both"/>
        <w:rPr>
          <w:rFonts w:cs="Times New Roman"/>
          <w:color w:val="17365D"/>
          <w:szCs w:val="24"/>
        </w:rPr>
      </w:pPr>
      <w:r w:rsidRPr="00A27896">
        <w:rPr>
          <w:rFonts w:cs="Times New Roman"/>
          <w:color w:val="17365D"/>
          <w:szCs w:val="24"/>
        </w:rPr>
        <w:t>Iepirkuma līgum</w:t>
      </w:r>
      <w:r w:rsidR="00BF66CB" w:rsidRPr="00A27896">
        <w:rPr>
          <w:rFonts w:cs="Times New Roman"/>
          <w:color w:val="17365D"/>
          <w:szCs w:val="24"/>
        </w:rPr>
        <w:t>i</w:t>
      </w:r>
      <w:r w:rsidRPr="00A27896">
        <w:rPr>
          <w:rFonts w:cs="Times New Roman"/>
          <w:color w:val="17365D"/>
          <w:szCs w:val="24"/>
        </w:rPr>
        <w:t>, kuri tika noslēgti 2020. un 2021.</w:t>
      </w:r>
      <w:r w:rsidR="0057470D" w:rsidRPr="00A27896">
        <w:rPr>
          <w:rFonts w:cs="Times New Roman"/>
          <w:color w:val="17365D"/>
          <w:szCs w:val="24"/>
        </w:rPr>
        <w:t xml:space="preserve"> </w:t>
      </w:r>
      <w:r w:rsidRPr="00A27896">
        <w:rPr>
          <w:rFonts w:cs="Times New Roman"/>
          <w:color w:val="17365D"/>
          <w:szCs w:val="24"/>
        </w:rPr>
        <w:t xml:space="preserve">gadā ar </w:t>
      </w:r>
      <w:r w:rsidR="009F6D44" w:rsidRPr="00A27896">
        <w:rPr>
          <w:rFonts w:cs="Times New Roman"/>
          <w:color w:val="17365D"/>
          <w:szCs w:val="24"/>
        </w:rPr>
        <w:t>Pārvadātājiem</w:t>
      </w:r>
      <w:r w:rsidRPr="00A27896">
        <w:rPr>
          <w:rFonts w:cs="Times New Roman"/>
          <w:color w:val="17365D"/>
          <w:szCs w:val="24"/>
        </w:rPr>
        <w:t>, mazinot juridiskos un finanšu riskus, vienlaikus nodrošinot sabiedriskā transporta pakalpojumu pieejamību un nepārtrauktību esošajā kvalitātē un apjomā, kā arī saglabājot šī brīža pakalpojuma cenu, pirms termiņa būtu izbeidzami:</w:t>
      </w:r>
    </w:p>
    <w:p w14:paraId="226C8DA7" w14:textId="558BBC66" w:rsidR="00F04C88" w:rsidRPr="00A27896" w:rsidRDefault="009F6D44" w:rsidP="00F04C88">
      <w:pPr>
        <w:spacing w:after="120" w:line="240" w:lineRule="auto"/>
        <w:jc w:val="both"/>
        <w:rPr>
          <w:rFonts w:cs="Times New Roman"/>
          <w:color w:val="17365D"/>
          <w:szCs w:val="24"/>
        </w:rPr>
      </w:pPr>
      <w:r w:rsidRPr="00A27896">
        <w:rPr>
          <w:rFonts w:cs="Times New Roman"/>
          <w:color w:val="17365D"/>
          <w:szCs w:val="24"/>
        </w:rPr>
        <w:t>1) maršrutu tīkla daļā “</w:t>
      </w:r>
      <w:r w:rsidR="00F04C88" w:rsidRPr="00A27896">
        <w:rPr>
          <w:rFonts w:cs="Times New Roman"/>
          <w:color w:val="17365D"/>
          <w:szCs w:val="24"/>
        </w:rPr>
        <w:t>Bauska</w:t>
      </w:r>
      <w:r w:rsidRPr="00A27896">
        <w:rPr>
          <w:rFonts w:cs="Times New Roman"/>
          <w:color w:val="17365D"/>
          <w:szCs w:val="24"/>
        </w:rPr>
        <w:t>”</w:t>
      </w:r>
      <w:r w:rsidR="00F04C88" w:rsidRPr="00A27896">
        <w:rPr>
          <w:rFonts w:cs="Times New Roman"/>
          <w:color w:val="17365D"/>
          <w:szCs w:val="24"/>
        </w:rPr>
        <w:t xml:space="preserve">, </w:t>
      </w:r>
      <w:r w:rsidRPr="00A27896">
        <w:rPr>
          <w:rFonts w:cs="Times New Roman"/>
          <w:color w:val="17365D"/>
          <w:szCs w:val="24"/>
        </w:rPr>
        <w:t>“Ogre, Aizkraukle”</w:t>
      </w:r>
      <w:r w:rsidR="00F04C88" w:rsidRPr="00A27896">
        <w:rPr>
          <w:rFonts w:cs="Times New Roman"/>
          <w:color w:val="17365D"/>
          <w:szCs w:val="24"/>
        </w:rPr>
        <w:t xml:space="preserve">, </w:t>
      </w:r>
      <w:r w:rsidRPr="00A27896">
        <w:rPr>
          <w:rFonts w:cs="Times New Roman"/>
          <w:color w:val="17365D"/>
          <w:szCs w:val="24"/>
        </w:rPr>
        <w:t>“</w:t>
      </w:r>
      <w:r w:rsidR="00F04C88" w:rsidRPr="00A27896">
        <w:rPr>
          <w:rFonts w:cs="Times New Roman"/>
          <w:color w:val="17365D"/>
          <w:szCs w:val="24"/>
        </w:rPr>
        <w:t>Liepāja</w:t>
      </w:r>
      <w:r w:rsidRPr="00A27896">
        <w:rPr>
          <w:rFonts w:cs="Times New Roman"/>
          <w:color w:val="17365D"/>
          <w:szCs w:val="24"/>
        </w:rPr>
        <w:t>”</w:t>
      </w:r>
      <w:r w:rsidR="00F04C88" w:rsidRPr="00A27896">
        <w:rPr>
          <w:rFonts w:cs="Times New Roman"/>
          <w:color w:val="17365D"/>
          <w:szCs w:val="24"/>
        </w:rPr>
        <w:t xml:space="preserve">, </w:t>
      </w:r>
      <w:r w:rsidRPr="00A27896">
        <w:rPr>
          <w:rFonts w:cs="Times New Roman"/>
          <w:color w:val="17365D"/>
          <w:szCs w:val="24"/>
        </w:rPr>
        <w:t>“</w:t>
      </w:r>
      <w:r w:rsidR="00F04C88" w:rsidRPr="00A27896">
        <w:rPr>
          <w:rFonts w:cs="Times New Roman"/>
          <w:color w:val="17365D"/>
          <w:szCs w:val="24"/>
        </w:rPr>
        <w:t>Pierīga</w:t>
      </w:r>
      <w:r w:rsidRPr="00A27896">
        <w:rPr>
          <w:rFonts w:cs="Times New Roman"/>
          <w:color w:val="17365D"/>
          <w:szCs w:val="24"/>
        </w:rPr>
        <w:t>” un “</w:t>
      </w:r>
      <w:r w:rsidR="00F04C88" w:rsidRPr="00A27896">
        <w:rPr>
          <w:rFonts w:cs="Times New Roman"/>
          <w:color w:val="17365D"/>
          <w:szCs w:val="24"/>
        </w:rPr>
        <w:t>Saldus, Kuldīga</w:t>
      </w:r>
      <w:r w:rsidRPr="00A27896">
        <w:rPr>
          <w:rFonts w:cs="Times New Roman"/>
          <w:color w:val="17365D"/>
          <w:szCs w:val="24"/>
        </w:rPr>
        <w:t>”</w:t>
      </w:r>
      <w:r w:rsidR="00F04C88" w:rsidRPr="00A27896">
        <w:rPr>
          <w:rFonts w:cs="Times New Roman"/>
          <w:color w:val="17365D"/>
          <w:szCs w:val="24"/>
        </w:rPr>
        <w:t xml:space="preserve">: </w:t>
      </w:r>
    </w:p>
    <w:p w14:paraId="398303A1" w14:textId="77777777" w:rsidR="00F04C88" w:rsidRPr="00A27896" w:rsidRDefault="00F04C88" w:rsidP="00603FE0">
      <w:pPr>
        <w:pStyle w:val="ListParagraph"/>
        <w:numPr>
          <w:ilvl w:val="0"/>
          <w:numId w:val="41"/>
        </w:numPr>
        <w:spacing w:after="120" w:line="240" w:lineRule="auto"/>
        <w:ind w:left="851"/>
        <w:jc w:val="both"/>
        <w:rPr>
          <w:rFonts w:cs="Times New Roman"/>
          <w:color w:val="17365D"/>
          <w:szCs w:val="24"/>
        </w:rPr>
      </w:pPr>
      <w:r w:rsidRPr="00A27896">
        <w:rPr>
          <w:rFonts w:cs="Times New Roman"/>
          <w:color w:val="17365D"/>
          <w:szCs w:val="24"/>
        </w:rPr>
        <w:t>brīdī, kad VSIA “Autotransporta direkcija” varēs panākt vienošanos ar Pārvadātājiem par noslēgto līgumu izbeigšanu;</w:t>
      </w:r>
    </w:p>
    <w:p w14:paraId="722F07A9" w14:textId="66150FE4" w:rsidR="00F04C88" w:rsidRPr="00A27896" w:rsidRDefault="00F04C88" w:rsidP="00603FE0">
      <w:pPr>
        <w:pStyle w:val="ListParagraph"/>
        <w:numPr>
          <w:ilvl w:val="0"/>
          <w:numId w:val="41"/>
        </w:numPr>
        <w:spacing w:after="120" w:line="240" w:lineRule="auto"/>
        <w:ind w:left="851"/>
        <w:jc w:val="both"/>
        <w:rPr>
          <w:rFonts w:cs="Times New Roman"/>
          <w:color w:val="17365D"/>
          <w:szCs w:val="24"/>
        </w:rPr>
      </w:pPr>
      <w:r w:rsidRPr="00A27896">
        <w:rPr>
          <w:rFonts w:cs="Times New Roman"/>
          <w:color w:val="17365D"/>
          <w:szCs w:val="24"/>
        </w:rPr>
        <w:t xml:space="preserve">brīdī, kad Konkurences padome </w:t>
      </w:r>
      <w:r w:rsidR="00815314" w:rsidRPr="00A27896">
        <w:rPr>
          <w:rFonts w:cs="Times New Roman"/>
          <w:color w:val="17365D"/>
          <w:szCs w:val="24"/>
        </w:rPr>
        <w:t>l</w:t>
      </w:r>
      <w:r w:rsidRPr="00A27896">
        <w:rPr>
          <w:rFonts w:cs="Times New Roman"/>
          <w:color w:val="17365D"/>
          <w:szCs w:val="24"/>
        </w:rPr>
        <w:t xml:space="preserve">ēmums </w:t>
      </w:r>
      <w:r w:rsidR="00CF1EA9" w:rsidRPr="00A27896">
        <w:rPr>
          <w:rFonts w:cs="Times New Roman"/>
          <w:color w:val="17365D"/>
          <w:szCs w:val="24"/>
        </w:rPr>
        <w:t xml:space="preserve">Nr.2 </w:t>
      </w:r>
      <w:r w:rsidRPr="00A27896">
        <w:rPr>
          <w:rFonts w:cs="Times New Roman"/>
          <w:color w:val="17365D"/>
          <w:szCs w:val="24"/>
        </w:rPr>
        <w:t>ar spēkā stājušos tiesas nolēmumu iegūs neapstrīdamu raksturu.</w:t>
      </w:r>
      <w:r w:rsidR="00D50D19" w:rsidRPr="00A27896">
        <w:rPr>
          <w:rFonts w:cs="Times New Roman"/>
          <w:color w:val="17365D"/>
          <w:szCs w:val="24"/>
        </w:rPr>
        <w:t xml:space="preserve"> </w:t>
      </w:r>
    </w:p>
    <w:p w14:paraId="1145C5E0" w14:textId="77777777" w:rsidR="00F04C88" w:rsidRPr="00A27896" w:rsidRDefault="00F04C88" w:rsidP="009C026B">
      <w:pPr>
        <w:spacing w:after="120" w:line="240" w:lineRule="auto"/>
        <w:jc w:val="both"/>
        <w:rPr>
          <w:rFonts w:cs="Times New Roman"/>
          <w:color w:val="17365D"/>
          <w:szCs w:val="24"/>
        </w:rPr>
      </w:pPr>
      <w:r w:rsidRPr="00A27896">
        <w:rPr>
          <w:rFonts w:cs="Times New Roman"/>
          <w:color w:val="17365D"/>
          <w:szCs w:val="24"/>
        </w:rPr>
        <w:t>2) maršrutu tīkla daļā “Cēsis” un “Limbaži, Sigulda” līgumi ar AS “</w:t>
      </w:r>
      <w:proofErr w:type="spellStart"/>
      <w:r w:rsidRPr="00A27896">
        <w:rPr>
          <w:rFonts w:cs="Times New Roman"/>
          <w:color w:val="17365D"/>
          <w:szCs w:val="24"/>
        </w:rPr>
        <w:t>Nordeka</w:t>
      </w:r>
      <w:proofErr w:type="spellEnd"/>
      <w:r w:rsidRPr="00A27896">
        <w:rPr>
          <w:rFonts w:cs="Times New Roman"/>
          <w:color w:val="17365D"/>
          <w:szCs w:val="24"/>
        </w:rPr>
        <w:t>”, kad stājas spēkā Administratīvās rajona tiesas Valmieras tiesu nama spriedums lietā Nr.420235522.</w:t>
      </w:r>
    </w:p>
    <w:p w14:paraId="2A5826A4" w14:textId="7A697A9B" w:rsidR="001F0F65" w:rsidRPr="00A27896" w:rsidRDefault="00F04C88" w:rsidP="00F04C88">
      <w:pPr>
        <w:spacing w:after="120" w:line="240" w:lineRule="auto"/>
        <w:ind w:firstLine="284"/>
        <w:jc w:val="both"/>
        <w:rPr>
          <w:rFonts w:cs="Times New Roman"/>
          <w:color w:val="17365D"/>
          <w:szCs w:val="24"/>
        </w:rPr>
      </w:pPr>
      <w:r w:rsidRPr="00A27896">
        <w:rPr>
          <w:rFonts w:cs="Times New Roman"/>
          <w:color w:val="17365D"/>
          <w:szCs w:val="24"/>
        </w:rPr>
        <w:t xml:space="preserve">Ņemot vērā Konkurences likuma 21.pantā ietverto zaudējumu apmēra prezumpciju, </w:t>
      </w:r>
      <w:proofErr w:type="spellStart"/>
      <w:r w:rsidRPr="00A27896">
        <w:rPr>
          <w:rFonts w:cs="Times New Roman"/>
          <w:color w:val="17365D"/>
          <w:szCs w:val="24"/>
        </w:rPr>
        <w:t>pirmsšķietami</w:t>
      </w:r>
      <w:proofErr w:type="spellEnd"/>
      <w:r w:rsidRPr="00A27896">
        <w:rPr>
          <w:rFonts w:cs="Times New Roman"/>
          <w:color w:val="17365D"/>
          <w:szCs w:val="24"/>
        </w:rPr>
        <w:t xml:space="preserve">, saglabājot spēkā esošus līgumus, </w:t>
      </w:r>
      <w:r w:rsidR="00F71988" w:rsidRPr="00A27896">
        <w:rPr>
          <w:rFonts w:cs="Times New Roman"/>
          <w:color w:val="17365D"/>
          <w:szCs w:val="24"/>
        </w:rPr>
        <w:t>ATD</w:t>
      </w:r>
      <w:r w:rsidRPr="00A27896">
        <w:rPr>
          <w:rFonts w:cs="Times New Roman"/>
          <w:color w:val="17365D"/>
          <w:szCs w:val="24"/>
        </w:rPr>
        <w:t xml:space="preserve"> cels prasību pret </w:t>
      </w:r>
      <w:r w:rsidR="00815314" w:rsidRPr="00A27896">
        <w:rPr>
          <w:rFonts w:cs="Times New Roman"/>
          <w:color w:val="17365D"/>
          <w:szCs w:val="24"/>
        </w:rPr>
        <w:t>Konkurences padomes</w:t>
      </w:r>
      <w:r w:rsidRPr="00A27896">
        <w:rPr>
          <w:rFonts w:cs="Times New Roman"/>
          <w:color w:val="17365D"/>
          <w:szCs w:val="24"/>
        </w:rPr>
        <w:t xml:space="preserve"> </w:t>
      </w:r>
      <w:r w:rsidR="00815314" w:rsidRPr="00A27896">
        <w:rPr>
          <w:rFonts w:cs="Times New Roman"/>
          <w:color w:val="17365D"/>
          <w:szCs w:val="24"/>
        </w:rPr>
        <w:t>l</w:t>
      </w:r>
      <w:r w:rsidRPr="00A27896">
        <w:rPr>
          <w:rFonts w:cs="Times New Roman"/>
          <w:color w:val="17365D"/>
          <w:szCs w:val="24"/>
        </w:rPr>
        <w:t xml:space="preserve">ēmumā </w:t>
      </w:r>
      <w:r w:rsidR="00CF1EA9" w:rsidRPr="00A27896">
        <w:rPr>
          <w:rFonts w:cs="Times New Roman"/>
          <w:color w:val="17365D"/>
          <w:szCs w:val="24"/>
        </w:rPr>
        <w:t xml:space="preserve">Nr.2 </w:t>
      </w:r>
      <w:r w:rsidRPr="00A27896">
        <w:rPr>
          <w:rFonts w:cs="Times New Roman"/>
          <w:color w:val="17365D"/>
          <w:szCs w:val="24"/>
        </w:rPr>
        <w:t xml:space="preserve">minētajiem uzņēmumiem par zaudējumu kompensāciju vismaz desmit procentu apmērā no iepirkuma līguma ietvaros noteiktās pakalpojuma cenas, kas, ņemot vērā šī brīža maršrutu tīkla apjomu, veido aptuveni 3 miljonus </w:t>
      </w:r>
      <w:proofErr w:type="spellStart"/>
      <w:r w:rsidRPr="00A27896">
        <w:rPr>
          <w:rFonts w:cs="Times New Roman"/>
          <w:i/>
          <w:color w:val="17365D"/>
          <w:szCs w:val="24"/>
        </w:rPr>
        <w:t>euro</w:t>
      </w:r>
      <w:proofErr w:type="spellEnd"/>
      <w:r w:rsidRPr="00A27896">
        <w:rPr>
          <w:rFonts w:cs="Times New Roman"/>
          <w:color w:val="17365D"/>
          <w:szCs w:val="24"/>
        </w:rPr>
        <w:t xml:space="preserve"> par katru līguma darbības gadu. Tomēr publiskam pasūtītājam ir likumisks pienākums veikt aktīvas darbības zaudējumu apmēra </w:t>
      </w:r>
      <w:r w:rsidRPr="00A27896">
        <w:rPr>
          <w:rFonts w:cs="Times New Roman"/>
          <w:color w:val="17365D"/>
          <w:szCs w:val="24"/>
        </w:rPr>
        <w:lastRenderedPageBreak/>
        <w:t>apzināšanai, proti, neaprobežoties tikai ar Konkurences likuma 21. panta trešajā daļā ietverto 10</w:t>
      </w:r>
      <w:r w:rsidR="009F6D44" w:rsidRPr="00A27896">
        <w:rPr>
          <w:rFonts w:cs="Times New Roman"/>
          <w:color w:val="17365D"/>
          <w:szCs w:val="24"/>
        </w:rPr>
        <w:t> </w:t>
      </w:r>
      <w:r w:rsidRPr="00A27896">
        <w:rPr>
          <w:rFonts w:cs="Times New Roman"/>
          <w:color w:val="17365D"/>
          <w:szCs w:val="24"/>
        </w:rPr>
        <w:t xml:space="preserve">% prezumpciju, bet pēc būtības izvērtēt tai radīto zaudējumu apmēru, lai celtu prasību par nodarīto zaudējumu atlīdzināšanu. Tādējādi pirms prasības celšanas pret </w:t>
      </w:r>
      <w:r w:rsidR="00CF1EA9" w:rsidRPr="00A27896">
        <w:rPr>
          <w:rFonts w:cs="Times New Roman"/>
          <w:color w:val="17365D"/>
          <w:szCs w:val="24"/>
        </w:rPr>
        <w:t>Konkurences padomes</w:t>
      </w:r>
      <w:r w:rsidRPr="00A27896">
        <w:rPr>
          <w:rFonts w:cs="Times New Roman"/>
          <w:color w:val="17365D"/>
          <w:szCs w:val="24"/>
        </w:rPr>
        <w:t xml:space="preserve"> </w:t>
      </w:r>
      <w:r w:rsidR="00CF1EA9" w:rsidRPr="00A27896">
        <w:rPr>
          <w:rFonts w:cs="Times New Roman"/>
          <w:color w:val="17365D"/>
          <w:szCs w:val="24"/>
        </w:rPr>
        <w:t>l</w:t>
      </w:r>
      <w:r w:rsidRPr="00A27896">
        <w:rPr>
          <w:rFonts w:cs="Times New Roman"/>
          <w:color w:val="17365D"/>
          <w:szCs w:val="24"/>
        </w:rPr>
        <w:t xml:space="preserve">ēmumā </w:t>
      </w:r>
      <w:r w:rsidR="00CF1EA9" w:rsidRPr="00A27896">
        <w:rPr>
          <w:rFonts w:cs="Times New Roman"/>
          <w:color w:val="17365D"/>
          <w:szCs w:val="24"/>
        </w:rPr>
        <w:t xml:space="preserve">Nr.2 </w:t>
      </w:r>
      <w:r w:rsidRPr="00A27896">
        <w:rPr>
          <w:rFonts w:cs="Times New Roman"/>
          <w:color w:val="17365D"/>
          <w:szCs w:val="24"/>
        </w:rPr>
        <w:t xml:space="preserve">minētajiem Pārvadātājiem </w:t>
      </w:r>
      <w:r w:rsidR="00F71988" w:rsidRPr="00A27896">
        <w:rPr>
          <w:rFonts w:cs="Times New Roman"/>
          <w:color w:val="17365D"/>
          <w:szCs w:val="24"/>
        </w:rPr>
        <w:t>ATD</w:t>
      </w:r>
      <w:r w:rsidRPr="00A27896">
        <w:rPr>
          <w:rFonts w:cs="Times New Roman"/>
          <w:color w:val="17365D"/>
          <w:szCs w:val="24"/>
        </w:rPr>
        <w:t xml:space="preserve"> veiks objektīvas aplēses par zaudējumiem, vērtējot katru individuālo līgumu, tostarp no tādiem aspektiem – vai līgums ir privāttiesību vai publisko tiesību jomas līgums, vai noslēgtais līgums vispār ir uzsākts pildīt, vai līgumu izpilde notiek pienācīgi.</w:t>
      </w:r>
    </w:p>
    <w:p w14:paraId="2937ADD9" w14:textId="7C5BCD5A" w:rsidR="00F04C88" w:rsidRPr="00A27896" w:rsidRDefault="00F04C88" w:rsidP="00F04C88">
      <w:pPr>
        <w:spacing w:after="120" w:line="240" w:lineRule="auto"/>
        <w:ind w:firstLine="284"/>
        <w:jc w:val="both"/>
        <w:rPr>
          <w:rFonts w:cs="Times New Roman"/>
          <w:color w:val="17365D"/>
          <w:szCs w:val="24"/>
        </w:rPr>
      </w:pPr>
      <w:r w:rsidRPr="00A27896">
        <w:rPr>
          <w:rFonts w:cs="Times New Roman"/>
          <w:color w:val="17365D"/>
          <w:szCs w:val="24"/>
        </w:rPr>
        <w:t xml:space="preserve">Liepājas </w:t>
      </w:r>
      <w:proofErr w:type="spellStart"/>
      <w:r w:rsidRPr="00A27896">
        <w:rPr>
          <w:rFonts w:cs="Times New Roman"/>
          <w:color w:val="17365D"/>
          <w:szCs w:val="24"/>
        </w:rPr>
        <w:t>valstspilsēt</w:t>
      </w:r>
      <w:r w:rsidR="009C026B" w:rsidRPr="00A27896">
        <w:rPr>
          <w:rFonts w:cs="Times New Roman"/>
          <w:color w:val="17365D"/>
          <w:szCs w:val="24"/>
        </w:rPr>
        <w:t>a</w:t>
      </w:r>
      <w:proofErr w:type="spellEnd"/>
      <w:r w:rsidRPr="00A27896">
        <w:rPr>
          <w:rFonts w:cs="Times New Roman"/>
          <w:color w:val="17365D"/>
          <w:szCs w:val="24"/>
        </w:rPr>
        <w:t xml:space="preserve"> neprognozē, ka Konkurences padomes lēmums </w:t>
      </w:r>
      <w:r w:rsidR="00CF1EA9" w:rsidRPr="00A27896">
        <w:rPr>
          <w:rFonts w:cs="Times New Roman"/>
          <w:color w:val="17365D"/>
          <w:szCs w:val="24"/>
        </w:rPr>
        <w:t xml:space="preserve">Nr.2 </w:t>
      </w:r>
      <w:r w:rsidRPr="00A27896">
        <w:rPr>
          <w:rFonts w:cs="Times New Roman"/>
          <w:color w:val="17365D"/>
          <w:szCs w:val="24"/>
        </w:rPr>
        <w:t>par akciju sabiedrības “Liepājas autobusu parks” sodīšanu konkrētajā lietā varētu ietekmēt sabiedriskā pakalpojumu sniegšanu, izmaksas vai ieņēmumus, kas radītu pašvaldībai zaudējumu</w:t>
      </w:r>
      <w:r w:rsidR="009C026B" w:rsidRPr="00A27896">
        <w:rPr>
          <w:rFonts w:cs="Times New Roman"/>
          <w:color w:val="17365D"/>
          <w:szCs w:val="24"/>
        </w:rPr>
        <w:t xml:space="preserve">, kā arī </w:t>
      </w:r>
      <w:r w:rsidRPr="00A27896">
        <w:rPr>
          <w:rFonts w:cs="Times New Roman"/>
          <w:color w:val="17365D"/>
          <w:szCs w:val="24"/>
        </w:rPr>
        <w:t>piemērot</w:t>
      </w:r>
      <w:r w:rsidR="009C026B" w:rsidRPr="00A27896">
        <w:rPr>
          <w:rFonts w:cs="Times New Roman"/>
          <w:color w:val="17365D"/>
          <w:szCs w:val="24"/>
        </w:rPr>
        <w:t>ā soda</w:t>
      </w:r>
      <w:r w:rsidRPr="00A27896">
        <w:rPr>
          <w:rFonts w:cs="Times New Roman"/>
          <w:color w:val="17365D"/>
          <w:szCs w:val="24"/>
        </w:rPr>
        <w:t xml:space="preserve"> ietekm</w:t>
      </w:r>
      <w:r w:rsidR="009C026B" w:rsidRPr="00A27896">
        <w:rPr>
          <w:rFonts w:cs="Times New Roman"/>
          <w:color w:val="17365D"/>
          <w:szCs w:val="24"/>
        </w:rPr>
        <w:t>i</w:t>
      </w:r>
      <w:r w:rsidRPr="00A27896">
        <w:rPr>
          <w:rFonts w:cs="Times New Roman"/>
          <w:color w:val="17365D"/>
          <w:szCs w:val="24"/>
        </w:rPr>
        <w:t xml:space="preserve"> </w:t>
      </w:r>
      <w:r w:rsidR="009C026B" w:rsidRPr="00A27896">
        <w:rPr>
          <w:rFonts w:cs="Times New Roman"/>
          <w:color w:val="17365D"/>
          <w:szCs w:val="24"/>
        </w:rPr>
        <w:t xml:space="preserve">uz </w:t>
      </w:r>
      <w:r w:rsidRPr="00A27896">
        <w:rPr>
          <w:rFonts w:cs="Times New Roman"/>
          <w:color w:val="17365D"/>
          <w:szCs w:val="24"/>
        </w:rPr>
        <w:t xml:space="preserve">pašvaldības līdzdalības daļu vai akciju vērtību. </w:t>
      </w:r>
    </w:p>
    <w:p w14:paraId="340F2988" w14:textId="7FCBEA18" w:rsidR="00F71988" w:rsidRPr="00A27896" w:rsidRDefault="0017673B" w:rsidP="00F71988">
      <w:pPr>
        <w:spacing w:after="120" w:line="240" w:lineRule="auto"/>
        <w:ind w:firstLine="284"/>
        <w:jc w:val="both"/>
        <w:rPr>
          <w:rFonts w:cs="Times New Roman"/>
          <w:color w:val="17365D"/>
          <w:szCs w:val="24"/>
        </w:rPr>
      </w:pPr>
      <w:r w:rsidRPr="00A27896">
        <w:rPr>
          <w:rFonts w:cs="Times New Roman"/>
          <w:color w:val="17365D"/>
          <w:szCs w:val="24"/>
        </w:rPr>
        <w:t>Administratīvi teritoriālās r</w:t>
      </w:r>
      <w:r w:rsidR="00B77A4E" w:rsidRPr="00A27896">
        <w:rPr>
          <w:rFonts w:cs="Times New Roman"/>
          <w:color w:val="17365D"/>
          <w:szCs w:val="24"/>
        </w:rPr>
        <w:t>e</w:t>
      </w:r>
      <w:r w:rsidRPr="00A27896">
        <w:rPr>
          <w:rFonts w:cs="Times New Roman"/>
          <w:color w:val="17365D"/>
          <w:szCs w:val="24"/>
        </w:rPr>
        <w:t>formas re</w:t>
      </w:r>
      <w:r w:rsidR="00B77A4E" w:rsidRPr="00A27896">
        <w:rPr>
          <w:rFonts w:cs="Times New Roman"/>
          <w:color w:val="17365D"/>
          <w:szCs w:val="24"/>
        </w:rPr>
        <w:t>z</w:t>
      </w:r>
      <w:r w:rsidRPr="00A27896">
        <w:rPr>
          <w:rFonts w:cs="Times New Roman"/>
          <w:color w:val="17365D"/>
          <w:szCs w:val="24"/>
        </w:rPr>
        <w:t>ult</w:t>
      </w:r>
      <w:r w:rsidR="00B77A4E" w:rsidRPr="00A27896">
        <w:rPr>
          <w:rFonts w:cs="Times New Roman"/>
          <w:color w:val="17365D"/>
          <w:szCs w:val="24"/>
        </w:rPr>
        <w:t>ā</w:t>
      </w:r>
      <w:r w:rsidRPr="00A27896">
        <w:rPr>
          <w:rFonts w:cs="Times New Roman"/>
          <w:color w:val="17365D"/>
          <w:szCs w:val="24"/>
        </w:rPr>
        <w:t>tā Ogres novada pašvaldība ir pārņēmusi tiesvedībā esošo lietu saistībā ar 2015.</w:t>
      </w:r>
      <w:r w:rsidR="006C1AA7" w:rsidRPr="00A27896">
        <w:rPr>
          <w:rFonts w:cs="Times New Roman"/>
          <w:color w:val="17365D"/>
          <w:szCs w:val="24"/>
        </w:rPr>
        <w:t> </w:t>
      </w:r>
      <w:r w:rsidRPr="00A27896">
        <w:rPr>
          <w:rFonts w:cs="Times New Roman"/>
          <w:color w:val="17365D"/>
          <w:szCs w:val="24"/>
        </w:rPr>
        <w:t>gada 24.</w:t>
      </w:r>
      <w:r w:rsidR="006C1AA7" w:rsidRPr="00A27896">
        <w:rPr>
          <w:rFonts w:cs="Times New Roman"/>
          <w:color w:val="17365D"/>
          <w:szCs w:val="24"/>
        </w:rPr>
        <w:t> </w:t>
      </w:r>
      <w:r w:rsidRPr="00A27896">
        <w:rPr>
          <w:rFonts w:cs="Times New Roman"/>
          <w:color w:val="17365D"/>
          <w:szCs w:val="24"/>
        </w:rPr>
        <w:t xml:space="preserve">novembrī bijušā </w:t>
      </w:r>
      <w:r w:rsidR="00B77A4E" w:rsidRPr="00A27896">
        <w:rPr>
          <w:rFonts w:cs="Times New Roman"/>
          <w:color w:val="17365D"/>
          <w:szCs w:val="24"/>
        </w:rPr>
        <w:t xml:space="preserve">Lielvārdes novada </w:t>
      </w:r>
      <w:r w:rsidRPr="00A27896">
        <w:rPr>
          <w:rFonts w:cs="Times New Roman"/>
          <w:color w:val="17365D"/>
          <w:szCs w:val="24"/>
        </w:rPr>
        <w:t>domes priekšsēdētāja Jāņa Āboliņa parakstīto un Valsts kasē iesniegto dokumentu “</w:t>
      </w:r>
      <w:proofErr w:type="spellStart"/>
      <w:r w:rsidRPr="00A27896">
        <w:rPr>
          <w:rFonts w:cs="Times New Roman"/>
          <w:color w:val="17365D"/>
          <w:szCs w:val="24"/>
        </w:rPr>
        <w:t>Promissory</w:t>
      </w:r>
      <w:proofErr w:type="spellEnd"/>
      <w:r w:rsidRPr="00A27896">
        <w:rPr>
          <w:rFonts w:cs="Times New Roman"/>
          <w:color w:val="17365D"/>
          <w:szCs w:val="24"/>
        </w:rPr>
        <w:t xml:space="preserve"> </w:t>
      </w:r>
      <w:proofErr w:type="spellStart"/>
      <w:r w:rsidRPr="00A27896">
        <w:rPr>
          <w:rFonts w:cs="Times New Roman"/>
          <w:color w:val="17365D"/>
          <w:szCs w:val="24"/>
        </w:rPr>
        <w:t>Note</w:t>
      </w:r>
      <w:proofErr w:type="spellEnd"/>
      <w:r w:rsidRPr="00A27896">
        <w:rPr>
          <w:rFonts w:cs="Times New Roman"/>
          <w:color w:val="17365D"/>
          <w:szCs w:val="24"/>
        </w:rPr>
        <w:t xml:space="preserve">” par finanšu saistību (aizņēmums) </w:t>
      </w:r>
      <w:r w:rsidR="00B77A4E" w:rsidRPr="00A27896">
        <w:rPr>
          <w:rFonts w:cs="Times New Roman"/>
          <w:color w:val="17365D"/>
          <w:szCs w:val="24"/>
        </w:rPr>
        <w:t xml:space="preserve">200 000 000 </w:t>
      </w:r>
      <w:proofErr w:type="spellStart"/>
      <w:r w:rsidR="00B77A4E" w:rsidRPr="00A27896">
        <w:rPr>
          <w:rFonts w:cs="Times New Roman"/>
          <w:i/>
          <w:color w:val="17365D"/>
          <w:szCs w:val="24"/>
        </w:rPr>
        <w:t>euro</w:t>
      </w:r>
      <w:proofErr w:type="spellEnd"/>
      <w:r w:rsidRPr="00A27896">
        <w:rPr>
          <w:rFonts w:cs="Times New Roman"/>
          <w:color w:val="17365D"/>
          <w:szCs w:val="24"/>
        </w:rPr>
        <w:t xml:space="preserve"> apmērā uzņemšanos Lielvārdes novada pašvaldības vārdā.</w:t>
      </w:r>
      <w:r w:rsidR="00F71988" w:rsidRPr="00A27896">
        <w:rPr>
          <w:rFonts w:cs="Times New Roman"/>
          <w:color w:val="17365D"/>
          <w:szCs w:val="24"/>
        </w:rPr>
        <w:t xml:space="preserve"> Saskaņā ar Finanšu ministrijas rīcībā esošo informāciju </w:t>
      </w:r>
      <w:proofErr w:type="spellStart"/>
      <w:r w:rsidR="00F71988" w:rsidRPr="00A27896">
        <w:rPr>
          <w:rFonts w:cs="Times New Roman"/>
          <w:color w:val="17365D"/>
          <w:szCs w:val="24"/>
        </w:rPr>
        <w:t>J.Āboliņa</w:t>
      </w:r>
      <w:proofErr w:type="spellEnd"/>
      <w:r w:rsidR="00F71988" w:rsidRPr="00A27896">
        <w:rPr>
          <w:rFonts w:cs="Times New Roman"/>
          <w:color w:val="17365D"/>
          <w:szCs w:val="24"/>
        </w:rPr>
        <w:t xml:space="preserve"> rīcības rezultātā nav noticis pagātnes notikums (vekselis nav atzīts par spēkā esošu, naudas līdzekļi nav saņemti pašvaldības kontos, nav uzsākta tiesvedība), kā arī iespējamo saistību vai pienākumu rašanās varbūtība praktiski nepastāv, līdz ar to šobrīd nav ticams pašvaldības budžeta līdzekļu patēriņš un  finanšu pārskatā nav uzrādāmas ne finanšu saistības, ne iespējamās saistības. </w:t>
      </w:r>
    </w:p>
    <w:p w14:paraId="53166BD0" w14:textId="45485F75" w:rsidR="00686079" w:rsidRPr="00A27896" w:rsidRDefault="00686079" w:rsidP="00FD10CC">
      <w:pPr>
        <w:pStyle w:val="Heading3"/>
      </w:pPr>
      <w:r w:rsidRPr="00A27896">
        <w:t xml:space="preserve">Paskaidrojumi bilances posteņu </w:t>
      </w:r>
      <w:proofErr w:type="spellStart"/>
      <w:r w:rsidRPr="00A27896">
        <w:t>pārklasifikācijai</w:t>
      </w:r>
      <w:proofErr w:type="spellEnd"/>
      <w:r w:rsidR="00D5678E" w:rsidRPr="00A27896">
        <w:t>, konsolidācijai un korekcijām</w:t>
      </w:r>
    </w:p>
    <w:p w14:paraId="050288F1" w14:textId="662A2E75" w:rsidR="00742076" w:rsidRPr="00A27896" w:rsidRDefault="00686079" w:rsidP="00686079">
      <w:pPr>
        <w:spacing w:after="120" w:line="240" w:lineRule="auto"/>
        <w:ind w:firstLine="284"/>
        <w:jc w:val="both"/>
        <w:rPr>
          <w:rFonts w:cs="Times New Roman"/>
          <w:color w:val="17365D"/>
        </w:rPr>
      </w:pPr>
      <w:r w:rsidRPr="00A27896">
        <w:rPr>
          <w:rFonts w:cs="Times New Roman"/>
          <w:color w:val="17365D"/>
        </w:rPr>
        <w:t xml:space="preserve">Lai nodrošinātu bilances posteņu salīdzināmību, </w:t>
      </w:r>
      <w:r w:rsidR="00D5678E" w:rsidRPr="00A27896">
        <w:rPr>
          <w:rFonts w:cs="Times New Roman"/>
          <w:color w:val="17365D"/>
        </w:rPr>
        <w:t xml:space="preserve">pārskata gadā </w:t>
      </w:r>
      <w:r w:rsidR="007A1AC4" w:rsidRPr="00A27896">
        <w:rPr>
          <w:rFonts w:cs="Times New Roman"/>
          <w:color w:val="17365D"/>
        </w:rPr>
        <w:t xml:space="preserve">veikta </w:t>
      </w:r>
      <w:r w:rsidR="002B3A63" w:rsidRPr="00A27896">
        <w:rPr>
          <w:rFonts w:cs="Times New Roman"/>
          <w:color w:val="17365D"/>
        </w:rPr>
        <w:t>salīdzinošās informācijas par ministriju, centrālo valsts iestāžu un pašvaldību bilances posteņu atlikumiem korekcija atbilstoši to iepriekšējos periodos konstatēto kļūdu labojumiem, norādīšanas un klasifikācijas maiņai</w:t>
      </w:r>
      <w:r w:rsidR="00D5678E" w:rsidRPr="00A27896">
        <w:rPr>
          <w:rFonts w:cs="Times New Roman"/>
          <w:color w:val="17365D"/>
        </w:rPr>
        <w:t>, kā arī budžeta iestāžu</w:t>
      </w:r>
      <w:r w:rsidR="00A54F00" w:rsidRPr="00A27896">
        <w:rPr>
          <w:rFonts w:cs="Times New Roman"/>
          <w:color w:val="17365D"/>
        </w:rPr>
        <w:t xml:space="preserve">, t.sk. valsts budžeta finanšu </w:t>
      </w:r>
      <w:r w:rsidR="00D5678E" w:rsidRPr="00A27896">
        <w:rPr>
          <w:rFonts w:cs="Times New Roman"/>
          <w:color w:val="17365D"/>
        </w:rPr>
        <w:t>uzskaites</w:t>
      </w:r>
      <w:r w:rsidR="00A54F00" w:rsidRPr="00A27896">
        <w:rPr>
          <w:rFonts w:cs="Times New Roman"/>
          <w:color w:val="17365D"/>
        </w:rPr>
        <w:t>,</w:t>
      </w:r>
      <w:r w:rsidR="00D5678E" w:rsidRPr="00A27896">
        <w:rPr>
          <w:rFonts w:cs="Times New Roman"/>
          <w:color w:val="17365D"/>
        </w:rPr>
        <w:t xml:space="preserve"> savstarpējo darījumu un atlikumu konsolidācija un korekcijas vienotas metodikas pielietošanai un notikumu pē</w:t>
      </w:r>
      <w:r w:rsidR="00D76DAA" w:rsidRPr="00A27896">
        <w:rPr>
          <w:rFonts w:cs="Times New Roman"/>
          <w:color w:val="17365D"/>
        </w:rPr>
        <w:t>c bilances datuma rezul</w:t>
      </w:r>
      <w:r w:rsidR="00F4182A" w:rsidRPr="00A27896">
        <w:rPr>
          <w:rFonts w:cs="Times New Roman"/>
          <w:color w:val="17365D"/>
        </w:rPr>
        <w:t>t</w:t>
      </w:r>
      <w:r w:rsidR="00D76DAA" w:rsidRPr="00A27896">
        <w:rPr>
          <w:rFonts w:cs="Times New Roman"/>
          <w:color w:val="17365D"/>
        </w:rPr>
        <w:t>ātā</w:t>
      </w:r>
      <w:r w:rsidR="002B3A63" w:rsidRPr="00A27896">
        <w:rPr>
          <w:rFonts w:cs="Times New Roman"/>
          <w:color w:val="17365D"/>
        </w:rPr>
        <w:t xml:space="preserve"> (skatīt </w:t>
      </w:r>
      <w:r w:rsidR="00FE5EB1" w:rsidRPr="00A27896">
        <w:rPr>
          <w:rFonts w:cs="Times New Roman"/>
          <w:color w:val="17365D"/>
        </w:rPr>
        <w:t>4</w:t>
      </w:r>
      <w:r w:rsidR="000D2A1B" w:rsidRPr="00A27896">
        <w:rPr>
          <w:rFonts w:cs="Times New Roman"/>
          <w:color w:val="17365D"/>
        </w:rPr>
        <w:t>0</w:t>
      </w:r>
      <w:r w:rsidR="002B3A63" w:rsidRPr="00A27896">
        <w:rPr>
          <w:rFonts w:cs="Times New Roman"/>
          <w:color w:val="17365D"/>
        </w:rPr>
        <w:t>.</w:t>
      </w:r>
      <w:r w:rsidR="00FE5EB1" w:rsidRPr="00A27896">
        <w:rPr>
          <w:rFonts w:cs="Times New Roman"/>
          <w:color w:val="17365D"/>
        </w:rPr>
        <w:t>tabul</w:t>
      </w:r>
      <w:r w:rsidR="002B3A63" w:rsidRPr="00A27896">
        <w:rPr>
          <w:rFonts w:cs="Times New Roman"/>
          <w:color w:val="17365D"/>
        </w:rPr>
        <w:t>ā)</w:t>
      </w:r>
      <w:r w:rsidR="00D76DAA" w:rsidRPr="00A27896">
        <w:rPr>
          <w:rFonts w:cs="Times New Roman"/>
          <w:color w:val="17365D"/>
        </w:rPr>
        <w:t>.</w:t>
      </w:r>
    </w:p>
    <w:p w14:paraId="2193938A" w14:textId="2ED27904" w:rsidR="00686079" w:rsidRPr="00A27896" w:rsidRDefault="00D5678E" w:rsidP="00686079">
      <w:pPr>
        <w:spacing w:after="120" w:line="240" w:lineRule="auto"/>
        <w:ind w:firstLine="284"/>
        <w:jc w:val="both"/>
        <w:rPr>
          <w:rFonts w:cs="Times New Roman"/>
          <w:bCs/>
          <w:color w:val="17365D"/>
        </w:rPr>
      </w:pPr>
      <w:r w:rsidRPr="00A27896">
        <w:rPr>
          <w:rFonts w:cs="Times New Roman"/>
          <w:color w:val="17365D"/>
        </w:rPr>
        <w:t>K</w:t>
      </w:r>
      <w:r w:rsidR="00686079" w:rsidRPr="00A27896">
        <w:rPr>
          <w:rFonts w:cs="Times New Roman"/>
          <w:bCs/>
          <w:color w:val="17365D"/>
        </w:rPr>
        <w:t xml:space="preserve">onsolidētajā bilancē pārskata gadā veikta </w:t>
      </w:r>
      <w:r w:rsidR="00686079" w:rsidRPr="00A27896">
        <w:rPr>
          <w:rFonts w:cs="Times New Roman"/>
          <w:b/>
          <w:bCs/>
          <w:color w:val="17365D"/>
        </w:rPr>
        <w:t>korekcija</w:t>
      </w:r>
      <w:r w:rsidR="00686079" w:rsidRPr="00A27896">
        <w:rPr>
          <w:rFonts w:cs="Times New Roman"/>
          <w:bCs/>
          <w:color w:val="17365D"/>
        </w:rPr>
        <w:t xml:space="preserve"> šādos bilances </w:t>
      </w:r>
      <w:r w:rsidR="00686079" w:rsidRPr="00A27896">
        <w:rPr>
          <w:rFonts w:cs="Times New Roman"/>
          <w:b/>
          <w:bCs/>
          <w:color w:val="17365D"/>
        </w:rPr>
        <w:t>aktīva posteņos</w:t>
      </w:r>
      <w:r w:rsidR="00686079" w:rsidRPr="00A27896">
        <w:rPr>
          <w:rFonts w:cs="Times New Roman"/>
          <w:bCs/>
          <w:color w:val="17365D"/>
        </w:rPr>
        <w:t>:</w:t>
      </w:r>
    </w:p>
    <w:p w14:paraId="6C14EC0B" w14:textId="3C112B89" w:rsidR="00686079" w:rsidRPr="00A27896" w:rsidRDefault="00EC7855" w:rsidP="007C6C15">
      <w:pPr>
        <w:pStyle w:val="ListParagraph"/>
        <w:numPr>
          <w:ilvl w:val="0"/>
          <w:numId w:val="17"/>
        </w:numPr>
        <w:spacing w:after="120" w:line="240" w:lineRule="auto"/>
        <w:ind w:left="851"/>
        <w:jc w:val="both"/>
        <w:rPr>
          <w:rFonts w:cs="Times New Roman"/>
          <w:color w:val="17365D"/>
        </w:rPr>
      </w:pPr>
      <w:r w:rsidRPr="00A27896">
        <w:rPr>
          <w:rFonts w:cs="Times New Roman"/>
          <w:b/>
          <w:color w:val="17365D"/>
          <w:szCs w:val="24"/>
        </w:rPr>
        <w:t>“</w:t>
      </w:r>
      <w:r w:rsidR="00686079" w:rsidRPr="00A27896">
        <w:rPr>
          <w:rFonts w:cs="Times New Roman"/>
          <w:b/>
          <w:color w:val="17365D"/>
          <w:szCs w:val="24"/>
        </w:rPr>
        <w:t>Ilgtermiņa finanšu ieguldījumi</w:t>
      </w:r>
      <w:r w:rsidR="00686079" w:rsidRPr="00A27896">
        <w:rPr>
          <w:rFonts w:cs="Times New Roman"/>
          <w:b/>
          <w:color w:val="17365D"/>
        </w:rPr>
        <w:t>”</w:t>
      </w:r>
      <w:r w:rsidR="00686079" w:rsidRPr="00A27896">
        <w:rPr>
          <w:rFonts w:cs="Times New Roman"/>
          <w:b/>
          <w:color w:val="17365D"/>
          <w:szCs w:val="24"/>
        </w:rPr>
        <w:t xml:space="preserve"> </w:t>
      </w:r>
      <w:r w:rsidR="00686079" w:rsidRPr="00A27896">
        <w:rPr>
          <w:rFonts w:cs="Times New Roman"/>
          <w:color w:val="17365D"/>
          <w:szCs w:val="24"/>
        </w:rPr>
        <w:t xml:space="preserve">par </w:t>
      </w:r>
      <w:r w:rsidR="00686079" w:rsidRPr="00A27896">
        <w:rPr>
          <w:rFonts w:cs="Times New Roman"/>
          <w:color w:val="17365D"/>
        </w:rPr>
        <w:t>ministriju un centrālo valsts iestāžu un pašvaldību bilances posteņos pēc izmaksu metodes novērtētiem un bilances postenī “Pārējie ilgtermiņa finanšu ieguldījumu” atzītiem ieguldījumiem kapitālsabiedrību pašu kapitālā, kur valstij un pašvaldībām kopā pieder 20</w:t>
      </w:r>
      <w:r w:rsidR="00DC363F" w:rsidRPr="00A27896">
        <w:rPr>
          <w:rFonts w:cs="Times New Roman"/>
          <w:color w:val="17365D"/>
        </w:rPr>
        <w:t>,</w:t>
      </w:r>
      <w:r w:rsidR="00686079" w:rsidRPr="00A27896">
        <w:rPr>
          <w:rFonts w:cs="Times New Roman"/>
          <w:color w:val="17365D"/>
        </w:rPr>
        <w:t>001 % un vairāk kapitāla daļu, atlikumi pārskata perioda beigās pārrēķināti, pielietojot pašu kapitāla metodi.</w:t>
      </w:r>
    </w:p>
    <w:p w14:paraId="79B05036" w14:textId="062F8861" w:rsidR="00686079" w:rsidRPr="00A27896" w:rsidRDefault="00686079" w:rsidP="007C6C15">
      <w:pPr>
        <w:numPr>
          <w:ilvl w:val="0"/>
          <w:numId w:val="17"/>
        </w:numPr>
        <w:spacing w:after="0" w:line="240" w:lineRule="auto"/>
        <w:ind w:left="851" w:hanging="357"/>
        <w:jc w:val="both"/>
        <w:rPr>
          <w:rFonts w:cs="Times New Roman"/>
          <w:b/>
          <w:bCs/>
          <w:color w:val="17365D"/>
        </w:rPr>
      </w:pPr>
      <w:r w:rsidRPr="00A27896">
        <w:rPr>
          <w:rFonts w:cs="Times New Roman"/>
          <w:b/>
          <w:color w:val="17365D"/>
        </w:rPr>
        <w:t>“Īstermiņa prasības”</w:t>
      </w:r>
      <w:r w:rsidRPr="00A27896">
        <w:rPr>
          <w:rFonts w:cs="Times New Roman"/>
          <w:color w:val="17365D"/>
        </w:rPr>
        <w:t xml:space="preserve"> par valsts budžeta iestāžu</w:t>
      </w:r>
      <w:r w:rsidR="001D4D3D" w:rsidRPr="00A27896">
        <w:rPr>
          <w:rFonts w:cs="Times New Roman"/>
          <w:color w:val="17365D"/>
        </w:rPr>
        <w:t xml:space="preserve"> </w:t>
      </w:r>
      <w:r w:rsidRPr="00A27896">
        <w:rPr>
          <w:rFonts w:cs="Times New Roman"/>
          <w:color w:val="17365D"/>
        </w:rPr>
        <w:t xml:space="preserve">savstarpējo debitoru prasību un attiecīgo saistību </w:t>
      </w:r>
      <w:r w:rsidR="00622070" w:rsidRPr="00A27896">
        <w:rPr>
          <w:rFonts w:cs="Times New Roman"/>
          <w:color w:val="17365D"/>
        </w:rPr>
        <w:t xml:space="preserve">salīdzināšanas rezultāta </w:t>
      </w:r>
      <w:r w:rsidRPr="00A27896">
        <w:rPr>
          <w:rFonts w:cs="Times New Roman"/>
          <w:color w:val="17365D"/>
        </w:rPr>
        <w:t>korekciju</w:t>
      </w:r>
      <w:r w:rsidR="00EC7855" w:rsidRPr="00A27896">
        <w:rPr>
          <w:rFonts w:cs="Times New Roman"/>
          <w:color w:val="17365D"/>
        </w:rPr>
        <w:t>;</w:t>
      </w:r>
    </w:p>
    <w:p w14:paraId="7C022F4F" w14:textId="57D85BD7" w:rsidR="00686079" w:rsidRPr="00A27896" w:rsidRDefault="00686079" w:rsidP="007C6C15">
      <w:pPr>
        <w:numPr>
          <w:ilvl w:val="0"/>
          <w:numId w:val="17"/>
        </w:numPr>
        <w:spacing w:after="120" w:line="240" w:lineRule="auto"/>
        <w:ind w:left="851"/>
        <w:jc w:val="both"/>
        <w:rPr>
          <w:rFonts w:cs="Times New Roman"/>
          <w:b/>
          <w:bCs/>
          <w:color w:val="17365D"/>
        </w:rPr>
      </w:pPr>
      <w:r w:rsidRPr="00A27896">
        <w:rPr>
          <w:rFonts w:cs="Times New Roman"/>
          <w:b/>
          <w:color w:val="17365D"/>
        </w:rPr>
        <w:t xml:space="preserve">“Nākamo periodu izdevumi un avansi par pakalpojumiem un projektiem” </w:t>
      </w:r>
      <w:r w:rsidRPr="00A27896">
        <w:rPr>
          <w:rFonts w:cs="Times New Roman"/>
          <w:color w:val="17365D"/>
        </w:rPr>
        <w:t>par</w:t>
      </w:r>
      <w:r w:rsidR="00AC5241" w:rsidRPr="00A27896">
        <w:rPr>
          <w:rFonts w:cs="Times New Roman"/>
          <w:color w:val="17365D"/>
        </w:rPr>
        <w:t xml:space="preserve"> </w:t>
      </w:r>
      <w:r w:rsidRPr="00A27896">
        <w:rPr>
          <w:rFonts w:cs="Times New Roman"/>
          <w:color w:val="17365D"/>
        </w:rPr>
        <w:t>valsts un pašvaldību b</w:t>
      </w:r>
      <w:r w:rsidR="00EC7855" w:rsidRPr="00A27896">
        <w:rPr>
          <w:rFonts w:cs="Times New Roman"/>
          <w:color w:val="17365D"/>
        </w:rPr>
        <w:t>u</w:t>
      </w:r>
      <w:r w:rsidRPr="00A27896">
        <w:rPr>
          <w:rFonts w:cs="Times New Roman"/>
          <w:color w:val="17365D"/>
        </w:rPr>
        <w:t xml:space="preserve">džeta iestāžu savstarpējo debitoru prasību un attiecīgo saistību </w:t>
      </w:r>
      <w:r w:rsidR="00622070" w:rsidRPr="00A27896">
        <w:rPr>
          <w:rFonts w:cs="Times New Roman"/>
          <w:color w:val="17365D"/>
        </w:rPr>
        <w:t xml:space="preserve">salīdzināšanas rezultāta </w:t>
      </w:r>
      <w:r w:rsidRPr="00A27896">
        <w:rPr>
          <w:rFonts w:cs="Times New Roman"/>
          <w:color w:val="17365D"/>
        </w:rPr>
        <w:t>korekciju</w:t>
      </w:r>
      <w:r w:rsidR="00DF083B" w:rsidRPr="00A27896">
        <w:rPr>
          <w:rFonts w:cs="Times New Roman"/>
          <w:color w:val="17365D"/>
        </w:rPr>
        <w:t>.</w:t>
      </w:r>
    </w:p>
    <w:p w14:paraId="7ADDE81A" w14:textId="77777777" w:rsidR="00686079" w:rsidRPr="00A27896" w:rsidRDefault="00686079" w:rsidP="00DC363F">
      <w:pPr>
        <w:spacing w:after="120" w:line="240" w:lineRule="auto"/>
        <w:ind w:left="284"/>
        <w:jc w:val="both"/>
        <w:rPr>
          <w:rFonts w:cs="Times New Roman"/>
          <w:b/>
          <w:color w:val="17365D"/>
        </w:rPr>
      </w:pPr>
      <w:r w:rsidRPr="00A27896">
        <w:rPr>
          <w:rFonts w:cs="Times New Roman"/>
          <w:color w:val="17365D"/>
        </w:rPr>
        <w:t xml:space="preserve">Konsolidētajā bilancē veikta </w:t>
      </w:r>
      <w:r w:rsidRPr="00A27896">
        <w:rPr>
          <w:rFonts w:cs="Times New Roman"/>
          <w:b/>
          <w:color w:val="17365D"/>
        </w:rPr>
        <w:t>korekcija</w:t>
      </w:r>
      <w:r w:rsidRPr="00A27896">
        <w:rPr>
          <w:rFonts w:cs="Times New Roman"/>
          <w:color w:val="17365D"/>
        </w:rPr>
        <w:t xml:space="preserve"> šādos bilances </w:t>
      </w:r>
      <w:r w:rsidRPr="00A27896">
        <w:rPr>
          <w:rFonts w:cs="Times New Roman"/>
          <w:b/>
          <w:color w:val="17365D"/>
        </w:rPr>
        <w:t>pasīva posteņos:</w:t>
      </w:r>
    </w:p>
    <w:p w14:paraId="5382B0D0" w14:textId="4044343D" w:rsidR="00686079" w:rsidRPr="00A27896" w:rsidRDefault="00686079" w:rsidP="00603FE0">
      <w:pPr>
        <w:pStyle w:val="ListParagraph"/>
        <w:numPr>
          <w:ilvl w:val="0"/>
          <w:numId w:val="48"/>
        </w:numPr>
        <w:spacing w:after="120" w:line="240" w:lineRule="auto"/>
        <w:ind w:left="851"/>
        <w:jc w:val="both"/>
        <w:rPr>
          <w:rFonts w:cs="Times New Roman"/>
          <w:color w:val="17365D"/>
        </w:rPr>
      </w:pPr>
      <w:r w:rsidRPr="00A27896">
        <w:rPr>
          <w:rFonts w:cs="Times New Roman"/>
          <w:b/>
          <w:color w:val="17365D"/>
        </w:rPr>
        <w:t>Pašu kapitāls</w:t>
      </w:r>
      <w:r w:rsidR="005519F3" w:rsidRPr="00A27896">
        <w:rPr>
          <w:rFonts w:cs="Times New Roman"/>
          <w:color w:val="17365D"/>
        </w:rPr>
        <w:t xml:space="preserve"> koriģēts bilances postenī </w:t>
      </w:r>
      <w:r w:rsidRPr="00A27896">
        <w:rPr>
          <w:rFonts w:cs="Times New Roman"/>
          <w:b/>
          <w:color w:val="17365D"/>
        </w:rPr>
        <w:t>“Iepriekšējā pārskata gada budžeta izpildes rezultāts”</w:t>
      </w:r>
      <w:r w:rsidRPr="00A27896">
        <w:rPr>
          <w:rFonts w:cs="Times New Roman"/>
          <w:color w:val="17365D"/>
        </w:rPr>
        <w:t xml:space="preserve"> un </w:t>
      </w:r>
      <w:r w:rsidRPr="00A27896">
        <w:rPr>
          <w:rFonts w:cs="Times New Roman"/>
          <w:b/>
          <w:color w:val="17365D"/>
        </w:rPr>
        <w:t>“Pārskata gada budžeta izpildes rezultāts”</w:t>
      </w:r>
      <w:r w:rsidRPr="00A27896">
        <w:rPr>
          <w:rFonts w:cs="Times New Roman"/>
          <w:color w:val="17365D"/>
        </w:rPr>
        <w:t xml:space="preserve"> par korekcijām, kas attiecināmas uz iepriekšējo pārskata gadu budžeta izpildes rezultātu vai pārskata gada budžeta izpildes rezultātu</w:t>
      </w:r>
      <w:r w:rsidR="00622070" w:rsidRPr="00A27896">
        <w:rPr>
          <w:rFonts w:cs="Times New Roman"/>
          <w:color w:val="17365D"/>
        </w:rPr>
        <w:t>.</w:t>
      </w:r>
    </w:p>
    <w:p w14:paraId="1F9332F6" w14:textId="77777777" w:rsidR="002B3A63" w:rsidRPr="00A27896" w:rsidRDefault="002B3A63" w:rsidP="002B3A63">
      <w:pPr>
        <w:pStyle w:val="ListParagraph"/>
        <w:spacing w:after="120" w:line="240" w:lineRule="auto"/>
        <w:ind w:left="851"/>
        <w:jc w:val="both"/>
        <w:rPr>
          <w:rFonts w:cs="Times New Roman"/>
          <w:bCs/>
          <w:color w:val="17365D"/>
        </w:rPr>
      </w:pPr>
    </w:p>
    <w:p w14:paraId="57A2A65F" w14:textId="77777777" w:rsidR="00686079" w:rsidRPr="00A27896" w:rsidRDefault="00686079" w:rsidP="00686079">
      <w:pPr>
        <w:spacing w:after="120" w:line="240" w:lineRule="auto"/>
        <w:jc w:val="both"/>
        <w:rPr>
          <w:rFonts w:cs="Times New Roman"/>
          <w:b/>
          <w:color w:val="17365D"/>
        </w:rPr>
      </w:pPr>
      <w:r w:rsidRPr="00A27896">
        <w:rPr>
          <w:rFonts w:cs="Times New Roman"/>
          <w:color w:val="17365D"/>
        </w:rPr>
        <w:t xml:space="preserve">Konsolidētajā bilancē pārskata gadā veikta </w:t>
      </w:r>
      <w:r w:rsidRPr="00A27896">
        <w:rPr>
          <w:rFonts w:cs="Times New Roman"/>
          <w:b/>
          <w:color w:val="17365D"/>
        </w:rPr>
        <w:t>konsolidācija</w:t>
      </w:r>
      <w:r w:rsidRPr="00A27896">
        <w:rPr>
          <w:rFonts w:cs="Times New Roman"/>
          <w:color w:val="17365D"/>
        </w:rPr>
        <w:t xml:space="preserve"> šādos bilances </w:t>
      </w:r>
      <w:r w:rsidRPr="00A27896">
        <w:rPr>
          <w:rFonts w:cs="Times New Roman"/>
          <w:b/>
          <w:color w:val="17365D"/>
        </w:rPr>
        <w:t>aktīva posteņos:</w:t>
      </w:r>
    </w:p>
    <w:p w14:paraId="15D57357" w14:textId="77777777" w:rsidR="00686079" w:rsidRPr="00A27896" w:rsidRDefault="00686079" w:rsidP="00686079">
      <w:pPr>
        <w:spacing w:after="120" w:line="240" w:lineRule="auto"/>
        <w:ind w:firstLine="284"/>
        <w:jc w:val="both"/>
        <w:rPr>
          <w:rFonts w:cs="Times New Roman"/>
          <w:color w:val="17365D"/>
        </w:rPr>
      </w:pPr>
      <w:r w:rsidRPr="00A27896">
        <w:rPr>
          <w:rFonts w:cs="Times New Roman"/>
          <w:b/>
          <w:bCs/>
          <w:color w:val="17365D"/>
        </w:rPr>
        <w:t>Ilgtermiņa ieguldījumi</w:t>
      </w:r>
      <w:r w:rsidRPr="00A27896">
        <w:rPr>
          <w:rFonts w:cs="Times New Roman"/>
          <w:color w:val="17365D"/>
        </w:rPr>
        <w:t xml:space="preserve"> konsolidēti bilances postenī:</w:t>
      </w:r>
    </w:p>
    <w:p w14:paraId="38B68881" w14:textId="49254F3B" w:rsidR="00686079" w:rsidRPr="00A27896" w:rsidRDefault="00686079" w:rsidP="00441C65">
      <w:pPr>
        <w:numPr>
          <w:ilvl w:val="0"/>
          <w:numId w:val="2"/>
        </w:numPr>
        <w:spacing w:after="120" w:line="240" w:lineRule="auto"/>
        <w:ind w:left="850" w:hanging="357"/>
        <w:jc w:val="both"/>
        <w:rPr>
          <w:rFonts w:cs="Times New Roman"/>
          <w:b/>
          <w:bCs/>
          <w:color w:val="17365D"/>
          <w:szCs w:val="24"/>
        </w:rPr>
      </w:pPr>
      <w:r w:rsidRPr="00A27896">
        <w:rPr>
          <w:rFonts w:cs="Times New Roman"/>
          <w:b/>
          <w:color w:val="17365D"/>
        </w:rPr>
        <w:lastRenderedPageBreak/>
        <w:t>“</w:t>
      </w:r>
      <w:r w:rsidRPr="00A27896">
        <w:rPr>
          <w:rFonts w:cs="Times New Roman"/>
          <w:b/>
          <w:color w:val="17365D"/>
          <w:szCs w:val="24"/>
        </w:rPr>
        <w:t>Nemateriālie ieguldījumi</w:t>
      </w:r>
      <w:r w:rsidRPr="00A27896">
        <w:rPr>
          <w:rFonts w:cs="Times New Roman"/>
          <w:b/>
          <w:color w:val="17365D"/>
        </w:rPr>
        <w:t>”</w:t>
      </w:r>
      <w:r w:rsidRPr="00A27896">
        <w:rPr>
          <w:rFonts w:cs="Times New Roman"/>
          <w:color w:val="17365D"/>
          <w:szCs w:val="24"/>
        </w:rPr>
        <w:t xml:space="preserve"> </w:t>
      </w:r>
      <w:r w:rsidR="00E24E2D" w:rsidRPr="00A27896">
        <w:rPr>
          <w:rFonts w:cs="Times New Roman"/>
          <w:color w:val="17365D"/>
          <w:szCs w:val="24"/>
        </w:rPr>
        <w:t xml:space="preserve">par valsts budžeta iestāžu un </w:t>
      </w:r>
      <w:r w:rsidRPr="00A27896">
        <w:rPr>
          <w:rFonts w:cs="Times New Roman"/>
          <w:color w:val="17365D"/>
          <w:szCs w:val="24"/>
        </w:rPr>
        <w:t>par valsts un pašvaldību budžeta iestāžu savstarpējiem avansa maksājumiem par nemateriālajiem ieguldījumiem;</w:t>
      </w:r>
    </w:p>
    <w:p w14:paraId="4D9F83AC" w14:textId="20976985" w:rsidR="00686079" w:rsidRPr="00A27896" w:rsidRDefault="00686079" w:rsidP="00441C65">
      <w:pPr>
        <w:numPr>
          <w:ilvl w:val="0"/>
          <w:numId w:val="2"/>
        </w:numPr>
        <w:spacing w:after="120" w:line="240" w:lineRule="auto"/>
        <w:ind w:left="850" w:hanging="357"/>
        <w:jc w:val="both"/>
        <w:rPr>
          <w:rFonts w:cs="Times New Roman"/>
          <w:b/>
          <w:bCs/>
          <w:color w:val="17365D"/>
          <w:szCs w:val="24"/>
        </w:rPr>
      </w:pPr>
      <w:r w:rsidRPr="00A27896">
        <w:rPr>
          <w:rFonts w:cs="Times New Roman"/>
          <w:b/>
          <w:color w:val="17365D"/>
        </w:rPr>
        <w:t>“</w:t>
      </w:r>
      <w:r w:rsidRPr="00A27896">
        <w:rPr>
          <w:rFonts w:cs="Times New Roman"/>
          <w:b/>
          <w:color w:val="17365D"/>
          <w:szCs w:val="24"/>
        </w:rPr>
        <w:t>Pamatlīdzekļi</w:t>
      </w:r>
      <w:r w:rsidRPr="00A27896">
        <w:rPr>
          <w:rFonts w:cs="Times New Roman"/>
          <w:b/>
          <w:color w:val="17365D"/>
        </w:rPr>
        <w:t>”</w:t>
      </w:r>
      <w:r w:rsidRPr="00A27896">
        <w:rPr>
          <w:rFonts w:cs="Times New Roman"/>
          <w:b/>
          <w:color w:val="17365D"/>
          <w:szCs w:val="24"/>
        </w:rPr>
        <w:t xml:space="preserve"> </w:t>
      </w:r>
      <w:r w:rsidRPr="00A27896">
        <w:rPr>
          <w:rFonts w:cs="Times New Roman"/>
          <w:color w:val="17365D"/>
          <w:szCs w:val="24"/>
        </w:rPr>
        <w:t>par valsts iestāžu, kā arī valsts un pašvaldību budžeta iestāžu savstarpējiem avansa maksājumiem par pamatlīdzekļiem;</w:t>
      </w:r>
    </w:p>
    <w:p w14:paraId="7B8B29E8" w14:textId="1C476B5A" w:rsidR="00686079" w:rsidRPr="00A27896" w:rsidRDefault="00686079" w:rsidP="00441C65">
      <w:pPr>
        <w:numPr>
          <w:ilvl w:val="0"/>
          <w:numId w:val="2"/>
        </w:numPr>
        <w:spacing w:after="120" w:line="240" w:lineRule="auto"/>
        <w:ind w:left="850" w:hanging="357"/>
        <w:jc w:val="both"/>
        <w:rPr>
          <w:rFonts w:cs="Times New Roman"/>
          <w:b/>
          <w:bCs/>
          <w:color w:val="17365D"/>
          <w:szCs w:val="24"/>
        </w:rPr>
      </w:pPr>
      <w:r w:rsidRPr="00A27896">
        <w:rPr>
          <w:rFonts w:cs="Times New Roman"/>
          <w:b/>
          <w:color w:val="17365D"/>
        </w:rPr>
        <w:t>“</w:t>
      </w:r>
      <w:r w:rsidRPr="00A27896">
        <w:rPr>
          <w:rFonts w:cs="Times New Roman"/>
          <w:b/>
          <w:color w:val="17365D"/>
          <w:szCs w:val="24"/>
        </w:rPr>
        <w:t>Ilgtermiņa finanšu ieguldījumi</w:t>
      </w:r>
      <w:r w:rsidRPr="00A27896">
        <w:rPr>
          <w:rFonts w:cs="Times New Roman"/>
          <w:b/>
          <w:color w:val="17365D"/>
        </w:rPr>
        <w:t>”</w:t>
      </w:r>
      <w:r w:rsidRPr="00A27896">
        <w:rPr>
          <w:rFonts w:cs="Times New Roman"/>
          <w:color w:val="17365D"/>
          <w:szCs w:val="24"/>
        </w:rPr>
        <w:t xml:space="preserve"> par ilgtermiņa aizdevumiem valsts un pašvaldību budžeta iestādēm no valsts budžeta</w:t>
      </w:r>
      <w:r w:rsidR="00E14226" w:rsidRPr="00A27896">
        <w:rPr>
          <w:rFonts w:cs="Times New Roman"/>
          <w:color w:val="17365D"/>
          <w:szCs w:val="24"/>
        </w:rPr>
        <w:t>,</w:t>
      </w:r>
      <w:r w:rsidR="00E24E2D" w:rsidRPr="00A27896">
        <w:rPr>
          <w:rFonts w:cs="Times New Roman"/>
          <w:color w:val="17365D"/>
          <w:szCs w:val="24"/>
        </w:rPr>
        <w:t xml:space="preserve"> </w:t>
      </w:r>
      <w:r w:rsidRPr="00A27896">
        <w:rPr>
          <w:rFonts w:cs="Times New Roman"/>
          <w:color w:val="17365D"/>
          <w:szCs w:val="24"/>
        </w:rPr>
        <w:t>par valsts budžeta iestāžu noguldījumiem Valsts kasē</w:t>
      </w:r>
      <w:r w:rsidR="00E24E2D" w:rsidRPr="00A27896">
        <w:rPr>
          <w:rFonts w:cs="Times New Roman"/>
          <w:color w:val="17365D"/>
          <w:szCs w:val="24"/>
        </w:rPr>
        <w:t xml:space="preserve"> un par to ilgtermiņa finanšu prasībām pret Valsts kasi par atlikto procentu mak</w:t>
      </w:r>
      <w:r w:rsidR="00E14226" w:rsidRPr="00A27896">
        <w:rPr>
          <w:rFonts w:cs="Times New Roman"/>
          <w:color w:val="17365D"/>
          <w:szCs w:val="24"/>
        </w:rPr>
        <w:t>sā</w:t>
      </w:r>
      <w:r w:rsidR="00E24E2D" w:rsidRPr="00A27896">
        <w:rPr>
          <w:rFonts w:cs="Times New Roman"/>
          <w:color w:val="17365D"/>
          <w:szCs w:val="24"/>
        </w:rPr>
        <w:t>jumu</w:t>
      </w:r>
      <w:r w:rsidRPr="00A27896">
        <w:rPr>
          <w:rFonts w:cs="Times New Roman"/>
          <w:color w:val="17365D"/>
          <w:szCs w:val="24"/>
        </w:rPr>
        <w:t>;</w:t>
      </w:r>
    </w:p>
    <w:p w14:paraId="5D0ADE71" w14:textId="44CF2C7D" w:rsidR="00084D80" w:rsidRPr="00A27896" w:rsidRDefault="00686079" w:rsidP="00084D80">
      <w:pPr>
        <w:numPr>
          <w:ilvl w:val="0"/>
          <w:numId w:val="2"/>
        </w:numPr>
        <w:spacing w:after="120" w:line="240" w:lineRule="auto"/>
        <w:ind w:left="850" w:hanging="357"/>
        <w:jc w:val="both"/>
        <w:rPr>
          <w:rFonts w:cs="Times New Roman"/>
          <w:color w:val="17365D"/>
        </w:rPr>
      </w:pPr>
      <w:r w:rsidRPr="00A27896">
        <w:rPr>
          <w:rFonts w:cs="Times New Roman"/>
          <w:b/>
          <w:color w:val="17365D"/>
        </w:rPr>
        <w:t>“</w:t>
      </w:r>
      <w:r w:rsidRPr="00A27896">
        <w:rPr>
          <w:rFonts w:cs="Times New Roman"/>
          <w:b/>
          <w:color w:val="17365D"/>
          <w:szCs w:val="24"/>
        </w:rPr>
        <w:t>Ilgtermiņa prasības</w:t>
      </w:r>
      <w:r w:rsidRPr="00A27896">
        <w:rPr>
          <w:rFonts w:cs="Times New Roman"/>
          <w:b/>
          <w:color w:val="17365D"/>
        </w:rPr>
        <w:t>”</w:t>
      </w:r>
      <w:r w:rsidRPr="00A27896">
        <w:rPr>
          <w:rFonts w:cs="Times New Roman"/>
          <w:color w:val="17365D"/>
          <w:szCs w:val="24"/>
        </w:rPr>
        <w:t xml:space="preserve"> par valsts budžeta iestāžu,</w:t>
      </w:r>
      <w:r w:rsidR="00E24E2D" w:rsidRPr="00A27896">
        <w:rPr>
          <w:rFonts w:cs="Times New Roman"/>
          <w:color w:val="17365D"/>
          <w:szCs w:val="24"/>
        </w:rPr>
        <w:t xml:space="preserve"> pašvaldību budžeta iestāžu,</w:t>
      </w:r>
      <w:r w:rsidRPr="00A27896">
        <w:rPr>
          <w:rFonts w:cs="Times New Roman"/>
          <w:color w:val="17365D"/>
          <w:szCs w:val="24"/>
        </w:rPr>
        <w:t xml:space="preserve"> kā arī valsts un pašvaldību budžeta iestāžu savstarpējām ilgtermiņa prasībām un attiecīgām saistībām;</w:t>
      </w:r>
      <w:r w:rsidR="00084D80" w:rsidRPr="00A27896">
        <w:rPr>
          <w:rFonts w:cs="Times New Roman"/>
          <w:b/>
          <w:bCs/>
          <w:color w:val="17365D"/>
          <w:szCs w:val="24"/>
        </w:rPr>
        <w:t xml:space="preserve"> </w:t>
      </w:r>
    </w:p>
    <w:p w14:paraId="322DF3CC" w14:textId="19AA0166" w:rsidR="00686079" w:rsidRPr="00A27896" w:rsidRDefault="00686079" w:rsidP="00084D80">
      <w:pPr>
        <w:spacing w:after="120" w:line="240" w:lineRule="auto"/>
        <w:ind w:left="850"/>
        <w:jc w:val="both"/>
        <w:rPr>
          <w:rFonts w:cs="Times New Roman"/>
          <w:color w:val="17365D"/>
        </w:rPr>
      </w:pPr>
      <w:r w:rsidRPr="00A27896">
        <w:rPr>
          <w:rFonts w:cs="Times New Roman"/>
          <w:b/>
          <w:bCs/>
          <w:color w:val="17365D"/>
          <w:szCs w:val="24"/>
        </w:rPr>
        <w:t>Apgrozāmie līdzekļi</w:t>
      </w:r>
      <w:r w:rsidRPr="00A27896">
        <w:rPr>
          <w:rFonts w:cs="Times New Roman"/>
          <w:color w:val="17365D"/>
          <w:szCs w:val="24"/>
        </w:rPr>
        <w:t xml:space="preserve"> konsolidēti </w:t>
      </w:r>
      <w:r w:rsidRPr="00A27896">
        <w:rPr>
          <w:rFonts w:cs="Times New Roman"/>
          <w:color w:val="17365D"/>
        </w:rPr>
        <w:t xml:space="preserve">bilances postenī: </w:t>
      </w:r>
    </w:p>
    <w:p w14:paraId="3DBF9C0D" w14:textId="72EE93EB" w:rsidR="00084D80" w:rsidRPr="00A27896" w:rsidRDefault="00084D80" w:rsidP="00603FE0">
      <w:pPr>
        <w:numPr>
          <w:ilvl w:val="0"/>
          <w:numId w:val="2"/>
        </w:numPr>
        <w:spacing w:after="120" w:line="240" w:lineRule="auto"/>
        <w:ind w:left="850" w:hanging="357"/>
        <w:jc w:val="both"/>
        <w:rPr>
          <w:rFonts w:cs="Times New Roman"/>
          <w:bCs/>
          <w:color w:val="17365D"/>
        </w:rPr>
      </w:pPr>
      <w:r w:rsidRPr="00A27896">
        <w:rPr>
          <w:rFonts w:cs="Times New Roman"/>
          <w:b/>
          <w:bCs/>
          <w:color w:val="17365D"/>
        </w:rPr>
        <w:t xml:space="preserve"> “Krājumi” </w:t>
      </w:r>
      <w:r w:rsidRPr="00A27896">
        <w:rPr>
          <w:rFonts w:cs="Times New Roman"/>
          <w:bCs/>
          <w:color w:val="17365D"/>
        </w:rPr>
        <w:t>par valsts budžeta iestāžu,</w:t>
      </w:r>
      <w:r w:rsidR="00E14226" w:rsidRPr="00A27896">
        <w:rPr>
          <w:rFonts w:cs="Times New Roman"/>
          <w:color w:val="17365D"/>
          <w:szCs w:val="24"/>
        </w:rPr>
        <w:t xml:space="preserve"> pašvaldību budžeta iestāžu,</w:t>
      </w:r>
      <w:r w:rsidRPr="00A27896">
        <w:rPr>
          <w:rFonts w:cs="Times New Roman"/>
          <w:bCs/>
          <w:color w:val="17365D"/>
        </w:rPr>
        <w:t xml:space="preserve"> kā arī valsts un pašvaldību budžeta iestāžu </w:t>
      </w:r>
      <w:r w:rsidRPr="00A27896">
        <w:rPr>
          <w:rFonts w:cs="Times New Roman"/>
          <w:color w:val="17365D"/>
          <w:szCs w:val="24"/>
        </w:rPr>
        <w:t>savstarpējiem avansa maksājumiem par krājumiem;</w:t>
      </w:r>
    </w:p>
    <w:p w14:paraId="27EEB14D" w14:textId="7AEE2546" w:rsidR="00686079" w:rsidRPr="00A27896" w:rsidRDefault="00084D80" w:rsidP="00441C65">
      <w:pPr>
        <w:numPr>
          <w:ilvl w:val="0"/>
          <w:numId w:val="3"/>
        </w:numPr>
        <w:spacing w:after="120" w:line="240" w:lineRule="auto"/>
        <w:ind w:left="850" w:hanging="357"/>
        <w:jc w:val="both"/>
        <w:rPr>
          <w:rFonts w:cs="Times New Roman"/>
          <w:b/>
          <w:bCs/>
          <w:color w:val="17365D"/>
        </w:rPr>
      </w:pPr>
      <w:r w:rsidRPr="00A27896">
        <w:rPr>
          <w:rFonts w:cs="Times New Roman"/>
          <w:b/>
          <w:color w:val="17365D"/>
        </w:rPr>
        <w:t xml:space="preserve"> </w:t>
      </w:r>
      <w:r w:rsidR="00686079" w:rsidRPr="00A27896">
        <w:rPr>
          <w:rFonts w:cs="Times New Roman"/>
          <w:b/>
          <w:color w:val="17365D"/>
        </w:rPr>
        <w:t>“Īstermiņa prasības”</w:t>
      </w:r>
      <w:r w:rsidR="00686079" w:rsidRPr="00A27896">
        <w:rPr>
          <w:rFonts w:cs="Times New Roman"/>
          <w:color w:val="17365D"/>
        </w:rPr>
        <w:t xml:space="preserve"> par valsts budžeta iestāžu, pašvaldību budžeta iestāžu, kā arī valsts un pašvaldību budžeta iestāžu savstarpējām debitoru prasībām un attiecīgām saistībām, kā arī veikta aktīvu vērtības samazinājuma reversēšana, kas izveidot</w:t>
      </w:r>
      <w:r w:rsidR="00E14226" w:rsidRPr="00A27896">
        <w:rPr>
          <w:rFonts w:cs="Times New Roman"/>
          <w:color w:val="17365D"/>
        </w:rPr>
        <w:t>a</w:t>
      </w:r>
      <w:r w:rsidR="00686079" w:rsidRPr="00A27896">
        <w:rPr>
          <w:rFonts w:cs="Times New Roman"/>
          <w:color w:val="17365D"/>
        </w:rPr>
        <w:t xml:space="preserve"> valsts un pašvaldību budžetu iestāžu debitoru prasībām pret citām valsts vai pašvaldību budžeta iestādēm;</w:t>
      </w:r>
    </w:p>
    <w:p w14:paraId="0B14A8CC" w14:textId="77777777" w:rsidR="00686079" w:rsidRPr="00A27896" w:rsidRDefault="00686079" w:rsidP="00441C65">
      <w:pPr>
        <w:numPr>
          <w:ilvl w:val="0"/>
          <w:numId w:val="3"/>
        </w:numPr>
        <w:spacing w:after="120" w:line="240" w:lineRule="auto"/>
        <w:ind w:left="850" w:hanging="357"/>
        <w:jc w:val="both"/>
        <w:rPr>
          <w:rFonts w:cs="Times New Roman"/>
          <w:b/>
          <w:bCs/>
          <w:color w:val="17365D"/>
        </w:rPr>
      </w:pPr>
      <w:r w:rsidRPr="00A27896">
        <w:rPr>
          <w:rFonts w:cs="Times New Roman"/>
          <w:b/>
          <w:color w:val="17365D"/>
        </w:rPr>
        <w:t>“Nākamo periodu izdevumi un avansi par pakalpojumiem un projektiem”</w:t>
      </w:r>
      <w:r w:rsidRPr="00A27896">
        <w:rPr>
          <w:rFonts w:cs="Times New Roman"/>
          <w:color w:val="17365D"/>
        </w:rPr>
        <w:t xml:space="preserve"> konsolidēti par valsts budžeta iestāžu, pašvaldību budžeta iestāžu, valsts un pašvaldību budžeta iestāžu savstarpējiem nākamo periodu izdevumiem un avansiem par pakalpojumiem un projektiem un attiecīgām saistībām, kā arī veikta aktīvu vērtības samazinājuma reversēšana, kas izveidoti valsts un pašvaldību budžetu iestāžu nākamo periodu izdevumiem un avansu maksājumiem par pakalpojumiem un projektiem pret citām valsts vai pašvaldību budžeta iestādēm;</w:t>
      </w:r>
    </w:p>
    <w:p w14:paraId="329C5B13" w14:textId="77777777" w:rsidR="00686079" w:rsidRPr="00A27896" w:rsidRDefault="00686079" w:rsidP="00441C65">
      <w:pPr>
        <w:numPr>
          <w:ilvl w:val="0"/>
          <w:numId w:val="3"/>
        </w:numPr>
        <w:spacing w:after="120" w:line="240" w:lineRule="auto"/>
        <w:ind w:left="850" w:hanging="357"/>
        <w:jc w:val="both"/>
        <w:rPr>
          <w:rFonts w:cs="Times New Roman"/>
          <w:b/>
          <w:bCs/>
          <w:color w:val="17365D"/>
        </w:rPr>
      </w:pPr>
      <w:r w:rsidRPr="00A27896">
        <w:rPr>
          <w:rFonts w:cs="Times New Roman"/>
          <w:b/>
          <w:color w:val="17365D"/>
        </w:rPr>
        <w:t>“Īstermiņa finanšu ieguldījumi”</w:t>
      </w:r>
      <w:r w:rsidRPr="00A27896">
        <w:rPr>
          <w:rFonts w:cs="Times New Roman"/>
          <w:color w:val="17365D"/>
        </w:rPr>
        <w:t xml:space="preserve"> par aizdevumiem valsts un pašvaldību budžeta iestādēm no valsts budžeta</w:t>
      </w:r>
      <w:r w:rsidRPr="00A27896">
        <w:rPr>
          <w:rFonts w:cs="Times New Roman"/>
          <w:color w:val="17365D"/>
          <w:szCs w:val="24"/>
        </w:rPr>
        <w:t xml:space="preserve"> un par valsts budžeta iestāžu noguldījumiem Valsts kasē</w:t>
      </w:r>
      <w:r w:rsidRPr="00A27896">
        <w:rPr>
          <w:rFonts w:cs="Times New Roman"/>
          <w:color w:val="17365D"/>
        </w:rPr>
        <w:t>;</w:t>
      </w:r>
    </w:p>
    <w:p w14:paraId="335EADE3" w14:textId="578CB7C3" w:rsidR="00686079" w:rsidRPr="00A27896" w:rsidRDefault="00686079" w:rsidP="00441C65">
      <w:pPr>
        <w:numPr>
          <w:ilvl w:val="0"/>
          <w:numId w:val="3"/>
        </w:numPr>
        <w:spacing w:after="120" w:line="240" w:lineRule="auto"/>
        <w:ind w:left="850" w:hanging="357"/>
        <w:jc w:val="both"/>
        <w:rPr>
          <w:rFonts w:cs="Times New Roman"/>
          <w:b/>
          <w:bCs/>
          <w:color w:val="17365D"/>
        </w:rPr>
      </w:pPr>
      <w:r w:rsidRPr="00A27896">
        <w:rPr>
          <w:rFonts w:cs="Times New Roman"/>
          <w:b/>
          <w:color w:val="17365D"/>
        </w:rPr>
        <w:t>“Naudas līdzekļi”</w:t>
      </w:r>
      <w:r w:rsidRPr="00A27896">
        <w:rPr>
          <w:rFonts w:cs="Times New Roman"/>
          <w:color w:val="17365D"/>
        </w:rPr>
        <w:t xml:space="preserve"> par valsts un pašvaldību budžeta iestāžu naudas līdzekļu atlikumiem Valsts kasē</w:t>
      </w:r>
      <w:r w:rsidR="009543CE" w:rsidRPr="00A27896">
        <w:rPr>
          <w:rFonts w:cs="Times New Roman"/>
          <w:color w:val="17365D"/>
        </w:rPr>
        <w:t>, t.sk. Valsts ieņēmumu dienesta ikgadējā pārskatā atzītajiem naudas līdzekļu atlikumiem</w:t>
      </w:r>
      <w:r w:rsidRPr="00A27896">
        <w:rPr>
          <w:rFonts w:cs="Times New Roman"/>
          <w:color w:val="17365D"/>
        </w:rPr>
        <w:t>;</w:t>
      </w:r>
    </w:p>
    <w:p w14:paraId="5241A9F7" w14:textId="77777777" w:rsidR="00686079" w:rsidRPr="00A27896" w:rsidRDefault="00686079" w:rsidP="00686079">
      <w:pPr>
        <w:spacing w:after="120" w:line="240" w:lineRule="auto"/>
        <w:ind w:firstLine="284"/>
        <w:jc w:val="both"/>
        <w:rPr>
          <w:rFonts w:cs="Times New Roman"/>
          <w:b/>
          <w:color w:val="17365D"/>
        </w:rPr>
      </w:pPr>
      <w:r w:rsidRPr="00A27896">
        <w:rPr>
          <w:rFonts w:cs="Times New Roman"/>
          <w:color w:val="17365D"/>
        </w:rPr>
        <w:t xml:space="preserve">un šādos bilances </w:t>
      </w:r>
      <w:r w:rsidRPr="00A27896">
        <w:rPr>
          <w:rFonts w:cs="Times New Roman"/>
          <w:b/>
          <w:color w:val="17365D"/>
        </w:rPr>
        <w:t>pasīva posteņos:</w:t>
      </w:r>
    </w:p>
    <w:p w14:paraId="3C225407" w14:textId="307297D7" w:rsidR="00686079" w:rsidRPr="00A27896" w:rsidRDefault="00112B93" w:rsidP="00686079">
      <w:pPr>
        <w:spacing w:after="120" w:line="240" w:lineRule="auto"/>
        <w:ind w:firstLine="284"/>
        <w:jc w:val="both"/>
        <w:rPr>
          <w:rFonts w:cs="Times New Roman"/>
          <w:color w:val="17365D"/>
        </w:rPr>
      </w:pPr>
      <w:r w:rsidRPr="00A27896">
        <w:rPr>
          <w:rFonts w:cs="Times New Roman"/>
          <w:b/>
          <w:color w:val="17365D"/>
        </w:rPr>
        <w:t>“</w:t>
      </w:r>
      <w:r w:rsidR="00686079" w:rsidRPr="00A27896">
        <w:rPr>
          <w:rFonts w:cs="Times New Roman"/>
          <w:b/>
          <w:color w:val="17365D"/>
        </w:rPr>
        <w:t>Pašu kapitāls</w:t>
      </w:r>
      <w:r w:rsidRPr="00A27896">
        <w:rPr>
          <w:rFonts w:cs="Times New Roman"/>
          <w:b/>
          <w:color w:val="17365D"/>
        </w:rPr>
        <w:t>”</w:t>
      </w:r>
      <w:r w:rsidR="00686079" w:rsidRPr="00A27896">
        <w:rPr>
          <w:rFonts w:cs="Times New Roman"/>
          <w:color w:val="17365D"/>
        </w:rPr>
        <w:t xml:space="preserve"> konsolidēts bilances postenī:</w:t>
      </w:r>
    </w:p>
    <w:p w14:paraId="0BFE6E95" w14:textId="298A9065" w:rsidR="00686079" w:rsidRPr="00A27896" w:rsidRDefault="00686079" w:rsidP="00F954E8">
      <w:pPr>
        <w:numPr>
          <w:ilvl w:val="0"/>
          <w:numId w:val="5"/>
        </w:numPr>
        <w:spacing w:after="120" w:line="240" w:lineRule="auto"/>
        <w:ind w:left="850" w:hanging="357"/>
        <w:jc w:val="both"/>
        <w:rPr>
          <w:rFonts w:cs="Times New Roman"/>
          <w:color w:val="17365D"/>
        </w:rPr>
      </w:pPr>
      <w:r w:rsidRPr="00A27896">
        <w:rPr>
          <w:rFonts w:cs="Times New Roman"/>
          <w:b/>
          <w:color w:val="17365D"/>
        </w:rPr>
        <w:t>“Iepriekšējā pārskata gada budžeta izpildes rezultāts”</w:t>
      </w:r>
      <w:r w:rsidRPr="00A27896">
        <w:rPr>
          <w:rFonts w:cs="Times New Roman"/>
          <w:color w:val="17365D"/>
        </w:rPr>
        <w:t xml:space="preserve"> par iepriekšējā pārskata gadā veikto konsolidāciju bilances postenī “Pārskata gada budžeta izpildes rezultāts”;</w:t>
      </w:r>
    </w:p>
    <w:p w14:paraId="3AE4FC08" w14:textId="5A5C42EF" w:rsidR="00686079" w:rsidRPr="00A27896" w:rsidRDefault="00742076" w:rsidP="00F223A3">
      <w:pPr>
        <w:numPr>
          <w:ilvl w:val="0"/>
          <w:numId w:val="4"/>
        </w:numPr>
        <w:spacing w:after="120" w:line="240" w:lineRule="auto"/>
        <w:ind w:left="850" w:hanging="357"/>
        <w:jc w:val="both"/>
        <w:rPr>
          <w:rFonts w:cs="Times New Roman"/>
          <w:color w:val="17365D"/>
        </w:rPr>
      </w:pPr>
      <w:r w:rsidRPr="00A27896">
        <w:rPr>
          <w:rFonts w:cs="Times New Roman"/>
          <w:color w:val="17365D"/>
        </w:rPr>
        <w:t>“</w:t>
      </w:r>
      <w:r w:rsidRPr="00A27896">
        <w:rPr>
          <w:rFonts w:cs="Times New Roman"/>
          <w:b/>
          <w:color w:val="17365D"/>
        </w:rPr>
        <w:t>Pārskata gada budžeta izpildes rezultāts</w:t>
      </w:r>
      <w:r w:rsidRPr="00A27896">
        <w:rPr>
          <w:rFonts w:cs="Times New Roman"/>
          <w:color w:val="17365D"/>
        </w:rPr>
        <w:t>” par vispārējās valdības sektora ietvaros debitoru un kreditoru savstarpējo atlikumu konsolidācijas nodrošināšanai atzītajiem ieņēmumiem vai izdevumiem;</w:t>
      </w:r>
    </w:p>
    <w:p w14:paraId="54B96ADE" w14:textId="39BD8023" w:rsidR="00686079" w:rsidRPr="00A27896" w:rsidRDefault="00BA1F84" w:rsidP="00686079">
      <w:pPr>
        <w:spacing w:after="120" w:line="240" w:lineRule="auto"/>
        <w:ind w:left="426" w:hanging="142"/>
        <w:jc w:val="both"/>
        <w:rPr>
          <w:rFonts w:cs="Times New Roman"/>
          <w:color w:val="17365D"/>
        </w:rPr>
      </w:pPr>
      <w:r w:rsidRPr="00A27896">
        <w:rPr>
          <w:rFonts w:cs="Times New Roman"/>
          <w:b/>
          <w:color w:val="17365D"/>
        </w:rPr>
        <w:t xml:space="preserve"> </w:t>
      </w:r>
      <w:r w:rsidR="00686079" w:rsidRPr="00A27896">
        <w:rPr>
          <w:rFonts w:cs="Times New Roman"/>
          <w:b/>
          <w:color w:val="17365D"/>
        </w:rPr>
        <w:t>“Kreditori”</w:t>
      </w:r>
      <w:r w:rsidR="00686079" w:rsidRPr="00A27896">
        <w:rPr>
          <w:rFonts w:cs="Times New Roman"/>
          <w:color w:val="17365D"/>
        </w:rPr>
        <w:t xml:space="preserve"> bilances postenī:</w:t>
      </w:r>
    </w:p>
    <w:p w14:paraId="6845B35E" w14:textId="1D18D682" w:rsidR="00686079" w:rsidRPr="00A27896" w:rsidRDefault="00686079" w:rsidP="00F954E8">
      <w:pPr>
        <w:pStyle w:val="ListParagraph"/>
        <w:numPr>
          <w:ilvl w:val="0"/>
          <w:numId w:val="8"/>
        </w:numPr>
        <w:spacing w:after="120" w:line="240" w:lineRule="auto"/>
        <w:ind w:left="850" w:hanging="357"/>
        <w:jc w:val="both"/>
        <w:rPr>
          <w:rFonts w:cs="Times New Roman"/>
          <w:color w:val="17365D"/>
        </w:rPr>
      </w:pPr>
      <w:r w:rsidRPr="00A27896">
        <w:rPr>
          <w:rFonts w:cs="Times New Roman"/>
          <w:b/>
          <w:color w:val="17365D"/>
        </w:rPr>
        <w:t>“Ilgtermiņa saistības”</w:t>
      </w:r>
      <w:r w:rsidRPr="00A27896">
        <w:rPr>
          <w:rFonts w:cs="Times New Roman"/>
          <w:color w:val="17365D"/>
        </w:rPr>
        <w:t xml:space="preserve"> par valsts un pašvaldību budžeta iestāžu ilgtermiņa aizņēmumiem no valsts budžeta, par valsts budžeta iestāžu ilgtermiņa noguldījumiem Valsts kasē</w:t>
      </w:r>
      <w:r w:rsidR="00E14226" w:rsidRPr="00A27896">
        <w:rPr>
          <w:rFonts w:cs="Times New Roman"/>
          <w:color w:val="17365D"/>
        </w:rPr>
        <w:t xml:space="preserve"> </w:t>
      </w:r>
      <w:r w:rsidR="00E14226" w:rsidRPr="00A27896">
        <w:rPr>
          <w:rFonts w:cs="Times New Roman"/>
          <w:color w:val="17365D"/>
          <w:szCs w:val="24"/>
        </w:rPr>
        <w:t>un par to ilgtermiņa finanšu prasībām pret Valsts kasi par atlikto procentu maksājumu, kā arī</w:t>
      </w:r>
      <w:r w:rsidRPr="00A27896">
        <w:rPr>
          <w:rFonts w:cs="Times New Roman"/>
          <w:color w:val="17365D"/>
        </w:rPr>
        <w:t xml:space="preserve"> par valsts un pašvaldību budžeta iestāžu savstarpējām ilgtermiņa saistībām un attiecīgām prasībām;</w:t>
      </w:r>
    </w:p>
    <w:p w14:paraId="54FF0C7E" w14:textId="440DEEA4" w:rsidR="00686079" w:rsidRPr="00A27896" w:rsidRDefault="00686079" w:rsidP="00F954E8">
      <w:pPr>
        <w:pStyle w:val="ListParagraph"/>
        <w:numPr>
          <w:ilvl w:val="0"/>
          <w:numId w:val="8"/>
        </w:numPr>
        <w:spacing w:after="120" w:line="240" w:lineRule="auto"/>
        <w:ind w:left="850" w:hanging="357"/>
        <w:jc w:val="both"/>
        <w:rPr>
          <w:rFonts w:cs="Times New Roman"/>
          <w:color w:val="17365D"/>
        </w:rPr>
      </w:pPr>
      <w:r w:rsidRPr="00A27896">
        <w:rPr>
          <w:rFonts w:cs="Times New Roman"/>
          <w:b/>
          <w:color w:val="17365D"/>
        </w:rPr>
        <w:t>“Īstermiņa saistības”</w:t>
      </w:r>
      <w:r w:rsidRPr="00A27896">
        <w:rPr>
          <w:rFonts w:cs="Times New Roman"/>
          <w:color w:val="17365D"/>
        </w:rPr>
        <w:t xml:space="preserve"> par valsts un pašvaldību budžeta iestāžu īstermiņa aizņēmumiem no valsts budžeta, par valsts budžeta iestāžu īstermiņa noguldījumiem Valsts kasē, par </w:t>
      </w:r>
      <w:r w:rsidRPr="00A27896">
        <w:rPr>
          <w:rFonts w:cs="Times New Roman"/>
          <w:color w:val="17365D"/>
        </w:rPr>
        <w:lastRenderedPageBreak/>
        <w:t>valsts budžeta iestāžu, pašvaldību budžeta iestāžu, kā arī valsts un pašvaldību budžeta iestāžu savstarpējām saistībām un attiecīgām prasībām</w:t>
      </w:r>
      <w:r w:rsidR="009543CE" w:rsidRPr="00A27896">
        <w:rPr>
          <w:rFonts w:cs="Times New Roman"/>
          <w:color w:val="17365D"/>
        </w:rPr>
        <w:t xml:space="preserve">, t.sk. par </w:t>
      </w:r>
      <w:r w:rsidR="00745A4C" w:rsidRPr="00A27896">
        <w:rPr>
          <w:rFonts w:cs="Times New Roman"/>
          <w:color w:val="17365D"/>
        </w:rPr>
        <w:t>valsts budžeta finanšu uzskaitē</w:t>
      </w:r>
      <w:r w:rsidR="009543CE" w:rsidRPr="00A27896">
        <w:rPr>
          <w:rFonts w:cs="Times New Roman"/>
          <w:color w:val="17365D"/>
        </w:rPr>
        <w:t xml:space="preserve"> atzītajām saistībām pret valsts un pašvaldību budžeta iestādēm par naudas līdzekļu atlikumiem Valsts kasē</w:t>
      </w:r>
      <w:r w:rsidRPr="00A27896">
        <w:rPr>
          <w:rFonts w:cs="Times New Roman"/>
          <w:color w:val="17365D"/>
        </w:rPr>
        <w:t>.</w:t>
      </w:r>
    </w:p>
    <w:p w14:paraId="0AAD91B6" w14:textId="77777777" w:rsidR="00EB7776" w:rsidRPr="00A27896" w:rsidRDefault="00EB7776" w:rsidP="005519F3">
      <w:pPr>
        <w:spacing w:after="120" w:line="240" w:lineRule="auto"/>
        <w:jc w:val="both"/>
        <w:rPr>
          <w:rFonts w:cs="Times New Roman"/>
          <w:b/>
          <w:bCs/>
          <w:color w:val="17365D"/>
          <w:szCs w:val="24"/>
        </w:rPr>
      </w:pPr>
    </w:p>
    <w:p w14:paraId="0A5B288C" w14:textId="6F537BD4" w:rsidR="007D1C48" w:rsidRPr="00754873" w:rsidRDefault="005207DC" w:rsidP="005519F3">
      <w:pPr>
        <w:spacing w:after="120" w:line="240" w:lineRule="auto"/>
        <w:ind w:firstLine="284"/>
        <w:jc w:val="both"/>
        <w:rPr>
          <w:rFonts w:cs="Times New Roman"/>
          <w:b/>
          <w:color w:val="17365D"/>
          <w:szCs w:val="24"/>
        </w:rPr>
      </w:pPr>
      <w:r w:rsidRPr="00A27896">
        <w:rPr>
          <w:rFonts w:cs="Times New Roman"/>
          <w:color w:val="17365D"/>
          <w:szCs w:val="24"/>
        </w:rPr>
        <w:t xml:space="preserve">Konsolidētajā bilancē veikta korekcija </w:t>
      </w:r>
      <w:r w:rsidR="00EF7D26" w:rsidRPr="00A27896">
        <w:rPr>
          <w:rFonts w:cs="Times New Roman"/>
          <w:color w:val="17365D"/>
          <w:szCs w:val="24"/>
        </w:rPr>
        <w:t>(</w:t>
      </w:r>
      <w:r w:rsidR="00B25DE1" w:rsidRPr="00A27896">
        <w:rPr>
          <w:rFonts w:cs="Times New Roman"/>
          <w:color w:val="17365D"/>
          <w:szCs w:val="24"/>
        </w:rPr>
        <w:t>koriģējošie notikumi</w:t>
      </w:r>
      <w:r w:rsidR="00EF7D26" w:rsidRPr="00A27896">
        <w:rPr>
          <w:rFonts w:cs="Times New Roman"/>
          <w:color w:val="17365D"/>
          <w:szCs w:val="24"/>
        </w:rPr>
        <w:t xml:space="preserve"> pēc bilances datuma) bilances </w:t>
      </w:r>
      <w:r w:rsidR="00754873" w:rsidRPr="00754873">
        <w:rPr>
          <w:rFonts w:cs="Times New Roman"/>
          <w:b/>
          <w:color w:val="17365D"/>
          <w:szCs w:val="24"/>
        </w:rPr>
        <w:t xml:space="preserve">aktīva </w:t>
      </w:r>
      <w:r w:rsidR="00EF7D26" w:rsidRPr="00754873">
        <w:rPr>
          <w:rFonts w:cs="Times New Roman"/>
          <w:b/>
          <w:color w:val="17365D"/>
          <w:szCs w:val="24"/>
        </w:rPr>
        <w:t>posteņos</w:t>
      </w:r>
      <w:r w:rsidR="007D1C48" w:rsidRPr="00754873">
        <w:rPr>
          <w:rFonts w:cs="Times New Roman"/>
          <w:b/>
          <w:color w:val="17365D"/>
          <w:szCs w:val="24"/>
        </w:rPr>
        <w:t>:</w:t>
      </w:r>
    </w:p>
    <w:p w14:paraId="1BEE834E" w14:textId="67596DF5" w:rsidR="006B11E9" w:rsidRPr="006B11E9" w:rsidRDefault="007D1C48" w:rsidP="00705F6D">
      <w:pPr>
        <w:pStyle w:val="ListParagraph"/>
        <w:numPr>
          <w:ilvl w:val="0"/>
          <w:numId w:val="17"/>
        </w:numPr>
        <w:ind w:left="851" w:hanging="425"/>
        <w:jc w:val="both"/>
        <w:rPr>
          <w:rFonts w:cs="Times New Roman"/>
          <w:color w:val="17365D"/>
        </w:rPr>
      </w:pPr>
      <w:r w:rsidRPr="006B11E9">
        <w:rPr>
          <w:rFonts w:cs="Times New Roman"/>
          <w:b/>
          <w:color w:val="17365D"/>
          <w:szCs w:val="24"/>
        </w:rPr>
        <w:t>“Ilgtermiņa finanšu ieguldījumi</w:t>
      </w:r>
      <w:r w:rsidRPr="006B11E9">
        <w:rPr>
          <w:rFonts w:cs="Times New Roman"/>
          <w:b/>
          <w:color w:val="17365D"/>
        </w:rPr>
        <w:t>”</w:t>
      </w:r>
      <w:r w:rsidRPr="006B11E9">
        <w:rPr>
          <w:rFonts w:cs="Times New Roman"/>
          <w:b/>
          <w:color w:val="17365D"/>
          <w:szCs w:val="24"/>
        </w:rPr>
        <w:t xml:space="preserve"> </w:t>
      </w:r>
      <w:r w:rsidRPr="006B11E9">
        <w:rPr>
          <w:rFonts w:cs="Times New Roman"/>
          <w:color w:val="17365D"/>
          <w:szCs w:val="24"/>
        </w:rPr>
        <w:t xml:space="preserve">par </w:t>
      </w:r>
      <w:r w:rsidR="006B11E9" w:rsidRPr="006B11E9">
        <w:rPr>
          <w:rFonts w:cs="Times New Roman"/>
          <w:color w:val="17365D"/>
          <w:szCs w:val="24"/>
        </w:rPr>
        <w:t>ministriju un centrālo valsts iestāžu un pašvaldību atzītiem ieguldījumiem kapitālsabiedrību pašu kapitālā, kur valstij un pašvaldībām kopā pieder 20,001 % un vairāk kapitāla daļu,</w:t>
      </w:r>
      <w:r w:rsidRPr="006B11E9">
        <w:rPr>
          <w:rFonts w:cs="Times New Roman"/>
          <w:color w:val="17365D"/>
        </w:rPr>
        <w:t xml:space="preserve"> </w:t>
      </w:r>
      <w:r w:rsidR="000F2AF2">
        <w:rPr>
          <w:rFonts w:cs="Times New Roman"/>
          <w:color w:val="17365D"/>
        </w:rPr>
        <w:t xml:space="preserve">to </w:t>
      </w:r>
      <w:r w:rsidRPr="006B11E9">
        <w:rPr>
          <w:rFonts w:cs="Times New Roman"/>
          <w:color w:val="17365D"/>
        </w:rPr>
        <w:t>bilances posteņ</w:t>
      </w:r>
      <w:r w:rsidR="000F2AF2">
        <w:rPr>
          <w:rFonts w:cs="Times New Roman"/>
          <w:color w:val="17365D"/>
        </w:rPr>
        <w:t>u</w:t>
      </w:r>
      <w:r w:rsidRPr="006B11E9">
        <w:rPr>
          <w:rFonts w:cs="Times New Roman"/>
          <w:color w:val="17365D"/>
        </w:rPr>
        <w:t xml:space="preserve"> </w:t>
      </w:r>
      <w:r w:rsidR="006B11E9" w:rsidRPr="006B11E9">
        <w:rPr>
          <w:rFonts w:cs="Times New Roman"/>
          <w:color w:val="17365D"/>
        </w:rPr>
        <w:t>atlikumi pārskata perioda beigās un pārskata perioda sākumā pārrēķināti saskaņā ar auditētiem kapitālsabiedrību datiem, pielietojot pašu kapitāla metodi;</w:t>
      </w:r>
    </w:p>
    <w:p w14:paraId="59369B00" w14:textId="66215012" w:rsidR="00FB19C3" w:rsidRPr="00754873" w:rsidRDefault="00EF7D26" w:rsidP="00705F6D">
      <w:pPr>
        <w:pStyle w:val="ListParagraph"/>
        <w:numPr>
          <w:ilvl w:val="0"/>
          <w:numId w:val="17"/>
        </w:numPr>
        <w:spacing w:after="120" w:line="240" w:lineRule="auto"/>
        <w:ind w:left="851" w:hanging="425"/>
        <w:jc w:val="both"/>
        <w:rPr>
          <w:rFonts w:cs="Times New Roman"/>
          <w:color w:val="17365D"/>
        </w:rPr>
      </w:pPr>
      <w:r w:rsidRPr="007D1C48">
        <w:rPr>
          <w:rFonts w:cs="Times New Roman"/>
          <w:b/>
          <w:color w:val="17365D"/>
          <w:szCs w:val="24"/>
        </w:rPr>
        <w:t xml:space="preserve">“Īstermiņa prasības” </w:t>
      </w:r>
      <w:r w:rsidRPr="007D1C48">
        <w:rPr>
          <w:rFonts w:cs="Times New Roman"/>
          <w:color w:val="17365D"/>
          <w:szCs w:val="24"/>
        </w:rPr>
        <w:t>un</w:t>
      </w:r>
      <w:r w:rsidRPr="007D1C48">
        <w:rPr>
          <w:rFonts w:cs="Times New Roman"/>
          <w:b/>
          <w:color w:val="17365D"/>
          <w:szCs w:val="24"/>
        </w:rPr>
        <w:t xml:space="preserve"> “Īstermiņa saistības” </w:t>
      </w:r>
      <w:r w:rsidR="005207DC" w:rsidRPr="007D1C48">
        <w:rPr>
          <w:rFonts w:cs="Times New Roman"/>
          <w:color w:val="17365D"/>
          <w:szCs w:val="24"/>
        </w:rPr>
        <w:t xml:space="preserve">par pārskata gadā </w:t>
      </w:r>
      <w:r w:rsidR="00EB7776" w:rsidRPr="007D1C48">
        <w:rPr>
          <w:rFonts w:cs="Times New Roman"/>
          <w:color w:val="17365D"/>
          <w:szCs w:val="24"/>
        </w:rPr>
        <w:t xml:space="preserve">valsts un pašvaldību budžeta iestāžu </w:t>
      </w:r>
      <w:r w:rsidRPr="007D1C48">
        <w:rPr>
          <w:rFonts w:cs="Times New Roman"/>
          <w:color w:val="17365D"/>
          <w:szCs w:val="24"/>
        </w:rPr>
        <w:t xml:space="preserve">pārskatos neuzrādītajām </w:t>
      </w:r>
      <w:r w:rsidR="00EB7776" w:rsidRPr="007D1C48">
        <w:rPr>
          <w:rFonts w:cs="Times New Roman"/>
          <w:color w:val="17365D"/>
          <w:szCs w:val="24"/>
        </w:rPr>
        <w:t>p</w:t>
      </w:r>
      <w:r w:rsidRPr="007D1C48">
        <w:rPr>
          <w:rFonts w:cs="Times New Roman"/>
          <w:color w:val="17365D"/>
          <w:szCs w:val="24"/>
        </w:rPr>
        <w:t>rasībām</w:t>
      </w:r>
      <w:r w:rsidR="00EB7776" w:rsidRPr="007D1C48">
        <w:rPr>
          <w:rFonts w:cs="Times New Roman"/>
          <w:color w:val="17365D"/>
          <w:szCs w:val="24"/>
        </w:rPr>
        <w:t xml:space="preserve"> par avansā veikto iedzīvotāju ienākuma nodok</w:t>
      </w:r>
      <w:r w:rsidRPr="007D1C48">
        <w:rPr>
          <w:rFonts w:cs="Times New Roman"/>
          <w:color w:val="17365D"/>
          <w:szCs w:val="24"/>
        </w:rPr>
        <w:t>li</w:t>
      </w:r>
      <w:r w:rsidR="00EB7776" w:rsidRPr="007D1C48">
        <w:rPr>
          <w:rFonts w:cs="Times New Roman"/>
          <w:color w:val="17365D"/>
          <w:szCs w:val="24"/>
        </w:rPr>
        <w:t xml:space="preserve"> un valsts sociālās apdrošināšanas obligāt</w:t>
      </w:r>
      <w:r w:rsidR="00A5389F" w:rsidRPr="007D1C48">
        <w:rPr>
          <w:rFonts w:cs="Times New Roman"/>
          <w:color w:val="17365D"/>
          <w:szCs w:val="24"/>
        </w:rPr>
        <w:t>ām</w:t>
      </w:r>
      <w:r w:rsidR="00EB7776" w:rsidRPr="007D1C48">
        <w:rPr>
          <w:rFonts w:cs="Times New Roman"/>
          <w:color w:val="17365D"/>
          <w:szCs w:val="24"/>
        </w:rPr>
        <w:t xml:space="preserve"> iemaks</w:t>
      </w:r>
      <w:r w:rsidR="00A5389F" w:rsidRPr="007D1C48">
        <w:rPr>
          <w:rFonts w:cs="Times New Roman"/>
          <w:color w:val="17365D"/>
          <w:szCs w:val="24"/>
        </w:rPr>
        <w:t>ām</w:t>
      </w:r>
      <w:r w:rsidRPr="007D1C48">
        <w:rPr>
          <w:rFonts w:cs="Times New Roman"/>
          <w:color w:val="17365D"/>
          <w:szCs w:val="24"/>
        </w:rPr>
        <w:t xml:space="preserve"> un saistību atjaunošanu</w:t>
      </w:r>
      <w:r w:rsidR="00EB7776" w:rsidRPr="007D1C48">
        <w:rPr>
          <w:rFonts w:cs="Times New Roman"/>
          <w:color w:val="17365D"/>
          <w:szCs w:val="24"/>
        </w:rPr>
        <w:t xml:space="preserve"> līdz normatīvajos aktos noteiktajam saistību dzēšanas termiņam</w:t>
      </w:r>
      <w:r w:rsidR="007D1C48">
        <w:rPr>
          <w:rFonts w:cs="Times New Roman"/>
          <w:color w:val="17365D"/>
          <w:szCs w:val="24"/>
        </w:rPr>
        <w:t>;</w:t>
      </w:r>
    </w:p>
    <w:p w14:paraId="6E4FB0A4" w14:textId="7F2B835F" w:rsidR="00121381" w:rsidRDefault="00121381" w:rsidP="0049135D">
      <w:pPr>
        <w:spacing w:after="120" w:line="240" w:lineRule="auto"/>
        <w:jc w:val="both"/>
        <w:rPr>
          <w:rFonts w:cs="Times New Roman"/>
          <w:b/>
          <w:color w:val="17365D"/>
          <w:szCs w:val="24"/>
        </w:rPr>
      </w:pPr>
      <w:r w:rsidRPr="00A27896">
        <w:rPr>
          <w:rFonts w:cs="Times New Roman"/>
          <w:b/>
          <w:color w:val="17365D"/>
          <w:szCs w:val="24"/>
        </w:rPr>
        <w:t>pasīva posteņos:</w:t>
      </w:r>
    </w:p>
    <w:p w14:paraId="0BD69D7B" w14:textId="28DDD85D" w:rsidR="00754873" w:rsidRPr="00A27896" w:rsidRDefault="00754873" w:rsidP="00754873">
      <w:pPr>
        <w:pStyle w:val="ListParagraph"/>
        <w:numPr>
          <w:ilvl w:val="0"/>
          <w:numId w:val="8"/>
        </w:numPr>
        <w:spacing w:after="120" w:line="240" w:lineRule="auto"/>
        <w:ind w:left="850" w:hanging="357"/>
        <w:jc w:val="both"/>
        <w:rPr>
          <w:rFonts w:cs="Times New Roman"/>
          <w:b/>
          <w:color w:val="17365D"/>
          <w:szCs w:val="24"/>
        </w:rPr>
      </w:pPr>
      <w:r>
        <w:rPr>
          <w:rFonts w:cs="Times New Roman"/>
          <w:b/>
          <w:color w:val="17365D"/>
          <w:szCs w:val="24"/>
        </w:rPr>
        <w:t xml:space="preserve">“Rezerves” </w:t>
      </w:r>
      <w:r w:rsidRPr="00A27896">
        <w:rPr>
          <w:rFonts w:cs="Times New Roman"/>
          <w:color w:val="17365D"/>
          <w:szCs w:val="24"/>
        </w:rPr>
        <w:t xml:space="preserve">par </w:t>
      </w:r>
      <w:r w:rsidR="000F2AF2">
        <w:rPr>
          <w:rFonts w:cs="Times New Roman"/>
          <w:color w:val="17365D"/>
          <w:szCs w:val="24"/>
        </w:rPr>
        <w:t xml:space="preserve">ministriju </w:t>
      </w:r>
      <w:r w:rsidRPr="00A27896">
        <w:rPr>
          <w:rFonts w:cs="Times New Roman"/>
          <w:color w:val="17365D"/>
          <w:szCs w:val="24"/>
        </w:rPr>
        <w:t xml:space="preserve">bilances postenī “Rezerves” atzītiem iepriekšējā saimnieciskā </w:t>
      </w:r>
      <w:r>
        <w:rPr>
          <w:rFonts w:cs="Times New Roman"/>
          <w:color w:val="17365D"/>
          <w:szCs w:val="24"/>
        </w:rPr>
        <w:t xml:space="preserve">gada un </w:t>
      </w:r>
      <w:r w:rsidRPr="00A27896">
        <w:rPr>
          <w:rFonts w:cs="Times New Roman"/>
          <w:color w:val="17365D"/>
          <w:szCs w:val="24"/>
        </w:rPr>
        <w:t>saimnieciskā gada koriģējošiem notikumiem pēc bilances datuma;</w:t>
      </w:r>
    </w:p>
    <w:p w14:paraId="534F19A7" w14:textId="46CB40DB" w:rsidR="00121381" w:rsidRPr="00A27896" w:rsidRDefault="00754873" w:rsidP="00603FE0">
      <w:pPr>
        <w:pStyle w:val="ListParagraph"/>
        <w:numPr>
          <w:ilvl w:val="0"/>
          <w:numId w:val="8"/>
        </w:numPr>
        <w:spacing w:after="120" w:line="240" w:lineRule="auto"/>
        <w:ind w:left="850" w:hanging="357"/>
        <w:jc w:val="both"/>
        <w:rPr>
          <w:rFonts w:cs="Times New Roman"/>
          <w:b/>
          <w:color w:val="17365D"/>
          <w:szCs w:val="24"/>
        </w:rPr>
      </w:pPr>
      <w:r w:rsidRPr="00A27896">
        <w:rPr>
          <w:rFonts w:cs="Times New Roman"/>
          <w:color w:val="17365D"/>
          <w:szCs w:val="24"/>
        </w:rPr>
        <w:t xml:space="preserve"> </w:t>
      </w:r>
      <w:r w:rsidR="00121381" w:rsidRPr="00A27896">
        <w:rPr>
          <w:rFonts w:cs="Times New Roman"/>
          <w:color w:val="17365D"/>
          <w:szCs w:val="24"/>
        </w:rPr>
        <w:t>“</w:t>
      </w:r>
      <w:r w:rsidR="00121381" w:rsidRPr="00A27896">
        <w:rPr>
          <w:rFonts w:cs="Times New Roman"/>
          <w:b/>
          <w:color w:val="17365D"/>
          <w:szCs w:val="24"/>
        </w:rPr>
        <w:t>Iepriekšējā pārskata gada budžeta izpildes rezultāts”</w:t>
      </w:r>
      <w:r w:rsidR="00E84780" w:rsidRPr="00A27896">
        <w:rPr>
          <w:rFonts w:cs="Times New Roman"/>
          <w:b/>
          <w:color w:val="17365D"/>
          <w:szCs w:val="24"/>
        </w:rPr>
        <w:t xml:space="preserve"> </w:t>
      </w:r>
      <w:r w:rsidR="00E84780" w:rsidRPr="00A27896">
        <w:rPr>
          <w:rFonts w:cs="Times New Roman"/>
          <w:color w:val="17365D"/>
          <w:szCs w:val="24"/>
        </w:rPr>
        <w:t>par koriģējošo notikumu pēc bilances datuma iepriekšējā pārskata gada budžeta izpildes rezultāta atlikuma pārnesi</w:t>
      </w:r>
      <w:r w:rsidR="009C1C11">
        <w:rPr>
          <w:rFonts w:cs="Times New Roman"/>
          <w:color w:val="17365D"/>
          <w:szCs w:val="24"/>
        </w:rPr>
        <w:t xml:space="preserve"> un iepriekšējo pārskata gadu budžeta izpildes rezultāta korekciju atzīstot rezerves</w:t>
      </w:r>
      <w:r w:rsidR="00121381" w:rsidRPr="00A27896">
        <w:rPr>
          <w:rFonts w:cs="Times New Roman"/>
          <w:b/>
          <w:color w:val="17365D"/>
          <w:szCs w:val="24"/>
        </w:rPr>
        <w:t>;</w:t>
      </w:r>
    </w:p>
    <w:p w14:paraId="32E91492" w14:textId="53A82B85" w:rsidR="00A54F00" w:rsidRPr="00A27896" w:rsidRDefault="00121381" w:rsidP="00603FE0">
      <w:pPr>
        <w:pStyle w:val="ListParagraph"/>
        <w:numPr>
          <w:ilvl w:val="0"/>
          <w:numId w:val="8"/>
        </w:numPr>
        <w:spacing w:after="120" w:line="240" w:lineRule="auto"/>
        <w:ind w:left="850" w:hanging="357"/>
        <w:jc w:val="both"/>
        <w:rPr>
          <w:rFonts w:cs="Times New Roman"/>
          <w:color w:val="17365D"/>
        </w:rPr>
      </w:pPr>
      <w:r w:rsidRPr="00A27896">
        <w:rPr>
          <w:rFonts w:cs="Times New Roman"/>
          <w:b/>
          <w:color w:val="17365D"/>
          <w:szCs w:val="24"/>
        </w:rPr>
        <w:t>“Pārskata gada budžeta izpildes rezultāts”</w:t>
      </w:r>
      <w:r w:rsidR="00E84780" w:rsidRPr="00A27896">
        <w:rPr>
          <w:rFonts w:cs="Times New Roman"/>
          <w:color w:val="17365D"/>
        </w:rPr>
        <w:t xml:space="preserve"> </w:t>
      </w:r>
      <w:r w:rsidR="00E84780" w:rsidRPr="00A27896">
        <w:rPr>
          <w:rFonts w:cs="Times New Roman"/>
          <w:color w:val="17365D"/>
          <w:szCs w:val="24"/>
        </w:rPr>
        <w:t>par koriģējošo notikumu pēc bilances datuma pārskata gada budžeta izpildes rezultātu</w:t>
      </w:r>
      <w:r w:rsidR="00A54F00" w:rsidRPr="00A27896">
        <w:rPr>
          <w:rFonts w:cs="Times New Roman"/>
          <w:b/>
          <w:color w:val="17365D"/>
          <w:szCs w:val="24"/>
        </w:rPr>
        <w:t>.</w:t>
      </w:r>
    </w:p>
    <w:p w14:paraId="1BFD18B1" w14:textId="2774312B" w:rsidR="00D47A28" w:rsidRPr="00A27896" w:rsidRDefault="009B5CBC" w:rsidP="003F63FE">
      <w:pPr>
        <w:spacing w:after="120" w:line="240" w:lineRule="auto"/>
        <w:ind w:firstLine="284"/>
        <w:jc w:val="both"/>
        <w:rPr>
          <w:rFonts w:cs="Times New Roman"/>
          <w:color w:val="17365D"/>
        </w:rPr>
      </w:pPr>
      <w:r w:rsidRPr="00A27896">
        <w:rPr>
          <w:rFonts w:cs="Times New Roman"/>
          <w:color w:val="17365D"/>
          <w:szCs w:val="24"/>
        </w:rPr>
        <w:t xml:space="preserve">Konsolidētajā bilancē veikta </w:t>
      </w:r>
      <w:r w:rsidR="008D2039" w:rsidRPr="00A27896">
        <w:rPr>
          <w:rFonts w:cs="Times New Roman"/>
          <w:color w:val="17365D"/>
          <w:szCs w:val="24"/>
        </w:rPr>
        <w:t xml:space="preserve">salīdzinošās informācijas par </w:t>
      </w:r>
      <w:r w:rsidR="00A54F00" w:rsidRPr="00A27896">
        <w:rPr>
          <w:rFonts w:cs="Times New Roman"/>
          <w:color w:val="17365D"/>
          <w:szCs w:val="24"/>
        </w:rPr>
        <w:t xml:space="preserve">valsts budžeta finanšu uzskaites, </w:t>
      </w:r>
      <w:r w:rsidR="008D2039" w:rsidRPr="00A27896">
        <w:rPr>
          <w:rFonts w:cs="Times New Roman"/>
          <w:color w:val="17365D"/>
          <w:szCs w:val="24"/>
        </w:rPr>
        <w:t>ministriju, centrālo valsts iestāžu un pašvaldību bilances posteņu atlikumiem korekcija</w:t>
      </w:r>
      <w:r w:rsidR="00C167F8" w:rsidRPr="00A27896">
        <w:rPr>
          <w:rFonts w:cs="Times New Roman"/>
          <w:color w:val="17365D"/>
          <w:szCs w:val="24"/>
        </w:rPr>
        <w:t xml:space="preserve"> atbilstoši</w:t>
      </w:r>
      <w:r w:rsidR="00222B22" w:rsidRPr="00A27896">
        <w:rPr>
          <w:rFonts w:cs="Times New Roman"/>
          <w:color w:val="17365D"/>
          <w:szCs w:val="24"/>
        </w:rPr>
        <w:t xml:space="preserve"> </w:t>
      </w:r>
      <w:r w:rsidR="00C167F8" w:rsidRPr="00A27896">
        <w:rPr>
          <w:rFonts w:cs="Times New Roman"/>
          <w:color w:val="17365D"/>
          <w:szCs w:val="24"/>
        </w:rPr>
        <w:t xml:space="preserve">to </w:t>
      </w:r>
      <w:r w:rsidR="00222B22" w:rsidRPr="00A27896">
        <w:rPr>
          <w:rFonts w:cs="Times New Roman"/>
          <w:color w:val="17365D"/>
          <w:szCs w:val="24"/>
        </w:rPr>
        <w:t>iepriekšējos pe</w:t>
      </w:r>
      <w:r w:rsidR="008E4455" w:rsidRPr="00A27896">
        <w:rPr>
          <w:rFonts w:cs="Times New Roman"/>
          <w:color w:val="17365D"/>
          <w:szCs w:val="24"/>
        </w:rPr>
        <w:t>riodos konstatēto kļūdu labojumiem, nor</w:t>
      </w:r>
      <w:r w:rsidR="00C167F8" w:rsidRPr="00A27896">
        <w:rPr>
          <w:rFonts w:cs="Times New Roman"/>
          <w:color w:val="17365D"/>
          <w:szCs w:val="24"/>
        </w:rPr>
        <w:t>ādīšanas un klasifikācijas maiņai</w:t>
      </w:r>
      <w:r w:rsidR="00222B22" w:rsidRPr="00A27896">
        <w:rPr>
          <w:rFonts w:cs="Times New Roman"/>
          <w:color w:val="17365D"/>
          <w:szCs w:val="24"/>
        </w:rPr>
        <w:t>.</w:t>
      </w:r>
      <w:r w:rsidR="00222B22" w:rsidRPr="00A27896" w:rsidDel="00222B22">
        <w:rPr>
          <w:rFonts w:cs="Times New Roman"/>
          <w:color w:val="17365D"/>
        </w:rPr>
        <w:t xml:space="preserve"> </w:t>
      </w:r>
    </w:p>
    <w:p w14:paraId="578F1477" w14:textId="6656EF0F" w:rsidR="00686079" w:rsidRPr="00A27896" w:rsidRDefault="00686079" w:rsidP="00514FA7">
      <w:pPr>
        <w:spacing w:after="120" w:line="240" w:lineRule="auto"/>
        <w:ind w:firstLine="284"/>
        <w:jc w:val="both"/>
        <w:rPr>
          <w:rFonts w:cs="Times New Roman"/>
          <w:color w:val="17365D"/>
        </w:rPr>
      </w:pPr>
      <w:r w:rsidRPr="00A27896">
        <w:rPr>
          <w:rFonts w:cs="Times New Roman"/>
          <w:color w:val="17365D"/>
        </w:rPr>
        <w:t>Informācija par bilancē konsolidētiem atlikumiem pārskata gadā un salīdzinošā informācija pārskata gada sākum</w:t>
      </w:r>
      <w:r w:rsidR="00514FA7" w:rsidRPr="00A27896">
        <w:rPr>
          <w:rFonts w:cs="Times New Roman"/>
          <w:color w:val="17365D"/>
        </w:rPr>
        <w:t>ā</w:t>
      </w:r>
      <w:r w:rsidRPr="00A27896">
        <w:rPr>
          <w:rFonts w:cs="Times New Roman"/>
          <w:color w:val="17365D"/>
        </w:rPr>
        <w:t xml:space="preserve"> sniegta</w:t>
      </w:r>
      <w:r w:rsidR="00D76DAA" w:rsidRPr="00A27896">
        <w:rPr>
          <w:rFonts w:cs="Times New Roman"/>
          <w:color w:val="17365D"/>
        </w:rPr>
        <w:t xml:space="preserve"> </w:t>
      </w:r>
      <w:r w:rsidR="00CD3525" w:rsidRPr="00A27896">
        <w:rPr>
          <w:rFonts w:cs="Times New Roman"/>
          <w:color w:val="17365D"/>
        </w:rPr>
        <w:t>4</w:t>
      </w:r>
      <w:r w:rsidR="00D66973" w:rsidRPr="00A27896">
        <w:rPr>
          <w:rFonts w:cs="Times New Roman"/>
          <w:color w:val="17365D"/>
        </w:rPr>
        <w:t>0</w:t>
      </w:r>
      <w:r w:rsidR="00CD3525" w:rsidRPr="00A27896">
        <w:rPr>
          <w:rFonts w:cs="Times New Roman"/>
          <w:color w:val="17365D"/>
        </w:rPr>
        <w:t>.</w:t>
      </w:r>
      <w:r w:rsidR="00D2147C" w:rsidRPr="00A27896">
        <w:rPr>
          <w:rFonts w:cs="Times New Roman"/>
          <w:color w:val="17365D"/>
        </w:rPr>
        <w:t xml:space="preserve"> </w:t>
      </w:r>
      <w:r w:rsidR="00CD3525" w:rsidRPr="00A27896">
        <w:rPr>
          <w:rFonts w:cs="Times New Roman"/>
          <w:color w:val="17365D"/>
        </w:rPr>
        <w:t>tabulā</w:t>
      </w:r>
      <w:r w:rsidRPr="00A27896">
        <w:rPr>
          <w:rFonts w:cs="Times New Roman"/>
          <w:color w:val="17365D"/>
        </w:rPr>
        <w:t>.</w:t>
      </w:r>
    </w:p>
    <w:p w14:paraId="3FA4F4BC" w14:textId="707A28BE" w:rsidR="00C77E2A" w:rsidRPr="00A27896" w:rsidRDefault="00C77E2A" w:rsidP="00514FA7">
      <w:pPr>
        <w:spacing w:after="120" w:line="240" w:lineRule="auto"/>
        <w:ind w:firstLine="284"/>
        <w:jc w:val="both"/>
        <w:rPr>
          <w:rFonts w:cs="Times New Roman"/>
          <w:color w:val="17365D"/>
        </w:rPr>
      </w:pPr>
    </w:p>
    <w:p w14:paraId="3DCC9FA7" w14:textId="3DF34614" w:rsidR="0000105F" w:rsidRPr="00A27896" w:rsidRDefault="0000105F" w:rsidP="0000105F">
      <w:pPr>
        <w:spacing w:after="120" w:line="240" w:lineRule="auto"/>
        <w:jc w:val="both"/>
        <w:rPr>
          <w:rFonts w:cs="Times New Roman"/>
          <w:color w:val="17365D"/>
        </w:rPr>
        <w:sectPr w:rsidR="0000105F" w:rsidRPr="00A27896" w:rsidSect="00AC7FDB">
          <w:headerReference w:type="default" r:id="rId14"/>
          <w:footerReference w:type="default" r:id="rId15"/>
          <w:footerReference w:type="first" r:id="rId16"/>
          <w:pgSz w:w="11906" w:h="16838" w:code="9"/>
          <w:pgMar w:top="1134" w:right="851" w:bottom="1134" w:left="1701" w:header="567" w:footer="567" w:gutter="0"/>
          <w:pgNumType w:start="13"/>
          <w:cols w:space="708"/>
          <w:titlePg/>
          <w:docGrid w:linePitch="360"/>
        </w:sectPr>
      </w:pPr>
    </w:p>
    <w:p w14:paraId="5C28B5E1" w14:textId="70B7909D" w:rsidR="00514FA7" w:rsidRPr="00A27896" w:rsidRDefault="00CD3525" w:rsidP="000B5A76">
      <w:pPr>
        <w:pStyle w:val="Tabulasnosaukums1"/>
        <w:spacing w:before="0" w:line="240" w:lineRule="auto"/>
        <w:ind w:right="-4961"/>
        <w:rPr>
          <w:rFonts w:eastAsia="Arial Unicode MS" w:cs="Times New Roman"/>
          <w:i/>
          <w:color w:val="17365D"/>
        </w:rPr>
      </w:pPr>
      <w:r w:rsidRPr="00A27896">
        <w:rPr>
          <w:rFonts w:eastAsia="Arial Unicode MS" w:cs="Times New Roman"/>
          <w:i/>
          <w:color w:val="17365D"/>
        </w:rPr>
        <w:lastRenderedPageBreak/>
        <w:t>4</w:t>
      </w:r>
      <w:r w:rsidR="006C1AA7" w:rsidRPr="00A27896">
        <w:rPr>
          <w:rFonts w:eastAsia="Arial Unicode MS" w:cs="Times New Roman"/>
          <w:i/>
          <w:color w:val="17365D"/>
        </w:rPr>
        <w:t>0</w:t>
      </w:r>
      <w:r w:rsidRPr="00A27896">
        <w:rPr>
          <w:rFonts w:eastAsia="Arial Unicode MS" w:cs="Times New Roman"/>
          <w:i/>
          <w:color w:val="17365D"/>
        </w:rPr>
        <w:t>.</w:t>
      </w:r>
      <w:r w:rsidR="00D2147C" w:rsidRPr="00A27896">
        <w:rPr>
          <w:rFonts w:eastAsia="Arial Unicode MS" w:cs="Times New Roman"/>
          <w:i/>
          <w:color w:val="17365D"/>
        </w:rPr>
        <w:t xml:space="preserve"> </w:t>
      </w:r>
      <w:r w:rsidRPr="00A27896">
        <w:rPr>
          <w:rFonts w:eastAsia="Arial Unicode MS" w:cs="Times New Roman"/>
          <w:i/>
          <w:color w:val="17365D"/>
        </w:rPr>
        <w:t>tabula</w:t>
      </w:r>
      <w:r w:rsidR="00D76DAA" w:rsidRPr="00A27896">
        <w:rPr>
          <w:rFonts w:eastAsia="Arial Unicode MS" w:cs="Times New Roman"/>
          <w:i/>
          <w:color w:val="17365D"/>
        </w:rPr>
        <w:t xml:space="preserve">. </w:t>
      </w:r>
      <w:r w:rsidR="00514FA7" w:rsidRPr="00A27896">
        <w:rPr>
          <w:rFonts w:eastAsia="Arial Unicode MS" w:cs="Times New Roman"/>
          <w:i/>
          <w:color w:val="17365D"/>
        </w:rPr>
        <w:t xml:space="preserve">Konsolidētās bilances atlikumu </w:t>
      </w:r>
    </w:p>
    <w:p w14:paraId="0A32CDB1" w14:textId="1C7984C8" w:rsidR="008B112A" w:rsidRPr="00A27896" w:rsidRDefault="00514FA7" w:rsidP="000B5A76">
      <w:pPr>
        <w:pStyle w:val="Tabulasnosaukums1"/>
        <w:spacing w:before="0" w:line="240" w:lineRule="auto"/>
        <w:ind w:right="-4961"/>
        <w:rPr>
          <w:rFonts w:eastAsia="Arial Unicode MS" w:cs="Times New Roman"/>
          <w:i/>
          <w:color w:val="17365D"/>
        </w:rPr>
      </w:pPr>
      <w:r w:rsidRPr="00A27896">
        <w:rPr>
          <w:rFonts w:eastAsia="Arial Unicode MS" w:cs="Times New Roman"/>
          <w:i/>
          <w:color w:val="17365D"/>
        </w:rPr>
        <w:t xml:space="preserve">korekcija, konsolidācija un </w:t>
      </w:r>
      <w:r w:rsidR="00C167F8" w:rsidRPr="00A27896">
        <w:rPr>
          <w:rFonts w:eastAsia="Arial Unicode MS" w:cs="Times New Roman"/>
          <w:i/>
          <w:color w:val="17365D"/>
        </w:rPr>
        <w:t>salīdzinošās informācijas maiņa</w:t>
      </w:r>
      <w:r w:rsidRPr="00A27896">
        <w:rPr>
          <w:rFonts w:eastAsia="Arial Unicode MS" w:cs="Times New Roman"/>
          <w:i/>
          <w:color w:val="17365D"/>
        </w:rPr>
        <w:t xml:space="preserve"> (</w:t>
      </w:r>
      <w:proofErr w:type="spellStart"/>
      <w:r w:rsidRPr="00A27896">
        <w:rPr>
          <w:rFonts w:eastAsia="Arial Unicode MS" w:cs="Times New Roman"/>
          <w:i/>
          <w:color w:val="17365D"/>
        </w:rPr>
        <w:t>euro</w:t>
      </w:r>
      <w:proofErr w:type="spellEnd"/>
      <w:r w:rsidRPr="00A27896">
        <w:rPr>
          <w:rFonts w:eastAsia="Arial Unicode MS" w:cs="Times New Roman"/>
          <w:i/>
          <w:color w:val="17365D"/>
        </w:rPr>
        <w:t>)</w:t>
      </w:r>
    </w:p>
    <w:tbl>
      <w:tblPr>
        <w:tblW w:w="16316" w:type="dxa"/>
        <w:tblInd w:w="-5" w:type="dxa"/>
        <w:tblLook w:val="04A0" w:firstRow="1" w:lastRow="0" w:firstColumn="1" w:lastColumn="0" w:noHBand="0" w:noVBand="1"/>
      </w:tblPr>
      <w:tblGrid>
        <w:gridCol w:w="4258"/>
        <w:gridCol w:w="1273"/>
        <w:gridCol w:w="1274"/>
        <w:gridCol w:w="1417"/>
        <w:gridCol w:w="1416"/>
        <w:gridCol w:w="1423"/>
        <w:gridCol w:w="1418"/>
        <w:gridCol w:w="1380"/>
        <w:gridCol w:w="37"/>
        <w:gridCol w:w="1139"/>
        <w:gridCol w:w="1281"/>
      </w:tblGrid>
      <w:tr w:rsidR="000C1009" w:rsidRPr="00A27896" w14:paraId="7CE2CB72" w14:textId="77777777" w:rsidTr="00CA5792">
        <w:trPr>
          <w:gridAfter w:val="1"/>
          <w:wAfter w:w="1281" w:type="dxa"/>
          <w:trHeight w:val="242"/>
          <w:tblHeader/>
        </w:trPr>
        <w:tc>
          <w:tcPr>
            <w:tcW w:w="4258" w:type="dxa"/>
            <w:tcBorders>
              <w:bottom w:val="single" w:sz="4" w:space="0" w:color="17365D"/>
            </w:tcBorders>
            <w:shd w:val="clear" w:color="auto" w:fill="B8CCE4" w:themeFill="accent1" w:themeFillTint="66"/>
            <w:vAlign w:val="center"/>
            <w:hideMark/>
          </w:tcPr>
          <w:p w14:paraId="1D9F92C4" w14:textId="102F85F5" w:rsidR="006178D3" w:rsidRPr="00A27896" w:rsidRDefault="006178D3" w:rsidP="00B1596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Posteņa nosaukums</w:t>
            </w:r>
          </w:p>
        </w:tc>
        <w:tc>
          <w:tcPr>
            <w:tcW w:w="2547" w:type="dxa"/>
            <w:gridSpan w:val="2"/>
            <w:tcBorders>
              <w:bottom w:val="single" w:sz="4" w:space="0" w:color="17365D"/>
            </w:tcBorders>
            <w:shd w:val="clear" w:color="auto" w:fill="B8CCE4" w:themeFill="accent1" w:themeFillTint="66"/>
            <w:vAlign w:val="center"/>
            <w:hideMark/>
          </w:tcPr>
          <w:p w14:paraId="0DCE2526" w14:textId="77777777" w:rsidR="006178D3" w:rsidRPr="00A27896" w:rsidRDefault="006178D3" w:rsidP="00B1596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Korekcija</w:t>
            </w:r>
          </w:p>
        </w:tc>
        <w:tc>
          <w:tcPr>
            <w:tcW w:w="2833" w:type="dxa"/>
            <w:gridSpan w:val="2"/>
            <w:tcBorders>
              <w:bottom w:val="single" w:sz="4" w:space="0" w:color="17365D"/>
            </w:tcBorders>
            <w:shd w:val="clear" w:color="auto" w:fill="B8CCE4" w:themeFill="accent1" w:themeFillTint="66"/>
            <w:vAlign w:val="center"/>
            <w:hideMark/>
          </w:tcPr>
          <w:p w14:paraId="3873E245" w14:textId="77777777" w:rsidR="006178D3" w:rsidRPr="00A27896" w:rsidRDefault="006178D3" w:rsidP="00B1596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Konsolidācija</w:t>
            </w:r>
          </w:p>
        </w:tc>
        <w:tc>
          <w:tcPr>
            <w:tcW w:w="2841" w:type="dxa"/>
            <w:gridSpan w:val="2"/>
            <w:tcBorders>
              <w:bottom w:val="single" w:sz="4" w:space="0" w:color="17365D"/>
            </w:tcBorders>
            <w:shd w:val="clear" w:color="auto" w:fill="B8CCE4" w:themeFill="accent1" w:themeFillTint="66"/>
            <w:vAlign w:val="center"/>
            <w:hideMark/>
          </w:tcPr>
          <w:p w14:paraId="50BC4523" w14:textId="77777777" w:rsidR="006178D3" w:rsidRPr="00A27896" w:rsidRDefault="006178D3" w:rsidP="00B1596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Notikumi pēc bilances datuma</w:t>
            </w:r>
          </w:p>
        </w:tc>
        <w:tc>
          <w:tcPr>
            <w:tcW w:w="2556" w:type="dxa"/>
            <w:gridSpan w:val="3"/>
            <w:tcBorders>
              <w:bottom w:val="single" w:sz="4" w:space="0" w:color="auto"/>
            </w:tcBorders>
            <w:shd w:val="clear" w:color="auto" w:fill="B8CCE4" w:themeFill="accent1" w:themeFillTint="66"/>
            <w:noWrap/>
            <w:vAlign w:val="center"/>
            <w:hideMark/>
          </w:tcPr>
          <w:p w14:paraId="61B521E9" w14:textId="6A9F2923" w:rsidR="006178D3" w:rsidRPr="00A27896" w:rsidRDefault="00CD3525" w:rsidP="00B1596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Salīdzinošās informācijas </w:t>
            </w:r>
            <w:r w:rsidR="006178D3" w:rsidRPr="00A27896">
              <w:rPr>
                <w:rFonts w:eastAsia="Times New Roman" w:cs="Times New Roman"/>
                <w:b/>
                <w:color w:val="17365D"/>
                <w:sz w:val="18"/>
                <w:szCs w:val="18"/>
                <w:lang w:eastAsia="lv-LV"/>
              </w:rPr>
              <w:t>maiņa</w:t>
            </w:r>
          </w:p>
        </w:tc>
      </w:tr>
      <w:tr w:rsidR="00685872" w:rsidRPr="00A27896" w14:paraId="707A575A" w14:textId="77777777" w:rsidTr="00CA5792">
        <w:trPr>
          <w:gridAfter w:val="1"/>
          <w:wAfter w:w="1281" w:type="dxa"/>
          <w:trHeight w:val="476"/>
          <w:tblHeader/>
        </w:trPr>
        <w:tc>
          <w:tcPr>
            <w:tcW w:w="4258" w:type="dxa"/>
            <w:tcBorders>
              <w:top w:val="single" w:sz="4" w:space="0" w:color="17365D"/>
              <w:bottom w:val="single" w:sz="4" w:space="0" w:color="17365D"/>
            </w:tcBorders>
            <w:shd w:val="clear" w:color="auto" w:fill="B8CCE4" w:themeFill="accent1" w:themeFillTint="66"/>
            <w:vAlign w:val="center"/>
            <w:hideMark/>
          </w:tcPr>
          <w:p w14:paraId="175DC138" w14:textId="3384BB3F" w:rsidR="00685872" w:rsidRPr="00A27896" w:rsidRDefault="00685872" w:rsidP="0068587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AKTĪVS</w:t>
            </w:r>
          </w:p>
        </w:tc>
        <w:tc>
          <w:tcPr>
            <w:tcW w:w="1273" w:type="dxa"/>
            <w:tcBorders>
              <w:top w:val="single" w:sz="4" w:space="0" w:color="17365D"/>
              <w:bottom w:val="single" w:sz="4" w:space="0" w:color="17365D"/>
            </w:tcBorders>
            <w:shd w:val="clear" w:color="auto" w:fill="B8CCE4" w:themeFill="accent1" w:themeFillTint="66"/>
            <w:vAlign w:val="center"/>
            <w:hideMark/>
          </w:tcPr>
          <w:p w14:paraId="02CA4A1A" w14:textId="2CF96C7F" w:rsidR="00685872" w:rsidRPr="00A27896" w:rsidRDefault="00685872" w:rsidP="0068587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beigās¹</w:t>
            </w:r>
          </w:p>
        </w:tc>
        <w:tc>
          <w:tcPr>
            <w:tcW w:w="1274" w:type="dxa"/>
            <w:tcBorders>
              <w:top w:val="single" w:sz="4" w:space="0" w:color="17365D"/>
              <w:bottom w:val="single" w:sz="4" w:space="0" w:color="17365D"/>
            </w:tcBorders>
            <w:shd w:val="clear" w:color="auto" w:fill="B8CCE4" w:themeFill="accent1" w:themeFillTint="66"/>
            <w:vAlign w:val="center"/>
            <w:hideMark/>
          </w:tcPr>
          <w:p w14:paraId="2589893C" w14:textId="77C40F23" w:rsidR="00685872" w:rsidRPr="00A27896" w:rsidRDefault="00685872" w:rsidP="0068587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1417" w:type="dxa"/>
            <w:tcBorders>
              <w:top w:val="single" w:sz="4" w:space="0" w:color="17365D"/>
              <w:bottom w:val="single" w:sz="4" w:space="0" w:color="17365D"/>
            </w:tcBorders>
            <w:shd w:val="clear" w:color="auto" w:fill="B8CCE4" w:themeFill="accent1" w:themeFillTint="66"/>
            <w:vAlign w:val="center"/>
            <w:hideMark/>
          </w:tcPr>
          <w:p w14:paraId="286288B6" w14:textId="3785AB19" w:rsidR="00685872" w:rsidRPr="00A27896" w:rsidRDefault="00685872" w:rsidP="0068587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beigās²</w:t>
            </w:r>
          </w:p>
        </w:tc>
        <w:tc>
          <w:tcPr>
            <w:tcW w:w="1416" w:type="dxa"/>
            <w:tcBorders>
              <w:top w:val="single" w:sz="4" w:space="0" w:color="auto"/>
              <w:bottom w:val="single" w:sz="4" w:space="0" w:color="17365D"/>
            </w:tcBorders>
            <w:shd w:val="clear" w:color="auto" w:fill="B8CCE4" w:themeFill="accent1" w:themeFillTint="66"/>
            <w:vAlign w:val="center"/>
            <w:hideMark/>
          </w:tcPr>
          <w:p w14:paraId="6723644A" w14:textId="1E01C1D0" w:rsidR="00685872" w:rsidRPr="00A27896" w:rsidRDefault="00685872" w:rsidP="0068587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Pārskata perioda </w:t>
            </w:r>
            <w:r w:rsidRPr="00A27896">
              <w:rPr>
                <w:rFonts w:eastAsia="Times New Roman" w:cs="Times New Roman"/>
                <w:b/>
                <w:color w:val="17365D"/>
                <w:sz w:val="18"/>
                <w:szCs w:val="18"/>
                <w:lang w:eastAsia="lv-LV"/>
              </w:rPr>
              <w:br/>
              <w:t xml:space="preserve">sākumā </w:t>
            </w:r>
          </w:p>
        </w:tc>
        <w:tc>
          <w:tcPr>
            <w:tcW w:w="1423" w:type="dxa"/>
            <w:tcBorders>
              <w:top w:val="single" w:sz="4" w:space="0" w:color="auto"/>
              <w:bottom w:val="single" w:sz="4" w:space="0" w:color="17365D"/>
            </w:tcBorders>
            <w:shd w:val="clear" w:color="auto" w:fill="B8CCE4" w:themeFill="accent1" w:themeFillTint="66"/>
            <w:vAlign w:val="center"/>
            <w:hideMark/>
          </w:tcPr>
          <w:p w14:paraId="53CB513C" w14:textId="44751956" w:rsidR="00685872" w:rsidRPr="00A27896" w:rsidRDefault="00685872" w:rsidP="0068587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1418" w:type="dxa"/>
            <w:tcBorders>
              <w:top w:val="single" w:sz="4" w:space="0" w:color="auto"/>
              <w:bottom w:val="single" w:sz="4" w:space="0" w:color="17365D"/>
            </w:tcBorders>
            <w:shd w:val="clear" w:color="auto" w:fill="B8CCE4" w:themeFill="accent1" w:themeFillTint="66"/>
            <w:vAlign w:val="center"/>
            <w:hideMark/>
          </w:tcPr>
          <w:p w14:paraId="39F84948" w14:textId="6786B3C7" w:rsidR="00685872" w:rsidRPr="00A27896" w:rsidRDefault="00685872" w:rsidP="0068587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Pārskata perioda </w:t>
            </w:r>
            <w:r w:rsidRPr="00A27896">
              <w:rPr>
                <w:rFonts w:eastAsia="Times New Roman" w:cs="Times New Roman"/>
                <w:b/>
                <w:color w:val="17365D"/>
                <w:sz w:val="18"/>
                <w:szCs w:val="18"/>
                <w:lang w:eastAsia="lv-LV"/>
              </w:rPr>
              <w:br/>
              <w:t>sākumā</w:t>
            </w:r>
          </w:p>
        </w:tc>
        <w:tc>
          <w:tcPr>
            <w:tcW w:w="1380" w:type="dxa"/>
            <w:tcBorders>
              <w:top w:val="single" w:sz="4" w:space="0" w:color="auto"/>
              <w:bottom w:val="single" w:sz="4" w:space="0" w:color="17365D"/>
            </w:tcBorders>
            <w:shd w:val="clear" w:color="auto" w:fill="B8CCE4" w:themeFill="accent1" w:themeFillTint="66"/>
            <w:vAlign w:val="center"/>
            <w:hideMark/>
          </w:tcPr>
          <w:p w14:paraId="05202ADF" w14:textId="144CD83C" w:rsidR="00685872" w:rsidRPr="00A27896" w:rsidRDefault="00685872" w:rsidP="0068587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Ministrijas, centrālās valsts iestādes, pašvaldības</w:t>
            </w:r>
          </w:p>
        </w:tc>
        <w:tc>
          <w:tcPr>
            <w:tcW w:w="1176" w:type="dxa"/>
            <w:gridSpan w:val="2"/>
            <w:tcBorders>
              <w:top w:val="single" w:sz="4" w:space="0" w:color="auto"/>
              <w:bottom w:val="single" w:sz="4" w:space="0" w:color="17365D"/>
            </w:tcBorders>
            <w:shd w:val="clear" w:color="auto" w:fill="B8CCE4" w:themeFill="accent1" w:themeFillTint="66"/>
            <w:vAlign w:val="center"/>
            <w:hideMark/>
          </w:tcPr>
          <w:p w14:paraId="3E196D13" w14:textId="13010519" w:rsidR="00685872" w:rsidRPr="00A27896" w:rsidRDefault="00685872" w:rsidP="0068587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Centrālā valdība, vispārējā valdība</w:t>
            </w:r>
          </w:p>
        </w:tc>
      </w:tr>
      <w:tr w:rsidR="00685872" w:rsidRPr="00A27896" w14:paraId="33F57FAB" w14:textId="77777777" w:rsidTr="00CA5792">
        <w:trPr>
          <w:gridAfter w:val="1"/>
          <w:wAfter w:w="1281" w:type="dxa"/>
          <w:trHeight w:val="144"/>
          <w:tblHeader/>
        </w:trPr>
        <w:tc>
          <w:tcPr>
            <w:tcW w:w="4258" w:type="dxa"/>
            <w:tcBorders>
              <w:top w:val="single" w:sz="4" w:space="0" w:color="17365D"/>
              <w:bottom w:val="single" w:sz="4" w:space="0" w:color="17365D"/>
            </w:tcBorders>
            <w:shd w:val="clear" w:color="auto" w:fill="auto"/>
            <w:noWrap/>
            <w:vAlign w:val="center"/>
            <w:hideMark/>
          </w:tcPr>
          <w:p w14:paraId="207615A7" w14:textId="77777777" w:rsidR="00685872" w:rsidRPr="00A27896" w:rsidRDefault="00685872" w:rsidP="0068587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1273" w:type="dxa"/>
            <w:tcBorders>
              <w:top w:val="single" w:sz="4" w:space="0" w:color="17365D"/>
              <w:bottom w:val="single" w:sz="4" w:space="0" w:color="17365D"/>
            </w:tcBorders>
            <w:shd w:val="clear" w:color="auto" w:fill="auto"/>
            <w:vAlign w:val="center"/>
            <w:hideMark/>
          </w:tcPr>
          <w:p w14:paraId="6D29682E" w14:textId="77777777" w:rsidR="00685872" w:rsidRPr="00A27896" w:rsidRDefault="00685872" w:rsidP="0068587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1274" w:type="dxa"/>
            <w:tcBorders>
              <w:top w:val="single" w:sz="4" w:space="0" w:color="17365D"/>
              <w:bottom w:val="single" w:sz="4" w:space="0" w:color="17365D"/>
            </w:tcBorders>
            <w:shd w:val="clear" w:color="auto" w:fill="auto"/>
            <w:vAlign w:val="center"/>
            <w:hideMark/>
          </w:tcPr>
          <w:p w14:paraId="688E959C" w14:textId="77777777" w:rsidR="00685872" w:rsidRPr="00A27896" w:rsidRDefault="00685872" w:rsidP="0068587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1417" w:type="dxa"/>
            <w:tcBorders>
              <w:top w:val="single" w:sz="4" w:space="0" w:color="17365D"/>
              <w:bottom w:val="single" w:sz="4" w:space="0" w:color="17365D"/>
            </w:tcBorders>
            <w:shd w:val="clear" w:color="auto" w:fill="auto"/>
            <w:vAlign w:val="center"/>
            <w:hideMark/>
          </w:tcPr>
          <w:p w14:paraId="410E66E6" w14:textId="77777777" w:rsidR="00685872" w:rsidRPr="00A27896" w:rsidRDefault="00685872" w:rsidP="0068587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1416" w:type="dxa"/>
            <w:tcBorders>
              <w:top w:val="single" w:sz="4" w:space="0" w:color="17365D"/>
              <w:bottom w:val="single" w:sz="4" w:space="0" w:color="17365D"/>
            </w:tcBorders>
            <w:shd w:val="clear" w:color="auto" w:fill="auto"/>
            <w:vAlign w:val="center"/>
            <w:hideMark/>
          </w:tcPr>
          <w:p w14:paraId="608E6E9A" w14:textId="77777777" w:rsidR="00685872" w:rsidRPr="00A27896" w:rsidRDefault="00685872" w:rsidP="0068587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c>
          <w:tcPr>
            <w:tcW w:w="1423" w:type="dxa"/>
            <w:tcBorders>
              <w:top w:val="single" w:sz="4" w:space="0" w:color="17365D"/>
              <w:bottom w:val="single" w:sz="4" w:space="0" w:color="17365D"/>
            </w:tcBorders>
            <w:shd w:val="clear" w:color="auto" w:fill="auto"/>
            <w:vAlign w:val="center"/>
            <w:hideMark/>
          </w:tcPr>
          <w:p w14:paraId="5335FD1C" w14:textId="77777777" w:rsidR="00685872" w:rsidRPr="00F8164B" w:rsidRDefault="00685872" w:rsidP="00685872">
            <w:pPr>
              <w:spacing w:after="0" w:line="240" w:lineRule="auto"/>
              <w:jc w:val="center"/>
              <w:rPr>
                <w:rFonts w:eastAsia="Times New Roman" w:cs="Times New Roman"/>
                <w:b/>
                <w:color w:val="17365D"/>
                <w:sz w:val="18"/>
                <w:szCs w:val="18"/>
                <w:lang w:eastAsia="lv-LV"/>
              </w:rPr>
            </w:pPr>
            <w:r w:rsidRPr="00F8164B">
              <w:rPr>
                <w:rFonts w:eastAsia="Times New Roman" w:cs="Times New Roman"/>
                <w:b/>
                <w:color w:val="17365D"/>
                <w:sz w:val="18"/>
                <w:szCs w:val="18"/>
                <w:lang w:eastAsia="lv-LV"/>
              </w:rPr>
              <w:t>5</w:t>
            </w:r>
          </w:p>
        </w:tc>
        <w:tc>
          <w:tcPr>
            <w:tcW w:w="1418" w:type="dxa"/>
            <w:tcBorders>
              <w:top w:val="single" w:sz="4" w:space="0" w:color="17365D"/>
              <w:bottom w:val="single" w:sz="4" w:space="0" w:color="17365D"/>
            </w:tcBorders>
            <w:shd w:val="clear" w:color="auto" w:fill="auto"/>
            <w:vAlign w:val="center"/>
            <w:hideMark/>
          </w:tcPr>
          <w:p w14:paraId="593BFBFA" w14:textId="77777777" w:rsidR="00685872" w:rsidRPr="00F8164B" w:rsidRDefault="00685872" w:rsidP="00685872">
            <w:pPr>
              <w:spacing w:after="0" w:line="240" w:lineRule="auto"/>
              <w:jc w:val="center"/>
              <w:rPr>
                <w:rFonts w:eastAsia="Times New Roman" w:cs="Times New Roman"/>
                <w:b/>
                <w:color w:val="17365D"/>
                <w:sz w:val="18"/>
                <w:szCs w:val="18"/>
                <w:lang w:eastAsia="lv-LV"/>
              </w:rPr>
            </w:pPr>
            <w:r w:rsidRPr="00F8164B">
              <w:rPr>
                <w:rFonts w:eastAsia="Times New Roman" w:cs="Times New Roman"/>
                <w:b/>
                <w:color w:val="17365D"/>
                <w:sz w:val="18"/>
                <w:szCs w:val="18"/>
                <w:lang w:eastAsia="lv-LV"/>
              </w:rPr>
              <w:t>6</w:t>
            </w:r>
          </w:p>
        </w:tc>
        <w:tc>
          <w:tcPr>
            <w:tcW w:w="1380" w:type="dxa"/>
            <w:tcBorders>
              <w:top w:val="single" w:sz="4" w:space="0" w:color="17365D"/>
              <w:bottom w:val="single" w:sz="4" w:space="0" w:color="17365D"/>
            </w:tcBorders>
            <w:shd w:val="clear" w:color="auto" w:fill="auto"/>
            <w:vAlign w:val="center"/>
            <w:hideMark/>
          </w:tcPr>
          <w:p w14:paraId="6D3E99BB" w14:textId="77777777" w:rsidR="00685872" w:rsidRPr="00A27896" w:rsidRDefault="00685872" w:rsidP="0068587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7</w:t>
            </w:r>
          </w:p>
        </w:tc>
        <w:tc>
          <w:tcPr>
            <w:tcW w:w="1176" w:type="dxa"/>
            <w:gridSpan w:val="2"/>
            <w:tcBorders>
              <w:top w:val="single" w:sz="4" w:space="0" w:color="17365D"/>
              <w:bottom w:val="single" w:sz="4" w:space="0" w:color="17365D"/>
            </w:tcBorders>
            <w:shd w:val="clear" w:color="auto" w:fill="auto"/>
            <w:vAlign w:val="center"/>
            <w:hideMark/>
          </w:tcPr>
          <w:p w14:paraId="159C9B10" w14:textId="77777777" w:rsidR="00685872" w:rsidRPr="00A27896" w:rsidRDefault="00685872" w:rsidP="00685872">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8</w:t>
            </w:r>
          </w:p>
        </w:tc>
      </w:tr>
      <w:tr w:rsidR="002A4526" w:rsidRPr="00A27896" w14:paraId="28A89CD1" w14:textId="77777777" w:rsidTr="00CA5792">
        <w:trPr>
          <w:gridAfter w:val="1"/>
          <w:wAfter w:w="1281" w:type="dxa"/>
          <w:trHeight w:val="312"/>
        </w:trPr>
        <w:tc>
          <w:tcPr>
            <w:tcW w:w="4258" w:type="dxa"/>
            <w:tcBorders>
              <w:top w:val="single" w:sz="4" w:space="0" w:color="17365D"/>
              <w:bottom w:val="single" w:sz="4" w:space="0" w:color="17365D"/>
            </w:tcBorders>
            <w:shd w:val="clear" w:color="auto" w:fill="auto"/>
            <w:vAlign w:val="center"/>
            <w:hideMark/>
          </w:tcPr>
          <w:p w14:paraId="6C2F8834" w14:textId="77777777" w:rsidR="002A4526" w:rsidRPr="00A27896" w:rsidRDefault="002A4526" w:rsidP="002A4526">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ieguldījumi</w:t>
            </w:r>
          </w:p>
        </w:tc>
        <w:tc>
          <w:tcPr>
            <w:tcW w:w="1273" w:type="dxa"/>
            <w:tcBorders>
              <w:top w:val="single" w:sz="4" w:space="0" w:color="17365D"/>
              <w:bottom w:val="single" w:sz="4" w:space="0" w:color="17365D"/>
            </w:tcBorders>
            <w:shd w:val="clear" w:color="auto" w:fill="auto"/>
            <w:vAlign w:val="center"/>
            <w:hideMark/>
          </w:tcPr>
          <w:p w14:paraId="76891EDC" w14:textId="45D7986D"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-5 986 217</w:t>
            </w:r>
          </w:p>
        </w:tc>
        <w:tc>
          <w:tcPr>
            <w:tcW w:w="1274" w:type="dxa"/>
            <w:tcBorders>
              <w:top w:val="single" w:sz="4" w:space="0" w:color="17365D"/>
              <w:bottom w:val="single" w:sz="4" w:space="0" w:color="17365D"/>
            </w:tcBorders>
            <w:shd w:val="clear" w:color="auto" w:fill="auto"/>
            <w:vAlign w:val="center"/>
            <w:hideMark/>
          </w:tcPr>
          <w:p w14:paraId="0571D463" w14:textId="35F045AD"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10 995 436</w:t>
            </w:r>
          </w:p>
        </w:tc>
        <w:tc>
          <w:tcPr>
            <w:tcW w:w="1417" w:type="dxa"/>
            <w:tcBorders>
              <w:top w:val="single" w:sz="4" w:space="0" w:color="17365D"/>
              <w:bottom w:val="single" w:sz="4" w:space="0" w:color="17365D"/>
            </w:tcBorders>
            <w:shd w:val="clear" w:color="auto" w:fill="auto"/>
            <w:vAlign w:val="center"/>
            <w:hideMark/>
          </w:tcPr>
          <w:p w14:paraId="7AED942E" w14:textId="6F556255"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-1 599 831 483</w:t>
            </w:r>
          </w:p>
        </w:tc>
        <w:tc>
          <w:tcPr>
            <w:tcW w:w="1416" w:type="dxa"/>
            <w:tcBorders>
              <w:top w:val="single" w:sz="4" w:space="0" w:color="17365D"/>
              <w:bottom w:val="single" w:sz="4" w:space="0" w:color="17365D"/>
            </w:tcBorders>
            <w:shd w:val="clear" w:color="auto" w:fill="auto"/>
            <w:vAlign w:val="center"/>
            <w:hideMark/>
          </w:tcPr>
          <w:p w14:paraId="075AAE16" w14:textId="570F500C"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-1 512 290 202</w:t>
            </w:r>
          </w:p>
        </w:tc>
        <w:tc>
          <w:tcPr>
            <w:tcW w:w="1423" w:type="dxa"/>
            <w:tcBorders>
              <w:top w:val="nil"/>
              <w:left w:val="nil"/>
              <w:bottom w:val="nil"/>
              <w:right w:val="nil"/>
            </w:tcBorders>
            <w:shd w:val="clear" w:color="auto" w:fill="auto"/>
            <w:vAlign w:val="center"/>
            <w:hideMark/>
          </w:tcPr>
          <w:p w14:paraId="3CD541C2" w14:textId="7A4FABC5" w:rsidR="002A4526" w:rsidRPr="00F8164B" w:rsidRDefault="002A4526" w:rsidP="002A4526">
            <w:pPr>
              <w:spacing w:after="0" w:line="240" w:lineRule="auto"/>
              <w:jc w:val="right"/>
              <w:rPr>
                <w:rFonts w:eastAsia="Times New Roman" w:cs="Times New Roman"/>
                <w:color w:val="17365D"/>
                <w:sz w:val="18"/>
                <w:szCs w:val="18"/>
                <w:lang w:eastAsia="lv-LV"/>
              </w:rPr>
            </w:pPr>
            <w:r w:rsidRPr="00F8164B">
              <w:rPr>
                <w:sz w:val="18"/>
                <w:szCs w:val="18"/>
              </w:rPr>
              <w:t>10 007 330</w:t>
            </w:r>
          </w:p>
        </w:tc>
        <w:tc>
          <w:tcPr>
            <w:tcW w:w="1418" w:type="dxa"/>
            <w:tcBorders>
              <w:top w:val="nil"/>
              <w:left w:val="nil"/>
              <w:bottom w:val="nil"/>
              <w:right w:val="nil"/>
            </w:tcBorders>
            <w:shd w:val="clear" w:color="auto" w:fill="auto"/>
            <w:vAlign w:val="center"/>
            <w:hideMark/>
          </w:tcPr>
          <w:p w14:paraId="5C48790E" w14:textId="35A8C806" w:rsidR="002A4526" w:rsidRPr="00F8164B" w:rsidRDefault="002A4526" w:rsidP="002A4526">
            <w:pPr>
              <w:spacing w:after="0" w:line="240" w:lineRule="auto"/>
              <w:jc w:val="right"/>
              <w:rPr>
                <w:rFonts w:eastAsia="Times New Roman" w:cs="Times New Roman"/>
                <w:color w:val="17365D"/>
                <w:sz w:val="18"/>
                <w:szCs w:val="18"/>
                <w:lang w:eastAsia="lv-LV"/>
              </w:rPr>
            </w:pPr>
            <w:r w:rsidRPr="00F8164B">
              <w:rPr>
                <w:sz w:val="18"/>
                <w:szCs w:val="18"/>
              </w:rPr>
              <w:t>41 200 681</w:t>
            </w:r>
          </w:p>
        </w:tc>
        <w:tc>
          <w:tcPr>
            <w:tcW w:w="1380" w:type="dxa"/>
            <w:tcBorders>
              <w:top w:val="single" w:sz="4" w:space="0" w:color="17365D"/>
              <w:bottom w:val="single" w:sz="4" w:space="0" w:color="17365D"/>
            </w:tcBorders>
            <w:shd w:val="clear" w:color="auto" w:fill="auto"/>
            <w:vAlign w:val="center"/>
            <w:hideMark/>
          </w:tcPr>
          <w:p w14:paraId="6358F629" w14:textId="25D36936"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11 531 504</w:t>
            </w:r>
          </w:p>
        </w:tc>
        <w:tc>
          <w:tcPr>
            <w:tcW w:w="1176" w:type="dxa"/>
            <w:gridSpan w:val="2"/>
            <w:tcBorders>
              <w:top w:val="single" w:sz="4" w:space="0" w:color="17365D"/>
              <w:bottom w:val="single" w:sz="4" w:space="0" w:color="17365D"/>
            </w:tcBorders>
            <w:shd w:val="clear" w:color="auto" w:fill="auto"/>
            <w:vAlign w:val="center"/>
            <w:hideMark/>
          </w:tcPr>
          <w:p w14:paraId="66E86832" w14:textId="2BC5FAE5"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10 881 389</w:t>
            </w:r>
          </w:p>
        </w:tc>
      </w:tr>
      <w:tr w:rsidR="002A4526" w:rsidRPr="00A27896" w14:paraId="7713C0A8" w14:textId="77777777" w:rsidTr="00CA5792">
        <w:trPr>
          <w:gridAfter w:val="1"/>
          <w:wAfter w:w="1281" w:type="dxa"/>
          <w:trHeight w:val="200"/>
        </w:trPr>
        <w:tc>
          <w:tcPr>
            <w:tcW w:w="4258" w:type="dxa"/>
            <w:tcBorders>
              <w:top w:val="single" w:sz="4" w:space="0" w:color="17365D"/>
              <w:bottom w:val="single" w:sz="4" w:space="0" w:color="17365D"/>
            </w:tcBorders>
            <w:shd w:val="clear" w:color="auto" w:fill="auto"/>
            <w:vAlign w:val="center"/>
            <w:hideMark/>
          </w:tcPr>
          <w:p w14:paraId="731571C0" w14:textId="77777777" w:rsidR="002A4526" w:rsidRPr="00A27896" w:rsidRDefault="002A4526" w:rsidP="002A4526">
            <w:pPr>
              <w:spacing w:after="0" w:line="240" w:lineRule="auto"/>
              <w:ind w:firstLine="176"/>
              <w:rPr>
                <w:rFonts w:eastAsia="Times New Roman" w:cs="Times New Roman"/>
                <w:color w:val="17365D"/>
                <w:sz w:val="18"/>
                <w:szCs w:val="18"/>
                <w:lang w:eastAsia="lv-LV"/>
              </w:rPr>
            </w:pPr>
            <w:r w:rsidRPr="00A27896">
              <w:rPr>
                <w:rFonts w:eastAsia="Times New Roman" w:cs="Times New Roman"/>
                <w:color w:val="17365D"/>
                <w:sz w:val="18"/>
                <w:szCs w:val="18"/>
                <w:lang w:eastAsia="lv-LV"/>
              </w:rPr>
              <w:t>Nemateriālie ieguldījumi</w:t>
            </w:r>
          </w:p>
        </w:tc>
        <w:tc>
          <w:tcPr>
            <w:tcW w:w="1273" w:type="dxa"/>
            <w:tcBorders>
              <w:top w:val="single" w:sz="4" w:space="0" w:color="17365D"/>
              <w:bottom w:val="single" w:sz="4" w:space="0" w:color="17365D"/>
            </w:tcBorders>
            <w:shd w:val="clear" w:color="auto" w:fill="auto"/>
            <w:vAlign w:val="center"/>
            <w:hideMark/>
          </w:tcPr>
          <w:p w14:paraId="18B9DA73"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2CFE1F75"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2C098F64" w14:textId="27AC4905"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-6 164</w:t>
            </w:r>
          </w:p>
        </w:tc>
        <w:tc>
          <w:tcPr>
            <w:tcW w:w="1416" w:type="dxa"/>
            <w:tcBorders>
              <w:top w:val="single" w:sz="4" w:space="0" w:color="17365D"/>
              <w:bottom w:val="single" w:sz="4" w:space="0" w:color="17365D"/>
            </w:tcBorders>
            <w:shd w:val="clear" w:color="auto" w:fill="auto"/>
            <w:vAlign w:val="center"/>
            <w:hideMark/>
          </w:tcPr>
          <w:p w14:paraId="05CEB889" w14:textId="4244ACB9"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-9 228</w:t>
            </w:r>
          </w:p>
        </w:tc>
        <w:tc>
          <w:tcPr>
            <w:tcW w:w="1423" w:type="dxa"/>
            <w:tcBorders>
              <w:top w:val="single" w:sz="4" w:space="0" w:color="17365D"/>
              <w:bottom w:val="single" w:sz="4" w:space="0" w:color="17365D"/>
            </w:tcBorders>
            <w:shd w:val="clear" w:color="auto" w:fill="auto"/>
            <w:vAlign w:val="center"/>
            <w:hideMark/>
          </w:tcPr>
          <w:p w14:paraId="668A2500" w14:textId="0B7FA850"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5CBA6AE8" w14:textId="3D598256"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76A4346C" w14:textId="049EA7F5"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59 765</w:t>
            </w:r>
          </w:p>
        </w:tc>
        <w:tc>
          <w:tcPr>
            <w:tcW w:w="1176" w:type="dxa"/>
            <w:gridSpan w:val="2"/>
            <w:tcBorders>
              <w:top w:val="single" w:sz="4" w:space="0" w:color="17365D"/>
              <w:bottom w:val="single" w:sz="4" w:space="0" w:color="17365D"/>
            </w:tcBorders>
            <w:shd w:val="clear" w:color="auto" w:fill="auto"/>
            <w:vAlign w:val="center"/>
            <w:hideMark/>
          </w:tcPr>
          <w:p w14:paraId="147C13E4"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2A4526" w:rsidRPr="00A27896" w14:paraId="5B5E83F5" w14:textId="77777777" w:rsidTr="00CA5792">
        <w:trPr>
          <w:gridAfter w:val="1"/>
          <w:wAfter w:w="1281" w:type="dxa"/>
          <w:trHeight w:val="303"/>
        </w:trPr>
        <w:tc>
          <w:tcPr>
            <w:tcW w:w="4258" w:type="dxa"/>
            <w:tcBorders>
              <w:top w:val="single" w:sz="4" w:space="0" w:color="17365D"/>
              <w:bottom w:val="single" w:sz="4" w:space="0" w:color="17365D"/>
            </w:tcBorders>
            <w:shd w:val="clear" w:color="auto" w:fill="auto"/>
            <w:vAlign w:val="center"/>
            <w:hideMark/>
          </w:tcPr>
          <w:p w14:paraId="4BD2DB07" w14:textId="0EA10367" w:rsidR="002A4526" w:rsidRPr="00A27896" w:rsidRDefault="002A4526" w:rsidP="002A4526">
            <w:pPr>
              <w:spacing w:after="0" w:line="240" w:lineRule="auto"/>
              <w:ind w:firstLine="459"/>
              <w:rPr>
                <w:rFonts w:eastAsia="Times New Roman" w:cs="Times New Roman"/>
                <w:color w:val="17365D"/>
                <w:sz w:val="18"/>
                <w:szCs w:val="18"/>
                <w:lang w:eastAsia="lv-LV"/>
              </w:rPr>
            </w:pPr>
            <w:r w:rsidRPr="00A27896">
              <w:rPr>
                <w:rFonts w:eastAsia="Times New Roman" w:cs="Times New Roman"/>
                <w:color w:val="17365D"/>
                <w:sz w:val="18"/>
                <w:szCs w:val="18"/>
                <w:lang w:eastAsia="lv-LV"/>
              </w:rPr>
              <w:t>Attīstības pasākumi un programmas</w:t>
            </w:r>
          </w:p>
        </w:tc>
        <w:tc>
          <w:tcPr>
            <w:tcW w:w="1273" w:type="dxa"/>
            <w:tcBorders>
              <w:top w:val="single" w:sz="4" w:space="0" w:color="17365D"/>
              <w:bottom w:val="single" w:sz="4" w:space="0" w:color="17365D"/>
            </w:tcBorders>
            <w:shd w:val="clear" w:color="auto" w:fill="auto"/>
            <w:vAlign w:val="center"/>
            <w:hideMark/>
          </w:tcPr>
          <w:p w14:paraId="732967E4"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1683998E"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51A69CA6"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7FD471C1"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141CF712" w14:textId="567C9C63"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363F2E0E"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30D691A0" w14:textId="238795BB"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329D65FE"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2A4526" w:rsidRPr="00A27896" w14:paraId="2D8BD934" w14:textId="77777777" w:rsidTr="00CA5792">
        <w:trPr>
          <w:gridAfter w:val="1"/>
          <w:wAfter w:w="1281" w:type="dxa"/>
          <w:trHeight w:val="407"/>
        </w:trPr>
        <w:tc>
          <w:tcPr>
            <w:tcW w:w="4258" w:type="dxa"/>
            <w:tcBorders>
              <w:top w:val="single" w:sz="4" w:space="0" w:color="17365D"/>
              <w:bottom w:val="single" w:sz="4" w:space="0" w:color="17365D"/>
            </w:tcBorders>
            <w:shd w:val="clear" w:color="auto" w:fill="auto"/>
            <w:vAlign w:val="center"/>
            <w:hideMark/>
          </w:tcPr>
          <w:p w14:paraId="53F9412B" w14:textId="77777777" w:rsidR="002A4526" w:rsidRPr="00A27896" w:rsidRDefault="002A4526" w:rsidP="002A4526">
            <w:pPr>
              <w:spacing w:after="0" w:line="240" w:lineRule="auto"/>
              <w:ind w:firstLine="459"/>
              <w:rPr>
                <w:rFonts w:eastAsia="Times New Roman" w:cs="Times New Roman"/>
                <w:color w:val="17365D"/>
                <w:sz w:val="18"/>
                <w:szCs w:val="18"/>
                <w:lang w:eastAsia="lv-LV"/>
              </w:rPr>
            </w:pPr>
            <w:r w:rsidRPr="00A27896">
              <w:rPr>
                <w:rFonts w:eastAsia="Times New Roman" w:cs="Times New Roman"/>
                <w:color w:val="17365D"/>
                <w:sz w:val="18"/>
                <w:szCs w:val="18"/>
                <w:lang w:eastAsia="lv-LV"/>
              </w:rPr>
              <w:t>Licences, koncesijas un patenti, preču zīmes un tamlīdzīgas tiesības</w:t>
            </w:r>
          </w:p>
        </w:tc>
        <w:tc>
          <w:tcPr>
            <w:tcW w:w="1273" w:type="dxa"/>
            <w:tcBorders>
              <w:top w:val="single" w:sz="4" w:space="0" w:color="17365D"/>
              <w:bottom w:val="single" w:sz="4" w:space="0" w:color="17365D"/>
            </w:tcBorders>
            <w:shd w:val="clear" w:color="auto" w:fill="auto"/>
            <w:vAlign w:val="center"/>
            <w:hideMark/>
          </w:tcPr>
          <w:p w14:paraId="1C45EF6E"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41FF1C83"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72F5A75A"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552218C3"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181CCE6E" w14:textId="058870DD"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2428006B"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2DA4D407" w14:textId="77071C72"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59 765</w:t>
            </w:r>
          </w:p>
        </w:tc>
        <w:tc>
          <w:tcPr>
            <w:tcW w:w="1176" w:type="dxa"/>
            <w:gridSpan w:val="2"/>
            <w:tcBorders>
              <w:top w:val="single" w:sz="4" w:space="0" w:color="17365D"/>
              <w:bottom w:val="single" w:sz="4" w:space="0" w:color="17365D"/>
            </w:tcBorders>
            <w:shd w:val="clear" w:color="auto" w:fill="auto"/>
            <w:vAlign w:val="center"/>
            <w:hideMark/>
          </w:tcPr>
          <w:p w14:paraId="2766CB24"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2A4526" w:rsidRPr="00A27896" w14:paraId="01E0F800" w14:textId="77777777" w:rsidTr="00CA5792">
        <w:trPr>
          <w:gridAfter w:val="1"/>
          <w:wAfter w:w="1281" w:type="dxa"/>
          <w:trHeight w:val="228"/>
        </w:trPr>
        <w:tc>
          <w:tcPr>
            <w:tcW w:w="4258" w:type="dxa"/>
            <w:tcBorders>
              <w:top w:val="single" w:sz="4" w:space="0" w:color="17365D"/>
              <w:bottom w:val="single" w:sz="4" w:space="0" w:color="17365D"/>
            </w:tcBorders>
            <w:shd w:val="clear" w:color="auto" w:fill="auto"/>
            <w:vAlign w:val="center"/>
            <w:hideMark/>
          </w:tcPr>
          <w:p w14:paraId="69187169" w14:textId="77777777" w:rsidR="002A4526" w:rsidRPr="00A27896" w:rsidRDefault="002A4526" w:rsidP="002A4526">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nemateriālie ieguldījumi</w:t>
            </w:r>
          </w:p>
        </w:tc>
        <w:tc>
          <w:tcPr>
            <w:tcW w:w="1273" w:type="dxa"/>
            <w:tcBorders>
              <w:top w:val="single" w:sz="4" w:space="0" w:color="17365D"/>
              <w:bottom w:val="single" w:sz="4" w:space="0" w:color="17365D"/>
            </w:tcBorders>
            <w:shd w:val="clear" w:color="auto" w:fill="auto"/>
            <w:vAlign w:val="center"/>
            <w:hideMark/>
          </w:tcPr>
          <w:p w14:paraId="69C3BAF5"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14E845D6"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2DCBEDBF"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036C8B69"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762CF882" w14:textId="5E5E7B2A"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36468A5D" w14:textId="77777777" w:rsidR="002A4526" w:rsidRPr="00F8164B" w:rsidRDefault="002A4526" w:rsidP="002A4526">
            <w:pPr>
              <w:spacing w:after="0" w:line="240" w:lineRule="auto"/>
              <w:jc w:val="right"/>
              <w:rPr>
                <w:sz w:val="18"/>
                <w:szCs w:val="18"/>
              </w:rPr>
            </w:pPr>
            <w:r w:rsidRPr="00F8164B">
              <w:rPr>
                <w:sz w:val="18"/>
                <w:szCs w:val="18"/>
              </w:rPr>
              <w:t>0</w:t>
            </w:r>
          </w:p>
        </w:tc>
        <w:tc>
          <w:tcPr>
            <w:tcW w:w="1380" w:type="dxa"/>
            <w:tcBorders>
              <w:top w:val="single" w:sz="4" w:space="0" w:color="17365D"/>
              <w:bottom w:val="single" w:sz="4" w:space="0" w:color="17365D"/>
            </w:tcBorders>
            <w:shd w:val="clear" w:color="auto" w:fill="auto"/>
            <w:vAlign w:val="center"/>
            <w:hideMark/>
          </w:tcPr>
          <w:p w14:paraId="4B36E46E" w14:textId="00C70D74"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13E63737"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2A4526" w:rsidRPr="00A27896" w14:paraId="62B92E50" w14:textId="77777777" w:rsidTr="00CA5792">
        <w:trPr>
          <w:gridAfter w:val="1"/>
          <w:wAfter w:w="1281" w:type="dxa"/>
          <w:trHeight w:val="274"/>
        </w:trPr>
        <w:tc>
          <w:tcPr>
            <w:tcW w:w="4258" w:type="dxa"/>
            <w:tcBorders>
              <w:top w:val="single" w:sz="4" w:space="0" w:color="17365D"/>
              <w:bottom w:val="single" w:sz="4" w:space="0" w:color="17365D"/>
            </w:tcBorders>
            <w:shd w:val="clear" w:color="auto" w:fill="auto"/>
            <w:vAlign w:val="center"/>
            <w:hideMark/>
          </w:tcPr>
          <w:p w14:paraId="2E96C243" w14:textId="77777777" w:rsidR="002A4526" w:rsidRPr="00A27896" w:rsidRDefault="002A4526" w:rsidP="002A4526">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Nemateriālo ieguldījumu izveidošana</w:t>
            </w:r>
          </w:p>
        </w:tc>
        <w:tc>
          <w:tcPr>
            <w:tcW w:w="1273" w:type="dxa"/>
            <w:tcBorders>
              <w:top w:val="single" w:sz="4" w:space="0" w:color="17365D"/>
              <w:bottom w:val="single" w:sz="4" w:space="0" w:color="17365D"/>
            </w:tcBorders>
            <w:shd w:val="clear" w:color="auto" w:fill="auto"/>
            <w:vAlign w:val="center"/>
            <w:hideMark/>
          </w:tcPr>
          <w:p w14:paraId="68A748E6"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74A4981D"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696C7456"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00B8055A"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2EB1F5B5" w14:textId="69A7F2E4"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7C2BFA71"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3E33B6A7" w14:textId="153591A1"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60F2EE9F"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2A4526" w:rsidRPr="00A27896" w14:paraId="5670E2C6" w14:textId="77777777" w:rsidTr="00CA5792">
        <w:trPr>
          <w:gridAfter w:val="1"/>
          <w:wAfter w:w="1281" w:type="dxa"/>
          <w:trHeight w:val="269"/>
        </w:trPr>
        <w:tc>
          <w:tcPr>
            <w:tcW w:w="4258" w:type="dxa"/>
            <w:tcBorders>
              <w:top w:val="single" w:sz="4" w:space="0" w:color="17365D"/>
              <w:bottom w:val="single" w:sz="4" w:space="0" w:color="17365D"/>
            </w:tcBorders>
            <w:shd w:val="clear" w:color="auto" w:fill="auto"/>
            <w:vAlign w:val="center"/>
            <w:hideMark/>
          </w:tcPr>
          <w:p w14:paraId="490CC6C2" w14:textId="77777777" w:rsidR="002A4526" w:rsidRPr="00A27896" w:rsidRDefault="002A4526" w:rsidP="002A4526">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Avansa maksājumi par nemateriālajiem ieguldījumiem</w:t>
            </w:r>
          </w:p>
        </w:tc>
        <w:tc>
          <w:tcPr>
            <w:tcW w:w="1273" w:type="dxa"/>
            <w:tcBorders>
              <w:top w:val="single" w:sz="4" w:space="0" w:color="17365D"/>
              <w:bottom w:val="single" w:sz="4" w:space="0" w:color="17365D"/>
            </w:tcBorders>
            <w:shd w:val="clear" w:color="auto" w:fill="auto"/>
            <w:vAlign w:val="center"/>
            <w:hideMark/>
          </w:tcPr>
          <w:p w14:paraId="0A31E7E2"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37996FB1"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145EA1AF" w14:textId="187B9A39"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-6 164</w:t>
            </w:r>
          </w:p>
        </w:tc>
        <w:tc>
          <w:tcPr>
            <w:tcW w:w="1416" w:type="dxa"/>
            <w:tcBorders>
              <w:top w:val="single" w:sz="4" w:space="0" w:color="17365D"/>
              <w:bottom w:val="single" w:sz="4" w:space="0" w:color="17365D"/>
            </w:tcBorders>
            <w:shd w:val="clear" w:color="auto" w:fill="auto"/>
            <w:vAlign w:val="center"/>
            <w:hideMark/>
          </w:tcPr>
          <w:p w14:paraId="0D6D7BE3" w14:textId="7D12DAD3"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-9 228</w:t>
            </w:r>
          </w:p>
        </w:tc>
        <w:tc>
          <w:tcPr>
            <w:tcW w:w="1423" w:type="dxa"/>
            <w:tcBorders>
              <w:top w:val="single" w:sz="4" w:space="0" w:color="17365D"/>
              <w:bottom w:val="single" w:sz="4" w:space="0" w:color="17365D"/>
            </w:tcBorders>
            <w:shd w:val="clear" w:color="auto" w:fill="auto"/>
            <w:vAlign w:val="center"/>
            <w:hideMark/>
          </w:tcPr>
          <w:p w14:paraId="3C36679E" w14:textId="78E38A90"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0E31DC10"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29D4061D" w14:textId="719DCCCA"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45FB5822"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2A4526" w:rsidRPr="00A27896" w14:paraId="5F5B7AC5" w14:textId="77777777" w:rsidTr="00CA5792">
        <w:trPr>
          <w:gridAfter w:val="1"/>
          <w:wAfter w:w="1281" w:type="dxa"/>
          <w:trHeight w:val="58"/>
        </w:trPr>
        <w:tc>
          <w:tcPr>
            <w:tcW w:w="4258" w:type="dxa"/>
            <w:tcBorders>
              <w:top w:val="single" w:sz="4" w:space="0" w:color="17365D"/>
              <w:bottom w:val="single" w:sz="4" w:space="0" w:color="17365D"/>
            </w:tcBorders>
            <w:shd w:val="clear" w:color="auto" w:fill="auto"/>
            <w:vAlign w:val="center"/>
            <w:hideMark/>
          </w:tcPr>
          <w:p w14:paraId="43B89847" w14:textId="77777777" w:rsidR="002A4526" w:rsidRPr="00A27896" w:rsidRDefault="002A4526" w:rsidP="002A4526">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Pamatlīdzekļi</w:t>
            </w:r>
          </w:p>
        </w:tc>
        <w:tc>
          <w:tcPr>
            <w:tcW w:w="1273" w:type="dxa"/>
            <w:tcBorders>
              <w:top w:val="single" w:sz="4" w:space="0" w:color="17365D"/>
              <w:bottom w:val="single" w:sz="4" w:space="0" w:color="17365D"/>
            </w:tcBorders>
            <w:shd w:val="clear" w:color="auto" w:fill="auto"/>
            <w:vAlign w:val="center"/>
            <w:hideMark/>
          </w:tcPr>
          <w:p w14:paraId="1BB6A72C"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4938127C"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0729EE2D" w14:textId="797B63F9"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-2 343</w:t>
            </w:r>
          </w:p>
        </w:tc>
        <w:tc>
          <w:tcPr>
            <w:tcW w:w="1416" w:type="dxa"/>
            <w:tcBorders>
              <w:top w:val="single" w:sz="4" w:space="0" w:color="17365D"/>
              <w:bottom w:val="single" w:sz="4" w:space="0" w:color="17365D"/>
            </w:tcBorders>
            <w:shd w:val="clear" w:color="auto" w:fill="auto"/>
            <w:vAlign w:val="center"/>
            <w:hideMark/>
          </w:tcPr>
          <w:p w14:paraId="6EA2E0A1" w14:textId="4C13E6D4"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-4 267</w:t>
            </w:r>
          </w:p>
        </w:tc>
        <w:tc>
          <w:tcPr>
            <w:tcW w:w="1423" w:type="dxa"/>
            <w:tcBorders>
              <w:top w:val="single" w:sz="4" w:space="0" w:color="17365D"/>
              <w:bottom w:val="single" w:sz="4" w:space="0" w:color="17365D"/>
            </w:tcBorders>
            <w:shd w:val="clear" w:color="auto" w:fill="auto"/>
            <w:vAlign w:val="center"/>
            <w:hideMark/>
          </w:tcPr>
          <w:p w14:paraId="799067BC" w14:textId="22C5A265"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33E8A330" w14:textId="29EB1119"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7EC94712" w14:textId="061397E4"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-7 090 776</w:t>
            </w:r>
          </w:p>
        </w:tc>
        <w:tc>
          <w:tcPr>
            <w:tcW w:w="1176" w:type="dxa"/>
            <w:gridSpan w:val="2"/>
            <w:tcBorders>
              <w:top w:val="single" w:sz="4" w:space="0" w:color="17365D"/>
              <w:bottom w:val="single" w:sz="4" w:space="0" w:color="17365D"/>
            </w:tcBorders>
            <w:shd w:val="clear" w:color="auto" w:fill="auto"/>
            <w:vAlign w:val="center"/>
            <w:hideMark/>
          </w:tcPr>
          <w:p w14:paraId="0AB86731" w14:textId="5DECE275"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2A4526" w:rsidRPr="00A27896" w14:paraId="759D1DB6" w14:textId="77777777" w:rsidTr="00CA5792">
        <w:trPr>
          <w:gridAfter w:val="1"/>
          <w:wAfter w:w="1281" w:type="dxa"/>
          <w:trHeight w:val="207"/>
        </w:trPr>
        <w:tc>
          <w:tcPr>
            <w:tcW w:w="4258" w:type="dxa"/>
            <w:tcBorders>
              <w:top w:val="single" w:sz="4" w:space="0" w:color="17365D"/>
              <w:bottom w:val="single" w:sz="4" w:space="0" w:color="17365D"/>
            </w:tcBorders>
            <w:shd w:val="clear" w:color="auto" w:fill="auto"/>
            <w:vAlign w:val="center"/>
            <w:hideMark/>
          </w:tcPr>
          <w:p w14:paraId="5381CBB4" w14:textId="77777777" w:rsidR="002A4526" w:rsidRPr="00A27896" w:rsidRDefault="002A4526" w:rsidP="002A4526">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Zeme un būves</w:t>
            </w:r>
          </w:p>
        </w:tc>
        <w:tc>
          <w:tcPr>
            <w:tcW w:w="1273" w:type="dxa"/>
            <w:tcBorders>
              <w:top w:val="single" w:sz="4" w:space="0" w:color="17365D"/>
              <w:bottom w:val="single" w:sz="4" w:space="0" w:color="17365D"/>
            </w:tcBorders>
            <w:shd w:val="clear" w:color="auto" w:fill="auto"/>
            <w:vAlign w:val="center"/>
            <w:hideMark/>
          </w:tcPr>
          <w:p w14:paraId="3570A710"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3DC5CF27"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68A8E9CD"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331E471F"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2B9B4E73" w14:textId="74884AD6"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001D519F"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7FD0EAF1" w14:textId="0424C274"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-5 455 004</w:t>
            </w:r>
          </w:p>
        </w:tc>
        <w:tc>
          <w:tcPr>
            <w:tcW w:w="1176" w:type="dxa"/>
            <w:gridSpan w:val="2"/>
            <w:tcBorders>
              <w:top w:val="single" w:sz="4" w:space="0" w:color="17365D"/>
              <w:bottom w:val="single" w:sz="4" w:space="0" w:color="17365D"/>
            </w:tcBorders>
            <w:shd w:val="clear" w:color="auto" w:fill="auto"/>
            <w:vAlign w:val="center"/>
            <w:hideMark/>
          </w:tcPr>
          <w:p w14:paraId="0CD229E0" w14:textId="42D20AEF"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2A4526" w:rsidRPr="00A27896" w14:paraId="0651E40A" w14:textId="77777777" w:rsidTr="00CA5792">
        <w:trPr>
          <w:gridAfter w:val="1"/>
          <w:wAfter w:w="1281" w:type="dxa"/>
          <w:trHeight w:val="268"/>
        </w:trPr>
        <w:tc>
          <w:tcPr>
            <w:tcW w:w="4258" w:type="dxa"/>
            <w:tcBorders>
              <w:top w:val="single" w:sz="4" w:space="0" w:color="17365D"/>
              <w:bottom w:val="single" w:sz="4" w:space="0" w:color="17365D"/>
            </w:tcBorders>
            <w:shd w:val="clear" w:color="auto" w:fill="auto"/>
            <w:vAlign w:val="center"/>
            <w:hideMark/>
          </w:tcPr>
          <w:p w14:paraId="2789B6D2" w14:textId="77777777" w:rsidR="002A4526" w:rsidRPr="00A27896" w:rsidRDefault="002A4526" w:rsidP="002A4526">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Tehnoloģiskās iekārtas un mašīnas</w:t>
            </w:r>
          </w:p>
        </w:tc>
        <w:tc>
          <w:tcPr>
            <w:tcW w:w="1273" w:type="dxa"/>
            <w:tcBorders>
              <w:top w:val="single" w:sz="4" w:space="0" w:color="17365D"/>
              <w:bottom w:val="single" w:sz="4" w:space="0" w:color="17365D"/>
            </w:tcBorders>
            <w:shd w:val="clear" w:color="auto" w:fill="auto"/>
            <w:vAlign w:val="center"/>
            <w:hideMark/>
          </w:tcPr>
          <w:p w14:paraId="693758C0"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0B549C03"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47F1E5E6"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260D74FC"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6D4DA583" w14:textId="2BABF692"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56D374BF"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09329B6E" w14:textId="0F72D48F"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-711 285</w:t>
            </w:r>
          </w:p>
        </w:tc>
        <w:tc>
          <w:tcPr>
            <w:tcW w:w="1176" w:type="dxa"/>
            <w:gridSpan w:val="2"/>
            <w:tcBorders>
              <w:top w:val="single" w:sz="4" w:space="0" w:color="17365D"/>
              <w:bottom w:val="single" w:sz="4" w:space="0" w:color="17365D"/>
            </w:tcBorders>
            <w:shd w:val="clear" w:color="auto" w:fill="auto"/>
            <w:vAlign w:val="center"/>
            <w:hideMark/>
          </w:tcPr>
          <w:p w14:paraId="75818ED8"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2A4526" w:rsidRPr="00A27896" w14:paraId="1EFA463D" w14:textId="77777777" w:rsidTr="00CA5792">
        <w:trPr>
          <w:gridAfter w:val="1"/>
          <w:wAfter w:w="1281" w:type="dxa"/>
          <w:trHeight w:val="143"/>
        </w:trPr>
        <w:tc>
          <w:tcPr>
            <w:tcW w:w="4258" w:type="dxa"/>
            <w:tcBorders>
              <w:top w:val="single" w:sz="4" w:space="0" w:color="17365D"/>
              <w:bottom w:val="single" w:sz="4" w:space="0" w:color="17365D"/>
            </w:tcBorders>
            <w:shd w:val="clear" w:color="auto" w:fill="auto"/>
            <w:vAlign w:val="center"/>
            <w:hideMark/>
          </w:tcPr>
          <w:p w14:paraId="0EA618F2" w14:textId="77777777" w:rsidR="002A4526" w:rsidRPr="00A27896" w:rsidRDefault="002A4526" w:rsidP="002A4526">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pamatlīdzekļi</w:t>
            </w:r>
          </w:p>
        </w:tc>
        <w:tc>
          <w:tcPr>
            <w:tcW w:w="1273" w:type="dxa"/>
            <w:tcBorders>
              <w:top w:val="single" w:sz="4" w:space="0" w:color="17365D"/>
              <w:bottom w:val="single" w:sz="4" w:space="0" w:color="17365D"/>
            </w:tcBorders>
            <w:shd w:val="clear" w:color="auto" w:fill="auto"/>
            <w:vAlign w:val="center"/>
            <w:hideMark/>
          </w:tcPr>
          <w:p w14:paraId="1517B011"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48CA3FD6"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11FFCF69"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1DC49A61"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1A634DA9" w14:textId="7F1EF835"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6EA71EBD"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1C532A67" w14:textId="1C9836E1"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32 605</w:t>
            </w:r>
          </w:p>
        </w:tc>
        <w:tc>
          <w:tcPr>
            <w:tcW w:w="1176" w:type="dxa"/>
            <w:gridSpan w:val="2"/>
            <w:tcBorders>
              <w:top w:val="single" w:sz="4" w:space="0" w:color="17365D"/>
              <w:bottom w:val="single" w:sz="4" w:space="0" w:color="17365D"/>
            </w:tcBorders>
            <w:shd w:val="clear" w:color="auto" w:fill="auto"/>
            <w:vAlign w:val="center"/>
            <w:hideMark/>
          </w:tcPr>
          <w:p w14:paraId="3D8E8111" w14:textId="3F5A5B0E"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2A4526" w:rsidRPr="00A27896" w14:paraId="79461F53" w14:textId="77777777" w:rsidTr="00CA5792">
        <w:trPr>
          <w:gridAfter w:val="1"/>
          <w:wAfter w:w="1281" w:type="dxa"/>
          <w:trHeight w:val="204"/>
        </w:trPr>
        <w:tc>
          <w:tcPr>
            <w:tcW w:w="4258" w:type="dxa"/>
            <w:tcBorders>
              <w:top w:val="single" w:sz="4" w:space="0" w:color="17365D"/>
              <w:bottom w:val="single" w:sz="4" w:space="0" w:color="17365D"/>
            </w:tcBorders>
            <w:shd w:val="clear" w:color="auto" w:fill="auto"/>
            <w:vAlign w:val="center"/>
            <w:hideMark/>
          </w:tcPr>
          <w:p w14:paraId="02655C91" w14:textId="77777777" w:rsidR="002A4526" w:rsidRPr="00A27896" w:rsidRDefault="002A4526" w:rsidP="002A4526">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Pamatlīdzekļu izveidošana un nepabeigtā būvniecība</w:t>
            </w:r>
          </w:p>
        </w:tc>
        <w:tc>
          <w:tcPr>
            <w:tcW w:w="1273" w:type="dxa"/>
            <w:tcBorders>
              <w:top w:val="single" w:sz="4" w:space="0" w:color="17365D"/>
              <w:bottom w:val="single" w:sz="4" w:space="0" w:color="17365D"/>
            </w:tcBorders>
            <w:shd w:val="clear" w:color="auto" w:fill="auto"/>
            <w:vAlign w:val="center"/>
            <w:hideMark/>
          </w:tcPr>
          <w:p w14:paraId="059CE851"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6F892366"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7B1FE4D2"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119A490C"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66F11578" w14:textId="6224F9CB"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49D17AB4"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045D2AA1" w14:textId="7C70B1EF"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-169 942</w:t>
            </w:r>
          </w:p>
        </w:tc>
        <w:tc>
          <w:tcPr>
            <w:tcW w:w="1176" w:type="dxa"/>
            <w:gridSpan w:val="2"/>
            <w:tcBorders>
              <w:top w:val="single" w:sz="4" w:space="0" w:color="17365D"/>
              <w:bottom w:val="single" w:sz="4" w:space="0" w:color="17365D"/>
            </w:tcBorders>
            <w:shd w:val="clear" w:color="auto" w:fill="auto"/>
            <w:vAlign w:val="center"/>
            <w:hideMark/>
          </w:tcPr>
          <w:p w14:paraId="053910CC"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2A4526" w:rsidRPr="00A27896" w14:paraId="5C68FD10" w14:textId="77777777" w:rsidTr="00CA5792">
        <w:trPr>
          <w:gridAfter w:val="1"/>
          <w:wAfter w:w="1281" w:type="dxa"/>
          <w:trHeight w:val="337"/>
        </w:trPr>
        <w:tc>
          <w:tcPr>
            <w:tcW w:w="4258" w:type="dxa"/>
            <w:tcBorders>
              <w:top w:val="single" w:sz="4" w:space="0" w:color="17365D"/>
              <w:bottom w:val="single" w:sz="4" w:space="0" w:color="17365D"/>
            </w:tcBorders>
            <w:shd w:val="clear" w:color="auto" w:fill="auto"/>
            <w:vAlign w:val="center"/>
            <w:hideMark/>
          </w:tcPr>
          <w:p w14:paraId="122C9C5B" w14:textId="77777777" w:rsidR="002A4526" w:rsidRPr="00A27896" w:rsidRDefault="002A4526" w:rsidP="002A4526">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Turējumā nodotie valsts un pašvaldību īpašumi</w:t>
            </w:r>
          </w:p>
        </w:tc>
        <w:tc>
          <w:tcPr>
            <w:tcW w:w="1273" w:type="dxa"/>
            <w:tcBorders>
              <w:top w:val="single" w:sz="4" w:space="0" w:color="17365D"/>
              <w:bottom w:val="single" w:sz="4" w:space="0" w:color="17365D"/>
            </w:tcBorders>
            <w:shd w:val="clear" w:color="auto" w:fill="auto"/>
            <w:vAlign w:val="center"/>
            <w:hideMark/>
          </w:tcPr>
          <w:p w14:paraId="5477036F"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74CB91E3"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40A8A621"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20FA12C9"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34AF77D8" w14:textId="3F8FDA5B"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4A95769B"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62F3E9AE" w14:textId="2F6DF615"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-801 192</w:t>
            </w:r>
          </w:p>
        </w:tc>
        <w:tc>
          <w:tcPr>
            <w:tcW w:w="1176" w:type="dxa"/>
            <w:gridSpan w:val="2"/>
            <w:tcBorders>
              <w:top w:val="single" w:sz="4" w:space="0" w:color="17365D"/>
              <w:bottom w:val="single" w:sz="4" w:space="0" w:color="17365D"/>
            </w:tcBorders>
            <w:shd w:val="clear" w:color="auto" w:fill="auto"/>
            <w:vAlign w:val="center"/>
            <w:hideMark/>
          </w:tcPr>
          <w:p w14:paraId="42589C17" w14:textId="3B80788D"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2A4526" w:rsidRPr="00A27896" w14:paraId="770226BE" w14:textId="77777777" w:rsidTr="00CA5792">
        <w:trPr>
          <w:gridAfter w:val="1"/>
          <w:wAfter w:w="1281" w:type="dxa"/>
          <w:trHeight w:val="60"/>
        </w:trPr>
        <w:tc>
          <w:tcPr>
            <w:tcW w:w="4258" w:type="dxa"/>
            <w:tcBorders>
              <w:top w:val="single" w:sz="4" w:space="0" w:color="17365D"/>
              <w:bottom w:val="single" w:sz="4" w:space="0" w:color="17365D"/>
            </w:tcBorders>
            <w:shd w:val="clear" w:color="auto" w:fill="auto"/>
            <w:vAlign w:val="center"/>
            <w:hideMark/>
          </w:tcPr>
          <w:p w14:paraId="42C13F6E" w14:textId="77777777" w:rsidR="002A4526" w:rsidRPr="00A27896" w:rsidRDefault="002A4526" w:rsidP="002A4526">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Bioloģiskie un pazemes aktīvi</w:t>
            </w:r>
          </w:p>
        </w:tc>
        <w:tc>
          <w:tcPr>
            <w:tcW w:w="1273" w:type="dxa"/>
            <w:tcBorders>
              <w:top w:val="single" w:sz="4" w:space="0" w:color="17365D"/>
              <w:bottom w:val="single" w:sz="4" w:space="0" w:color="17365D"/>
            </w:tcBorders>
            <w:shd w:val="clear" w:color="auto" w:fill="auto"/>
            <w:vAlign w:val="center"/>
            <w:hideMark/>
          </w:tcPr>
          <w:p w14:paraId="0AAB3907"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65B781C1"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4BF9BC81"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46C17036"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05FAAF2C" w14:textId="0CB8A755"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7D1EDF81"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247164BB" w14:textId="462131BD"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14 042</w:t>
            </w:r>
          </w:p>
        </w:tc>
        <w:tc>
          <w:tcPr>
            <w:tcW w:w="1176" w:type="dxa"/>
            <w:gridSpan w:val="2"/>
            <w:tcBorders>
              <w:top w:val="single" w:sz="4" w:space="0" w:color="17365D"/>
              <w:bottom w:val="single" w:sz="4" w:space="0" w:color="17365D"/>
            </w:tcBorders>
            <w:shd w:val="clear" w:color="auto" w:fill="auto"/>
            <w:vAlign w:val="center"/>
            <w:hideMark/>
          </w:tcPr>
          <w:p w14:paraId="2D321FFE"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2A4526" w:rsidRPr="00A27896" w14:paraId="55E2AB01" w14:textId="052D7441" w:rsidTr="00CA5792">
        <w:trPr>
          <w:gridAfter w:val="1"/>
          <w:wAfter w:w="1281" w:type="dxa"/>
          <w:trHeight w:val="276"/>
        </w:trPr>
        <w:tc>
          <w:tcPr>
            <w:tcW w:w="4258" w:type="dxa"/>
            <w:tcBorders>
              <w:top w:val="single" w:sz="4" w:space="0" w:color="17365D"/>
              <w:bottom w:val="single" w:sz="4" w:space="0" w:color="17365D"/>
            </w:tcBorders>
            <w:shd w:val="clear" w:color="auto" w:fill="auto"/>
            <w:vAlign w:val="center"/>
            <w:hideMark/>
          </w:tcPr>
          <w:p w14:paraId="28952E34" w14:textId="77777777" w:rsidR="002A4526" w:rsidRPr="00A27896" w:rsidRDefault="002A4526" w:rsidP="002A4526">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ieguldījumi nomātajos pamatlīdzekļos</w:t>
            </w:r>
          </w:p>
        </w:tc>
        <w:tc>
          <w:tcPr>
            <w:tcW w:w="1273" w:type="dxa"/>
            <w:tcBorders>
              <w:top w:val="single" w:sz="4" w:space="0" w:color="17365D"/>
              <w:bottom w:val="single" w:sz="4" w:space="0" w:color="17365D"/>
            </w:tcBorders>
            <w:shd w:val="clear" w:color="auto" w:fill="auto"/>
            <w:vAlign w:val="center"/>
            <w:hideMark/>
          </w:tcPr>
          <w:p w14:paraId="7E1A3902"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4F0A03CD"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4E40B5E6"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238F1E02"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447F0A51" w14:textId="22F82C4A"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58BBAC3A"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32CB0F01"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330B5C5A"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2A4526" w:rsidRPr="00A27896" w14:paraId="7BB9A105" w14:textId="77777777" w:rsidTr="00CA5792">
        <w:trPr>
          <w:gridAfter w:val="1"/>
          <w:wAfter w:w="1281" w:type="dxa"/>
          <w:trHeight w:val="139"/>
        </w:trPr>
        <w:tc>
          <w:tcPr>
            <w:tcW w:w="4258" w:type="dxa"/>
            <w:tcBorders>
              <w:top w:val="single" w:sz="4" w:space="0" w:color="17365D"/>
              <w:bottom w:val="single" w:sz="4" w:space="0" w:color="17365D"/>
            </w:tcBorders>
            <w:shd w:val="clear" w:color="auto" w:fill="auto"/>
            <w:vAlign w:val="center"/>
            <w:hideMark/>
          </w:tcPr>
          <w:p w14:paraId="73C73C0C" w14:textId="77777777" w:rsidR="002A4526" w:rsidRPr="00A27896" w:rsidRDefault="002A4526" w:rsidP="002A4526">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Avansa maksājumi par pamatlīdzekļiem</w:t>
            </w:r>
          </w:p>
        </w:tc>
        <w:tc>
          <w:tcPr>
            <w:tcW w:w="1273" w:type="dxa"/>
            <w:tcBorders>
              <w:top w:val="single" w:sz="4" w:space="0" w:color="17365D"/>
              <w:bottom w:val="single" w:sz="4" w:space="0" w:color="17365D"/>
            </w:tcBorders>
            <w:shd w:val="clear" w:color="auto" w:fill="auto"/>
            <w:vAlign w:val="center"/>
            <w:hideMark/>
          </w:tcPr>
          <w:p w14:paraId="3D578DC6"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62E6B0AE"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4714F58D" w14:textId="0746724D"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-2 343</w:t>
            </w:r>
          </w:p>
        </w:tc>
        <w:tc>
          <w:tcPr>
            <w:tcW w:w="1416" w:type="dxa"/>
            <w:tcBorders>
              <w:top w:val="single" w:sz="4" w:space="0" w:color="17365D"/>
              <w:bottom w:val="single" w:sz="4" w:space="0" w:color="17365D"/>
            </w:tcBorders>
            <w:shd w:val="clear" w:color="auto" w:fill="auto"/>
            <w:vAlign w:val="center"/>
            <w:hideMark/>
          </w:tcPr>
          <w:p w14:paraId="0A1D031C" w14:textId="555C36F4" w:rsidR="002A4526" w:rsidRPr="00F8164B" w:rsidRDefault="002A4526" w:rsidP="002A4526">
            <w:pPr>
              <w:spacing w:after="0" w:line="240" w:lineRule="auto"/>
              <w:jc w:val="right"/>
              <w:rPr>
                <w:sz w:val="18"/>
                <w:szCs w:val="18"/>
              </w:rPr>
            </w:pPr>
            <w:r w:rsidRPr="00F8164B">
              <w:rPr>
                <w:sz w:val="18"/>
                <w:szCs w:val="18"/>
              </w:rPr>
              <w:t>-4 267</w:t>
            </w:r>
          </w:p>
        </w:tc>
        <w:tc>
          <w:tcPr>
            <w:tcW w:w="1423" w:type="dxa"/>
            <w:tcBorders>
              <w:top w:val="single" w:sz="4" w:space="0" w:color="17365D"/>
              <w:bottom w:val="single" w:sz="4" w:space="0" w:color="auto"/>
            </w:tcBorders>
            <w:shd w:val="clear" w:color="auto" w:fill="auto"/>
            <w:vAlign w:val="center"/>
            <w:hideMark/>
          </w:tcPr>
          <w:p w14:paraId="160CF755" w14:textId="25C7E681" w:rsidR="002A4526" w:rsidRPr="00F8164B" w:rsidRDefault="002A4526" w:rsidP="002A4526">
            <w:pPr>
              <w:spacing w:after="0" w:line="240" w:lineRule="auto"/>
              <w:jc w:val="right"/>
              <w:rPr>
                <w:rFonts w:eastAsia="Times New Roman" w:cs="Times New Roman"/>
                <w:color w:val="17365D"/>
                <w:sz w:val="18"/>
                <w:szCs w:val="18"/>
                <w:lang w:eastAsia="lv-LV"/>
              </w:rPr>
            </w:pPr>
            <w:r w:rsidRPr="00F8164B">
              <w:rPr>
                <w:rFonts w:eastAsia="Times New Roman" w:cs="Times New Roman"/>
                <w:color w:val="17365D"/>
                <w:sz w:val="18"/>
                <w:szCs w:val="18"/>
                <w:lang w:eastAsia="lv-LV"/>
              </w:rPr>
              <w:t>0</w:t>
            </w:r>
          </w:p>
        </w:tc>
        <w:tc>
          <w:tcPr>
            <w:tcW w:w="1418" w:type="dxa"/>
            <w:tcBorders>
              <w:top w:val="single" w:sz="4" w:space="0" w:color="17365D"/>
              <w:bottom w:val="single" w:sz="4" w:space="0" w:color="auto"/>
            </w:tcBorders>
            <w:shd w:val="clear" w:color="auto" w:fill="auto"/>
            <w:vAlign w:val="center"/>
            <w:hideMark/>
          </w:tcPr>
          <w:p w14:paraId="0A79272A" w14:textId="77777777" w:rsidR="002A4526" w:rsidRPr="00F8164B" w:rsidRDefault="002A4526" w:rsidP="002A4526">
            <w:pPr>
              <w:spacing w:after="0" w:line="240" w:lineRule="auto"/>
              <w:jc w:val="right"/>
              <w:rPr>
                <w:rFonts w:eastAsia="Times New Roman" w:cs="Times New Roman"/>
                <w:color w:val="17365D"/>
                <w:sz w:val="18"/>
                <w:szCs w:val="18"/>
                <w:lang w:eastAsia="lv-LV"/>
              </w:rPr>
            </w:pPr>
            <w:r w:rsidRPr="00F8164B">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64E01AF9" w14:textId="5DC8358D"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-16 826</w:t>
            </w:r>
          </w:p>
        </w:tc>
        <w:tc>
          <w:tcPr>
            <w:tcW w:w="1176" w:type="dxa"/>
            <w:gridSpan w:val="2"/>
            <w:tcBorders>
              <w:top w:val="single" w:sz="4" w:space="0" w:color="17365D"/>
              <w:bottom w:val="single" w:sz="4" w:space="0" w:color="17365D"/>
            </w:tcBorders>
            <w:shd w:val="clear" w:color="auto" w:fill="auto"/>
            <w:vAlign w:val="center"/>
            <w:hideMark/>
          </w:tcPr>
          <w:p w14:paraId="04779C73" w14:textId="77777777" w:rsidR="002A4526" w:rsidRPr="00A27896" w:rsidRDefault="002A4526" w:rsidP="002A4526">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528956C5" w14:textId="77777777" w:rsidTr="00CA5792">
        <w:trPr>
          <w:gridAfter w:val="1"/>
          <w:wAfter w:w="1281" w:type="dxa"/>
          <w:trHeight w:val="200"/>
        </w:trPr>
        <w:tc>
          <w:tcPr>
            <w:tcW w:w="4258" w:type="dxa"/>
            <w:tcBorders>
              <w:top w:val="single" w:sz="4" w:space="0" w:color="17365D"/>
              <w:bottom w:val="single" w:sz="4" w:space="0" w:color="17365D"/>
            </w:tcBorders>
            <w:shd w:val="clear" w:color="auto" w:fill="auto"/>
            <w:vAlign w:val="center"/>
            <w:hideMark/>
          </w:tcPr>
          <w:p w14:paraId="1B633454"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finanšu ieguldījumi</w:t>
            </w:r>
          </w:p>
        </w:tc>
        <w:tc>
          <w:tcPr>
            <w:tcW w:w="1273" w:type="dxa"/>
            <w:tcBorders>
              <w:top w:val="single" w:sz="4" w:space="0" w:color="17365D"/>
              <w:bottom w:val="single" w:sz="4" w:space="0" w:color="17365D"/>
            </w:tcBorders>
            <w:shd w:val="clear" w:color="auto" w:fill="auto"/>
            <w:vAlign w:val="center"/>
            <w:hideMark/>
          </w:tcPr>
          <w:p w14:paraId="47DB4991" w14:textId="253A415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-5 986 217</w:t>
            </w:r>
          </w:p>
        </w:tc>
        <w:tc>
          <w:tcPr>
            <w:tcW w:w="1274" w:type="dxa"/>
            <w:tcBorders>
              <w:top w:val="single" w:sz="4" w:space="0" w:color="17365D"/>
              <w:bottom w:val="single" w:sz="4" w:space="0" w:color="17365D"/>
            </w:tcBorders>
            <w:shd w:val="clear" w:color="auto" w:fill="auto"/>
            <w:vAlign w:val="center"/>
            <w:hideMark/>
          </w:tcPr>
          <w:p w14:paraId="42A20B5B" w14:textId="1C890E65"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10 995 436</w:t>
            </w:r>
          </w:p>
        </w:tc>
        <w:tc>
          <w:tcPr>
            <w:tcW w:w="1417" w:type="dxa"/>
            <w:tcBorders>
              <w:top w:val="single" w:sz="4" w:space="0" w:color="17365D"/>
              <w:bottom w:val="single" w:sz="4" w:space="0" w:color="17365D"/>
            </w:tcBorders>
            <w:shd w:val="clear" w:color="auto" w:fill="auto"/>
            <w:vAlign w:val="center"/>
            <w:hideMark/>
          </w:tcPr>
          <w:p w14:paraId="5D9A6711" w14:textId="214A43C0"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-1 596 773 881</w:t>
            </w:r>
          </w:p>
        </w:tc>
        <w:tc>
          <w:tcPr>
            <w:tcW w:w="1416" w:type="dxa"/>
            <w:tcBorders>
              <w:top w:val="single" w:sz="4" w:space="0" w:color="17365D"/>
              <w:bottom w:val="single" w:sz="4" w:space="0" w:color="17365D"/>
            </w:tcBorders>
            <w:shd w:val="clear" w:color="auto" w:fill="auto"/>
            <w:vAlign w:val="center"/>
            <w:hideMark/>
          </w:tcPr>
          <w:p w14:paraId="0770DC2F" w14:textId="15802BA2"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-1 485 442 529</w:t>
            </w:r>
          </w:p>
        </w:tc>
        <w:tc>
          <w:tcPr>
            <w:tcW w:w="1423" w:type="dxa"/>
            <w:tcBorders>
              <w:top w:val="single" w:sz="4" w:space="0" w:color="auto"/>
              <w:left w:val="nil"/>
              <w:bottom w:val="single" w:sz="4" w:space="0" w:color="auto"/>
              <w:right w:val="nil"/>
            </w:tcBorders>
            <w:shd w:val="clear" w:color="auto" w:fill="auto"/>
            <w:vAlign w:val="center"/>
            <w:hideMark/>
          </w:tcPr>
          <w:p w14:paraId="0FBBA4DC" w14:textId="4756DD97" w:rsidR="00F8164B" w:rsidRPr="00F8164B" w:rsidRDefault="00F8164B" w:rsidP="00F8164B">
            <w:pPr>
              <w:spacing w:after="0" w:line="240" w:lineRule="auto"/>
              <w:jc w:val="right"/>
              <w:rPr>
                <w:rFonts w:eastAsia="Times New Roman" w:cs="Times New Roman"/>
                <w:color w:val="17365D"/>
                <w:sz w:val="18"/>
                <w:szCs w:val="18"/>
                <w:lang w:eastAsia="lv-LV"/>
              </w:rPr>
            </w:pPr>
            <w:r w:rsidRPr="00F8164B">
              <w:rPr>
                <w:rFonts w:eastAsia="Times New Roman" w:cs="Times New Roman"/>
                <w:color w:val="17365D"/>
                <w:sz w:val="18"/>
                <w:szCs w:val="18"/>
                <w:lang w:eastAsia="lv-LV"/>
              </w:rPr>
              <w:t>10 007 330</w:t>
            </w:r>
          </w:p>
        </w:tc>
        <w:tc>
          <w:tcPr>
            <w:tcW w:w="1418" w:type="dxa"/>
            <w:tcBorders>
              <w:top w:val="single" w:sz="4" w:space="0" w:color="auto"/>
              <w:left w:val="nil"/>
              <w:bottom w:val="single" w:sz="4" w:space="0" w:color="auto"/>
              <w:right w:val="nil"/>
            </w:tcBorders>
            <w:shd w:val="clear" w:color="auto" w:fill="auto"/>
            <w:vAlign w:val="center"/>
            <w:hideMark/>
          </w:tcPr>
          <w:p w14:paraId="2CB03EBA" w14:textId="452C96B0" w:rsidR="00F8164B" w:rsidRPr="00F8164B" w:rsidRDefault="00F8164B" w:rsidP="00F8164B">
            <w:pPr>
              <w:spacing w:after="0" w:line="240" w:lineRule="auto"/>
              <w:jc w:val="right"/>
              <w:rPr>
                <w:rFonts w:eastAsia="Times New Roman" w:cs="Times New Roman"/>
                <w:color w:val="17365D"/>
                <w:sz w:val="18"/>
                <w:szCs w:val="18"/>
                <w:lang w:eastAsia="lv-LV"/>
              </w:rPr>
            </w:pPr>
            <w:r w:rsidRPr="00CA5792">
              <w:rPr>
                <w:rFonts w:eastAsia="Times New Roman" w:cs="Times New Roman"/>
                <w:color w:val="17365D"/>
                <w:sz w:val="18"/>
                <w:szCs w:val="18"/>
                <w:lang w:eastAsia="lv-LV"/>
              </w:rPr>
              <w:t>41 200 681</w:t>
            </w:r>
          </w:p>
        </w:tc>
        <w:tc>
          <w:tcPr>
            <w:tcW w:w="1380" w:type="dxa"/>
            <w:tcBorders>
              <w:top w:val="single" w:sz="4" w:space="0" w:color="17365D"/>
              <w:bottom w:val="single" w:sz="4" w:space="0" w:color="17365D"/>
            </w:tcBorders>
            <w:shd w:val="clear" w:color="auto" w:fill="auto"/>
            <w:vAlign w:val="center"/>
            <w:hideMark/>
          </w:tcPr>
          <w:p w14:paraId="00631EE5" w14:textId="4EA6B621"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21 129 875</w:t>
            </w:r>
          </w:p>
        </w:tc>
        <w:tc>
          <w:tcPr>
            <w:tcW w:w="1176" w:type="dxa"/>
            <w:gridSpan w:val="2"/>
            <w:tcBorders>
              <w:top w:val="single" w:sz="4" w:space="0" w:color="17365D"/>
              <w:bottom w:val="single" w:sz="4" w:space="0" w:color="17365D"/>
            </w:tcBorders>
            <w:shd w:val="clear" w:color="auto" w:fill="auto"/>
            <w:vAlign w:val="center"/>
            <w:hideMark/>
          </w:tcPr>
          <w:p w14:paraId="75A4E8F1" w14:textId="36ABBD4C"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10 881 389</w:t>
            </w:r>
          </w:p>
        </w:tc>
      </w:tr>
      <w:tr w:rsidR="00F8164B" w:rsidRPr="00A27896" w14:paraId="7129B342" w14:textId="77777777" w:rsidTr="00CA5792">
        <w:trPr>
          <w:gridAfter w:val="1"/>
          <w:wAfter w:w="1281" w:type="dxa"/>
          <w:trHeight w:val="259"/>
        </w:trPr>
        <w:tc>
          <w:tcPr>
            <w:tcW w:w="4258" w:type="dxa"/>
            <w:tcBorders>
              <w:top w:val="single" w:sz="4" w:space="0" w:color="17365D"/>
              <w:bottom w:val="single" w:sz="4" w:space="0" w:color="17365D"/>
            </w:tcBorders>
            <w:shd w:val="clear" w:color="auto" w:fill="auto"/>
            <w:vAlign w:val="center"/>
            <w:hideMark/>
          </w:tcPr>
          <w:p w14:paraId="79D2971C"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Līdzdalība radniecīgo kapitālsabiedrību kapitālā</w:t>
            </w:r>
          </w:p>
        </w:tc>
        <w:tc>
          <w:tcPr>
            <w:tcW w:w="1273" w:type="dxa"/>
            <w:tcBorders>
              <w:top w:val="single" w:sz="4" w:space="0" w:color="17365D"/>
              <w:bottom w:val="single" w:sz="4" w:space="0" w:color="17365D"/>
            </w:tcBorders>
            <w:shd w:val="clear" w:color="auto" w:fill="auto"/>
            <w:vAlign w:val="center"/>
            <w:hideMark/>
          </w:tcPr>
          <w:p w14:paraId="1EFBFB52" w14:textId="44E4EC4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555 020 953</w:t>
            </w:r>
          </w:p>
        </w:tc>
        <w:tc>
          <w:tcPr>
            <w:tcW w:w="1274" w:type="dxa"/>
            <w:tcBorders>
              <w:top w:val="single" w:sz="4" w:space="0" w:color="17365D"/>
              <w:bottom w:val="single" w:sz="4" w:space="0" w:color="17365D"/>
            </w:tcBorders>
            <w:shd w:val="clear" w:color="auto" w:fill="auto"/>
            <w:vAlign w:val="center"/>
            <w:hideMark/>
          </w:tcPr>
          <w:p w14:paraId="43E52CDD" w14:textId="05F0D97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608 813 661</w:t>
            </w:r>
          </w:p>
        </w:tc>
        <w:tc>
          <w:tcPr>
            <w:tcW w:w="1417" w:type="dxa"/>
            <w:tcBorders>
              <w:top w:val="single" w:sz="4" w:space="0" w:color="17365D"/>
              <w:bottom w:val="single" w:sz="4" w:space="0" w:color="17365D"/>
            </w:tcBorders>
            <w:shd w:val="clear" w:color="auto" w:fill="auto"/>
            <w:vAlign w:val="center"/>
            <w:hideMark/>
          </w:tcPr>
          <w:p w14:paraId="49F6FD57" w14:textId="047EC7A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auto"/>
            </w:tcBorders>
            <w:shd w:val="clear" w:color="auto" w:fill="auto"/>
            <w:vAlign w:val="center"/>
            <w:hideMark/>
          </w:tcPr>
          <w:p w14:paraId="2361D164" w14:textId="12E7C1D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auto"/>
              <w:left w:val="nil"/>
              <w:bottom w:val="single" w:sz="4" w:space="0" w:color="auto"/>
              <w:right w:val="nil"/>
            </w:tcBorders>
            <w:shd w:val="clear" w:color="auto" w:fill="auto"/>
            <w:vAlign w:val="center"/>
            <w:hideMark/>
          </w:tcPr>
          <w:p w14:paraId="7AAABA8C" w14:textId="6CEB5E21" w:rsidR="00F8164B" w:rsidRPr="00F8164B" w:rsidRDefault="00F8164B" w:rsidP="00F8164B">
            <w:pPr>
              <w:spacing w:after="0" w:line="240" w:lineRule="auto"/>
              <w:jc w:val="right"/>
              <w:rPr>
                <w:rFonts w:eastAsia="Times New Roman" w:cs="Times New Roman"/>
                <w:color w:val="17365D"/>
                <w:sz w:val="18"/>
                <w:szCs w:val="18"/>
                <w:lang w:eastAsia="lv-LV"/>
              </w:rPr>
            </w:pPr>
            <w:r w:rsidRPr="00CA5792">
              <w:rPr>
                <w:rFonts w:eastAsia="Times New Roman" w:cs="Times New Roman"/>
                <w:color w:val="17365D"/>
                <w:sz w:val="18"/>
                <w:szCs w:val="18"/>
                <w:lang w:eastAsia="lv-LV"/>
              </w:rPr>
              <w:t>10 007 330</w:t>
            </w:r>
          </w:p>
        </w:tc>
        <w:tc>
          <w:tcPr>
            <w:tcW w:w="1418" w:type="dxa"/>
            <w:tcBorders>
              <w:top w:val="single" w:sz="4" w:space="0" w:color="auto"/>
              <w:left w:val="nil"/>
              <w:bottom w:val="single" w:sz="4" w:space="0" w:color="auto"/>
              <w:right w:val="nil"/>
            </w:tcBorders>
            <w:shd w:val="clear" w:color="auto" w:fill="auto"/>
            <w:vAlign w:val="center"/>
            <w:hideMark/>
          </w:tcPr>
          <w:p w14:paraId="02C3892B" w14:textId="0502C9A0" w:rsidR="00F8164B" w:rsidRPr="00F8164B" w:rsidRDefault="00F8164B" w:rsidP="00F8164B">
            <w:pPr>
              <w:spacing w:after="0" w:line="240" w:lineRule="auto"/>
              <w:jc w:val="right"/>
              <w:rPr>
                <w:rFonts w:eastAsia="Times New Roman" w:cs="Times New Roman"/>
                <w:color w:val="17365D"/>
                <w:sz w:val="18"/>
                <w:szCs w:val="18"/>
                <w:lang w:eastAsia="lv-LV"/>
              </w:rPr>
            </w:pPr>
            <w:r w:rsidRPr="00CA5792">
              <w:rPr>
                <w:rFonts w:eastAsia="Times New Roman" w:cs="Times New Roman"/>
                <w:color w:val="17365D"/>
                <w:sz w:val="18"/>
                <w:szCs w:val="18"/>
                <w:lang w:eastAsia="lv-LV"/>
              </w:rPr>
              <w:t>41 200 665</w:t>
            </w:r>
          </w:p>
        </w:tc>
        <w:tc>
          <w:tcPr>
            <w:tcW w:w="1380" w:type="dxa"/>
            <w:tcBorders>
              <w:top w:val="single" w:sz="4" w:space="0" w:color="17365D"/>
              <w:bottom w:val="single" w:sz="4" w:space="0" w:color="17365D"/>
            </w:tcBorders>
            <w:shd w:val="clear" w:color="auto" w:fill="auto"/>
            <w:vAlign w:val="center"/>
            <w:hideMark/>
          </w:tcPr>
          <w:p w14:paraId="2271F749" w14:textId="1410E476"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22 071 621</w:t>
            </w:r>
          </w:p>
        </w:tc>
        <w:tc>
          <w:tcPr>
            <w:tcW w:w="1176" w:type="dxa"/>
            <w:gridSpan w:val="2"/>
            <w:tcBorders>
              <w:top w:val="single" w:sz="4" w:space="0" w:color="17365D"/>
              <w:bottom w:val="single" w:sz="4" w:space="0" w:color="17365D"/>
            </w:tcBorders>
            <w:shd w:val="clear" w:color="auto" w:fill="auto"/>
            <w:vAlign w:val="center"/>
            <w:hideMark/>
          </w:tcPr>
          <w:p w14:paraId="09287C00" w14:textId="510F540F"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10 881 389</w:t>
            </w:r>
          </w:p>
        </w:tc>
      </w:tr>
      <w:tr w:rsidR="00F8164B" w:rsidRPr="00A27896" w14:paraId="4D2BAF74" w14:textId="77777777" w:rsidTr="00CA5792">
        <w:trPr>
          <w:gridAfter w:val="1"/>
          <w:wAfter w:w="1281" w:type="dxa"/>
          <w:trHeight w:val="266"/>
        </w:trPr>
        <w:tc>
          <w:tcPr>
            <w:tcW w:w="4258" w:type="dxa"/>
            <w:tcBorders>
              <w:top w:val="single" w:sz="4" w:space="0" w:color="17365D"/>
              <w:bottom w:val="single" w:sz="4" w:space="0" w:color="17365D"/>
            </w:tcBorders>
            <w:shd w:val="clear" w:color="auto" w:fill="auto"/>
            <w:vAlign w:val="center"/>
            <w:hideMark/>
          </w:tcPr>
          <w:p w14:paraId="67CEF212"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Līdzdalība asociēto kapitālsabiedrību kapitālā</w:t>
            </w:r>
          </w:p>
        </w:tc>
        <w:tc>
          <w:tcPr>
            <w:tcW w:w="1273" w:type="dxa"/>
            <w:tcBorders>
              <w:top w:val="single" w:sz="4" w:space="0" w:color="17365D"/>
              <w:bottom w:val="single" w:sz="4" w:space="0" w:color="17365D"/>
            </w:tcBorders>
            <w:shd w:val="clear" w:color="auto" w:fill="auto"/>
            <w:vAlign w:val="center"/>
            <w:hideMark/>
          </w:tcPr>
          <w:p w14:paraId="09298990" w14:textId="416E4A6D"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-556 121 841</w:t>
            </w:r>
          </w:p>
        </w:tc>
        <w:tc>
          <w:tcPr>
            <w:tcW w:w="1274" w:type="dxa"/>
            <w:tcBorders>
              <w:top w:val="single" w:sz="4" w:space="0" w:color="17365D"/>
              <w:bottom w:val="single" w:sz="4" w:space="0" w:color="17365D"/>
            </w:tcBorders>
            <w:shd w:val="clear" w:color="auto" w:fill="auto"/>
            <w:vAlign w:val="center"/>
            <w:hideMark/>
          </w:tcPr>
          <w:p w14:paraId="198F17CE" w14:textId="4A56799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-591 988 066</w:t>
            </w:r>
          </w:p>
        </w:tc>
        <w:tc>
          <w:tcPr>
            <w:tcW w:w="1417" w:type="dxa"/>
            <w:tcBorders>
              <w:top w:val="single" w:sz="4" w:space="0" w:color="17365D"/>
              <w:bottom w:val="single" w:sz="4" w:space="0" w:color="17365D"/>
            </w:tcBorders>
            <w:shd w:val="clear" w:color="auto" w:fill="auto"/>
            <w:vAlign w:val="center"/>
            <w:hideMark/>
          </w:tcPr>
          <w:p w14:paraId="2191000C" w14:textId="3DE6E63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auto"/>
              <w:bottom w:val="single" w:sz="4" w:space="0" w:color="17365D"/>
            </w:tcBorders>
            <w:shd w:val="clear" w:color="auto" w:fill="auto"/>
            <w:vAlign w:val="center"/>
            <w:hideMark/>
          </w:tcPr>
          <w:p w14:paraId="52BB8767" w14:textId="25EC5FC2"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auto"/>
              <w:left w:val="nil"/>
              <w:bottom w:val="single" w:sz="4" w:space="0" w:color="auto"/>
              <w:right w:val="nil"/>
            </w:tcBorders>
            <w:shd w:val="clear" w:color="auto" w:fill="auto"/>
            <w:vAlign w:val="center"/>
            <w:hideMark/>
          </w:tcPr>
          <w:p w14:paraId="7F465959" w14:textId="5C523FC8" w:rsidR="00F8164B" w:rsidRPr="00F8164B" w:rsidRDefault="00F8164B" w:rsidP="00F8164B">
            <w:pPr>
              <w:spacing w:after="0" w:line="240" w:lineRule="auto"/>
              <w:jc w:val="right"/>
              <w:rPr>
                <w:rFonts w:eastAsia="Times New Roman" w:cs="Times New Roman"/>
                <w:color w:val="17365D"/>
                <w:sz w:val="18"/>
                <w:szCs w:val="18"/>
                <w:lang w:eastAsia="lv-LV"/>
              </w:rPr>
            </w:pPr>
            <w:r w:rsidRPr="00F8164B">
              <w:rPr>
                <w:sz w:val="18"/>
                <w:szCs w:val="18"/>
              </w:rPr>
              <w:t>0</w:t>
            </w:r>
          </w:p>
        </w:tc>
        <w:tc>
          <w:tcPr>
            <w:tcW w:w="1418" w:type="dxa"/>
            <w:tcBorders>
              <w:top w:val="single" w:sz="4" w:space="0" w:color="auto"/>
              <w:left w:val="nil"/>
              <w:bottom w:val="single" w:sz="4" w:space="0" w:color="auto"/>
              <w:right w:val="nil"/>
            </w:tcBorders>
            <w:shd w:val="clear" w:color="auto" w:fill="auto"/>
            <w:vAlign w:val="center"/>
            <w:hideMark/>
          </w:tcPr>
          <w:p w14:paraId="48DEB0DB" w14:textId="0D54DF44" w:rsidR="00F8164B" w:rsidRPr="00F8164B" w:rsidRDefault="00F8164B" w:rsidP="00F8164B">
            <w:pPr>
              <w:spacing w:after="0" w:line="240" w:lineRule="auto"/>
              <w:jc w:val="right"/>
              <w:rPr>
                <w:rFonts w:eastAsia="Times New Roman" w:cs="Times New Roman"/>
                <w:color w:val="17365D"/>
                <w:sz w:val="18"/>
                <w:szCs w:val="18"/>
                <w:lang w:eastAsia="lv-LV"/>
              </w:rPr>
            </w:pPr>
            <w:r w:rsidRPr="00F8164B">
              <w:rPr>
                <w:sz w:val="18"/>
                <w:szCs w:val="18"/>
              </w:rPr>
              <w:t>16</w:t>
            </w:r>
          </w:p>
        </w:tc>
        <w:tc>
          <w:tcPr>
            <w:tcW w:w="1380" w:type="dxa"/>
            <w:tcBorders>
              <w:top w:val="single" w:sz="4" w:space="0" w:color="17365D"/>
              <w:bottom w:val="single" w:sz="4" w:space="0" w:color="17365D"/>
            </w:tcBorders>
            <w:shd w:val="clear" w:color="auto" w:fill="auto"/>
            <w:vAlign w:val="center"/>
            <w:hideMark/>
          </w:tcPr>
          <w:p w14:paraId="22338F69" w14:textId="03AA4BB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-941 746</w:t>
            </w:r>
          </w:p>
        </w:tc>
        <w:tc>
          <w:tcPr>
            <w:tcW w:w="1176" w:type="dxa"/>
            <w:gridSpan w:val="2"/>
            <w:tcBorders>
              <w:top w:val="single" w:sz="4" w:space="0" w:color="17365D"/>
              <w:bottom w:val="single" w:sz="4" w:space="0" w:color="17365D"/>
            </w:tcBorders>
            <w:shd w:val="clear" w:color="auto" w:fill="auto"/>
            <w:vAlign w:val="center"/>
            <w:hideMark/>
          </w:tcPr>
          <w:p w14:paraId="2F117E6C" w14:textId="65B5668C"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02CD8A0B" w14:textId="77777777" w:rsidTr="00CA5792">
        <w:trPr>
          <w:gridAfter w:val="1"/>
          <w:wAfter w:w="1281" w:type="dxa"/>
          <w:trHeight w:val="130"/>
        </w:trPr>
        <w:tc>
          <w:tcPr>
            <w:tcW w:w="4258" w:type="dxa"/>
            <w:tcBorders>
              <w:top w:val="single" w:sz="4" w:space="0" w:color="17365D"/>
              <w:bottom w:val="single" w:sz="4" w:space="0" w:color="17365D"/>
            </w:tcBorders>
            <w:shd w:val="clear" w:color="auto" w:fill="auto"/>
            <w:vAlign w:val="center"/>
            <w:hideMark/>
          </w:tcPr>
          <w:p w14:paraId="1FF6D427"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aizdevumi</w:t>
            </w:r>
          </w:p>
        </w:tc>
        <w:tc>
          <w:tcPr>
            <w:tcW w:w="1273" w:type="dxa"/>
            <w:tcBorders>
              <w:top w:val="single" w:sz="4" w:space="0" w:color="17365D"/>
              <w:bottom w:val="single" w:sz="4" w:space="0" w:color="17365D"/>
            </w:tcBorders>
            <w:shd w:val="clear" w:color="auto" w:fill="auto"/>
            <w:vAlign w:val="center"/>
            <w:hideMark/>
          </w:tcPr>
          <w:p w14:paraId="5B359BEE"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32ABE968"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0825FC7F" w14:textId="20D5041C"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-1 596 773 881</w:t>
            </w:r>
          </w:p>
        </w:tc>
        <w:tc>
          <w:tcPr>
            <w:tcW w:w="1416" w:type="dxa"/>
            <w:tcBorders>
              <w:top w:val="single" w:sz="4" w:space="0" w:color="17365D"/>
              <w:bottom w:val="single" w:sz="4" w:space="0" w:color="17365D"/>
            </w:tcBorders>
            <w:shd w:val="clear" w:color="auto" w:fill="auto"/>
            <w:vAlign w:val="center"/>
            <w:hideMark/>
          </w:tcPr>
          <w:p w14:paraId="34545314" w14:textId="7ABA189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-1 485 442 529</w:t>
            </w:r>
          </w:p>
        </w:tc>
        <w:tc>
          <w:tcPr>
            <w:tcW w:w="1423" w:type="dxa"/>
            <w:tcBorders>
              <w:top w:val="single" w:sz="4" w:space="0" w:color="auto"/>
              <w:bottom w:val="single" w:sz="4" w:space="0" w:color="17365D"/>
            </w:tcBorders>
            <w:shd w:val="clear" w:color="auto" w:fill="auto"/>
            <w:vAlign w:val="center"/>
            <w:hideMark/>
          </w:tcPr>
          <w:p w14:paraId="2203EFEC" w14:textId="0E45389C"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auto"/>
              <w:bottom w:val="single" w:sz="4" w:space="0" w:color="17365D"/>
            </w:tcBorders>
            <w:shd w:val="clear" w:color="auto" w:fill="auto"/>
            <w:vAlign w:val="center"/>
            <w:hideMark/>
          </w:tcPr>
          <w:p w14:paraId="0C17F96B"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0EC838B1"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3233A855"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3C62C4B5" w14:textId="77777777" w:rsidTr="00CA5792">
        <w:trPr>
          <w:gridAfter w:val="1"/>
          <w:wAfter w:w="1281" w:type="dxa"/>
          <w:trHeight w:val="123"/>
        </w:trPr>
        <w:tc>
          <w:tcPr>
            <w:tcW w:w="4258" w:type="dxa"/>
            <w:tcBorders>
              <w:top w:val="single" w:sz="4" w:space="0" w:color="17365D"/>
              <w:bottom w:val="single" w:sz="4" w:space="0" w:color="17365D"/>
            </w:tcBorders>
            <w:shd w:val="clear" w:color="auto" w:fill="auto"/>
            <w:vAlign w:val="center"/>
            <w:hideMark/>
          </w:tcPr>
          <w:p w14:paraId="2310844C"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ilgtermiņa finanšu ieguldījumi</w:t>
            </w:r>
          </w:p>
        </w:tc>
        <w:tc>
          <w:tcPr>
            <w:tcW w:w="1273" w:type="dxa"/>
            <w:tcBorders>
              <w:top w:val="single" w:sz="4" w:space="0" w:color="17365D"/>
              <w:bottom w:val="single" w:sz="4" w:space="0" w:color="17365D"/>
            </w:tcBorders>
            <w:shd w:val="clear" w:color="auto" w:fill="auto"/>
            <w:vAlign w:val="center"/>
            <w:hideMark/>
          </w:tcPr>
          <w:p w14:paraId="4BB02682" w14:textId="6AF697BA"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-4 885 329</w:t>
            </w:r>
          </w:p>
        </w:tc>
        <w:tc>
          <w:tcPr>
            <w:tcW w:w="1274" w:type="dxa"/>
            <w:tcBorders>
              <w:top w:val="single" w:sz="4" w:space="0" w:color="17365D"/>
              <w:bottom w:val="single" w:sz="4" w:space="0" w:color="17365D"/>
            </w:tcBorders>
            <w:shd w:val="clear" w:color="auto" w:fill="auto"/>
            <w:vAlign w:val="center"/>
            <w:hideMark/>
          </w:tcPr>
          <w:p w14:paraId="3FC238D5" w14:textId="3CA24AC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-5 830 159</w:t>
            </w:r>
          </w:p>
        </w:tc>
        <w:tc>
          <w:tcPr>
            <w:tcW w:w="1417" w:type="dxa"/>
            <w:tcBorders>
              <w:top w:val="single" w:sz="4" w:space="0" w:color="17365D"/>
              <w:bottom w:val="single" w:sz="4" w:space="0" w:color="17365D"/>
            </w:tcBorders>
            <w:shd w:val="clear" w:color="auto" w:fill="auto"/>
            <w:vAlign w:val="center"/>
            <w:hideMark/>
          </w:tcPr>
          <w:p w14:paraId="190B1F3E"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5ABA5B86"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3A5600E4" w14:textId="1099833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106D032C"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411F6861" w14:textId="3FD11BC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6CF43052"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3796AD67" w14:textId="77777777" w:rsidTr="00CA5792">
        <w:trPr>
          <w:gridAfter w:val="1"/>
          <w:wAfter w:w="1281" w:type="dxa"/>
          <w:trHeight w:val="211"/>
        </w:trPr>
        <w:tc>
          <w:tcPr>
            <w:tcW w:w="4258" w:type="dxa"/>
            <w:tcBorders>
              <w:top w:val="single" w:sz="4" w:space="0" w:color="17365D"/>
              <w:bottom w:val="single" w:sz="4" w:space="0" w:color="17365D"/>
            </w:tcBorders>
            <w:shd w:val="clear" w:color="auto" w:fill="auto"/>
            <w:vAlign w:val="center"/>
            <w:hideMark/>
          </w:tcPr>
          <w:p w14:paraId="548517EC"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noguldījumi</w:t>
            </w:r>
          </w:p>
        </w:tc>
        <w:tc>
          <w:tcPr>
            <w:tcW w:w="1273" w:type="dxa"/>
            <w:tcBorders>
              <w:top w:val="single" w:sz="4" w:space="0" w:color="17365D"/>
              <w:bottom w:val="single" w:sz="4" w:space="0" w:color="17365D"/>
            </w:tcBorders>
            <w:shd w:val="clear" w:color="auto" w:fill="auto"/>
            <w:vAlign w:val="center"/>
            <w:hideMark/>
          </w:tcPr>
          <w:p w14:paraId="10F3A143"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6D7E49B9"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20DF3BDD" w14:textId="1A8E4DC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2F08584A" w14:textId="48562F9D"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6E2FE1E7" w14:textId="6C4C17A4"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3DFA3EA6"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44423727"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3B4AACA2"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763B6643" w14:textId="77777777" w:rsidTr="00CA5792">
        <w:trPr>
          <w:gridAfter w:val="1"/>
          <w:wAfter w:w="1281" w:type="dxa"/>
          <w:trHeight w:val="270"/>
        </w:trPr>
        <w:tc>
          <w:tcPr>
            <w:tcW w:w="4258" w:type="dxa"/>
            <w:tcBorders>
              <w:top w:val="single" w:sz="4" w:space="0" w:color="17365D"/>
              <w:bottom w:val="single" w:sz="4" w:space="0" w:color="17365D"/>
            </w:tcBorders>
            <w:shd w:val="clear" w:color="auto" w:fill="auto"/>
            <w:vAlign w:val="center"/>
            <w:hideMark/>
          </w:tcPr>
          <w:p w14:paraId="7C4ECBFD"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Turējumā nodoti ilgtermiņa finanšu ieguldījumi</w:t>
            </w:r>
          </w:p>
        </w:tc>
        <w:tc>
          <w:tcPr>
            <w:tcW w:w="1273" w:type="dxa"/>
            <w:tcBorders>
              <w:top w:val="single" w:sz="4" w:space="0" w:color="17365D"/>
              <w:bottom w:val="single" w:sz="4" w:space="0" w:color="17365D"/>
            </w:tcBorders>
            <w:shd w:val="clear" w:color="auto" w:fill="auto"/>
            <w:vAlign w:val="center"/>
            <w:hideMark/>
          </w:tcPr>
          <w:p w14:paraId="75F49B9F"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44032690"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47EB2945"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239B166F"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0FB8560D" w14:textId="4ECD578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left w:val="nil"/>
              <w:bottom w:val="single" w:sz="4" w:space="0" w:color="17365D"/>
            </w:tcBorders>
            <w:shd w:val="clear" w:color="auto" w:fill="auto"/>
            <w:vAlign w:val="center"/>
            <w:hideMark/>
          </w:tcPr>
          <w:p w14:paraId="2DC9ED44"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36A01A8D"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37276CB0"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42ECEE66" w14:textId="77777777" w:rsidTr="00CA5792">
        <w:trPr>
          <w:gridAfter w:val="1"/>
          <w:wAfter w:w="1281" w:type="dxa"/>
          <w:trHeight w:val="277"/>
        </w:trPr>
        <w:tc>
          <w:tcPr>
            <w:tcW w:w="4258" w:type="dxa"/>
            <w:tcBorders>
              <w:top w:val="single" w:sz="4" w:space="0" w:color="17365D"/>
              <w:bottom w:val="single" w:sz="4" w:space="0" w:color="17365D"/>
            </w:tcBorders>
            <w:shd w:val="clear" w:color="auto" w:fill="auto"/>
            <w:vAlign w:val="center"/>
            <w:hideMark/>
          </w:tcPr>
          <w:p w14:paraId="46DDECFC"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Avansa maksājumi par ilgtermiņa finanšu ieguldījumiem</w:t>
            </w:r>
          </w:p>
        </w:tc>
        <w:tc>
          <w:tcPr>
            <w:tcW w:w="1273" w:type="dxa"/>
            <w:tcBorders>
              <w:top w:val="single" w:sz="4" w:space="0" w:color="17365D"/>
              <w:bottom w:val="single" w:sz="4" w:space="0" w:color="17365D"/>
            </w:tcBorders>
            <w:shd w:val="clear" w:color="auto" w:fill="auto"/>
            <w:vAlign w:val="center"/>
            <w:hideMark/>
          </w:tcPr>
          <w:p w14:paraId="4AD94BE6" w14:textId="172D1056"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0D4193EB"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27D45E49"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1931EE0A"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2B85AF1B" w14:textId="36A3D80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left w:val="nil"/>
              <w:bottom w:val="single" w:sz="4" w:space="0" w:color="17365D"/>
            </w:tcBorders>
            <w:shd w:val="clear" w:color="auto" w:fill="auto"/>
            <w:vAlign w:val="center"/>
            <w:hideMark/>
          </w:tcPr>
          <w:p w14:paraId="429B5E7F"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5D85171C"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55D4795E"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49CDA700" w14:textId="77777777" w:rsidTr="00CA5792">
        <w:trPr>
          <w:gridAfter w:val="1"/>
          <w:wAfter w:w="1281" w:type="dxa"/>
          <w:trHeight w:val="127"/>
        </w:trPr>
        <w:tc>
          <w:tcPr>
            <w:tcW w:w="4258" w:type="dxa"/>
            <w:tcBorders>
              <w:top w:val="single" w:sz="4" w:space="0" w:color="17365D"/>
              <w:bottom w:val="single" w:sz="4" w:space="0" w:color="17365D"/>
            </w:tcBorders>
            <w:shd w:val="clear" w:color="auto" w:fill="auto"/>
            <w:vAlign w:val="center"/>
            <w:hideMark/>
          </w:tcPr>
          <w:p w14:paraId="7D46FC70"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prasības</w:t>
            </w:r>
          </w:p>
        </w:tc>
        <w:tc>
          <w:tcPr>
            <w:tcW w:w="1273" w:type="dxa"/>
            <w:tcBorders>
              <w:top w:val="single" w:sz="4" w:space="0" w:color="17365D"/>
              <w:bottom w:val="single" w:sz="4" w:space="0" w:color="17365D"/>
            </w:tcBorders>
            <w:shd w:val="clear" w:color="auto" w:fill="auto"/>
            <w:vAlign w:val="center"/>
            <w:hideMark/>
          </w:tcPr>
          <w:p w14:paraId="274F5857" w14:textId="27292DDD"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29FCBAA1" w14:textId="63D567F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5F906EBB" w14:textId="0DA9D142"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-3 049 095</w:t>
            </w:r>
          </w:p>
        </w:tc>
        <w:tc>
          <w:tcPr>
            <w:tcW w:w="1416" w:type="dxa"/>
            <w:tcBorders>
              <w:top w:val="single" w:sz="4" w:space="0" w:color="17365D"/>
              <w:bottom w:val="single" w:sz="4" w:space="0" w:color="17365D"/>
            </w:tcBorders>
            <w:shd w:val="clear" w:color="auto" w:fill="auto"/>
            <w:vAlign w:val="center"/>
            <w:hideMark/>
          </w:tcPr>
          <w:p w14:paraId="42F4D745" w14:textId="53511F7A"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-26 834 178</w:t>
            </w:r>
          </w:p>
        </w:tc>
        <w:tc>
          <w:tcPr>
            <w:tcW w:w="1423" w:type="dxa"/>
            <w:tcBorders>
              <w:top w:val="single" w:sz="4" w:space="0" w:color="17365D"/>
              <w:bottom w:val="single" w:sz="4" w:space="0" w:color="17365D"/>
            </w:tcBorders>
            <w:shd w:val="clear" w:color="auto" w:fill="auto"/>
            <w:vAlign w:val="center"/>
            <w:hideMark/>
          </w:tcPr>
          <w:p w14:paraId="45F35C04" w14:textId="07BA1CC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241DD926" w14:textId="10A2F085"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28205C86" w14:textId="3A7739FF"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-2 345 001</w:t>
            </w:r>
          </w:p>
        </w:tc>
        <w:tc>
          <w:tcPr>
            <w:tcW w:w="1176" w:type="dxa"/>
            <w:gridSpan w:val="2"/>
            <w:tcBorders>
              <w:top w:val="single" w:sz="4" w:space="0" w:color="17365D"/>
              <w:bottom w:val="single" w:sz="4" w:space="0" w:color="17365D"/>
            </w:tcBorders>
            <w:shd w:val="clear" w:color="auto" w:fill="auto"/>
            <w:vAlign w:val="center"/>
            <w:hideMark/>
          </w:tcPr>
          <w:p w14:paraId="7C8A52B9"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3AE4EFE7" w14:textId="77777777" w:rsidTr="00CA5792">
        <w:trPr>
          <w:gridAfter w:val="1"/>
          <w:wAfter w:w="1281" w:type="dxa"/>
          <w:trHeight w:val="626"/>
        </w:trPr>
        <w:tc>
          <w:tcPr>
            <w:tcW w:w="4258" w:type="dxa"/>
            <w:tcBorders>
              <w:top w:val="single" w:sz="4" w:space="0" w:color="17365D"/>
              <w:bottom w:val="single" w:sz="4" w:space="0" w:color="17365D"/>
            </w:tcBorders>
            <w:shd w:val="clear" w:color="auto" w:fill="auto"/>
            <w:vAlign w:val="center"/>
            <w:hideMark/>
          </w:tcPr>
          <w:p w14:paraId="18E9CBD3"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lastRenderedPageBreak/>
              <w:t>Ilgtermiņa prasības par Eiropas Savienības politiku instrumentu un pārējās ārvalstu finanšu palīdzības finansētajiem projektiem (pasākumiem)</w:t>
            </w:r>
          </w:p>
        </w:tc>
        <w:tc>
          <w:tcPr>
            <w:tcW w:w="1273" w:type="dxa"/>
            <w:tcBorders>
              <w:top w:val="single" w:sz="4" w:space="0" w:color="17365D"/>
              <w:bottom w:val="single" w:sz="4" w:space="0" w:color="17365D"/>
            </w:tcBorders>
            <w:shd w:val="clear" w:color="auto" w:fill="auto"/>
            <w:vAlign w:val="center"/>
            <w:hideMark/>
          </w:tcPr>
          <w:p w14:paraId="5C3D12DA"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2E090DB0"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2C5EE045" w14:textId="2AA509B9"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-1 995 750</w:t>
            </w:r>
          </w:p>
        </w:tc>
        <w:tc>
          <w:tcPr>
            <w:tcW w:w="1416" w:type="dxa"/>
            <w:tcBorders>
              <w:top w:val="single" w:sz="4" w:space="0" w:color="17365D"/>
              <w:bottom w:val="single" w:sz="4" w:space="0" w:color="17365D"/>
            </w:tcBorders>
            <w:shd w:val="clear" w:color="auto" w:fill="auto"/>
            <w:vAlign w:val="center"/>
            <w:hideMark/>
          </w:tcPr>
          <w:p w14:paraId="4ECE8DE8" w14:textId="056A5D7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-26 790 255</w:t>
            </w:r>
          </w:p>
        </w:tc>
        <w:tc>
          <w:tcPr>
            <w:tcW w:w="1423" w:type="dxa"/>
            <w:tcBorders>
              <w:top w:val="single" w:sz="4" w:space="0" w:color="17365D"/>
              <w:bottom w:val="single" w:sz="4" w:space="0" w:color="17365D"/>
            </w:tcBorders>
            <w:shd w:val="clear" w:color="auto" w:fill="auto"/>
            <w:vAlign w:val="center"/>
            <w:hideMark/>
          </w:tcPr>
          <w:p w14:paraId="6526EB20" w14:textId="3D2D45F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21170F68" w14:textId="78A911A5"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0CB6C806" w14:textId="505A94D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-2 345 001</w:t>
            </w:r>
          </w:p>
        </w:tc>
        <w:tc>
          <w:tcPr>
            <w:tcW w:w="1176" w:type="dxa"/>
            <w:gridSpan w:val="2"/>
            <w:tcBorders>
              <w:top w:val="single" w:sz="4" w:space="0" w:color="17365D"/>
              <w:bottom w:val="single" w:sz="4" w:space="0" w:color="17365D"/>
            </w:tcBorders>
            <w:shd w:val="clear" w:color="auto" w:fill="auto"/>
            <w:vAlign w:val="center"/>
            <w:hideMark/>
          </w:tcPr>
          <w:p w14:paraId="5B244D58"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5343FE8A" w14:textId="77777777" w:rsidTr="00CA5792">
        <w:trPr>
          <w:gridAfter w:val="1"/>
          <w:wAfter w:w="1281" w:type="dxa"/>
          <w:trHeight w:val="212"/>
        </w:trPr>
        <w:tc>
          <w:tcPr>
            <w:tcW w:w="4258" w:type="dxa"/>
            <w:tcBorders>
              <w:top w:val="single" w:sz="4" w:space="0" w:color="17365D"/>
              <w:bottom w:val="single" w:sz="4" w:space="0" w:color="17365D"/>
            </w:tcBorders>
            <w:shd w:val="clear" w:color="auto" w:fill="auto"/>
            <w:vAlign w:val="center"/>
            <w:hideMark/>
          </w:tcPr>
          <w:p w14:paraId="2105A8BA"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Pārējās ilgtermiņa prasības</w:t>
            </w:r>
          </w:p>
        </w:tc>
        <w:tc>
          <w:tcPr>
            <w:tcW w:w="1273" w:type="dxa"/>
            <w:tcBorders>
              <w:top w:val="single" w:sz="4" w:space="0" w:color="17365D"/>
              <w:bottom w:val="single" w:sz="4" w:space="0" w:color="17365D"/>
            </w:tcBorders>
            <w:shd w:val="clear" w:color="auto" w:fill="auto"/>
            <w:vAlign w:val="center"/>
            <w:hideMark/>
          </w:tcPr>
          <w:p w14:paraId="7126A383" w14:textId="7C7C3ECA"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725BBE6A" w14:textId="4201AC8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44A4E304" w14:textId="131E558A"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-1 053 345</w:t>
            </w:r>
          </w:p>
        </w:tc>
        <w:tc>
          <w:tcPr>
            <w:tcW w:w="1416" w:type="dxa"/>
            <w:tcBorders>
              <w:top w:val="single" w:sz="4" w:space="0" w:color="17365D"/>
              <w:bottom w:val="single" w:sz="4" w:space="0" w:color="17365D"/>
            </w:tcBorders>
            <w:shd w:val="clear" w:color="auto" w:fill="auto"/>
            <w:vAlign w:val="center"/>
            <w:hideMark/>
          </w:tcPr>
          <w:p w14:paraId="04A5E9B2" w14:textId="3CFA0F52"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-43 923</w:t>
            </w:r>
          </w:p>
        </w:tc>
        <w:tc>
          <w:tcPr>
            <w:tcW w:w="1423" w:type="dxa"/>
            <w:tcBorders>
              <w:top w:val="single" w:sz="4" w:space="0" w:color="17365D"/>
              <w:bottom w:val="single" w:sz="4" w:space="0" w:color="17365D"/>
            </w:tcBorders>
            <w:shd w:val="clear" w:color="auto" w:fill="auto"/>
            <w:vAlign w:val="center"/>
            <w:hideMark/>
          </w:tcPr>
          <w:p w14:paraId="6C0311F3" w14:textId="59C533F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4CD491A3" w14:textId="1DD02C95"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11E3E585" w14:textId="17321ED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6EE8E7D8"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5C54D0C9" w14:textId="77777777" w:rsidTr="00CA5792">
        <w:trPr>
          <w:gridAfter w:val="1"/>
          <w:wAfter w:w="1281" w:type="dxa"/>
          <w:trHeight w:val="130"/>
        </w:trPr>
        <w:tc>
          <w:tcPr>
            <w:tcW w:w="4258" w:type="dxa"/>
            <w:tcBorders>
              <w:top w:val="single" w:sz="4" w:space="0" w:color="17365D"/>
              <w:bottom w:val="single" w:sz="4" w:space="0" w:color="17365D"/>
            </w:tcBorders>
            <w:shd w:val="clear" w:color="auto" w:fill="auto"/>
            <w:vAlign w:val="center"/>
            <w:hideMark/>
          </w:tcPr>
          <w:p w14:paraId="1601289D"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Ieguldījuma īpašumi</w:t>
            </w:r>
          </w:p>
        </w:tc>
        <w:tc>
          <w:tcPr>
            <w:tcW w:w="1273" w:type="dxa"/>
            <w:tcBorders>
              <w:top w:val="single" w:sz="4" w:space="0" w:color="17365D"/>
              <w:bottom w:val="single" w:sz="4" w:space="0" w:color="17365D"/>
            </w:tcBorders>
            <w:shd w:val="clear" w:color="auto" w:fill="auto"/>
            <w:vAlign w:val="center"/>
            <w:hideMark/>
          </w:tcPr>
          <w:p w14:paraId="457FDA7D"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54EDC3E0"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408059BE" w14:textId="46C06C1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16FFA10C" w14:textId="32967C82"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67D206B9" w14:textId="16A9EBAA"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7F58DE57" w14:textId="3545AE9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0F56A878" w14:textId="38D553E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-222 359</w:t>
            </w:r>
          </w:p>
        </w:tc>
        <w:tc>
          <w:tcPr>
            <w:tcW w:w="1176" w:type="dxa"/>
            <w:gridSpan w:val="2"/>
            <w:tcBorders>
              <w:top w:val="single" w:sz="4" w:space="0" w:color="17365D"/>
              <w:bottom w:val="single" w:sz="4" w:space="0" w:color="17365D"/>
            </w:tcBorders>
            <w:shd w:val="clear" w:color="auto" w:fill="auto"/>
            <w:vAlign w:val="center"/>
            <w:hideMark/>
          </w:tcPr>
          <w:p w14:paraId="0A89B6A0" w14:textId="55AE250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1E76003C" w14:textId="77777777" w:rsidTr="00CA5792">
        <w:trPr>
          <w:gridAfter w:val="1"/>
          <w:wAfter w:w="1281" w:type="dxa"/>
          <w:trHeight w:val="189"/>
        </w:trPr>
        <w:tc>
          <w:tcPr>
            <w:tcW w:w="4258" w:type="dxa"/>
            <w:tcBorders>
              <w:top w:val="single" w:sz="4" w:space="0" w:color="17365D"/>
              <w:bottom w:val="single" w:sz="4" w:space="0" w:color="17365D"/>
            </w:tcBorders>
            <w:shd w:val="clear" w:color="auto" w:fill="auto"/>
            <w:vAlign w:val="center"/>
            <w:hideMark/>
          </w:tcPr>
          <w:p w14:paraId="22E518AA"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Ieguldījuma īpašumi</w:t>
            </w:r>
          </w:p>
        </w:tc>
        <w:tc>
          <w:tcPr>
            <w:tcW w:w="1273" w:type="dxa"/>
            <w:tcBorders>
              <w:top w:val="single" w:sz="4" w:space="0" w:color="17365D"/>
              <w:bottom w:val="single" w:sz="4" w:space="0" w:color="17365D"/>
            </w:tcBorders>
            <w:shd w:val="clear" w:color="auto" w:fill="auto"/>
            <w:vAlign w:val="center"/>
            <w:hideMark/>
          </w:tcPr>
          <w:p w14:paraId="49EFFDBC"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16E5F62F"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0F22173C"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29E20814"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5F5CB258" w14:textId="2BC7D716"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0232B3F6"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6E2E9D9C" w14:textId="29570C1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-238 836</w:t>
            </w:r>
          </w:p>
        </w:tc>
        <w:tc>
          <w:tcPr>
            <w:tcW w:w="1176" w:type="dxa"/>
            <w:gridSpan w:val="2"/>
            <w:tcBorders>
              <w:top w:val="single" w:sz="4" w:space="0" w:color="17365D"/>
              <w:bottom w:val="single" w:sz="4" w:space="0" w:color="17365D"/>
            </w:tcBorders>
            <w:shd w:val="clear" w:color="auto" w:fill="auto"/>
            <w:vAlign w:val="center"/>
            <w:hideMark/>
          </w:tcPr>
          <w:p w14:paraId="0D616130"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68B5AA3C" w14:textId="77777777" w:rsidTr="00CA5792">
        <w:trPr>
          <w:gridAfter w:val="1"/>
          <w:wAfter w:w="1281" w:type="dxa"/>
          <w:trHeight w:val="264"/>
        </w:trPr>
        <w:tc>
          <w:tcPr>
            <w:tcW w:w="4258" w:type="dxa"/>
            <w:tcBorders>
              <w:top w:val="single" w:sz="4" w:space="0" w:color="17365D"/>
              <w:bottom w:val="single" w:sz="4" w:space="0" w:color="17365D"/>
            </w:tcBorders>
            <w:shd w:val="clear" w:color="auto" w:fill="auto"/>
            <w:vAlign w:val="center"/>
            <w:hideMark/>
          </w:tcPr>
          <w:p w14:paraId="2C258ABB"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Ieguldījuma īpašumu izveidošana un nepabeigtā būvniecība</w:t>
            </w:r>
          </w:p>
        </w:tc>
        <w:tc>
          <w:tcPr>
            <w:tcW w:w="1273" w:type="dxa"/>
            <w:tcBorders>
              <w:top w:val="single" w:sz="4" w:space="0" w:color="17365D"/>
              <w:bottom w:val="single" w:sz="4" w:space="0" w:color="17365D"/>
            </w:tcBorders>
            <w:shd w:val="clear" w:color="auto" w:fill="auto"/>
            <w:vAlign w:val="center"/>
            <w:hideMark/>
          </w:tcPr>
          <w:p w14:paraId="3747F1E4"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5E177604"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45176E84"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2EF7897B"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6962111E" w14:textId="2C93281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72379924"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59FAF3D6" w14:textId="0AF4BB6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0B693907"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62115C73" w14:textId="77777777" w:rsidTr="00CA5792">
        <w:trPr>
          <w:gridAfter w:val="1"/>
          <w:wAfter w:w="1281" w:type="dxa"/>
          <w:trHeight w:val="128"/>
        </w:trPr>
        <w:tc>
          <w:tcPr>
            <w:tcW w:w="4258" w:type="dxa"/>
            <w:tcBorders>
              <w:top w:val="single" w:sz="4" w:space="0" w:color="17365D"/>
              <w:bottom w:val="single" w:sz="4" w:space="0" w:color="17365D"/>
            </w:tcBorders>
            <w:shd w:val="clear" w:color="auto" w:fill="auto"/>
            <w:vAlign w:val="center"/>
            <w:hideMark/>
          </w:tcPr>
          <w:p w14:paraId="2797D776"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Turējumā nodotie ieguldījuma īpašumi</w:t>
            </w:r>
          </w:p>
        </w:tc>
        <w:tc>
          <w:tcPr>
            <w:tcW w:w="1273" w:type="dxa"/>
            <w:tcBorders>
              <w:top w:val="single" w:sz="4" w:space="0" w:color="17365D"/>
              <w:bottom w:val="single" w:sz="4" w:space="0" w:color="17365D"/>
            </w:tcBorders>
            <w:shd w:val="clear" w:color="auto" w:fill="auto"/>
            <w:vAlign w:val="center"/>
            <w:hideMark/>
          </w:tcPr>
          <w:p w14:paraId="073191F4"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13B8E714"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3785AEE7"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1E939615"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1EF16605" w14:textId="247667B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2DE37EBF"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0B823052" w14:textId="59B5812F"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16 477</w:t>
            </w:r>
          </w:p>
        </w:tc>
        <w:tc>
          <w:tcPr>
            <w:tcW w:w="1176" w:type="dxa"/>
            <w:gridSpan w:val="2"/>
            <w:tcBorders>
              <w:top w:val="single" w:sz="4" w:space="0" w:color="17365D"/>
              <w:bottom w:val="single" w:sz="4" w:space="0" w:color="17365D"/>
            </w:tcBorders>
            <w:shd w:val="clear" w:color="auto" w:fill="auto"/>
            <w:vAlign w:val="center"/>
            <w:hideMark/>
          </w:tcPr>
          <w:p w14:paraId="1C845F7B" w14:textId="24D1CE5D"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1BE052D4" w14:textId="77777777" w:rsidTr="00CA5792">
        <w:trPr>
          <w:gridAfter w:val="1"/>
          <w:wAfter w:w="1281" w:type="dxa"/>
          <w:trHeight w:val="188"/>
        </w:trPr>
        <w:tc>
          <w:tcPr>
            <w:tcW w:w="4258" w:type="dxa"/>
            <w:tcBorders>
              <w:top w:val="single" w:sz="4" w:space="0" w:color="17365D"/>
              <w:bottom w:val="single" w:sz="4" w:space="0" w:color="17365D"/>
            </w:tcBorders>
            <w:shd w:val="clear" w:color="auto" w:fill="auto"/>
            <w:vAlign w:val="center"/>
            <w:hideMark/>
          </w:tcPr>
          <w:p w14:paraId="15996F63"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Avansa maksājumi par ieguldījuma īpašumiem</w:t>
            </w:r>
          </w:p>
        </w:tc>
        <w:tc>
          <w:tcPr>
            <w:tcW w:w="1273" w:type="dxa"/>
            <w:tcBorders>
              <w:top w:val="single" w:sz="4" w:space="0" w:color="17365D"/>
              <w:bottom w:val="single" w:sz="4" w:space="0" w:color="17365D"/>
            </w:tcBorders>
            <w:shd w:val="clear" w:color="auto" w:fill="auto"/>
            <w:vAlign w:val="center"/>
            <w:hideMark/>
          </w:tcPr>
          <w:p w14:paraId="3A52D89F"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174D1352"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02EAF62D"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0AF2D778"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2140D623" w14:textId="6D763531"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4F63C862"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420B33BA"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42CC39BE"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16052EBC" w14:textId="77777777" w:rsidTr="00CA5792">
        <w:trPr>
          <w:gridAfter w:val="1"/>
          <w:wAfter w:w="1281" w:type="dxa"/>
          <w:trHeight w:val="322"/>
        </w:trPr>
        <w:tc>
          <w:tcPr>
            <w:tcW w:w="4258" w:type="dxa"/>
            <w:tcBorders>
              <w:top w:val="single" w:sz="4" w:space="0" w:color="17365D"/>
              <w:bottom w:val="single" w:sz="4" w:space="0" w:color="17365D"/>
            </w:tcBorders>
            <w:shd w:val="clear" w:color="auto" w:fill="auto"/>
            <w:vAlign w:val="center"/>
            <w:hideMark/>
          </w:tcPr>
          <w:p w14:paraId="589CD40C"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Bioloģiskie aktīvi lauksaimnieciskajai darbībai</w:t>
            </w:r>
          </w:p>
        </w:tc>
        <w:tc>
          <w:tcPr>
            <w:tcW w:w="1273" w:type="dxa"/>
            <w:tcBorders>
              <w:top w:val="single" w:sz="4" w:space="0" w:color="17365D"/>
              <w:bottom w:val="single" w:sz="4" w:space="0" w:color="17365D"/>
            </w:tcBorders>
            <w:shd w:val="clear" w:color="auto" w:fill="auto"/>
            <w:vAlign w:val="center"/>
            <w:hideMark/>
          </w:tcPr>
          <w:p w14:paraId="137FA39C"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22B44395"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78916F89"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7E70D4C0"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499EBEDD" w14:textId="6AE384D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6A0CFA86"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0EF3E982" w14:textId="393DF88C"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3E51D93F"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62392EE7" w14:textId="77777777" w:rsidTr="00CA5792">
        <w:trPr>
          <w:gridAfter w:val="1"/>
          <w:wAfter w:w="1281" w:type="dxa"/>
          <w:trHeight w:val="185"/>
        </w:trPr>
        <w:tc>
          <w:tcPr>
            <w:tcW w:w="4258" w:type="dxa"/>
            <w:tcBorders>
              <w:top w:val="single" w:sz="4" w:space="0" w:color="17365D"/>
              <w:bottom w:val="single" w:sz="4" w:space="0" w:color="17365D"/>
            </w:tcBorders>
            <w:shd w:val="clear" w:color="auto" w:fill="auto"/>
            <w:vAlign w:val="center"/>
            <w:hideMark/>
          </w:tcPr>
          <w:p w14:paraId="0506451D"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Bioloģiskie aktīvi lauksaimnieciskajai darbībai</w:t>
            </w:r>
          </w:p>
        </w:tc>
        <w:tc>
          <w:tcPr>
            <w:tcW w:w="1273" w:type="dxa"/>
            <w:tcBorders>
              <w:top w:val="single" w:sz="4" w:space="0" w:color="17365D"/>
              <w:bottom w:val="single" w:sz="4" w:space="0" w:color="17365D"/>
            </w:tcBorders>
            <w:shd w:val="clear" w:color="auto" w:fill="auto"/>
            <w:vAlign w:val="center"/>
            <w:hideMark/>
          </w:tcPr>
          <w:p w14:paraId="5C962D1E"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084DD1F6"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2C7C79B9"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3E568041"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1783137C" w14:textId="356C4FFA"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1A8F35AB"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030AAEC0" w14:textId="7DEBB752"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4BDEB61E"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11516CE1" w14:textId="77777777" w:rsidTr="00CA5792">
        <w:trPr>
          <w:gridAfter w:val="1"/>
          <w:wAfter w:w="1281" w:type="dxa"/>
          <w:trHeight w:val="333"/>
        </w:trPr>
        <w:tc>
          <w:tcPr>
            <w:tcW w:w="4258" w:type="dxa"/>
            <w:tcBorders>
              <w:top w:val="single" w:sz="4" w:space="0" w:color="17365D"/>
              <w:bottom w:val="single" w:sz="4" w:space="0" w:color="17365D"/>
            </w:tcBorders>
            <w:shd w:val="clear" w:color="auto" w:fill="auto"/>
            <w:vAlign w:val="center"/>
            <w:hideMark/>
          </w:tcPr>
          <w:p w14:paraId="4E9E185B"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Avansa maksājumi par bioloģiskajiem aktīviem lauksaimnieciskajai darbībai</w:t>
            </w:r>
          </w:p>
        </w:tc>
        <w:tc>
          <w:tcPr>
            <w:tcW w:w="1273" w:type="dxa"/>
            <w:tcBorders>
              <w:top w:val="single" w:sz="4" w:space="0" w:color="17365D"/>
              <w:bottom w:val="single" w:sz="4" w:space="0" w:color="17365D"/>
            </w:tcBorders>
            <w:shd w:val="clear" w:color="auto" w:fill="auto"/>
            <w:vAlign w:val="center"/>
            <w:hideMark/>
          </w:tcPr>
          <w:p w14:paraId="221942B0"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3E20156E"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6FE2FF57"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726A9966"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7E8BD45D" w14:textId="1744E6E4"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555EECCB"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35AF0F13"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17E211E3"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08CBB6EB" w14:textId="77777777" w:rsidTr="00CA5792">
        <w:trPr>
          <w:gridAfter w:val="1"/>
          <w:wAfter w:w="1281" w:type="dxa"/>
          <w:trHeight w:val="58"/>
        </w:trPr>
        <w:tc>
          <w:tcPr>
            <w:tcW w:w="4258" w:type="dxa"/>
            <w:tcBorders>
              <w:top w:val="single" w:sz="4" w:space="0" w:color="17365D"/>
              <w:bottom w:val="single" w:sz="4" w:space="0" w:color="17365D"/>
            </w:tcBorders>
            <w:shd w:val="clear" w:color="auto" w:fill="auto"/>
            <w:vAlign w:val="center"/>
            <w:hideMark/>
          </w:tcPr>
          <w:p w14:paraId="441FD807" w14:textId="77777777" w:rsidR="00F8164B" w:rsidRPr="00A27896" w:rsidRDefault="00F8164B" w:rsidP="00F8164B">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Apgrozāmie līdzekļi</w:t>
            </w:r>
          </w:p>
        </w:tc>
        <w:tc>
          <w:tcPr>
            <w:tcW w:w="1273" w:type="dxa"/>
            <w:tcBorders>
              <w:top w:val="single" w:sz="4" w:space="0" w:color="17365D"/>
              <w:bottom w:val="single" w:sz="4" w:space="0" w:color="17365D"/>
            </w:tcBorders>
            <w:shd w:val="clear" w:color="auto" w:fill="auto"/>
            <w:vAlign w:val="center"/>
            <w:hideMark/>
          </w:tcPr>
          <w:p w14:paraId="14AF6295" w14:textId="37969D7A"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-4 985</w:t>
            </w:r>
          </w:p>
        </w:tc>
        <w:tc>
          <w:tcPr>
            <w:tcW w:w="1274" w:type="dxa"/>
            <w:tcBorders>
              <w:top w:val="single" w:sz="4" w:space="0" w:color="17365D"/>
              <w:bottom w:val="single" w:sz="4" w:space="0" w:color="17365D"/>
            </w:tcBorders>
            <w:shd w:val="clear" w:color="auto" w:fill="auto"/>
            <w:vAlign w:val="center"/>
            <w:hideMark/>
          </w:tcPr>
          <w:p w14:paraId="2765A008" w14:textId="0C28D1A2"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-743 106</w:t>
            </w:r>
          </w:p>
        </w:tc>
        <w:tc>
          <w:tcPr>
            <w:tcW w:w="1417" w:type="dxa"/>
            <w:tcBorders>
              <w:top w:val="single" w:sz="4" w:space="0" w:color="17365D"/>
              <w:bottom w:val="single" w:sz="4" w:space="0" w:color="17365D"/>
            </w:tcBorders>
            <w:shd w:val="clear" w:color="auto" w:fill="auto"/>
            <w:vAlign w:val="center"/>
            <w:hideMark/>
          </w:tcPr>
          <w:p w14:paraId="00B92BB3" w14:textId="13B51F6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-691 101 872</w:t>
            </w:r>
          </w:p>
        </w:tc>
        <w:tc>
          <w:tcPr>
            <w:tcW w:w="1416" w:type="dxa"/>
            <w:tcBorders>
              <w:top w:val="single" w:sz="4" w:space="0" w:color="17365D"/>
              <w:bottom w:val="single" w:sz="4" w:space="0" w:color="17365D"/>
            </w:tcBorders>
            <w:shd w:val="clear" w:color="auto" w:fill="auto"/>
            <w:vAlign w:val="center"/>
            <w:hideMark/>
          </w:tcPr>
          <w:p w14:paraId="5ACE2EDE" w14:textId="76B94F4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-666 638 499</w:t>
            </w:r>
          </w:p>
        </w:tc>
        <w:tc>
          <w:tcPr>
            <w:tcW w:w="1423" w:type="dxa"/>
            <w:tcBorders>
              <w:top w:val="single" w:sz="4" w:space="0" w:color="17365D"/>
              <w:bottom w:val="single" w:sz="4" w:space="0" w:color="17365D"/>
            </w:tcBorders>
            <w:shd w:val="clear" w:color="auto" w:fill="auto"/>
            <w:vAlign w:val="center"/>
            <w:hideMark/>
          </w:tcPr>
          <w:p w14:paraId="32E8E75F" w14:textId="536FCA74"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30 723 344</w:t>
            </w:r>
          </w:p>
        </w:tc>
        <w:tc>
          <w:tcPr>
            <w:tcW w:w="1418" w:type="dxa"/>
            <w:tcBorders>
              <w:top w:val="single" w:sz="4" w:space="0" w:color="17365D"/>
              <w:bottom w:val="single" w:sz="4" w:space="0" w:color="17365D"/>
            </w:tcBorders>
            <w:shd w:val="clear" w:color="auto" w:fill="auto"/>
            <w:vAlign w:val="center"/>
            <w:hideMark/>
          </w:tcPr>
          <w:p w14:paraId="2C00FBF5" w14:textId="369A6C8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3CCEB4AE" w14:textId="59E8746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444 985</w:t>
            </w:r>
          </w:p>
        </w:tc>
        <w:tc>
          <w:tcPr>
            <w:tcW w:w="1176" w:type="dxa"/>
            <w:gridSpan w:val="2"/>
            <w:tcBorders>
              <w:top w:val="single" w:sz="4" w:space="0" w:color="17365D"/>
              <w:bottom w:val="single" w:sz="4" w:space="0" w:color="17365D"/>
            </w:tcBorders>
            <w:shd w:val="clear" w:color="auto" w:fill="auto"/>
            <w:vAlign w:val="center"/>
            <w:hideMark/>
          </w:tcPr>
          <w:p w14:paraId="60F64669"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32C40624" w14:textId="77777777" w:rsidTr="00CA5792">
        <w:trPr>
          <w:gridAfter w:val="1"/>
          <w:wAfter w:w="1281" w:type="dxa"/>
          <w:trHeight w:val="116"/>
        </w:trPr>
        <w:tc>
          <w:tcPr>
            <w:tcW w:w="4258" w:type="dxa"/>
            <w:tcBorders>
              <w:top w:val="single" w:sz="4" w:space="0" w:color="17365D"/>
              <w:bottom w:val="single" w:sz="4" w:space="0" w:color="17365D"/>
            </w:tcBorders>
            <w:shd w:val="clear" w:color="auto" w:fill="auto"/>
            <w:vAlign w:val="center"/>
            <w:hideMark/>
          </w:tcPr>
          <w:p w14:paraId="5FB50C9B"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Krājumi</w:t>
            </w:r>
          </w:p>
        </w:tc>
        <w:tc>
          <w:tcPr>
            <w:tcW w:w="1273" w:type="dxa"/>
            <w:tcBorders>
              <w:top w:val="single" w:sz="4" w:space="0" w:color="17365D"/>
              <w:bottom w:val="single" w:sz="4" w:space="0" w:color="17365D"/>
            </w:tcBorders>
            <w:shd w:val="clear" w:color="auto" w:fill="auto"/>
            <w:vAlign w:val="center"/>
            <w:hideMark/>
          </w:tcPr>
          <w:p w14:paraId="3FB17C10" w14:textId="144D147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16F13EEB" w14:textId="4A912784"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40076D53" w14:textId="1EA842A9"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-601</w:t>
            </w:r>
          </w:p>
        </w:tc>
        <w:tc>
          <w:tcPr>
            <w:tcW w:w="1416" w:type="dxa"/>
            <w:tcBorders>
              <w:top w:val="single" w:sz="4" w:space="0" w:color="17365D"/>
              <w:bottom w:val="single" w:sz="4" w:space="0" w:color="17365D"/>
            </w:tcBorders>
            <w:shd w:val="clear" w:color="auto" w:fill="auto"/>
            <w:vAlign w:val="center"/>
            <w:hideMark/>
          </w:tcPr>
          <w:p w14:paraId="77F9EC94" w14:textId="2630F741"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-23</w:t>
            </w:r>
          </w:p>
        </w:tc>
        <w:tc>
          <w:tcPr>
            <w:tcW w:w="1423" w:type="dxa"/>
            <w:tcBorders>
              <w:top w:val="single" w:sz="4" w:space="0" w:color="17365D"/>
              <w:bottom w:val="single" w:sz="4" w:space="0" w:color="17365D"/>
            </w:tcBorders>
            <w:shd w:val="clear" w:color="auto" w:fill="auto"/>
            <w:vAlign w:val="center"/>
            <w:hideMark/>
          </w:tcPr>
          <w:p w14:paraId="49F5EB64" w14:textId="3587A079"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7A543E74" w14:textId="1603818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0CECF443" w14:textId="78C16F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-6 908</w:t>
            </w:r>
          </w:p>
        </w:tc>
        <w:tc>
          <w:tcPr>
            <w:tcW w:w="1176" w:type="dxa"/>
            <w:gridSpan w:val="2"/>
            <w:tcBorders>
              <w:top w:val="single" w:sz="4" w:space="0" w:color="17365D"/>
              <w:bottom w:val="single" w:sz="4" w:space="0" w:color="17365D"/>
            </w:tcBorders>
            <w:shd w:val="clear" w:color="auto" w:fill="auto"/>
            <w:vAlign w:val="center"/>
            <w:hideMark/>
          </w:tcPr>
          <w:p w14:paraId="79635539"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109B3058" w14:textId="77777777" w:rsidTr="00CA5792">
        <w:trPr>
          <w:gridAfter w:val="1"/>
          <w:wAfter w:w="1281" w:type="dxa"/>
          <w:trHeight w:val="176"/>
        </w:trPr>
        <w:tc>
          <w:tcPr>
            <w:tcW w:w="4258" w:type="dxa"/>
            <w:tcBorders>
              <w:top w:val="single" w:sz="4" w:space="0" w:color="17365D"/>
              <w:bottom w:val="single" w:sz="4" w:space="0" w:color="17365D"/>
            </w:tcBorders>
            <w:shd w:val="clear" w:color="auto" w:fill="auto"/>
            <w:vAlign w:val="center"/>
            <w:hideMark/>
          </w:tcPr>
          <w:p w14:paraId="35CD297E"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Īstermiņa prasības</w:t>
            </w:r>
          </w:p>
        </w:tc>
        <w:tc>
          <w:tcPr>
            <w:tcW w:w="1273" w:type="dxa"/>
            <w:tcBorders>
              <w:top w:val="single" w:sz="4" w:space="0" w:color="17365D"/>
              <w:bottom w:val="single" w:sz="4" w:space="0" w:color="17365D"/>
            </w:tcBorders>
            <w:shd w:val="clear" w:color="auto" w:fill="auto"/>
            <w:vAlign w:val="center"/>
            <w:hideMark/>
          </w:tcPr>
          <w:p w14:paraId="1ABD8A70" w14:textId="7951B59A"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15</w:t>
            </w:r>
          </w:p>
        </w:tc>
        <w:tc>
          <w:tcPr>
            <w:tcW w:w="1274" w:type="dxa"/>
            <w:tcBorders>
              <w:top w:val="single" w:sz="4" w:space="0" w:color="17365D"/>
              <w:bottom w:val="single" w:sz="4" w:space="0" w:color="17365D"/>
            </w:tcBorders>
            <w:shd w:val="clear" w:color="auto" w:fill="auto"/>
            <w:vAlign w:val="center"/>
            <w:hideMark/>
          </w:tcPr>
          <w:p w14:paraId="74749EFC" w14:textId="6FC5D1C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-650 761</w:t>
            </w:r>
          </w:p>
        </w:tc>
        <w:tc>
          <w:tcPr>
            <w:tcW w:w="1417" w:type="dxa"/>
            <w:tcBorders>
              <w:top w:val="single" w:sz="4" w:space="0" w:color="17365D"/>
              <w:bottom w:val="single" w:sz="4" w:space="0" w:color="17365D"/>
            </w:tcBorders>
            <w:shd w:val="clear" w:color="auto" w:fill="auto"/>
            <w:vAlign w:val="center"/>
            <w:hideMark/>
          </w:tcPr>
          <w:p w14:paraId="39042182" w14:textId="28C4D09C"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-19 882 276</w:t>
            </w:r>
          </w:p>
        </w:tc>
        <w:tc>
          <w:tcPr>
            <w:tcW w:w="1416" w:type="dxa"/>
            <w:tcBorders>
              <w:top w:val="single" w:sz="4" w:space="0" w:color="17365D"/>
              <w:bottom w:val="single" w:sz="4" w:space="0" w:color="17365D"/>
            </w:tcBorders>
            <w:shd w:val="clear" w:color="auto" w:fill="auto"/>
            <w:vAlign w:val="center"/>
            <w:hideMark/>
          </w:tcPr>
          <w:p w14:paraId="6E864AB8" w14:textId="54D5199A"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-10 861 180</w:t>
            </w:r>
          </w:p>
        </w:tc>
        <w:tc>
          <w:tcPr>
            <w:tcW w:w="1423" w:type="dxa"/>
            <w:tcBorders>
              <w:top w:val="single" w:sz="4" w:space="0" w:color="17365D"/>
              <w:bottom w:val="single" w:sz="4" w:space="0" w:color="17365D"/>
            </w:tcBorders>
            <w:shd w:val="clear" w:color="auto" w:fill="auto"/>
            <w:vAlign w:val="center"/>
            <w:hideMark/>
          </w:tcPr>
          <w:p w14:paraId="30ED7486" w14:textId="632B7F2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30 723 344</w:t>
            </w:r>
          </w:p>
        </w:tc>
        <w:tc>
          <w:tcPr>
            <w:tcW w:w="1418" w:type="dxa"/>
            <w:tcBorders>
              <w:top w:val="single" w:sz="4" w:space="0" w:color="17365D"/>
              <w:bottom w:val="single" w:sz="4" w:space="0" w:color="17365D"/>
            </w:tcBorders>
            <w:shd w:val="clear" w:color="auto" w:fill="auto"/>
            <w:vAlign w:val="center"/>
            <w:hideMark/>
          </w:tcPr>
          <w:p w14:paraId="209BFFF0" w14:textId="1CE1339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1BB66A10" w14:textId="1D8967C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494 027</w:t>
            </w:r>
          </w:p>
        </w:tc>
        <w:tc>
          <w:tcPr>
            <w:tcW w:w="1176" w:type="dxa"/>
            <w:gridSpan w:val="2"/>
            <w:tcBorders>
              <w:top w:val="single" w:sz="4" w:space="0" w:color="17365D"/>
              <w:bottom w:val="single" w:sz="4" w:space="0" w:color="17365D"/>
            </w:tcBorders>
            <w:shd w:val="clear" w:color="auto" w:fill="auto"/>
            <w:vAlign w:val="center"/>
            <w:hideMark/>
          </w:tcPr>
          <w:p w14:paraId="400FB36A"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1A6FF200" w14:textId="77777777" w:rsidTr="00CA5792">
        <w:trPr>
          <w:gridAfter w:val="1"/>
          <w:wAfter w:w="1281" w:type="dxa"/>
          <w:trHeight w:val="529"/>
        </w:trPr>
        <w:tc>
          <w:tcPr>
            <w:tcW w:w="4258" w:type="dxa"/>
            <w:tcBorders>
              <w:top w:val="single" w:sz="4" w:space="0" w:color="17365D"/>
              <w:bottom w:val="single" w:sz="4" w:space="0" w:color="17365D"/>
            </w:tcBorders>
            <w:shd w:val="clear" w:color="auto" w:fill="auto"/>
            <w:vAlign w:val="center"/>
            <w:hideMark/>
          </w:tcPr>
          <w:p w14:paraId="2A824CC5"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Nākamo periodu izdevumi un avansa maksājumi par pakalpojumiem un projektiem</w:t>
            </w:r>
          </w:p>
        </w:tc>
        <w:tc>
          <w:tcPr>
            <w:tcW w:w="1273" w:type="dxa"/>
            <w:tcBorders>
              <w:top w:val="single" w:sz="4" w:space="0" w:color="17365D"/>
              <w:bottom w:val="single" w:sz="4" w:space="0" w:color="17365D"/>
            </w:tcBorders>
            <w:shd w:val="clear" w:color="auto" w:fill="auto"/>
            <w:vAlign w:val="center"/>
            <w:hideMark/>
          </w:tcPr>
          <w:p w14:paraId="63C7F556" w14:textId="30538D0D"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-5 000</w:t>
            </w:r>
          </w:p>
        </w:tc>
        <w:tc>
          <w:tcPr>
            <w:tcW w:w="1274" w:type="dxa"/>
            <w:tcBorders>
              <w:top w:val="single" w:sz="4" w:space="0" w:color="17365D"/>
              <w:bottom w:val="single" w:sz="4" w:space="0" w:color="17365D"/>
            </w:tcBorders>
            <w:shd w:val="clear" w:color="auto" w:fill="auto"/>
            <w:vAlign w:val="center"/>
            <w:hideMark/>
          </w:tcPr>
          <w:p w14:paraId="091BC0EF" w14:textId="74C81F21"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-92 345</w:t>
            </w:r>
          </w:p>
        </w:tc>
        <w:tc>
          <w:tcPr>
            <w:tcW w:w="1417" w:type="dxa"/>
            <w:tcBorders>
              <w:top w:val="single" w:sz="4" w:space="0" w:color="17365D"/>
              <w:bottom w:val="single" w:sz="4" w:space="0" w:color="17365D"/>
            </w:tcBorders>
            <w:shd w:val="clear" w:color="auto" w:fill="auto"/>
            <w:vAlign w:val="center"/>
            <w:hideMark/>
          </w:tcPr>
          <w:p w14:paraId="08C53864" w14:textId="2A211ACA"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-173 107 544</w:t>
            </w:r>
          </w:p>
        </w:tc>
        <w:tc>
          <w:tcPr>
            <w:tcW w:w="1416" w:type="dxa"/>
            <w:tcBorders>
              <w:top w:val="single" w:sz="4" w:space="0" w:color="17365D"/>
              <w:bottom w:val="single" w:sz="4" w:space="0" w:color="17365D"/>
            </w:tcBorders>
            <w:shd w:val="clear" w:color="auto" w:fill="auto"/>
            <w:vAlign w:val="center"/>
            <w:hideMark/>
          </w:tcPr>
          <w:p w14:paraId="11110436" w14:textId="494437F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-182 640 129</w:t>
            </w:r>
          </w:p>
        </w:tc>
        <w:tc>
          <w:tcPr>
            <w:tcW w:w="1423" w:type="dxa"/>
            <w:tcBorders>
              <w:top w:val="single" w:sz="4" w:space="0" w:color="17365D"/>
              <w:bottom w:val="single" w:sz="4" w:space="0" w:color="17365D"/>
            </w:tcBorders>
            <w:shd w:val="clear" w:color="auto" w:fill="auto"/>
            <w:vAlign w:val="center"/>
            <w:hideMark/>
          </w:tcPr>
          <w:p w14:paraId="54DB41B7" w14:textId="783132CC"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7A74E8DC" w14:textId="702BBA7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721648E3" w14:textId="51FF2DB4"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-42 134</w:t>
            </w:r>
          </w:p>
        </w:tc>
        <w:tc>
          <w:tcPr>
            <w:tcW w:w="1176" w:type="dxa"/>
            <w:gridSpan w:val="2"/>
            <w:tcBorders>
              <w:top w:val="single" w:sz="4" w:space="0" w:color="17365D"/>
              <w:bottom w:val="single" w:sz="4" w:space="0" w:color="17365D"/>
            </w:tcBorders>
            <w:shd w:val="clear" w:color="auto" w:fill="auto"/>
            <w:vAlign w:val="center"/>
            <w:hideMark/>
          </w:tcPr>
          <w:p w14:paraId="5BF72E2A"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473AB264" w14:textId="77777777" w:rsidTr="00CA5792">
        <w:trPr>
          <w:gridAfter w:val="1"/>
          <w:wAfter w:w="1281" w:type="dxa"/>
          <w:trHeight w:val="256"/>
        </w:trPr>
        <w:tc>
          <w:tcPr>
            <w:tcW w:w="4258" w:type="dxa"/>
            <w:tcBorders>
              <w:top w:val="single" w:sz="4" w:space="0" w:color="17365D"/>
              <w:bottom w:val="single" w:sz="4" w:space="0" w:color="17365D"/>
            </w:tcBorders>
            <w:shd w:val="clear" w:color="auto" w:fill="auto"/>
            <w:vAlign w:val="center"/>
            <w:hideMark/>
          </w:tcPr>
          <w:p w14:paraId="4EF903D2"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Īstermiņa finanšu ieguldījumi</w:t>
            </w:r>
          </w:p>
        </w:tc>
        <w:tc>
          <w:tcPr>
            <w:tcW w:w="1273" w:type="dxa"/>
            <w:tcBorders>
              <w:top w:val="single" w:sz="4" w:space="0" w:color="17365D"/>
              <w:bottom w:val="single" w:sz="4" w:space="0" w:color="17365D"/>
            </w:tcBorders>
            <w:shd w:val="clear" w:color="auto" w:fill="auto"/>
            <w:vAlign w:val="center"/>
            <w:hideMark/>
          </w:tcPr>
          <w:p w14:paraId="421460E3" w14:textId="38F4564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22D5B6E3" w14:textId="5E6485C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7BD5F4CF" w14:textId="67CE7911"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-130 373 958</w:t>
            </w:r>
          </w:p>
        </w:tc>
        <w:tc>
          <w:tcPr>
            <w:tcW w:w="1416" w:type="dxa"/>
            <w:tcBorders>
              <w:top w:val="single" w:sz="4" w:space="0" w:color="17365D"/>
              <w:bottom w:val="single" w:sz="4" w:space="0" w:color="17365D"/>
            </w:tcBorders>
            <w:shd w:val="clear" w:color="auto" w:fill="auto"/>
            <w:vAlign w:val="center"/>
            <w:hideMark/>
          </w:tcPr>
          <w:p w14:paraId="5A1D9AF0" w14:textId="74322C7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-119 805 607</w:t>
            </w:r>
          </w:p>
        </w:tc>
        <w:tc>
          <w:tcPr>
            <w:tcW w:w="1423" w:type="dxa"/>
            <w:tcBorders>
              <w:top w:val="single" w:sz="4" w:space="0" w:color="17365D"/>
              <w:bottom w:val="single" w:sz="4" w:space="0" w:color="17365D"/>
            </w:tcBorders>
            <w:shd w:val="clear" w:color="auto" w:fill="auto"/>
            <w:vAlign w:val="center"/>
            <w:hideMark/>
          </w:tcPr>
          <w:p w14:paraId="3CCDDF33" w14:textId="28F69A34"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40F88497" w14:textId="1D4F23C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19035F43" w14:textId="58456CDD"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316A4EFA"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6C302E61" w14:textId="77777777" w:rsidTr="00CA5792">
        <w:trPr>
          <w:gridAfter w:val="1"/>
          <w:wAfter w:w="1281" w:type="dxa"/>
          <w:trHeight w:val="273"/>
        </w:trPr>
        <w:tc>
          <w:tcPr>
            <w:tcW w:w="4258" w:type="dxa"/>
            <w:tcBorders>
              <w:top w:val="single" w:sz="4" w:space="0" w:color="17365D"/>
              <w:bottom w:val="single" w:sz="4" w:space="0" w:color="17365D"/>
            </w:tcBorders>
            <w:shd w:val="clear" w:color="auto" w:fill="auto"/>
            <w:vAlign w:val="center"/>
            <w:hideMark/>
          </w:tcPr>
          <w:p w14:paraId="6F06EB4E"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Naudas līdzekļi</w:t>
            </w:r>
          </w:p>
        </w:tc>
        <w:tc>
          <w:tcPr>
            <w:tcW w:w="1273" w:type="dxa"/>
            <w:tcBorders>
              <w:top w:val="single" w:sz="4" w:space="0" w:color="17365D"/>
              <w:bottom w:val="single" w:sz="4" w:space="0" w:color="17365D"/>
            </w:tcBorders>
            <w:shd w:val="clear" w:color="auto" w:fill="auto"/>
            <w:vAlign w:val="center"/>
            <w:hideMark/>
          </w:tcPr>
          <w:p w14:paraId="777DFE01" w14:textId="732594E9"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37865125" w14:textId="28F4652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36E3B7C2" w14:textId="264E1135"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-367 737 493</w:t>
            </w:r>
          </w:p>
        </w:tc>
        <w:tc>
          <w:tcPr>
            <w:tcW w:w="1416" w:type="dxa"/>
            <w:tcBorders>
              <w:top w:val="single" w:sz="4" w:space="0" w:color="17365D"/>
              <w:bottom w:val="single" w:sz="4" w:space="0" w:color="17365D"/>
            </w:tcBorders>
            <w:shd w:val="clear" w:color="auto" w:fill="auto"/>
            <w:vAlign w:val="center"/>
            <w:hideMark/>
          </w:tcPr>
          <w:p w14:paraId="590D539C" w14:textId="67545F0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-353 331 560</w:t>
            </w:r>
          </w:p>
        </w:tc>
        <w:tc>
          <w:tcPr>
            <w:tcW w:w="1423" w:type="dxa"/>
            <w:tcBorders>
              <w:top w:val="single" w:sz="4" w:space="0" w:color="17365D"/>
              <w:bottom w:val="single" w:sz="4" w:space="0" w:color="17365D"/>
            </w:tcBorders>
            <w:shd w:val="clear" w:color="auto" w:fill="auto"/>
            <w:vAlign w:val="center"/>
            <w:hideMark/>
          </w:tcPr>
          <w:p w14:paraId="6F4D621C" w14:textId="64CBE4F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06B9AF3B" w14:textId="3428B01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1C842302" w14:textId="3C0D024F"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143FBC86"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6899E790" w14:textId="77777777" w:rsidTr="00CA5792">
        <w:trPr>
          <w:gridAfter w:val="1"/>
          <w:wAfter w:w="1281" w:type="dxa"/>
          <w:trHeight w:val="402"/>
        </w:trPr>
        <w:tc>
          <w:tcPr>
            <w:tcW w:w="4258" w:type="dxa"/>
            <w:tcBorders>
              <w:top w:val="single" w:sz="4" w:space="0" w:color="17365D"/>
              <w:bottom w:val="single" w:sz="4" w:space="0" w:color="17365D"/>
            </w:tcBorders>
            <w:shd w:val="clear" w:color="auto" w:fill="auto"/>
            <w:vAlign w:val="center"/>
            <w:hideMark/>
          </w:tcPr>
          <w:p w14:paraId="0F7026F1" w14:textId="77777777" w:rsidR="00F8164B" w:rsidRPr="00A27896" w:rsidRDefault="00F8164B" w:rsidP="00F8164B">
            <w:pPr>
              <w:spacing w:after="0" w:line="240" w:lineRule="auto"/>
              <w:jc w:val="both"/>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BILANCE (1000+2000)</w:t>
            </w:r>
          </w:p>
        </w:tc>
        <w:tc>
          <w:tcPr>
            <w:tcW w:w="1273" w:type="dxa"/>
            <w:tcBorders>
              <w:top w:val="single" w:sz="4" w:space="0" w:color="17365D"/>
              <w:bottom w:val="single" w:sz="4" w:space="0" w:color="17365D"/>
            </w:tcBorders>
            <w:shd w:val="clear" w:color="auto" w:fill="auto"/>
            <w:vAlign w:val="center"/>
            <w:hideMark/>
          </w:tcPr>
          <w:p w14:paraId="5C92AE03" w14:textId="0D1AF980" w:rsidR="00F8164B" w:rsidRPr="00A27896" w:rsidRDefault="00F8164B" w:rsidP="00F8164B">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-5 991 202</w:t>
            </w:r>
          </w:p>
        </w:tc>
        <w:tc>
          <w:tcPr>
            <w:tcW w:w="1274" w:type="dxa"/>
            <w:tcBorders>
              <w:top w:val="single" w:sz="4" w:space="0" w:color="17365D"/>
              <w:bottom w:val="single" w:sz="4" w:space="0" w:color="17365D"/>
            </w:tcBorders>
            <w:shd w:val="clear" w:color="auto" w:fill="auto"/>
            <w:vAlign w:val="center"/>
            <w:hideMark/>
          </w:tcPr>
          <w:p w14:paraId="022A875B" w14:textId="2F76E0BB" w:rsidR="00F8164B" w:rsidRPr="00A27896" w:rsidRDefault="00F8164B" w:rsidP="00F8164B">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10 252 330</w:t>
            </w:r>
          </w:p>
        </w:tc>
        <w:tc>
          <w:tcPr>
            <w:tcW w:w="1417" w:type="dxa"/>
            <w:tcBorders>
              <w:top w:val="single" w:sz="4" w:space="0" w:color="17365D"/>
              <w:bottom w:val="single" w:sz="4" w:space="0" w:color="17365D"/>
            </w:tcBorders>
            <w:shd w:val="clear" w:color="auto" w:fill="auto"/>
            <w:vAlign w:val="center"/>
            <w:hideMark/>
          </w:tcPr>
          <w:p w14:paraId="34974E81" w14:textId="2FA5B9B1" w:rsidR="00F8164B" w:rsidRPr="00A27896" w:rsidRDefault="00F8164B" w:rsidP="00F8164B">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-2 290 933 355</w:t>
            </w:r>
          </w:p>
        </w:tc>
        <w:tc>
          <w:tcPr>
            <w:tcW w:w="1416" w:type="dxa"/>
            <w:tcBorders>
              <w:top w:val="single" w:sz="4" w:space="0" w:color="17365D"/>
              <w:bottom w:val="single" w:sz="4" w:space="0" w:color="17365D"/>
            </w:tcBorders>
            <w:shd w:val="clear" w:color="auto" w:fill="auto"/>
            <w:vAlign w:val="center"/>
            <w:hideMark/>
          </w:tcPr>
          <w:p w14:paraId="2BAB774B" w14:textId="19566322" w:rsidR="00F8164B" w:rsidRPr="00A27896" w:rsidRDefault="00F8164B" w:rsidP="00F8164B">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-2 178 928 701</w:t>
            </w:r>
          </w:p>
        </w:tc>
        <w:tc>
          <w:tcPr>
            <w:tcW w:w="1423" w:type="dxa"/>
            <w:tcBorders>
              <w:top w:val="single" w:sz="4" w:space="0" w:color="17365D"/>
              <w:left w:val="nil"/>
              <w:bottom w:val="single" w:sz="4" w:space="0" w:color="auto"/>
              <w:right w:val="nil"/>
            </w:tcBorders>
            <w:shd w:val="clear" w:color="auto" w:fill="auto"/>
            <w:vAlign w:val="center"/>
            <w:hideMark/>
          </w:tcPr>
          <w:p w14:paraId="6C0C4D36" w14:textId="07284529" w:rsidR="00F8164B" w:rsidRPr="00F8164B" w:rsidRDefault="00F8164B" w:rsidP="00F8164B">
            <w:pPr>
              <w:spacing w:after="0" w:line="240" w:lineRule="auto"/>
              <w:jc w:val="right"/>
              <w:rPr>
                <w:rFonts w:eastAsia="Times New Roman" w:cs="Times New Roman"/>
                <w:b/>
                <w:color w:val="17365D"/>
                <w:sz w:val="18"/>
                <w:szCs w:val="18"/>
                <w:lang w:eastAsia="lv-LV"/>
              </w:rPr>
            </w:pPr>
            <w:r w:rsidRPr="00F8164B">
              <w:rPr>
                <w:rFonts w:eastAsia="Times New Roman" w:cs="Times New Roman"/>
                <w:b/>
                <w:color w:val="17365D"/>
                <w:sz w:val="18"/>
                <w:szCs w:val="18"/>
                <w:lang w:eastAsia="lv-LV"/>
              </w:rPr>
              <w:t>40 730 674</w:t>
            </w:r>
          </w:p>
        </w:tc>
        <w:tc>
          <w:tcPr>
            <w:tcW w:w="1418" w:type="dxa"/>
            <w:tcBorders>
              <w:top w:val="single" w:sz="4" w:space="0" w:color="17365D"/>
              <w:left w:val="nil"/>
              <w:bottom w:val="single" w:sz="4" w:space="0" w:color="auto"/>
              <w:right w:val="nil"/>
            </w:tcBorders>
            <w:shd w:val="clear" w:color="auto" w:fill="auto"/>
            <w:vAlign w:val="center"/>
            <w:hideMark/>
          </w:tcPr>
          <w:p w14:paraId="2EFB1012" w14:textId="0F7939BF" w:rsidR="00F8164B" w:rsidRPr="00F8164B" w:rsidRDefault="00F8164B" w:rsidP="00F8164B">
            <w:pPr>
              <w:spacing w:after="0" w:line="240" w:lineRule="auto"/>
              <w:jc w:val="right"/>
              <w:rPr>
                <w:rFonts w:eastAsia="Times New Roman" w:cs="Times New Roman"/>
                <w:b/>
                <w:color w:val="17365D"/>
                <w:sz w:val="18"/>
                <w:szCs w:val="18"/>
                <w:lang w:eastAsia="lv-LV"/>
              </w:rPr>
            </w:pPr>
            <w:r w:rsidRPr="00F8164B">
              <w:rPr>
                <w:rFonts w:eastAsia="Times New Roman" w:cs="Times New Roman"/>
                <w:b/>
                <w:color w:val="17365D"/>
                <w:sz w:val="18"/>
                <w:szCs w:val="18"/>
                <w:lang w:eastAsia="lv-LV"/>
              </w:rPr>
              <w:t>41 200 681</w:t>
            </w:r>
          </w:p>
        </w:tc>
        <w:tc>
          <w:tcPr>
            <w:tcW w:w="1380" w:type="dxa"/>
            <w:tcBorders>
              <w:top w:val="single" w:sz="4" w:space="0" w:color="17365D"/>
              <w:bottom w:val="single" w:sz="4" w:space="0" w:color="17365D"/>
            </w:tcBorders>
            <w:shd w:val="clear" w:color="auto" w:fill="auto"/>
            <w:vAlign w:val="center"/>
            <w:hideMark/>
          </w:tcPr>
          <w:p w14:paraId="70A45B54" w14:textId="5FC41433" w:rsidR="00F8164B" w:rsidRPr="00A27896" w:rsidRDefault="00F8164B" w:rsidP="00F8164B">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11 976 489</w:t>
            </w:r>
          </w:p>
        </w:tc>
        <w:tc>
          <w:tcPr>
            <w:tcW w:w="1176" w:type="dxa"/>
            <w:gridSpan w:val="2"/>
            <w:tcBorders>
              <w:top w:val="single" w:sz="4" w:space="0" w:color="17365D"/>
              <w:bottom w:val="single" w:sz="4" w:space="0" w:color="17365D"/>
            </w:tcBorders>
            <w:shd w:val="clear" w:color="auto" w:fill="auto"/>
            <w:vAlign w:val="center"/>
            <w:hideMark/>
          </w:tcPr>
          <w:p w14:paraId="6C5088B8" w14:textId="5E45A74F" w:rsidR="00F8164B" w:rsidRPr="00A27896" w:rsidRDefault="00F8164B" w:rsidP="00F8164B">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10 881 389</w:t>
            </w:r>
          </w:p>
        </w:tc>
      </w:tr>
      <w:tr w:rsidR="00F8164B" w:rsidRPr="00A27896" w14:paraId="25453D08" w14:textId="77777777" w:rsidTr="00CA5792">
        <w:trPr>
          <w:gridAfter w:val="1"/>
          <w:wAfter w:w="1281" w:type="dxa"/>
          <w:trHeight w:val="167"/>
        </w:trPr>
        <w:tc>
          <w:tcPr>
            <w:tcW w:w="4258" w:type="dxa"/>
            <w:tcBorders>
              <w:top w:val="single" w:sz="4" w:space="0" w:color="17365D"/>
              <w:bottom w:val="single" w:sz="4" w:space="0" w:color="17365D"/>
            </w:tcBorders>
            <w:shd w:val="clear" w:color="auto" w:fill="auto"/>
            <w:vAlign w:val="center"/>
            <w:hideMark/>
          </w:tcPr>
          <w:p w14:paraId="7D0EFB3B" w14:textId="77777777" w:rsidR="00F8164B" w:rsidRPr="00A27896" w:rsidRDefault="00F8164B" w:rsidP="00F8164B">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Pašu kapitāls</w:t>
            </w:r>
          </w:p>
        </w:tc>
        <w:tc>
          <w:tcPr>
            <w:tcW w:w="1273" w:type="dxa"/>
            <w:tcBorders>
              <w:top w:val="single" w:sz="4" w:space="0" w:color="17365D"/>
              <w:bottom w:val="single" w:sz="4" w:space="0" w:color="17365D"/>
            </w:tcBorders>
            <w:shd w:val="clear" w:color="auto" w:fill="auto"/>
            <w:vAlign w:val="center"/>
            <w:hideMark/>
          </w:tcPr>
          <w:p w14:paraId="42C8F1F5" w14:textId="33654B16"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-5 966 392</w:t>
            </w:r>
          </w:p>
        </w:tc>
        <w:tc>
          <w:tcPr>
            <w:tcW w:w="1274" w:type="dxa"/>
            <w:tcBorders>
              <w:top w:val="single" w:sz="4" w:space="0" w:color="17365D"/>
              <w:bottom w:val="single" w:sz="4" w:space="0" w:color="17365D"/>
            </w:tcBorders>
            <w:shd w:val="clear" w:color="auto" w:fill="auto"/>
            <w:vAlign w:val="center"/>
            <w:hideMark/>
          </w:tcPr>
          <w:p w14:paraId="31F710A8" w14:textId="6C697CD1"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10 710 587</w:t>
            </w:r>
          </w:p>
        </w:tc>
        <w:tc>
          <w:tcPr>
            <w:tcW w:w="1417" w:type="dxa"/>
            <w:tcBorders>
              <w:top w:val="single" w:sz="4" w:space="0" w:color="17365D"/>
              <w:bottom w:val="single" w:sz="4" w:space="0" w:color="17365D"/>
            </w:tcBorders>
            <w:shd w:val="clear" w:color="auto" w:fill="auto"/>
            <w:vAlign w:val="center"/>
            <w:hideMark/>
          </w:tcPr>
          <w:p w14:paraId="6E46CFE6" w14:textId="105A1976"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938 448</w:t>
            </w:r>
          </w:p>
        </w:tc>
        <w:tc>
          <w:tcPr>
            <w:tcW w:w="1416" w:type="dxa"/>
            <w:tcBorders>
              <w:top w:val="single" w:sz="4" w:space="0" w:color="17365D"/>
              <w:bottom w:val="single" w:sz="4" w:space="0" w:color="17365D"/>
            </w:tcBorders>
            <w:shd w:val="clear" w:color="auto" w:fill="auto"/>
            <w:vAlign w:val="center"/>
            <w:hideMark/>
          </w:tcPr>
          <w:p w14:paraId="2DA2A6B6" w14:textId="7BE4C57D"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1 032 356</w:t>
            </w:r>
          </w:p>
        </w:tc>
        <w:tc>
          <w:tcPr>
            <w:tcW w:w="1423" w:type="dxa"/>
            <w:tcBorders>
              <w:top w:val="single" w:sz="4" w:space="0" w:color="auto"/>
              <w:left w:val="nil"/>
              <w:bottom w:val="single" w:sz="4" w:space="0" w:color="auto"/>
              <w:right w:val="nil"/>
            </w:tcBorders>
            <w:shd w:val="clear" w:color="auto" w:fill="auto"/>
            <w:vAlign w:val="center"/>
            <w:hideMark/>
          </w:tcPr>
          <w:p w14:paraId="53E26D35" w14:textId="3072DACD" w:rsidR="00F8164B" w:rsidRPr="00F8164B" w:rsidRDefault="00F8164B" w:rsidP="00F8164B">
            <w:pPr>
              <w:spacing w:after="0" w:line="240" w:lineRule="auto"/>
              <w:jc w:val="right"/>
              <w:rPr>
                <w:rFonts w:eastAsia="Times New Roman" w:cs="Times New Roman"/>
                <w:color w:val="17365D"/>
                <w:sz w:val="18"/>
                <w:szCs w:val="18"/>
                <w:lang w:eastAsia="lv-LV"/>
              </w:rPr>
            </w:pPr>
            <w:r w:rsidRPr="00F8164B">
              <w:rPr>
                <w:rFonts w:eastAsia="Times New Roman" w:cs="Times New Roman"/>
                <w:color w:val="17365D"/>
                <w:sz w:val="18"/>
                <w:szCs w:val="18"/>
                <w:lang w:eastAsia="lv-LV"/>
              </w:rPr>
              <w:t>10 007 330</w:t>
            </w:r>
          </w:p>
        </w:tc>
        <w:tc>
          <w:tcPr>
            <w:tcW w:w="1418" w:type="dxa"/>
            <w:tcBorders>
              <w:top w:val="single" w:sz="4" w:space="0" w:color="auto"/>
              <w:left w:val="nil"/>
              <w:bottom w:val="single" w:sz="4" w:space="0" w:color="auto"/>
              <w:right w:val="nil"/>
            </w:tcBorders>
            <w:shd w:val="clear" w:color="auto" w:fill="auto"/>
            <w:vAlign w:val="center"/>
            <w:hideMark/>
          </w:tcPr>
          <w:p w14:paraId="308462F8" w14:textId="69FD8229" w:rsidR="00F8164B" w:rsidRPr="00F8164B" w:rsidRDefault="00F8164B" w:rsidP="00F8164B">
            <w:pPr>
              <w:spacing w:after="0" w:line="240" w:lineRule="auto"/>
              <w:jc w:val="right"/>
              <w:rPr>
                <w:rFonts w:eastAsia="Times New Roman" w:cs="Times New Roman"/>
                <w:color w:val="17365D"/>
                <w:sz w:val="18"/>
                <w:szCs w:val="18"/>
                <w:lang w:eastAsia="lv-LV"/>
              </w:rPr>
            </w:pPr>
            <w:r w:rsidRPr="00F8164B">
              <w:rPr>
                <w:rFonts w:eastAsia="Times New Roman" w:cs="Times New Roman"/>
                <w:color w:val="17365D"/>
                <w:sz w:val="18"/>
                <w:szCs w:val="18"/>
                <w:lang w:eastAsia="lv-LV"/>
              </w:rPr>
              <w:t>41 200 681</w:t>
            </w:r>
          </w:p>
        </w:tc>
        <w:tc>
          <w:tcPr>
            <w:tcW w:w="1380" w:type="dxa"/>
            <w:tcBorders>
              <w:top w:val="single" w:sz="4" w:space="0" w:color="17365D"/>
              <w:bottom w:val="single" w:sz="4" w:space="0" w:color="17365D"/>
            </w:tcBorders>
            <w:shd w:val="clear" w:color="auto" w:fill="auto"/>
            <w:vAlign w:val="center"/>
            <w:hideMark/>
          </w:tcPr>
          <w:p w14:paraId="61D5A054" w14:textId="01862324"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8 436 141</w:t>
            </w:r>
          </w:p>
        </w:tc>
        <w:tc>
          <w:tcPr>
            <w:tcW w:w="1176" w:type="dxa"/>
            <w:gridSpan w:val="2"/>
            <w:tcBorders>
              <w:top w:val="single" w:sz="4" w:space="0" w:color="17365D"/>
              <w:bottom w:val="single" w:sz="4" w:space="0" w:color="17365D"/>
            </w:tcBorders>
            <w:shd w:val="clear" w:color="auto" w:fill="auto"/>
            <w:vAlign w:val="center"/>
            <w:hideMark/>
          </w:tcPr>
          <w:p w14:paraId="5B74A75B" w14:textId="75A720B1"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10 881 389</w:t>
            </w:r>
          </w:p>
        </w:tc>
      </w:tr>
      <w:tr w:rsidR="00F8164B" w:rsidRPr="00A27896" w14:paraId="5F0FB2D3" w14:textId="77777777" w:rsidTr="00CA5792">
        <w:trPr>
          <w:gridAfter w:val="1"/>
          <w:wAfter w:w="1281" w:type="dxa"/>
          <w:trHeight w:val="86"/>
        </w:trPr>
        <w:tc>
          <w:tcPr>
            <w:tcW w:w="4258" w:type="dxa"/>
            <w:tcBorders>
              <w:top w:val="single" w:sz="4" w:space="0" w:color="17365D"/>
              <w:bottom w:val="single" w:sz="4" w:space="0" w:color="17365D"/>
            </w:tcBorders>
            <w:shd w:val="clear" w:color="auto" w:fill="auto"/>
            <w:vAlign w:val="center"/>
            <w:hideMark/>
          </w:tcPr>
          <w:p w14:paraId="6C430FC1"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Rezerves</w:t>
            </w:r>
          </w:p>
        </w:tc>
        <w:tc>
          <w:tcPr>
            <w:tcW w:w="1273" w:type="dxa"/>
            <w:tcBorders>
              <w:top w:val="single" w:sz="4" w:space="0" w:color="17365D"/>
              <w:bottom w:val="single" w:sz="4" w:space="0" w:color="17365D"/>
            </w:tcBorders>
            <w:shd w:val="clear" w:color="auto" w:fill="auto"/>
            <w:vAlign w:val="center"/>
            <w:hideMark/>
          </w:tcPr>
          <w:p w14:paraId="63C053A0" w14:textId="74F7F59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64550C58" w14:textId="77C0CE5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2DC78966" w14:textId="7706815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5AEEEA71" w14:textId="390B9C7F"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auto"/>
              <w:left w:val="nil"/>
              <w:bottom w:val="single" w:sz="4" w:space="0" w:color="auto"/>
              <w:right w:val="nil"/>
            </w:tcBorders>
            <w:shd w:val="clear" w:color="auto" w:fill="auto"/>
            <w:vAlign w:val="center"/>
            <w:hideMark/>
          </w:tcPr>
          <w:p w14:paraId="1AA4C978" w14:textId="224F6FE4" w:rsidR="00F8164B" w:rsidRPr="00F8164B" w:rsidRDefault="00F8164B" w:rsidP="00F8164B">
            <w:pPr>
              <w:spacing w:after="0" w:line="240" w:lineRule="auto"/>
              <w:jc w:val="right"/>
              <w:rPr>
                <w:rFonts w:eastAsia="Times New Roman" w:cs="Times New Roman"/>
                <w:color w:val="17365D"/>
                <w:sz w:val="18"/>
                <w:szCs w:val="18"/>
                <w:lang w:eastAsia="lv-LV"/>
              </w:rPr>
            </w:pPr>
            <w:r w:rsidRPr="00F8164B">
              <w:rPr>
                <w:rFonts w:eastAsia="Times New Roman" w:cs="Times New Roman"/>
                <w:color w:val="17365D"/>
                <w:sz w:val="18"/>
                <w:szCs w:val="18"/>
                <w:lang w:eastAsia="lv-LV"/>
              </w:rPr>
              <w:t>1 278 711 578</w:t>
            </w:r>
          </w:p>
        </w:tc>
        <w:tc>
          <w:tcPr>
            <w:tcW w:w="1418" w:type="dxa"/>
            <w:tcBorders>
              <w:top w:val="single" w:sz="4" w:space="0" w:color="auto"/>
              <w:left w:val="nil"/>
              <w:bottom w:val="single" w:sz="4" w:space="0" w:color="auto"/>
              <w:right w:val="nil"/>
            </w:tcBorders>
            <w:shd w:val="clear" w:color="auto" w:fill="auto"/>
            <w:vAlign w:val="center"/>
            <w:hideMark/>
          </w:tcPr>
          <w:p w14:paraId="3ED1C0F5" w14:textId="5BCAF0CD" w:rsidR="00F8164B" w:rsidRPr="00F8164B" w:rsidRDefault="00F8164B" w:rsidP="00F8164B">
            <w:pPr>
              <w:spacing w:after="0" w:line="240" w:lineRule="auto"/>
              <w:jc w:val="right"/>
              <w:rPr>
                <w:rFonts w:eastAsia="Times New Roman" w:cs="Times New Roman"/>
                <w:color w:val="17365D"/>
                <w:sz w:val="18"/>
                <w:szCs w:val="18"/>
                <w:lang w:eastAsia="lv-LV"/>
              </w:rPr>
            </w:pPr>
            <w:r w:rsidRPr="00F8164B">
              <w:rPr>
                <w:rFonts w:eastAsia="Times New Roman" w:cs="Times New Roman"/>
                <w:color w:val="17365D"/>
                <w:sz w:val="18"/>
                <w:szCs w:val="18"/>
                <w:lang w:eastAsia="lv-LV"/>
              </w:rPr>
              <w:t>1 249 651 719</w:t>
            </w:r>
          </w:p>
        </w:tc>
        <w:tc>
          <w:tcPr>
            <w:tcW w:w="1380" w:type="dxa"/>
            <w:tcBorders>
              <w:top w:val="single" w:sz="4" w:space="0" w:color="17365D"/>
              <w:bottom w:val="single" w:sz="4" w:space="0" w:color="17365D"/>
            </w:tcBorders>
            <w:shd w:val="clear" w:color="auto" w:fill="auto"/>
            <w:vAlign w:val="center"/>
            <w:hideMark/>
          </w:tcPr>
          <w:p w14:paraId="0FE451F8" w14:textId="3262A6B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388 492</w:t>
            </w:r>
          </w:p>
        </w:tc>
        <w:tc>
          <w:tcPr>
            <w:tcW w:w="1176" w:type="dxa"/>
            <w:gridSpan w:val="2"/>
            <w:tcBorders>
              <w:top w:val="single" w:sz="4" w:space="0" w:color="17365D"/>
              <w:bottom w:val="single" w:sz="4" w:space="0" w:color="17365D"/>
            </w:tcBorders>
            <w:shd w:val="clear" w:color="auto" w:fill="auto"/>
            <w:vAlign w:val="center"/>
            <w:hideMark/>
          </w:tcPr>
          <w:p w14:paraId="45295E33" w14:textId="5587FC2F"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w:t>
            </w:r>
          </w:p>
        </w:tc>
      </w:tr>
      <w:tr w:rsidR="00F8164B" w:rsidRPr="00A27896" w14:paraId="20B8636D" w14:textId="77777777" w:rsidTr="00CA5792">
        <w:trPr>
          <w:gridAfter w:val="1"/>
          <w:wAfter w:w="1281" w:type="dxa"/>
          <w:trHeight w:val="159"/>
        </w:trPr>
        <w:tc>
          <w:tcPr>
            <w:tcW w:w="4258" w:type="dxa"/>
            <w:tcBorders>
              <w:top w:val="single" w:sz="4" w:space="0" w:color="17365D"/>
              <w:bottom w:val="single" w:sz="4" w:space="0" w:color="17365D"/>
            </w:tcBorders>
            <w:shd w:val="clear" w:color="auto" w:fill="auto"/>
            <w:vAlign w:val="center"/>
            <w:hideMark/>
          </w:tcPr>
          <w:p w14:paraId="784C42DB"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Budžeta izpildes rezultāti</w:t>
            </w:r>
          </w:p>
        </w:tc>
        <w:tc>
          <w:tcPr>
            <w:tcW w:w="1273" w:type="dxa"/>
            <w:tcBorders>
              <w:top w:val="single" w:sz="4" w:space="0" w:color="17365D"/>
              <w:bottom w:val="single" w:sz="4" w:space="0" w:color="17365D"/>
            </w:tcBorders>
            <w:shd w:val="clear" w:color="auto" w:fill="auto"/>
            <w:vAlign w:val="center"/>
            <w:hideMark/>
          </w:tcPr>
          <w:p w14:paraId="20ADD594" w14:textId="7A3FE291"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-5 966 392</w:t>
            </w:r>
          </w:p>
        </w:tc>
        <w:tc>
          <w:tcPr>
            <w:tcW w:w="1274" w:type="dxa"/>
            <w:tcBorders>
              <w:top w:val="single" w:sz="4" w:space="0" w:color="17365D"/>
              <w:bottom w:val="single" w:sz="4" w:space="0" w:color="17365D"/>
            </w:tcBorders>
            <w:shd w:val="clear" w:color="auto" w:fill="auto"/>
            <w:vAlign w:val="center"/>
            <w:hideMark/>
          </w:tcPr>
          <w:p w14:paraId="47E758B8" w14:textId="6292CBAC"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10 710 587</w:t>
            </w:r>
          </w:p>
        </w:tc>
        <w:tc>
          <w:tcPr>
            <w:tcW w:w="1417" w:type="dxa"/>
            <w:tcBorders>
              <w:top w:val="single" w:sz="4" w:space="0" w:color="17365D"/>
              <w:bottom w:val="single" w:sz="4" w:space="0" w:color="17365D"/>
            </w:tcBorders>
            <w:shd w:val="clear" w:color="auto" w:fill="auto"/>
            <w:vAlign w:val="center"/>
            <w:hideMark/>
          </w:tcPr>
          <w:p w14:paraId="11436F67" w14:textId="71D8D89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938 448</w:t>
            </w:r>
          </w:p>
        </w:tc>
        <w:tc>
          <w:tcPr>
            <w:tcW w:w="1416" w:type="dxa"/>
            <w:tcBorders>
              <w:top w:val="single" w:sz="4" w:space="0" w:color="17365D"/>
              <w:bottom w:val="single" w:sz="4" w:space="0" w:color="17365D"/>
            </w:tcBorders>
            <w:shd w:val="clear" w:color="auto" w:fill="auto"/>
            <w:vAlign w:val="center"/>
            <w:hideMark/>
          </w:tcPr>
          <w:p w14:paraId="63156CC0" w14:textId="651015A4"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1 032 356</w:t>
            </w:r>
          </w:p>
        </w:tc>
        <w:tc>
          <w:tcPr>
            <w:tcW w:w="1423" w:type="dxa"/>
            <w:tcBorders>
              <w:top w:val="single" w:sz="4" w:space="0" w:color="auto"/>
              <w:left w:val="nil"/>
              <w:bottom w:val="single" w:sz="4" w:space="0" w:color="auto"/>
              <w:right w:val="nil"/>
            </w:tcBorders>
            <w:shd w:val="clear" w:color="auto" w:fill="auto"/>
            <w:vAlign w:val="center"/>
            <w:hideMark/>
          </w:tcPr>
          <w:p w14:paraId="47F9F3A4" w14:textId="68F3D3A7" w:rsidR="00F8164B" w:rsidRPr="00F8164B" w:rsidRDefault="00F8164B" w:rsidP="00F8164B">
            <w:pPr>
              <w:spacing w:after="0" w:line="240" w:lineRule="auto"/>
              <w:jc w:val="right"/>
              <w:rPr>
                <w:rFonts w:eastAsia="Times New Roman" w:cs="Times New Roman"/>
                <w:color w:val="17365D"/>
                <w:sz w:val="18"/>
                <w:szCs w:val="18"/>
                <w:lang w:eastAsia="lv-LV"/>
              </w:rPr>
            </w:pPr>
            <w:r w:rsidRPr="00F8164B">
              <w:rPr>
                <w:rFonts w:eastAsia="Times New Roman" w:cs="Times New Roman"/>
                <w:color w:val="17365D"/>
                <w:sz w:val="18"/>
                <w:szCs w:val="18"/>
                <w:lang w:eastAsia="lv-LV"/>
              </w:rPr>
              <w:t>-1 268 704 248</w:t>
            </w:r>
          </w:p>
        </w:tc>
        <w:tc>
          <w:tcPr>
            <w:tcW w:w="1418" w:type="dxa"/>
            <w:tcBorders>
              <w:top w:val="single" w:sz="4" w:space="0" w:color="auto"/>
              <w:left w:val="nil"/>
              <w:bottom w:val="single" w:sz="4" w:space="0" w:color="auto"/>
              <w:right w:val="nil"/>
            </w:tcBorders>
            <w:shd w:val="clear" w:color="auto" w:fill="auto"/>
            <w:vAlign w:val="center"/>
            <w:hideMark/>
          </w:tcPr>
          <w:p w14:paraId="5B04B803" w14:textId="711A9836" w:rsidR="00F8164B" w:rsidRPr="00F8164B" w:rsidRDefault="00F8164B" w:rsidP="00F8164B">
            <w:pPr>
              <w:spacing w:after="0" w:line="240" w:lineRule="auto"/>
              <w:jc w:val="right"/>
              <w:rPr>
                <w:rFonts w:eastAsia="Times New Roman" w:cs="Times New Roman"/>
                <w:color w:val="17365D"/>
                <w:sz w:val="18"/>
                <w:szCs w:val="18"/>
                <w:lang w:eastAsia="lv-LV"/>
              </w:rPr>
            </w:pPr>
            <w:r w:rsidRPr="00F8164B">
              <w:rPr>
                <w:rFonts w:eastAsia="Times New Roman" w:cs="Times New Roman"/>
                <w:color w:val="17365D"/>
                <w:sz w:val="18"/>
                <w:szCs w:val="18"/>
                <w:lang w:eastAsia="lv-LV"/>
              </w:rPr>
              <w:t>-1 208 451 038</w:t>
            </w:r>
          </w:p>
        </w:tc>
        <w:tc>
          <w:tcPr>
            <w:tcW w:w="1380" w:type="dxa"/>
            <w:tcBorders>
              <w:top w:val="single" w:sz="4" w:space="0" w:color="17365D"/>
              <w:bottom w:val="single" w:sz="4" w:space="0" w:color="17365D"/>
            </w:tcBorders>
            <w:shd w:val="clear" w:color="auto" w:fill="auto"/>
            <w:vAlign w:val="center"/>
            <w:hideMark/>
          </w:tcPr>
          <w:p w14:paraId="5F143855" w14:textId="2B9DF2D2"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8 047 649</w:t>
            </w:r>
          </w:p>
        </w:tc>
        <w:tc>
          <w:tcPr>
            <w:tcW w:w="1176" w:type="dxa"/>
            <w:gridSpan w:val="2"/>
            <w:tcBorders>
              <w:top w:val="single" w:sz="4" w:space="0" w:color="17365D"/>
              <w:bottom w:val="single" w:sz="4" w:space="0" w:color="17365D"/>
            </w:tcBorders>
            <w:shd w:val="clear" w:color="auto" w:fill="auto"/>
            <w:vAlign w:val="center"/>
            <w:hideMark/>
          </w:tcPr>
          <w:p w14:paraId="25C20EA4" w14:textId="7497AB9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10 881 388</w:t>
            </w:r>
          </w:p>
        </w:tc>
      </w:tr>
      <w:tr w:rsidR="00F8164B" w:rsidRPr="00A27896" w14:paraId="40B3BA0D" w14:textId="77777777" w:rsidTr="00CA5792">
        <w:trPr>
          <w:gridAfter w:val="1"/>
          <w:wAfter w:w="1281" w:type="dxa"/>
          <w:trHeight w:val="362"/>
        </w:trPr>
        <w:tc>
          <w:tcPr>
            <w:tcW w:w="4258" w:type="dxa"/>
            <w:tcBorders>
              <w:top w:val="single" w:sz="4" w:space="0" w:color="17365D"/>
              <w:bottom w:val="single" w:sz="4" w:space="0" w:color="17365D"/>
            </w:tcBorders>
            <w:shd w:val="clear" w:color="auto" w:fill="auto"/>
            <w:vAlign w:val="center"/>
            <w:hideMark/>
          </w:tcPr>
          <w:p w14:paraId="5CCB08C3"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Iepriekšējo pārskata gadu budžeta izpildes rezultāts</w:t>
            </w:r>
          </w:p>
        </w:tc>
        <w:tc>
          <w:tcPr>
            <w:tcW w:w="1273" w:type="dxa"/>
            <w:tcBorders>
              <w:top w:val="single" w:sz="4" w:space="0" w:color="17365D"/>
              <w:bottom w:val="single" w:sz="4" w:space="0" w:color="17365D"/>
            </w:tcBorders>
            <w:shd w:val="clear" w:color="auto" w:fill="auto"/>
            <w:vAlign w:val="center"/>
            <w:hideMark/>
          </w:tcPr>
          <w:p w14:paraId="741C1B92" w14:textId="5B548485"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10 710 587</w:t>
            </w:r>
          </w:p>
        </w:tc>
        <w:tc>
          <w:tcPr>
            <w:tcW w:w="1274" w:type="dxa"/>
            <w:tcBorders>
              <w:top w:val="single" w:sz="4" w:space="0" w:color="17365D"/>
              <w:bottom w:val="single" w:sz="4" w:space="0" w:color="17365D"/>
            </w:tcBorders>
            <w:shd w:val="clear" w:color="auto" w:fill="auto"/>
            <w:vAlign w:val="center"/>
            <w:hideMark/>
          </w:tcPr>
          <w:p w14:paraId="755A9E1B" w14:textId="6E2FB186"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12 586 266</w:t>
            </w:r>
          </w:p>
        </w:tc>
        <w:tc>
          <w:tcPr>
            <w:tcW w:w="1417" w:type="dxa"/>
            <w:tcBorders>
              <w:top w:val="single" w:sz="4" w:space="0" w:color="17365D"/>
              <w:bottom w:val="single" w:sz="4" w:space="0" w:color="17365D"/>
            </w:tcBorders>
            <w:shd w:val="clear" w:color="auto" w:fill="auto"/>
            <w:vAlign w:val="center"/>
            <w:hideMark/>
          </w:tcPr>
          <w:p w14:paraId="30706B91" w14:textId="24A38B5F"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1 032 356</w:t>
            </w:r>
          </w:p>
        </w:tc>
        <w:tc>
          <w:tcPr>
            <w:tcW w:w="1416" w:type="dxa"/>
            <w:tcBorders>
              <w:top w:val="single" w:sz="4" w:space="0" w:color="17365D"/>
              <w:bottom w:val="single" w:sz="4" w:space="0" w:color="17365D"/>
            </w:tcBorders>
            <w:shd w:val="clear" w:color="auto" w:fill="auto"/>
            <w:vAlign w:val="center"/>
            <w:hideMark/>
          </w:tcPr>
          <w:p w14:paraId="63DB79F5" w14:textId="2D7C2F0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-36 739</w:t>
            </w:r>
          </w:p>
        </w:tc>
        <w:tc>
          <w:tcPr>
            <w:tcW w:w="1423" w:type="dxa"/>
            <w:tcBorders>
              <w:top w:val="single" w:sz="4" w:space="0" w:color="auto"/>
              <w:left w:val="nil"/>
              <w:bottom w:val="single" w:sz="4" w:space="0" w:color="auto"/>
              <w:right w:val="nil"/>
            </w:tcBorders>
            <w:shd w:val="clear" w:color="auto" w:fill="auto"/>
            <w:vAlign w:val="center"/>
            <w:hideMark/>
          </w:tcPr>
          <w:p w14:paraId="75E29580" w14:textId="697612C3" w:rsidR="00F8164B" w:rsidRPr="00F8164B" w:rsidRDefault="00F8164B" w:rsidP="00F8164B">
            <w:pPr>
              <w:spacing w:after="0" w:line="240" w:lineRule="auto"/>
              <w:jc w:val="right"/>
              <w:rPr>
                <w:rFonts w:eastAsia="Times New Roman" w:cs="Times New Roman"/>
                <w:color w:val="17365D"/>
                <w:sz w:val="18"/>
                <w:szCs w:val="18"/>
                <w:lang w:eastAsia="lv-LV"/>
              </w:rPr>
            </w:pPr>
            <w:r w:rsidRPr="00F8164B">
              <w:rPr>
                <w:rFonts w:eastAsia="Times New Roman" w:cs="Times New Roman"/>
                <w:color w:val="17365D"/>
                <w:sz w:val="18"/>
                <w:szCs w:val="18"/>
                <w:lang w:eastAsia="lv-LV"/>
              </w:rPr>
              <w:t>-1 208 451 038</w:t>
            </w:r>
          </w:p>
        </w:tc>
        <w:tc>
          <w:tcPr>
            <w:tcW w:w="1418" w:type="dxa"/>
            <w:tcBorders>
              <w:top w:val="single" w:sz="4" w:space="0" w:color="auto"/>
              <w:left w:val="nil"/>
              <w:bottom w:val="single" w:sz="4" w:space="0" w:color="auto"/>
              <w:right w:val="nil"/>
            </w:tcBorders>
            <w:shd w:val="clear" w:color="auto" w:fill="auto"/>
            <w:vAlign w:val="center"/>
            <w:hideMark/>
          </w:tcPr>
          <w:p w14:paraId="108E461D" w14:textId="2058A288" w:rsidR="00F8164B" w:rsidRPr="00F8164B" w:rsidRDefault="00F8164B" w:rsidP="00F8164B">
            <w:pPr>
              <w:spacing w:after="0" w:line="240" w:lineRule="auto"/>
              <w:jc w:val="right"/>
              <w:rPr>
                <w:rFonts w:eastAsia="Times New Roman" w:cs="Times New Roman"/>
                <w:color w:val="17365D"/>
                <w:sz w:val="18"/>
                <w:szCs w:val="18"/>
                <w:lang w:eastAsia="lv-LV"/>
              </w:rPr>
            </w:pPr>
            <w:r w:rsidRPr="00F8164B">
              <w:rPr>
                <w:rFonts w:eastAsia="Times New Roman" w:cs="Times New Roman"/>
                <w:color w:val="17365D"/>
                <w:sz w:val="18"/>
                <w:szCs w:val="18"/>
                <w:lang w:eastAsia="lv-LV"/>
              </w:rPr>
              <w:t>-1 206 664 064</w:t>
            </w:r>
          </w:p>
        </w:tc>
        <w:tc>
          <w:tcPr>
            <w:tcW w:w="1380" w:type="dxa"/>
            <w:tcBorders>
              <w:top w:val="single" w:sz="4" w:space="0" w:color="17365D"/>
              <w:bottom w:val="single" w:sz="4" w:space="0" w:color="17365D"/>
            </w:tcBorders>
            <w:shd w:val="clear" w:color="auto" w:fill="auto"/>
            <w:vAlign w:val="center"/>
            <w:hideMark/>
          </w:tcPr>
          <w:p w14:paraId="3D248EB1" w14:textId="0B30B5A2"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24 225 908</w:t>
            </w:r>
          </w:p>
        </w:tc>
        <w:tc>
          <w:tcPr>
            <w:tcW w:w="1176" w:type="dxa"/>
            <w:gridSpan w:val="2"/>
            <w:tcBorders>
              <w:top w:val="single" w:sz="4" w:space="0" w:color="17365D"/>
              <w:bottom w:val="single" w:sz="4" w:space="0" w:color="17365D"/>
            </w:tcBorders>
            <w:shd w:val="clear" w:color="auto" w:fill="auto"/>
            <w:vAlign w:val="center"/>
            <w:hideMark/>
          </w:tcPr>
          <w:p w14:paraId="3E82F311" w14:textId="3DA60125"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9 218 000</w:t>
            </w:r>
          </w:p>
        </w:tc>
      </w:tr>
      <w:tr w:rsidR="00F8164B" w:rsidRPr="00A27896" w14:paraId="24F74401" w14:textId="77777777" w:rsidTr="00CA5792">
        <w:trPr>
          <w:gridAfter w:val="1"/>
          <w:wAfter w:w="1281" w:type="dxa"/>
          <w:trHeight w:val="225"/>
        </w:trPr>
        <w:tc>
          <w:tcPr>
            <w:tcW w:w="4258" w:type="dxa"/>
            <w:tcBorders>
              <w:top w:val="single" w:sz="4" w:space="0" w:color="17365D"/>
              <w:bottom w:val="single" w:sz="4" w:space="0" w:color="17365D"/>
            </w:tcBorders>
            <w:shd w:val="clear" w:color="auto" w:fill="auto"/>
            <w:vAlign w:val="center"/>
            <w:hideMark/>
          </w:tcPr>
          <w:p w14:paraId="49F56D9F"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Pārskata gada budžeta izpildes rezultāts</w:t>
            </w:r>
          </w:p>
        </w:tc>
        <w:tc>
          <w:tcPr>
            <w:tcW w:w="1273" w:type="dxa"/>
            <w:tcBorders>
              <w:top w:val="single" w:sz="4" w:space="0" w:color="17365D"/>
              <w:bottom w:val="single" w:sz="4" w:space="0" w:color="17365D"/>
            </w:tcBorders>
            <w:shd w:val="clear" w:color="auto" w:fill="auto"/>
            <w:vAlign w:val="center"/>
            <w:hideMark/>
          </w:tcPr>
          <w:p w14:paraId="677B51FD" w14:textId="625664A0"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-16 676 979</w:t>
            </w:r>
          </w:p>
        </w:tc>
        <w:tc>
          <w:tcPr>
            <w:tcW w:w="1274" w:type="dxa"/>
            <w:tcBorders>
              <w:top w:val="single" w:sz="4" w:space="0" w:color="17365D"/>
              <w:bottom w:val="single" w:sz="4" w:space="0" w:color="17365D"/>
            </w:tcBorders>
            <w:shd w:val="clear" w:color="auto" w:fill="auto"/>
            <w:vAlign w:val="center"/>
            <w:hideMark/>
          </w:tcPr>
          <w:p w14:paraId="01053FF7" w14:textId="0C94F1FA"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-1 875 679</w:t>
            </w:r>
          </w:p>
        </w:tc>
        <w:tc>
          <w:tcPr>
            <w:tcW w:w="1417" w:type="dxa"/>
            <w:tcBorders>
              <w:top w:val="single" w:sz="4" w:space="0" w:color="17365D"/>
              <w:bottom w:val="single" w:sz="4" w:space="0" w:color="17365D"/>
            </w:tcBorders>
            <w:shd w:val="clear" w:color="auto" w:fill="auto"/>
            <w:vAlign w:val="center"/>
            <w:hideMark/>
          </w:tcPr>
          <w:p w14:paraId="41738D2B" w14:textId="16DB743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-93 908</w:t>
            </w:r>
          </w:p>
        </w:tc>
        <w:tc>
          <w:tcPr>
            <w:tcW w:w="1416" w:type="dxa"/>
            <w:tcBorders>
              <w:top w:val="single" w:sz="4" w:space="0" w:color="17365D"/>
              <w:bottom w:val="single" w:sz="4" w:space="0" w:color="17365D"/>
            </w:tcBorders>
            <w:shd w:val="clear" w:color="auto" w:fill="auto"/>
            <w:vAlign w:val="center"/>
            <w:hideMark/>
          </w:tcPr>
          <w:p w14:paraId="08FB8B6F" w14:textId="1A172C16"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1 069 095</w:t>
            </w:r>
          </w:p>
        </w:tc>
        <w:tc>
          <w:tcPr>
            <w:tcW w:w="1423" w:type="dxa"/>
            <w:tcBorders>
              <w:top w:val="single" w:sz="4" w:space="0" w:color="auto"/>
              <w:left w:val="nil"/>
              <w:bottom w:val="nil"/>
              <w:right w:val="nil"/>
            </w:tcBorders>
            <w:shd w:val="clear" w:color="auto" w:fill="auto"/>
            <w:vAlign w:val="center"/>
            <w:hideMark/>
          </w:tcPr>
          <w:p w14:paraId="3520D3FA" w14:textId="12BDE161" w:rsidR="00F8164B" w:rsidRPr="00F8164B" w:rsidRDefault="00F8164B" w:rsidP="00F8164B">
            <w:pPr>
              <w:spacing w:after="0" w:line="240" w:lineRule="auto"/>
              <w:jc w:val="right"/>
              <w:rPr>
                <w:rFonts w:eastAsia="Times New Roman" w:cs="Times New Roman"/>
                <w:color w:val="17365D"/>
                <w:sz w:val="18"/>
                <w:szCs w:val="18"/>
                <w:lang w:eastAsia="lv-LV"/>
              </w:rPr>
            </w:pPr>
            <w:r w:rsidRPr="00F8164B">
              <w:rPr>
                <w:rFonts w:eastAsia="Times New Roman" w:cs="Times New Roman"/>
                <w:color w:val="17365D"/>
                <w:sz w:val="18"/>
                <w:szCs w:val="18"/>
                <w:lang w:eastAsia="lv-LV"/>
              </w:rPr>
              <w:t>-60 253 210</w:t>
            </w:r>
          </w:p>
        </w:tc>
        <w:tc>
          <w:tcPr>
            <w:tcW w:w="1418" w:type="dxa"/>
            <w:tcBorders>
              <w:top w:val="single" w:sz="4" w:space="0" w:color="auto"/>
              <w:left w:val="nil"/>
              <w:bottom w:val="nil"/>
              <w:right w:val="nil"/>
            </w:tcBorders>
            <w:shd w:val="clear" w:color="auto" w:fill="auto"/>
            <w:vAlign w:val="center"/>
            <w:hideMark/>
          </w:tcPr>
          <w:p w14:paraId="4770EF91" w14:textId="46161CE9" w:rsidR="00F8164B" w:rsidRPr="00F8164B" w:rsidRDefault="00F8164B" w:rsidP="00F8164B">
            <w:pPr>
              <w:spacing w:after="0" w:line="240" w:lineRule="auto"/>
              <w:jc w:val="right"/>
              <w:rPr>
                <w:rFonts w:eastAsia="Times New Roman" w:cs="Times New Roman"/>
                <w:color w:val="17365D"/>
                <w:sz w:val="18"/>
                <w:szCs w:val="18"/>
                <w:lang w:eastAsia="lv-LV"/>
              </w:rPr>
            </w:pPr>
            <w:r w:rsidRPr="00F8164B">
              <w:rPr>
                <w:rFonts w:eastAsia="Times New Roman" w:cs="Times New Roman"/>
                <w:color w:val="17365D"/>
                <w:sz w:val="18"/>
                <w:szCs w:val="18"/>
                <w:lang w:eastAsia="lv-LV"/>
              </w:rPr>
              <w:t>-1 786 974</w:t>
            </w:r>
          </w:p>
        </w:tc>
        <w:tc>
          <w:tcPr>
            <w:tcW w:w="1380" w:type="dxa"/>
            <w:tcBorders>
              <w:top w:val="single" w:sz="4" w:space="0" w:color="17365D"/>
              <w:bottom w:val="single" w:sz="4" w:space="0" w:color="17365D"/>
            </w:tcBorders>
            <w:shd w:val="clear" w:color="auto" w:fill="auto"/>
            <w:vAlign w:val="center"/>
            <w:hideMark/>
          </w:tcPr>
          <w:p w14:paraId="52A36E08" w14:textId="048E8ADC"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-16 178 259</w:t>
            </w:r>
          </w:p>
        </w:tc>
        <w:tc>
          <w:tcPr>
            <w:tcW w:w="1176" w:type="dxa"/>
            <w:gridSpan w:val="2"/>
            <w:tcBorders>
              <w:top w:val="single" w:sz="4" w:space="0" w:color="17365D"/>
              <w:bottom w:val="single" w:sz="4" w:space="0" w:color="17365D"/>
            </w:tcBorders>
            <w:shd w:val="clear" w:color="auto" w:fill="auto"/>
            <w:vAlign w:val="center"/>
            <w:hideMark/>
          </w:tcPr>
          <w:p w14:paraId="62C1195F" w14:textId="0832101C"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1 663 388</w:t>
            </w:r>
          </w:p>
        </w:tc>
      </w:tr>
      <w:tr w:rsidR="00F8164B" w:rsidRPr="00A27896" w14:paraId="1F30842E" w14:textId="77777777" w:rsidTr="00CA5792">
        <w:trPr>
          <w:gridAfter w:val="1"/>
          <w:wAfter w:w="1281" w:type="dxa"/>
          <w:trHeight w:val="130"/>
        </w:trPr>
        <w:tc>
          <w:tcPr>
            <w:tcW w:w="4258" w:type="dxa"/>
            <w:tcBorders>
              <w:top w:val="single" w:sz="4" w:space="0" w:color="17365D"/>
              <w:bottom w:val="single" w:sz="4" w:space="0" w:color="17365D"/>
            </w:tcBorders>
            <w:shd w:val="clear" w:color="auto" w:fill="auto"/>
            <w:vAlign w:val="center"/>
            <w:hideMark/>
          </w:tcPr>
          <w:p w14:paraId="3CF8A2D2" w14:textId="77777777" w:rsidR="00F8164B" w:rsidRPr="00A27896" w:rsidRDefault="00F8164B" w:rsidP="00F8164B">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Uzkrājumi</w:t>
            </w:r>
          </w:p>
        </w:tc>
        <w:tc>
          <w:tcPr>
            <w:tcW w:w="1273" w:type="dxa"/>
            <w:tcBorders>
              <w:top w:val="single" w:sz="4" w:space="0" w:color="17365D"/>
              <w:bottom w:val="single" w:sz="4" w:space="0" w:color="17365D"/>
            </w:tcBorders>
            <w:shd w:val="clear" w:color="auto" w:fill="auto"/>
            <w:vAlign w:val="center"/>
            <w:hideMark/>
          </w:tcPr>
          <w:p w14:paraId="298B1E91"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59207711"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4D84B193"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769D2B8A"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069C56DB" w14:textId="677878AD"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36BCBDA4" w14:textId="63D08561"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01C40B42" w14:textId="5199C2C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489 112</w:t>
            </w:r>
          </w:p>
        </w:tc>
        <w:tc>
          <w:tcPr>
            <w:tcW w:w="1176" w:type="dxa"/>
            <w:gridSpan w:val="2"/>
            <w:tcBorders>
              <w:top w:val="single" w:sz="4" w:space="0" w:color="17365D"/>
              <w:bottom w:val="single" w:sz="4" w:space="0" w:color="17365D"/>
            </w:tcBorders>
            <w:shd w:val="clear" w:color="auto" w:fill="auto"/>
            <w:vAlign w:val="center"/>
            <w:hideMark/>
          </w:tcPr>
          <w:p w14:paraId="58F08BD0" w14:textId="12D19B98" w:rsidR="00F8164B" w:rsidRPr="00A27896" w:rsidRDefault="00F8164B" w:rsidP="00A8735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713DCF5E" w14:textId="77777777" w:rsidTr="00CA5792">
        <w:trPr>
          <w:gridAfter w:val="1"/>
          <w:wAfter w:w="1281" w:type="dxa"/>
          <w:trHeight w:val="204"/>
        </w:trPr>
        <w:tc>
          <w:tcPr>
            <w:tcW w:w="4258" w:type="dxa"/>
            <w:tcBorders>
              <w:top w:val="single" w:sz="4" w:space="0" w:color="17365D"/>
              <w:bottom w:val="single" w:sz="4" w:space="0" w:color="17365D"/>
            </w:tcBorders>
            <w:shd w:val="clear" w:color="auto" w:fill="auto"/>
            <w:vAlign w:val="center"/>
            <w:hideMark/>
          </w:tcPr>
          <w:p w14:paraId="234BAC7C" w14:textId="77777777" w:rsidR="00F8164B" w:rsidRPr="00A27896" w:rsidRDefault="00F8164B" w:rsidP="00F8164B">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Saistības</w:t>
            </w:r>
          </w:p>
        </w:tc>
        <w:tc>
          <w:tcPr>
            <w:tcW w:w="1273" w:type="dxa"/>
            <w:tcBorders>
              <w:top w:val="single" w:sz="4" w:space="0" w:color="17365D"/>
              <w:bottom w:val="single" w:sz="4" w:space="0" w:color="17365D"/>
            </w:tcBorders>
            <w:shd w:val="clear" w:color="auto" w:fill="auto"/>
            <w:vAlign w:val="center"/>
            <w:hideMark/>
          </w:tcPr>
          <w:p w14:paraId="2924C75F" w14:textId="05B93E1F"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03015571" w14:textId="7080D65C"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-431 908</w:t>
            </w:r>
          </w:p>
        </w:tc>
        <w:tc>
          <w:tcPr>
            <w:tcW w:w="1417" w:type="dxa"/>
            <w:tcBorders>
              <w:top w:val="single" w:sz="4" w:space="0" w:color="17365D"/>
              <w:bottom w:val="single" w:sz="4" w:space="0" w:color="17365D"/>
            </w:tcBorders>
            <w:shd w:val="clear" w:color="auto" w:fill="auto"/>
            <w:vAlign w:val="center"/>
            <w:hideMark/>
          </w:tcPr>
          <w:p w14:paraId="65377FEE" w14:textId="0AADD8F2"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-2 291 871 803</w:t>
            </w:r>
          </w:p>
        </w:tc>
        <w:tc>
          <w:tcPr>
            <w:tcW w:w="1416" w:type="dxa"/>
            <w:tcBorders>
              <w:top w:val="single" w:sz="4" w:space="0" w:color="17365D"/>
              <w:bottom w:val="single" w:sz="4" w:space="0" w:color="17365D"/>
            </w:tcBorders>
            <w:shd w:val="clear" w:color="auto" w:fill="auto"/>
            <w:vAlign w:val="center"/>
            <w:hideMark/>
          </w:tcPr>
          <w:p w14:paraId="1D33A9ED" w14:textId="22E24860"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-2 179 961 057</w:t>
            </w:r>
          </w:p>
        </w:tc>
        <w:tc>
          <w:tcPr>
            <w:tcW w:w="1423" w:type="dxa"/>
            <w:tcBorders>
              <w:top w:val="single" w:sz="4" w:space="0" w:color="17365D"/>
              <w:bottom w:val="single" w:sz="4" w:space="0" w:color="17365D"/>
            </w:tcBorders>
            <w:shd w:val="clear" w:color="auto" w:fill="auto"/>
            <w:vAlign w:val="center"/>
            <w:hideMark/>
          </w:tcPr>
          <w:p w14:paraId="620AB91F" w14:textId="24ABACFF"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30 723 344</w:t>
            </w:r>
          </w:p>
        </w:tc>
        <w:tc>
          <w:tcPr>
            <w:tcW w:w="1418" w:type="dxa"/>
            <w:tcBorders>
              <w:top w:val="single" w:sz="4" w:space="0" w:color="17365D"/>
              <w:bottom w:val="single" w:sz="4" w:space="0" w:color="17365D"/>
            </w:tcBorders>
            <w:shd w:val="clear" w:color="auto" w:fill="auto"/>
            <w:vAlign w:val="center"/>
            <w:hideMark/>
          </w:tcPr>
          <w:p w14:paraId="506CB3CD" w14:textId="6D0B9EEA"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753A9BA2" w14:textId="2E63ABF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3 540 348</w:t>
            </w:r>
          </w:p>
        </w:tc>
        <w:tc>
          <w:tcPr>
            <w:tcW w:w="1176" w:type="dxa"/>
            <w:gridSpan w:val="2"/>
            <w:tcBorders>
              <w:top w:val="single" w:sz="4" w:space="0" w:color="17365D"/>
              <w:bottom w:val="single" w:sz="4" w:space="0" w:color="17365D"/>
            </w:tcBorders>
            <w:shd w:val="clear" w:color="auto" w:fill="auto"/>
            <w:vAlign w:val="center"/>
            <w:hideMark/>
          </w:tcPr>
          <w:p w14:paraId="64717FB9"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15D04B11" w14:textId="77777777" w:rsidTr="00CA5792">
        <w:trPr>
          <w:gridAfter w:val="1"/>
          <w:wAfter w:w="1281" w:type="dxa"/>
          <w:trHeight w:val="122"/>
        </w:trPr>
        <w:tc>
          <w:tcPr>
            <w:tcW w:w="4258" w:type="dxa"/>
            <w:tcBorders>
              <w:top w:val="single" w:sz="4" w:space="0" w:color="17365D"/>
              <w:bottom w:val="single" w:sz="4" w:space="0" w:color="17365D"/>
            </w:tcBorders>
            <w:shd w:val="clear" w:color="auto" w:fill="auto"/>
            <w:vAlign w:val="center"/>
            <w:hideMark/>
          </w:tcPr>
          <w:p w14:paraId="6B495051"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saistības</w:t>
            </w:r>
          </w:p>
        </w:tc>
        <w:tc>
          <w:tcPr>
            <w:tcW w:w="1273" w:type="dxa"/>
            <w:tcBorders>
              <w:top w:val="single" w:sz="4" w:space="0" w:color="17365D"/>
              <w:bottom w:val="single" w:sz="4" w:space="0" w:color="17365D"/>
            </w:tcBorders>
            <w:shd w:val="clear" w:color="auto" w:fill="auto"/>
            <w:vAlign w:val="center"/>
            <w:hideMark/>
          </w:tcPr>
          <w:p w14:paraId="769B2756" w14:textId="4C7333E9"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39410E72" w14:textId="219E714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0FD3FD2A" w14:textId="1B600DED"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-1 600 051 359</w:t>
            </w:r>
          </w:p>
        </w:tc>
        <w:tc>
          <w:tcPr>
            <w:tcW w:w="1416" w:type="dxa"/>
            <w:tcBorders>
              <w:top w:val="single" w:sz="4" w:space="0" w:color="17365D"/>
              <w:bottom w:val="single" w:sz="4" w:space="0" w:color="17365D"/>
            </w:tcBorders>
            <w:shd w:val="clear" w:color="auto" w:fill="auto"/>
            <w:vAlign w:val="center"/>
            <w:hideMark/>
          </w:tcPr>
          <w:p w14:paraId="52A3EE40" w14:textId="3F698259"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-1 515 543 367</w:t>
            </w:r>
          </w:p>
        </w:tc>
        <w:tc>
          <w:tcPr>
            <w:tcW w:w="1423" w:type="dxa"/>
            <w:tcBorders>
              <w:top w:val="single" w:sz="4" w:space="0" w:color="17365D"/>
              <w:bottom w:val="single" w:sz="4" w:space="0" w:color="17365D"/>
            </w:tcBorders>
            <w:shd w:val="clear" w:color="auto" w:fill="auto"/>
            <w:vAlign w:val="center"/>
            <w:hideMark/>
          </w:tcPr>
          <w:p w14:paraId="75F7FDB7" w14:textId="05D81105"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45CD47F9" w14:textId="3770383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6F4EE3E9" w14:textId="511A66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78 004</w:t>
            </w:r>
          </w:p>
        </w:tc>
        <w:tc>
          <w:tcPr>
            <w:tcW w:w="1176" w:type="dxa"/>
            <w:gridSpan w:val="2"/>
            <w:tcBorders>
              <w:top w:val="single" w:sz="4" w:space="0" w:color="17365D"/>
              <w:bottom w:val="single" w:sz="4" w:space="0" w:color="17365D"/>
            </w:tcBorders>
            <w:shd w:val="clear" w:color="auto" w:fill="auto"/>
            <w:vAlign w:val="center"/>
            <w:hideMark/>
          </w:tcPr>
          <w:p w14:paraId="408A5449"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509A6CFC" w14:textId="77777777" w:rsidTr="00CA5792">
        <w:trPr>
          <w:gridAfter w:val="1"/>
          <w:wAfter w:w="1281" w:type="dxa"/>
          <w:trHeight w:val="196"/>
        </w:trPr>
        <w:tc>
          <w:tcPr>
            <w:tcW w:w="4258" w:type="dxa"/>
            <w:tcBorders>
              <w:top w:val="single" w:sz="4" w:space="0" w:color="17365D"/>
              <w:bottom w:val="single" w:sz="4" w:space="0" w:color="17365D"/>
            </w:tcBorders>
            <w:shd w:val="clear" w:color="auto" w:fill="auto"/>
            <w:vAlign w:val="center"/>
            <w:hideMark/>
          </w:tcPr>
          <w:p w14:paraId="72DC76C8"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aizņēmumi</w:t>
            </w:r>
          </w:p>
        </w:tc>
        <w:tc>
          <w:tcPr>
            <w:tcW w:w="1273" w:type="dxa"/>
            <w:tcBorders>
              <w:top w:val="single" w:sz="4" w:space="0" w:color="17365D"/>
              <w:bottom w:val="single" w:sz="4" w:space="0" w:color="17365D"/>
            </w:tcBorders>
            <w:shd w:val="clear" w:color="auto" w:fill="auto"/>
            <w:vAlign w:val="center"/>
            <w:hideMark/>
          </w:tcPr>
          <w:p w14:paraId="0EC5CBEC"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552CDA8D" w14:textId="499B9D2D"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34C92771" w14:textId="28F695D6"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-1 597 177 051</w:t>
            </w:r>
          </w:p>
        </w:tc>
        <w:tc>
          <w:tcPr>
            <w:tcW w:w="1416" w:type="dxa"/>
            <w:tcBorders>
              <w:top w:val="single" w:sz="4" w:space="0" w:color="17365D"/>
              <w:bottom w:val="single" w:sz="4" w:space="0" w:color="17365D"/>
            </w:tcBorders>
            <w:shd w:val="clear" w:color="auto" w:fill="auto"/>
            <w:vAlign w:val="center"/>
            <w:hideMark/>
          </w:tcPr>
          <w:p w14:paraId="23FAFA30" w14:textId="062BFF3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-1 486 857 600</w:t>
            </w:r>
          </w:p>
        </w:tc>
        <w:tc>
          <w:tcPr>
            <w:tcW w:w="1423" w:type="dxa"/>
            <w:tcBorders>
              <w:top w:val="single" w:sz="4" w:space="0" w:color="17365D"/>
              <w:bottom w:val="single" w:sz="4" w:space="0" w:color="17365D"/>
            </w:tcBorders>
            <w:shd w:val="clear" w:color="auto" w:fill="auto"/>
            <w:vAlign w:val="center"/>
            <w:hideMark/>
          </w:tcPr>
          <w:p w14:paraId="6E5CB8A2" w14:textId="27222691"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76241DB4" w14:textId="615B411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62947029" w14:textId="13D7B31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739FB2C7"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157255DA" w14:textId="77777777" w:rsidTr="00CA5792">
        <w:trPr>
          <w:gridAfter w:val="1"/>
          <w:wAfter w:w="1281" w:type="dxa"/>
          <w:trHeight w:val="255"/>
        </w:trPr>
        <w:tc>
          <w:tcPr>
            <w:tcW w:w="4258" w:type="dxa"/>
            <w:tcBorders>
              <w:top w:val="single" w:sz="4" w:space="0" w:color="17365D"/>
              <w:bottom w:val="single" w:sz="4" w:space="0" w:color="17365D"/>
            </w:tcBorders>
            <w:shd w:val="clear" w:color="auto" w:fill="auto"/>
            <w:vAlign w:val="center"/>
            <w:hideMark/>
          </w:tcPr>
          <w:p w14:paraId="4F53E094"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lastRenderedPageBreak/>
              <w:t>Ilgtermiņa saistības pret piegādātājiem un darbuzņēmējiem</w:t>
            </w:r>
          </w:p>
        </w:tc>
        <w:tc>
          <w:tcPr>
            <w:tcW w:w="1273" w:type="dxa"/>
            <w:tcBorders>
              <w:top w:val="single" w:sz="4" w:space="0" w:color="17365D"/>
              <w:bottom w:val="single" w:sz="4" w:space="0" w:color="17365D"/>
            </w:tcBorders>
            <w:shd w:val="clear" w:color="auto" w:fill="auto"/>
            <w:vAlign w:val="center"/>
            <w:hideMark/>
          </w:tcPr>
          <w:p w14:paraId="5FDB7038"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006D081D" w14:textId="3CD2EAF0"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71DCE5FF" w14:textId="49C6BE3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-38 523</w:t>
            </w:r>
          </w:p>
        </w:tc>
        <w:tc>
          <w:tcPr>
            <w:tcW w:w="1416" w:type="dxa"/>
            <w:tcBorders>
              <w:top w:val="single" w:sz="4" w:space="0" w:color="17365D"/>
              <w:bottom w:val="single" w:sz="4" w:space="0" w:color="17365D"/>
            </w:tcBorders>
            <w:shd w:val="clear" w:color="auto" w:fill="auto"/>
            <w:vAlign w:val="center"/>
            <w:hideMark/>
          </w:tcPr>
          <w:p w14:paraId="427060F2" w14:textId="14A3D4B1"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-43 923</w:t>
            </w:r>
          </w:p>
        </w:tc>
        <w:tc>
          <w:tcPr>
            <w:tcW w:w="1423" w:type="dxa"/>
            <w:tcBorders>
              <w:top w:val="single" w:sz="4" w:space="0" w:color="17365D"/>
              <w:bottom w:val="single" w:sz="4" w:space="0" w:color="17365D"/>
            </w:tcBorders>
            <w:shd w:val="clear" w:color="auto" w:fill="auto"/>
            <w:vAlign w:val="center"/>
            <w:hideMark/>
          </w:tcPr>
          <w:p w14:paraId="6C440C49" w14:textId="218C8FD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09984DB3" w14:textId="203B45F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32E98533" w14:textId="04C96864"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43A7BFB5"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10A242A1" w14:textId="77777777" w:rsidTr="00CA5792">
        <w:trPr>
          <w:gridAfter w:val="1"/>
          <w:wAfter w:w="1281" w:type="dxa"/>
          <w:trHeight w:val="106"/>
        </w:trPr>
        <w:tc>
          <w:tcPr>
            <w:tcW w:w="4258" w:type="dxa"/>
            <w:tcBorders>
              <w:top w:val="single" w:sz="4" w:space="0" w:color="17365D"/>
              <w:bottom w:val="single" w:sz="4" w:space="0" w:color="17365D"/>
            </w:tcBorders>
            <w:shd w:val="clear" w:color="auto" w:fill="auto"/>
            <w:vAlign w:val="center"/>
            <w:hideMark/>
          </w:tcPr>
          <w:p w14:paraId="5E545087"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uzkrātās saistības</w:t>
            </w:r>
          </w:p>
        </w:tc>
        <w:tc>
          <w:tcPr>
            <w:tcW w:w="1273" w:type="dxa"/>
            <w:tcBorders>
              <w:top w:val="single" w:sz="4" w:space="0" w:color="17365D"/>
              <w:bottom w:val="single" w:sz="4" w:space="0" w:color="17365D"/>
            </w:tcBorders>
            <w:shd w:val="clear" w:color="auto" w:fill="auto"/>
            <w:vAlign w:val="center"/>
            <w:hideMark/>
          </w:tcPr>
          <w:p w14:paraId="63A23E0E" w14:textId="31286F02"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62339851" w14:textId="1C91E656"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70675794" w14:textId="030D0ABD"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-92 781</w:t>
            </w:r>
          </w:p>
        </w:tc>
        <w:tc>
          <w:tcPr>
            <w:tcW w:w="1416" w:type="dxa"/>
            <w:tcBorders>
              <w:top w:val="single" w:sz="4" w:space="0" w:color="17365D"/>
              <w:bottom w:val="single" w:sz="4" w:space="0" w:color="17365D"/>
            </w:tcBorders>
            <w:shd w:val="clear" w:color="auto" w:fill="auto"/>
            <w:vAlign w:val="center"/>
            <w:hideMark/>
          </w:tcPr>
          <w:p w14:paraId="4797C825" w14:textId="0B429AF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-92 781</w:t>
            </w:r>
          </w:p>
        </w:tc>
        <w:tc>
          <w:tcPr>
            <w:tcW w:w="1423" w:type="dxa"/>
            <w:tcBorders>
              <w:top w:val="single" w:sz="4" w:space="0" w:color="17365D"/>
              <w:bottom w:val="single" w:sz="4" w:space="0" w:color="17365D"/>
            </w:tcBorders>
            <w:shd w:val="clear" w:color="auto" w:fill="auto"/>
            <w:vAlign w:val="center"/>
            <w:hideMark/>
          </w:tcPr>
          <w:p w14:paraId="24E60531" w14:textId="5BC61086"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2761E2CC" w14:textId="148F458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71467636" w14:textId="44BE7F1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3731E81C"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4535EFA4" w14:textId="77777777" w:rsidTr="00CA5792">
        <w:trPr>
          <w:gridAfter w:val="1"/>
          <w:wAfter w:w="1281" w:type="dxa"/>
          <w:trHeight w:val="352"/>
        </w:trPr>
        <w:tc>
          <w:tcPr>
            <w:tcW w:w="4258" w:type="dxa"/>
            <w:tcBorders>
              <w:top w:val="single" w:sz="4" w:space="0" w:color="17365D"/>
              <w:bottom w:val="single" w:sz="4" w:space="0" w:color="17365D"/>
            </w:tcBorders>
            <w:shd w:val="clear" w:color="auto" w:fill="auto"/>
            <w:vAlign w:val="center"/>
            <w:hideMark/>
          </w:tcPr>
          <w:p w14:paraId="3BE2E6C4"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nākamo periodu ieņēmumi un saņemtie avansa maksājumi</w:t>
            </w:r>
          </w:p>
        </w:tc>
        <w:tc>
          <w:tcPr>
            <w:tcW w:w="1273" w:type="dxa"/>
            <w:tcBorders>
              <w:top w:val="single" w:sz="4" w:space="0" w:color="17365D"/>
              <w:bottom w:val="single" w:sz="4" w:space="0" w:color="17365D"/>
            </w:tcBorders>
            <w:shd w:val="clear" w:color="auto" w:fill="auto"/>
            <w:vAlign w:val="center"/>
            <w:hideMark/>
          </w:tcPr>
          <w:p w14:paraId="0ABBC399"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604B889E" w14:textId="3D039BA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4CC4EC8A" w14:textId="4A2D6504"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-1 661 442</w:t>
            </w:r>
          </w:p>
        </w:tc>
        <w:tc>
          <w:tcPr>
            <w:tcW w:w="1416" w:type="dxa"/>
            <w:tcBorders>
              <w:top w:val="single" w:sz="4" w:space="0" w:color="17365D"/>
              <w:bottom w:val="single" w:sz="4" w:space="0" w:color="17365D"/>
            </w:tcBorders>
            <w:shd w:val="clear" w:color="auto" w:fill="auto"/>
            <w:vAlign w:val="center"/>
            <w:hideMark/>
          </w:tcPr>
          <w:p w14:paraId="39B34D7D" w14:textId="0936CEF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-27 723 649</w:t>
            </w:r>
          </w:p>
        </w:tc>
        <w:tc>
          <w:tcPr>
            <w:tcW w:w="1423" w:type="dxa"/>
            <w:tcBorders>
              <w:top w:val="single" w:sz="4" w:space="0" w:color="17365D"/>
              <w:bottom w:val="single" w:sz="4" w:space="0" w:color="17365D"/>
            </w:tcBorders>
            <w:shd w:val="clear" w:color="auto" w:fill="auto"/>
            <w:vAlign w:val="center"/>
            <w:hideMark/>
          </w:tcPr>
          <w:p w14:paraId="2EB088B5" w14:textId="2A4D6636"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4579487E" w14:textId="7DCD542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58DEE137" w14:textId="2D345AA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78 004</w:t>
            </w:r>
          </w:p>
        </w:tc>
        <w:tc>
          <w:tcPr>
            <w:tcW w:w="1176" w:type="dxa"/>
            <w:gridSpan w:val="2"/>
            <w:tcBorders>
              <w:top w:val="single" w:sz="4" w:space="0" w:color="17365D"/>
              <w:bottom w:val="single" w:sz="4" w:space="0" w:color="17365D"/>
            </w:tcBorders>
            <w:shd w:val="clear" w:color="auto" w:fill="auto"/>
            <w:vAlign w:val="center"/>
            <w:hideMark/>
          </w:tcPr>
          <w:p w14:paraId="7972D3D8"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4AD3B355" w14:textId="77777777" w:rsidTr="00CA5792">
        <w:trPr>
          <w:gridAfter w:val="1"/>
          <w:wAfter w:w="1281" w:type="dxa"/>
          <w:trHeight w:val="327"/>
        </w:trPr>
        <w:tc>
          <w:tcPr>
            <w:tcW w:w="4258" w:type="dxa"/>
            <w:tcBorders>
              <w:top w:val="single" w:sz="4" w:space="0" w:color="17365D"/>
              <w:bottom w:val="single" w:sz="4" w:space="0" w:color="17365D"/>
            </w:tcBorders>
            <w:shd w:val="clear" w:color="auto" w:fill="auto"/>
            <w:vAlign w:val="center"/>
            <w:hideMark/>
          </w:tcPr>
          <w:p w14:paraId="41374F41"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Emitēto obligāciju un citu parāda vērtspapīru ilgtermiņa daļa</w:t>
            </w:r>
          </w:p>
        </w:tc>
        <w:tc>
          <w:tcPr>
            <w:tcW w:w="1273" w:type="dxa"/>
            <w:tcBorders>
              <w:top w:val="single" w:sz="4" w:space="0" w:color="17365D"/>
              <w:bottom w:val="single" w:sz="4" w:space="0" w:color="17365D"/>
            </w:tcBorders>
            <w:shd w:val="clear" w:color="auto" w:fill="auto"/>
            <w:vAlign w:val="center"/>
            <w:hideMark/>
          </w:tcPr>
          <w:p w14:paraId="01E840F1"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4610063D" w14:textId="65D4072D"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6FCC1DD6" w14:textId="116942F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04A19D1F" w14:textId="7B4B7FD4"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471563D6" w14:textId="6CC890D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1AA3DDB7" w14:textId="1E459D8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1B7D6836" w14:textId="12367EBC"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351391F8"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4BBFB9EE" w14:textId="77777777" w:rsidTr="00CA5792">
        <w:trPr>
          <w:gridAfter w:val="1"/>
          <w:wAfter w:w="1281" w:type="dxa"/>
          <w:trHeight w:val="58"/>
        </w:trPr>
        <w:tc>
          <w:tcPr>
            <w:tcW w:w="4258" w:type="dxa"/>
            <w:tcBorders>
              <w:top w:val="single" w:sz="4" w:space="0" w:color="17365D"/>
              <w:bottom w:val="single" w:sz="4" w:space="0" w:color="17365D"/>
            </w:tcBorders>
            <w:shd w:val="clear" w:color="auto" w:fill="auto"/>
            <w:vAlign w:val="center"/>
            <w:hideMark/>
          </w:tcPr>
          <w:p w14:paraId="36938E5C"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Saņemtie ilgtermiņa noguldījumi</w:t>
            </w:r>
          </w:p>
        </w:tc>
        <w:tc>
          <w:tcPr>
            <w:tcW w:w="1273" w:type="dxa"/>
            <w:tcBorders>
              <w:top w:val="single" w:sz="4" w:space="0" w:color="17365D"/>
              <w:bottom w:val="single" w:sz="4" w:space="0" w:color="17365D"/>
            </w:tcBorders>
            <w:shd w:val="clear" w:color="auto" w:fill="auto"/>
            <w:vAlign w:val="center"/>
            <w:hideMark/>
          </w:tcPr>
          <w:p w14:paraId="55C92807" w14:textId="7BFE10F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21116EC2" w14:textId="14D82400"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34D2D6A1" w14:textId="1E9ED919"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1780A346" w14:textId="199043A4"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3D048487" w14:textId="11F3445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715D0F8C" w14:textId="3C4E555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1A2A6C44" w14:textId="6370A6F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688830A9"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35ECE5CD" w14:textId="77777777" w:rsidTr="00CA5792">
        <w:trPr>
          <w:gridAfter w:val="1"/>
          <w:wAfter w:w="1281" w:type="dxa"/>
          <w:trHeight w:val="109"/>
        </w:trPr>
        <w:tc>
          <w:tcPr>
            <w:tcW w:w="4258" w:type="dxa"/>
            <w:tcBorders>
              <w:top w:val="single" w:sz="4" w:space="0" w:color="17365D"/>
              <w:bottom w:val="single" w:sz="4" w:space="0" w:color="17365D"/>
            </w:tcBorders>
            <w:shd w:val="clear" w:color="auto" w:fill="auto"/>
            <w:vAlign w:val="center"/>
            <w:hideMark/>
          </w:tcPr>
          <w:p w14:paraId="154CC6F1" w14:textId="77777777" w:rsidR="00F8164B" w:rsidRPr="00A27896" w:rsidRDefault="00F8164B" w:rsidP="00F8164B">
            <w:pPr>
              <w:spacing w:after="0" w:line="240" w:lineRule="auto"/>
              <w:ind w:firstLineChars="200" w:firstLine="360"/>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Pārējās ilgtermiņa saistības</w:t>
            </w:r>
          </w:p>
        </w:tc>
        <w:tc>
          <w:tcPr>
            <w:tcW w:w="1273" w:type="dxa"/>
            <w:tcBorders>
              <w:top w:val="single" w:sz="4" w:space="0" w:color="17365D"/>
              <w:bottom w:val="single" w:sz="4" w:space="0" w:color="17365D"/>
            </w:tcBorders>
            <w:shd w:val="clear" w:color="auto" w:fill="auto"/>
            <w:vAlign w:val="center"/>
            <w:hideMark/>
          </w:tcPr>
          <w:p w14:paraId="3D78B91C" w14:textId="24CDC7C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5B622B6E" w14:textId="170F4F2D"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60290702" w14:textId="2DCD7F2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-1 081 562</w:t>
            </w:r>
          </w:p>
        </w:tc>
        <w:tc>
          <w:tcPr>
            <w:tcW w:w="1416" w:type="dxa"/>
            <w:tcBorders>
              <w:top w:val="single" w:sz="4" w:space="0" w:color="17365D"/>
              <w:bottom w:val="single" w:sz="4" w:space="0" w:color="17365D"/>
            </w:tcBorders>
            <w:shd w:val="clear" w:color="auto" w:fill="auto"/>
            <w:vAlign w:val="center"/>
            <w:hideMark/>
          </w:tcPr>
          <w:p w14:paraId="20FEAEB8" w14:textId="239953D5"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-825 414</w:t>
            </w:r>
          </w:p>
        </w:tc>
        <w:tc>
          <w:tcPr>
            <w:tcW w:w="1423" w:type="dxa"/>
            <w:tcBorders>
              <w:top w:val="single" w:sz="4" w:space="0" w:color="17365D"/>
              <w:bottom w:val="single" w:sz="4" w:space="0" w:color="17365D"/>
            </w:tcBorders>
            <w:shd w:val="clear" w:color="auto" w:fill="auto"/>
            <w:vAlign w:val="center"/>
            <w:hideMark/>
          </w:tcPr>
          <w:p w14:paraId="65819E43" w14:textId="3206749A"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38A14CE1" w14:textId="63E454A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1F0F13BB" w14:textId="2F1F8AB9"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2074A50F"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717B0F9A" w14:textId="77777777" w:rsidTr="00CA5792">
        <w:trPr>
          <w:gridAfter w:val="1"/>
          <w:wAfter w:w="1281" w:type="dxa"/>
          <w:trHeight w:val="312"/>
        </w:trPr>
        <w:tc>
          <w:tcPr>
            <w:tcW w:w="4258" w:type="dxa"/>
            <w:tcBorders>
              <w:top w:val="single" w:sz="4" w:space="0" w:color="17365D"/>
              <w:bottom w:val="single" w:sz="4" w:space="0" w:color="17365D"/>
            </w:tcBorders>
            <w:shd w:val="clear" w:color="auto" w:fill="auto"/>
            <w:vAlign w:val="center"/>
            <w:hideMark/>
          </w:tcPr>
          <w:p w14:paraId="5C38A989"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Īstermiņa aizņēmumi un ilgtermiņa aizņēmumu īstermiņa daļa</w:t>
            </w:r>
          </w:p>
        </w:tc>
        <w:tc>
          <w:tcPr>
            <w:tcW w:w="1273" w:type="dxa"/>
            <w:tcBorders>
              <w:top w:val="single" w:sz="4" w:space="0" w:color="17365D"/>
              <w:bottom w:val="single" w:sz="4" w:space="0" w:color="17365D"/>
            </w:tcBorders>
            <w:shd w:val="clear" w:color="auto" w:fill="auto"/>
            <w:vAlign w:val="center"/>
            <w:hideMark/>
          </w:tcPr>
          <w:p w14:paraId="04CCD23A" w14:textId="02DE04D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40A9AC4C" w14:textId="38B4538A"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4843C669" w14:textId="01FBF284"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-129 970 788</w:t>
            </w:r>
          </w:p>
        </w:tc>
        <w:tc>
          <w:tcPr>
            <w:tcW w:w="1416" w:type="dxa"/>
            <w:tcBorders>
              <w:top w:val="single" w:sz="4" w:space="0" w:color="17365D"/>
              <w:bottom w:val="single" w:sz="4" w:space="0" w:color="17365D"/>
            </w:tcBorders>
            <w:shd w:val="clear" w:color="auto" w:fill="auto"/>
            <w:vAlign w:val="center"/>
            <w:hideMark/>
          </w:tcPr>
          <w:p w14:paraId="6B1F8C13" w14:textId="661D04D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-118 390 536</w:t>
            </w:r>
          </w:p>
        </w:tc>
        <w:tc>
          <w:tcPr>
            <w:tcW w:w="1423" w:type="dxa"/>
            <w:tcBorders>
              <w:top w:val="single" w:sz="4" w:space="0" w:color="17365D"/>
              <w:bottom w:val="single" w:sz="4" w:space="0" w:color="17365D"/>
            </w:tcBorders>
            <w:shd w:val="clear" w:color="auto" w:fill="auto"/>
            <w:vAlign w:val="center"/>
            <w:hideMark/>
          </w:tcPr>
          <w:p w14:paraId="344D9E41" w14:textId="44199550"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20BCE614" w14:textId="29695D96"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09D3452A" w14:textId="62773DD4"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09112312"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03F877B1" w14:textId="77777777" w:rsidTr="00CA5792">
        <w:trPr>
          <w:gridAfter w:val="1"/>
          <w:wAfter w:w="1281" w:type="dxa"/>
          <w:trHeight w:val="317"/>
        </w:trPr>
        <w:tc>
          <w:tcPr>
            <w:tcW w:w="4258" w:type="dxa"/>
            <w:tcBorders>
              <w:top w:val="single" w:sz="4" w:space="0" w:color="17365D"/>
              <w:bottom w:val="single" w:sz="4" w:space="0" w:color="17365D"/>
            </w:tcBorders>
            <w:shd w:val="clear" w:color="auto" w:fill="auto"/>
            <w:vAlign w:val="center"/>
            <w:hideMark/>
          </w:tcPr>
          <w:p w14:paraId="19126B47"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Īstermiņa saistības pret piegādātājiem un darbuzņēmējiem</w:t>
            </w:r>
          </w:p>
        </w:tc>
        <w:tc>
          <w:tcPr>
            <w:tcW w:w="1273" w:type="dxa"/>
            <w:tcBorders>
              <w:top w:val="single" w:sz="4" w:space="0" w:color="17365D"/>
              <w:bottom w:val="single" w:sz="4" w:space="0" w:color="17365D"/>
            </w:tcBorders>
            <w:shd w:val="clear" w:color="auto" w:fill="auto"/>
            <w:vAlign w:val="center"/>
            <w:hideMark/>
          </w:tcPr>
          <w:p w14:paraId="72AA3EA8"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0832B842" w14:textId="79027A3D"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1CD36DF5" w14:textId="17622C7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-1 092 336</w:t>
            </w:r>
          </w:p>
        </w:tc>
        <w:tc>
          <w:tcPr>
            <w:tcW w:w="1416" w:type="dxa"/>
            <w:tcBorders>
              <w:top w:val="single" w:sz="4" w:space="0" w:color="17365D"/>
              <w:bottom w:val="single" w:sz="4" w:space="0" w:color="17365D"/>
            </w:tcBorders>
            <w:shd w:val="clear" w:color="auto" w:fill="auto"/>
            <w:vAlign w:val="center"/>
            <w:hideMark/>
          </w:tcPr>
          <w:p w14:paraId="762E0965" w14:textId="2D4128E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-271 225</w:t>
            </w:r>
          </w:p>
        </w:tc>
        <w:tc>
          <w:tcPr>
            <w:tcW w:w="1423" w:type="dxa"/>
            <w:tcBorders>
              <w:top w:val="single" w:sz="4" w:space="0" w:color="17365D"/>
              <w:bottom w:val="single" w:sz="4" w:space="0" w:color="17365D"/>
            </w:tcBorders>
            <w:shd w:val="clear" w:color="auto" w:fill="auto"/>
            <w:vAlign w:val="center"/>
            <w:hideMark/>
          </w:tcPr>
          <w:p w14:paraId="5F2B6D23" w14:textId="001EDA09"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2006C4E3" w14:textId="08540CCA"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3EBC04E4" w14:textId="67CEF26F"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118 112</w:t>
            </w:r>
          </w:p>
        </w:tc>
        <w:tc>
          <w:tcPr>
            <w:tcW w:w="1176" w:type="dxa"/>
            <w:gridSpan w:val="2"/>
            <w:tcBorders>
              <w:top w:val="single" w:sz="4" w:space="0" w:color="17365D"/>
              <w:bottom w:val="single" w:sz="4" w:space="0" w:color="17365D"/>
            </w:tcBorders>
            <w:shd w:val="clear" w:color="auto" w:fill="auto"/>
            <w:vAlign w:val="center"/>
            <w:hideMark/>
          </w:tcPr>
          <w:p w14:paraId="4E148328"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57EBBD7B" w14:textId="77777777" w:rsidTr="00CA5792">
        <w:trPr>
          <w:gridAfter w:val="1"/>
          <w:wAfter w:w="1281" w:type="dxa"/>
          <w:trHeight w:val="181"/>
        </w:trPr>
        <w:tc>
          <w:tcPr>
            <w:tcW w:w="4258" w:type="dxa"/>
            <w:tcBorders>
              <w:top w:val="single" w:sz="4" w:space="0" w:color="17365D"/>
              <w:bottom w:val="single" w:sz="4" w:space="0" w:color="17365D"/>
            </w:tcBorders>
            <w:shd w:val="clear" w:color="auto" w:fill="auto"/>
            <w:vAlign w:val="center"/>
            <w:hideMark/>
          </w:tcPr>
          <w:p w14:paraId="6E1472D3"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Īstermiņa uzkrātās saistības</w:t>
            </w:r>
          </w:p>
        </w:tc>
        <w:tc>
          <w:tcPr>
            <w:tcW w:w="1273" w:type="dxa"/>
            <w:tcBorders>
              <w:top w:val="single" w:sz="4" w:space="0" w:color="17365D"/>
              <w:bottom w:val="single" w:sz="4" w:space="0" w:color="17365D"/>
            </w:tcBorders>
            <w:shd w:val="clear" w:color="auto" w:fill="auto"/>
            <w:vAlign w:val="center"/>
            <w:hideMark/>
          </w:tcPr>
          <w:p w14:paraId="21860B54" w14:textId="4CA33F0A"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2E6D66F7" w14:textId="2FCF8E7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-19</w:t>
            </w:r>
          </w:p>
        </w:tc>
        <w:tc>
          <w:tcPr>
            <w:tcW w:w="1417" w:type="dxa"/>
            <w:tcBorders>
              <w:top w:val="single" w:sz="4" w:space="0" w:color="17365D"/>
              <w:bottom w:val="single" w:sz="4" w:space="0" w:color="17365D"/>
            </w:tcBorders>
            <w:shd w:val="clear" w:color="auto" w:fill="auto"/>
            <w:vAlign w:val="center"/>
            <w:hideMark/>
          </w:tcPr>
          <w:p w14:paraId="3613D637" w14:textId="4E45F70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-11 841 108</w:t>
            </w:r>
          </w:p>
        </w:tc>
        <w:tc>
          <w:tcPr>
            <w:tcW w:w="1416" w:type="dxa"/>
            <w:tcBorders>
              <w:top w:val="single" w:sz="4" w:space="0" w:color="17365D"/>
              <w:bottom w:val="single" w:sz="4" w:space="0" w:color="17365D"/>
            </w:tcBorders>
            <w:shd w:val="clear" w:color="auto" w:fill="auto"/>
            <w:vAlign w:val="center"/>
            <w:hideMark/>
          </w:tcPr>
          <w:p w14:paraId="320DD692" w14:textId="6719E14D"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-6 409 841</w:t>
            </w:r>
          </w:p>
        </w:tc>
        <w:tc>
          <w:tcPr>
            <w:tcW w:w="1423" w:type="dxa"/>
            <w:tcBorders>
              <w:top w:val="single" w:sz="4" w:space="0" w:color="17365D"/>
              <w:bottom w:val="single" w:sz="4" w:space="0" w:color="17365D"/>
            </w:tcBorders>
            <w:shd w:val="clear" w:color="auto" w:fill="auto"/>
            <w:vAlign w:val="center"/>
            <w:hideMark/>
          </w:tcPr>
          <w:p w14:paraId="57ED69AB" w14:textId="0480DFA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49FB9BAA" w14:textId="479E802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548F9ABA" w14:textId="1F187D09"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234 586</w:t>
            </w:r>
          </w:p>
        </w:tc>
        <w:tc>
          <w:tcPr>
            <w:tcW w:w="1176" w:type="dxa"/>
            <w:gridSpan w:val="2"/>
            <w:tcBorders>
              <w:top w:val="single" w:sz="4" w:space="0" w:color="17365D"/>
              <w:bottom w:val="single" w:sz="4" w:space="0" w:color="17365D"/>
            </w:tcBorders>
            <w:shd w:val="clear" w:color="auto" w:fill="auto"/>
            <w:vAlign w:val="center"/>
            <w:hideMark/>
          </w:tcPr>
          <w:p w14:paraId="242FC6D6"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132896A6" w14:textId="77777777" w:rsidTr="00CA5792">
        <w:trPr>
          <w:gridAfter w:val="1"/>
          <w:wAfter w:w="1281" w:type="dxa"/>
          <w:trHeight w:val="256"/>
        </w:trPr>
        <w:tc>
          <w:tcPr>
            <w:tcW w:w="4258" w:type="dxa"/>
            <w:tcBorders>
              <w:top w:val="single" w:sz="4" w:space="0" w:color="17365D"/>
              <w:bottom w:val="single" w:sz="4" w:space="0" w:color="17365D"/>
            </w:tcBorders>
            <w:shd w:val="clear" w:color="auto" w:fill="auto"/>
            <w:vAlign w:val="center"/>
            <w:hideMark/>
          </w:tcPr>
          <w:p w14:paraId="09D10B4D"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Valsts budžeta finanšu uzskaites īstermiņa saistības</w:t>
            </w:r>
          </w:p>
        </w:tc>
        <w:tc>
          <w:tcPr>
            <w:tcW w:w="1273" w:type="dxa"/>
            <w:tcBorders>
              <w:top w:val="single" w:sz="4" w:space="0" w:color="17365D"/>
              <w:bottom w:val="single" w:sz="4" w:space="0" w:color="17365D"/>
            </w:tcBorders>
            <w:shd w:val="clear" w:color="auto" w:fill="auto"/>
            <w:vAlign w:val="center"/>
            <w:hideMark/>
          </w:tcPr>
          <w:p w14:paraId="33AB46DD" w14:textId="2F4677B0"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4CCA6779" w14:textId="490195D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0BF068F9" w14:textId="791B0C8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20F7CE08" w14:textId="6A953481"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5DA7DDE0" w14:textId="6504723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0BF7B378" w14:textId="258311D2"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38ACB4F2" w14:textId="6F74A43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54A68426"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6409C18D" w14:textId="77777777" w:rsidTr="00CA5792">
        <w:trPr>
          <w:gridAfter w:val="1"/>
          <w:wAfter w:w="1281" w:type="dxa"/>
          <w:trHeight w:val="389"/>
        </w:trPr>
        <w:tc>
          <w:tcPr>
            <w:tcW w:w="4258" w:type="dxa"/>
            <w:tcBorders>
              <w:top w:val="single" w:sz="4" w:space="0" w:color="17365D"/>
              <w:bottom w:val="single" w:sz="4" w:space="0" w:color="17365D"/>
            </w:tcBorders>
            <w:shd w:val="clear" w:color="auto" w:fill="auto"/>
            <w:vAlign w:val="center"/>
            <w:hideMark/>
          </w:tcPr>
          <w:p w14:paraId="172826EA"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Norēķini par darba samaksu un ieturējumiem (izņemot nodokļus)</w:t>
            </w:r>
          </w:p>
        </w:tc>
        <w:tc>
          <w:tcPr>
            <w:tcW w:w="1273" w:type="dxa"/>
            <w:tcBorders>
              <w:top w:val="single" w:sz="4" w:space="0" w:color="17365D"/>
              <w:bottom w:val="single" w:sz="4" w:space="0" w:color="17365D"/>
            </w:tcBorders>
            <w:shd w:val="clear" w:color="auto" w:fill="auto"/>
            <w:vAlign w:val="center"/>
            <w:hideMark/>
          </w:tcPr>
          <w:p w14:paraId="7A6992DB"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3F33D013" w14:textId="155A5EC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41C22DC3" w14:textId="11E0E4FC"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w:t>
            </w:r>
          </w:p>
        </w:tc>
        <w:tc>
          <w:tcPr>
            <w:tcW w:w="1416" w:type="dxa"/>
            <w:tcBorders>
              <w:top w:val="single" w:sz="4" w:space="0" w:color="17365D"/>
              <w:bottom w:val="single" w:sz="4" w:space="0" w:color="17365D"/>
            </w:tcBorders>
            <w:shd w:val="clear" w:color="auto" w:fill="auto"/>
            <w:vAlign w:val="center"/>
            <w:hideMark/>
          </w:tcPr>
          <w:p w14:paraId="516268E8" w14:textId="27AC1A16"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475F68AB" w14:textId="6EFD6D84"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323F408A" w14:textId="6416992D"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3F9BAE7F" w14:textId="45C2F89E"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76" w:type="dxa"/>
            <w:gridSpan w:val="2"/>
            <w:tcBorders>
              <w:top w:val="single" w:sz="4" w:space="0" w:color="17365D"/>
              <w:bottom w:val="single" w:sz="4" w:space="0" w:color="17365D"/>
            </w:tcBorders>
            <w:shd w:val="clear" w:color="auto" w:fill="auto"/>
            <w:vAlign w:val="center"/>
            <w:hideMark/>
          </w:tcPr>
          <w:p w14:paraId="52821919"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2B5FBC3E" w14:textId="77777777" w:rsidTr="00CA5792">
        <w:trPr>
          <w:gridAfter w:val="1"/>
          <w:wAfter w:w="1281" w:type="dxa"/>
          <w:trHeight w:val="254"/>
        </w:trPr>
        <w:tc>
          <w:tcPr>
            <w:tcW w:w="4258" w:type="dxa"/>
            <w:tcBorders>
              <w:top w:val="single" w:sz="4" w:space="0" w:color="17365D"/>
              <w:bottom w:val="single" w:sz="4" w:space="0" w:color="17365D"/>
            </w:tcBorders>
            <w:shd w:val="clear" w:color="auto" w:fill="auto"/>
            <w:vAlign w:val="center"/>
            <w:hideMark/>
          </w:tcPr>
          <w:p w14:paraId="65532685"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Saistības par nodokļiem, nodevām un citiem maksājumiem</w:t>
            </w:r>
          </w:p>
        </w:tc>
        <w:tc>
          <w:tcPr>
            <w:tcW w:w="1273" w:type="dxa"/>
            <w:tcBorders>
              <w:top w:val="single" w:sz="4" w:space="0" w:color="17365D"/>
              <w:bottom w:val="single" w:sz="4" w:space="0" w:color="17365D"/>
            </w:tcBorders>
            <w:shd w:val="clear" w:color="auto" w:fill="auto"/>
            <w:vAlign w:val="center"/>
            <w:hideMark/>
          </w:tcPr>
          <w:p w14:paraId="41F9B686"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23DC1656" w14:textId="23131304"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4D51AB0C" w14:textId="353118E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6" w:type="dxa"/>
            <w:tcBorders>
              <w:top w:val="single" w:sz="4" w:space="0" w:color="17365D"/>
              <w:bottom w:val="single" w:sz="4" w:space="0" w:color="17365D"/>
            </w:tcBorders>
            <w:shd w:val="clear" w:color="auto" w:fill="auto"/>
            <w:vAlign w:val="center"/>
            <w:hideMark/>
          </w:tcPr>
          <w:p w14:paraId="511BC1FA" w14:textId="0577EF45"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23" w:type="dxa"/>
            <w:tcBorders>
              <w:top w:val="single" w:sz="4" w:space="0" w:color="17365D"/>
              <w:bottom w:val="single" w:sz="4" w:space="0" w:color="17365D"/>
            </w:tcBorders>
            <w:shd w:val="clear" w:color="auto" w:fill="auto"/>
            <w:vAlign w:val="center"/>
            <w:hideMark/>
          </w:tcPr>
          <w:p w14:paraId="30ED6CC3" w14:textId="07CA75F4"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30 723 344</w:t>
            </w:r>
          </w:p>
        </w:tc>
        <w:tc>
          <w:tcPr>
            <w:tcW w:w="1418" w:type="dxa"/>
            <w:tcBorders>
              <w:top w:val="single" w:sz="4" w:space="0" w:color="17365D"/>
              <w:bottom w:val="single" w:sz="4" w:space="0" w:color="17365D"/>
            </w:tcBorders>
            <w:shd w:val="clear" w:color="auto" w:fill="auto"/>
            <w:vAlign w:val="center"/>
            <w:hideMark/>
          </w:tcPr>
          <w:p w14:paraId="1F723F9F" w14:textId="2DA23ED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7CFF74E0" w14:textId="1EB6F951"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20 853</w:t>
            </w:r>
          </w:p>
        </w:tc>
        <w:tc>
          <w:tcPr>
            <w:tcW w:w="1176" w:type="dxa"/>
            <w:gridSpan w:val="2"/>
            <w:tcBorders>
              <w:top w:val="single" w:sz="4" w:space="0" w:color="17365D"/>
              <w:bottom w:val="single" w:sz="4" w:space="0" w:color="17365D"/>
            </w:tcBorders>
            <w:shd w:val="clear" w:color="auto" w:fill="auto"/>
            <w:vAlign w:val="center"/>
            <w:hideMark/>
          </w:tcPr>
          <w:p w14:paraId="6F33A577"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15B0B694" w14:textId="77777777" w:rsidTr="00CA5792">
        <w:trPr>
          <w:gridAfter w:val="1"/>
          <w:wAfter w:w="1281" w:type="dxa"/>
          <w:trHeight w:val="224"/>
        </w:trPr>
        <w:tc>
          <w:tcPr>
            <w:tcW w:w="4258" w:type="dxa"/>
            <w:tcBorders>
              <w:top w:val="single" w:sz="4" w:space="0" w:color="17365D"/>
              <w:bottom w:val="single" w:sz="4" w:space="0" w:color="17365D"/>
            </w:tcBorders>
            <w:shd w:val="clear" w:color="auto" w:fill="auto"/>
            <w:vAlign w:val="center"/>
            <w:hideMark/>
          </w:tcPr>
          <w:p w14:paraId="12C573AA"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Pārējās īstermiņa saistības</w:t>
            </w:r>
          </w:p>
        </w:tc>
        <w:tc>
          <w:tcPr>
            <w:tcW w:w="1273" w:type="dxa"/>
            <w:tcBorders>
              <w:top w:val="single" w:sz="4" w:space="0" w:color="17365D"/>
              <w:bottom w:val="single" w:sz="4" w:space="0" w:color="17365D"/>
            </w:tcBorders>
            <w:shd w:val="clear" w:color="auto" w:fill="auto"/>
            <w:vAlign w:val="center"/>
            <w:hideMark/>
          </w:tcPr>
          <w:p w14:paraId="3BF2EBC4" w14:textId="448E2BBC"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714BA214" w14:textId="20E74705"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7" w:type="dxa"/>
            <w:tcBorders>
              <w:top w:val="single" w:sz="4" w:space="0" w:color="17365D"/>
              <w:bottom w:val="single" w:sz="4" w:space="0" w:color="17365D"/>
            </w:tcBorders>
            <w:shd w:val="clear" w:color="auto" w:fill="auto"/>
            <w:vAlign w:val="center"/>
            <w:hideMark/>
          </w:tcPr>
          <w:p w14:paraId="7D95DE56" w14:textId="7CBB0D2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-374 510 672</w:t>
            </w:r>
          </w:p>
        </w:tc>
        <w:tc>
          <w:tcPr>
            <w:tcW w:w="1416" w:type="dxa"/>
            <w:tcBorders>
              <w:top w:val="single" w:sz="4" w:space="0" w:color="17365D"/>
              <w:bottom w:val="single" w:sz="4" w:space="0" w:color="17365D"/>
            </w:tcBorders>
            <w:shd w:val="clear" w:color="auto" w:fill="auto"/>
            <w:vAlign w:val="center"/>
            <w:hideMark/>
          </w:tcPr>
          <w:p w14:paraId="797F79DB" w14:textId="7A98D74D"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-358 336 550</w:t>
            </w:r>
          </w:p>
        </w:tc>
        <w:tc>
          <w:tcPr>
            <w:tcW w:w="1423" w:type="dxa"/>
            <w:tcBorders>
              <w:top w:val="single" w:sz="4" w:space="0" w:color="17365D"/>
              <w:bottom w:val="single" w:sz="4" w:space="0" w:color="17365D"/>
            </w:tcBorders>
            <w:shd w:val="clear" w:color="auto" w:fill="auto"/>
            <w:vAlign w:val="center"/>
            <w:hideMark/>
          </w:tcPr>
          <w:p w14:paraId="2A72C710" w14:textId="1AF8CCB8"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104B7813" w14:textId="03C7CD51"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3A4A1A6A" w14:textId="1176F3F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332 225</w:t>
            </w:r>
          </w:p>
        </w:tc>
        <w:tc>
          <w:tcPr>
            <w:tcW w:w="1176" w:type="dxa"/>
            <w:gridSpan w:val="2"/>
            <w:tcBorders>
              <w:top w:val="single" w:sz="4" w:space="0" w:color="17365D"/>
              <w:bottom w:val="single" w:sz="4" w:space="0" w:color="17365D"/>
            </w:tcBorders>
            <w:shd w:val="clear" w:color="auto" w:fill="auto"/>
            <w:vAlign w:val="center"/>
            <w:hideMark/>
          </w:tcPr>
          <w:p w14:paraId="47E4201C"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4E8856F5" w14:textId="77777777" w:rsidTr="00CA5792">
        <w:trPr>
          <w:gridAfter w:val="1"/>
          <w:wAfter w:w="1281" w:type="dxa"/>
          <w:trHeight w:val="265"/>
        </w:trPr>
        <w:tc>
          <w:tcPr>
            <w:tcW w:w="4258" w:type="dxa"/>
            <w:tcBorders>
              <w:top w:val="single" w:sz="4" w:space="0" w:color="17365D"/>
              <w:bottom w:val="single" w:sz="4" w:space="0" w:color="17365D"/>
            </w:tcBorders>
            <w:shd w:val="clear" w:color="auto" w:fill="auto"/>
            <w:vAlign w:val="center"/>
            <w:hideMark/>
          </w:tcPr>
          <w:p w14:paraId="37590E87"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Nākamo periodu ieņēmumi, saņemtie avansa maksājumi un </w:t>
            </w:r>
            <w:proofErr w:type="spellStart"/>
            <w:r w:rsidRPr="00A27896">
              <w:rPr>
                <w:rFonts w:eastAsia="Times New Roman" w:cs="Times New Roman"/>
                <w:color w:val="17365D"/>
                <w:sz w:val="18"/>
                <w:szCs w:val="18"/>
                <w:lang w:eastAsia="lv-LV"/>
              </w:rPr>
              <w:t>transferti</w:t>
            </w:r>
            <w:proofErr w:type="spellEnd"/>
          </w:p>
        </w:tc>
        <w:tc>
          <w:tcPr>
            <w:tcW w:w="1273" w:type="dxa"/>
            <w:tcBorders>
              <w:top w:val="single" w:sz="4" w:space="0" w:color="17365D"/>
              <w:bottom w:val="single" w:sz="4" w:space="0" w:color="17365D"/>
            </w:tcBorders>
            <w:shd w:val="clear" w:color="auto" w:fill="auto"/>
            <w:vAlign w:val="center"/>
            <w:hideMark/>
          </w:tcPr>
          <w:p w14:paraId="6E8F24CF" w14:textId="57B86FB3"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274" w:type="dxa"/>
            <w:tcBorders>
              <w:top w:val="single" w:sz="4" w:space="0" w:color="17365D"/>
              <w:bottom w:val="single" w:sz="4" w:space="0" w:color="17365D"/>
            </w:tcBorders>
            <w:shd w:val="clear" w:color="auto" w:fill="auto"/>
            <w:vAlign w:val="center"/>
            <w:hideMark/>
          </w:tcPr>
          <w:p w14:paraId="04841C41" w14:textId="483BAA06"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-431 889</w:t>
            </w:r>
          </w:p>
        </w:tc>
        <w:tc>
          <w:tcPr>
            <w:tcW w:w="1417" w:type="dxa"/>
            <w:tcBorders>
              <w:top w:val="single" w:sz="4" w:space="0" w:color="17365D"/>
              <w:bottom w:val="single" w:sz="4" w:space="0" w:color="17365D"/>
            </w:tcBorders>
            <w:shd w:val="clear" w:color="auto" w:fill="auto"/>
            <w:vAlign w:val="center"/>
            <w:hideMark/>
          </w:tcPr>
          <w:p w14:paraId="5B3C9140" w14:textId="14651A4A"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-174 405 531</w:t>
            </w:r>
          </w:p>
        </w:tc>
        <w:tc>
          <w:tcPr>
            <w:tcW w:w="1416" w:type="dxa"/>
            <w:tcBorders>
              <w:top w:val="single" w:sz="4" w:space="0" w:color="17365D"/>
              <w:bottom w:val="single" w:sz="4" w:space="0" w:color="17365D"/>
            </w:tcBorders>
            <w:shd w:val="clear" w:color="auto" w:fill="auto"/>
            <w:vAlign w:val="center"/>
            <w:hideMark/>
          </w:tcPr>
          <w:p w14:paraId="3D9D2176" w14:textId="0C5658AB"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-181 009 538</w:t>
            </w:r>
          </w:p>
        </w:tc>
        <w:tc>
          <w:tcPr>
            <w:tcW w:w="1423" w:type="dxa"/>
            <w:tcBorders>
              <w:top w:val="single" w:sz="4" w:space="0" w:color="17365D"/>
              <w:bottom w:val="single" w:sz="4" w:space="0" w:color="17365D"/>
            </w:tcBorders>
            <w:shd w:val="clear" w:color="auto" w:fill="auto"/>
            <w:vAlign w:val="center"/>
            <w:hideMark/>
          </w:tcPr>
          <w:p w14:paraId="50198435" w14:textId="4194C231"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418" w:type="dxa"/>
            <w:tcBorders>
              <w:top w:val="single" w:sz="4" w:space="0" w:color="17365D"/>
              <w:bottom w:val="single" w:sz="4" w:space="0" w:color="17365D"/>
            </w:tcBorders>
            <w:shd w:val="clear" w:color="auto" w:fill="auto"/>
            <w:vAlign w:val="center"/>
            <w:hideMark/>
          </w:tcPr>
          <w:p w14:paraId="7DF1C502" w14:textId="7DED3996"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80" w:type="dxa"/>
            <w:tcBorders>
              <w:top w:val="single" w:sz="4" w:space="0" w:color="17365D"/>
              <w:bottom w:val="single" w:sz="4" w:space="0" w:color="17365D"/>
            </w:tcBorders>
            <w:shd w:val="clear" w:color="auto" w:fill="auto"/>
            <w:vAlign w:val="center"/>
            <w:hideMark/>
          </w:tcPr>
          <w:p w14:paraId="3F1FE32D" w14:textId="42D71B6D"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2 756 568</w:t>
            </w:r>
          </w:p>
        </w:tc>
        <w:tc>
          <w:tcPr>
            <w:tcW w:w="1176" w:type="dxa"/>
            <w:gridSpan w:val="2"/>
            <w:tcBorders>
              <w:top w:val="single" w:sz="4" w:space="0" w:color="17365D"/>
              <w:bottom w:val="single" w:sz="4" w:space="0" w:color="17365D"/>
            </w:tcBorders>
            <w:shd w:val="clear" w:color="auto" w:fill="auto"/>
            <w:vAlign w:val="center"/>
            <w:hideMark/>
          </w:tcPr>
          <w:p w14:paraId="455AFC28" w14:textId="77777777" w:rsidR="00F8164B" w:rsidRPr="00A27896" w:rsidRDefault="00F8164B" w:rsidP="00F8164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8164B" w:rsidRPr="00A27896" w14:paraId="173A7100" w14:textId="77777777" w:rsidTr="00CA5792">
        <w:trPr>
          <w:gridAfter w:val="1"/>
          <w:wAfter w:w="1281" w:type="dxa"/>
          <w:trHeight w:val="312"/>
        </w:trPr>
        <w:tc>
          <w:tcPr>
            <w:tcW w:w="4258" w:type="dxa"/>
            <w:tcBorders>
              <w:top w:val="single" w:sz="4" w:space="0" w:color="17365D"/>
              <w:bottom w:val="single" w:sz="4" w:space="0" w:color="17365D"/>
            </w:tcBorders>
            <w:shd w:val="clear" w:color="auto" w:fill="auto"/>
            <w:vAlign w:val="center"/>
            <w:hideMark/>
          </w:tcPr>
          <w:p w14:paraId="5F7CD955" w14:textId="77777777" w:rsidR="00F8164B" w:rsidRPr="00A27896" w:rsidRDefault="00F8164B" w:rsidP="00F8164B">
            <w:pPr>
              <w:spacing w:after="0" w:line="240" w:lineRule="auto"/>
              <w:jc w:val="both"/>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BILANCE (3000+4000+5000)</w:t>
            </w:r>
          </w:p>
        </w:tc>
        <w:tc>
          <w:tcPr>
            <w:tcW w:w="1273" w:type="dxa"/>
            <w:tcBorders>
              <w:top w:val="single" w:sz="4" w:space="0" w:color="17365D"/>
              <w:bottom w:val="single" w:sz="4" w:space="0" w:color="17365D"/>
            </w:tcBorders>
            <w:shd w:val="clear" w:color="auto" w:fill="auto"/>
            <w:vAlign w:val="center"/>
            <w:hideMark/>
          </w:tcPr>
          <w:p w14:paraId="53AA7409" w14:textId="7228FBF7" w:rsidR="00F8164B" w:rsidRPr="00A27896" w:rsidRDefault="00F8164B" w:rsidP="00F8164B">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-5 966 392</w:t>
            </w:r>
          </w:p>
        </w:tc>
        <w:tc>
          <w:tcPr>
            <w:tcW w:w="1274" w:type="dxa"/>
            <w:tcBorders>
              <w:top w:val="single" w:sz="4" w:space="0" w:color="17365D"/>
              <w:bottom w:val="single" w:sz="4" w:space="0" w:color="17365D"/>
            </w:tcBorders>
            <w:shd w:val="clear" w:color="auto" w:fill="auto"/>
            <w:vAlign w:val="center"/>
            <w:hideMark/>
          </w:tcPr>
          <w:p w14:paraId="4D325529" w14:textId="0DBA95A5" w:rsidR="00F8164B" w:rsidRPr="00A27896" w:rsidRDefault="00F8164B" w:rsidP="00F8164B">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10 278 679</w:t>
            </w:r>
          </w:p>
        </w:tc>
        <w:tc>
          <w:tcPr>
            <w:tcW w:w="1417" w:type="dxa"/>
            <w:tcBorders>
              <w:top w:val="single" w:sz="4" w:space="0" w:color="17365D"/>
              <w:bottom w:val="single" w:sz="4" w:space="0" w:color="17365D"/>
            </w:tcBorders>
            <w:shd w:val="clear" w:color="auto" w:fill="auto"/>
            <w:vAlign w:val="center"/>
            <w:hideMark/>
          </w:tcPr>
          <w:p w14:paraId="1EF9E235" w14:textId="3AB675C6" w:rsidR="00F8164B" w:rsidRPr="00A27896" w:rsidRDefault="00F8164B" w:rsidP="00F8164B">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-2 290 933 355</w:t>
            </w:r>
          </w:p>
        </w:tc>
        <w:tc>
          <w:tcPr>
            <w:tcW w:w="1416" w:type="dxa"/>
            <w:tcBorders>
              <w:top w:val="single" w:sz="4" w:space="0" w:color="17365D"/>
              <w:bottom w:val="single" w:sz="4" w:space="0" w:color="17365D"/>
            </w:tcBorders>
            <w:shd w:val="clear" w:color="auto" w:fill="auto"/>
            <w:vAlign w:val="center"/>
            <w:hideMark/>
          </w:tcPr>
          <w:p w14:paraId="7367DCB3" w14:textId="609075A9" w:rsidR="00F8164B" w:rsidRPr="00A27896" w:rsidRDefault="00F8164B" w:rsidP="00F8164B">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-2 178 928 701</w:t>
            </w:r>
          </w:p>
        </w:tc>
        <w:tc>
          <w:tcPr>
            <w:tcW w:w="1423" w:type="dxa"/>
            <w:tcBorders>
              <w:top w:val="nil"/>
              <w:left w:val="nil"/>
              <w:bottom w:val="nil"/>
              <w:right w:val="nil"/>
            </w:tcBorders>
            <w:shd w:val="clear" w:color="auto" w:fill="auto"/>
            <w:vAlign w:val="center"/>
          </w:tcPr>
          <w:p w14:paraId="728AA9DF" w14:textId="2304C86A" w:rsidR="00F8164B" w:rsidRPr="00F8164B" w:rsidRDefault="00F8164B" w:rsidP="00F8164B">
            <w:pPr>
              <w:spacing w:after="0" w:line="240" w:lineRule="auto"/>
              <w:jc w:val="right"/>
              <w:rPr>
                <w:rFonts w:eastAsia="Times New Roman" w:cs="Times New Roman"/>
                <w:b/>
                <w:color w:val="17365D"/>
                <w:sz w:val="18"/>
                <w:szCs w:val="18"/>
                <w:lang w:eastAsia="lv-LV"/>
              </w:rPr>
            </w:pPr>
            <w:r w:rsidRPr="00F8164B">
              <w:rPr>
                <w:rFonts w:eastAsia="Times New Roman" w:cs="Times New Roman"/>
                <w:b/>
                <w:color w:val="17365D"/>
                <w:sz w:val="18"/>
                <w:szCs w:val="18"/>
                <w:lang w:eastAsia="lv-LV"/>
              </w:rPr>
              <w:t>40 730 674</w:t>
            </w:r>
          </w:p>
        </w:tc>
        <w:tc>
          <w:tcPr>
            <w:tcW w:w="1418" w:type="dxa"/>
            <w:tcBorders>
              <w:top w:val="nil"/>
              <w:left w:val="nil"/>
              <w:bottom w:val="nil"/>
              <w:right w:val="nil"/>
            </w:tcBorders>
            <w:shd w:val="clear" w:color="auto" w:fill="auto"/>
            <w:vAlign w:val="center"/>
            <w:hideMark/>
          </w:tcPr>
          <w:p w14:paraId="4CA3D11D" w14:textId="74FB7199" w:rsidR="00F8164B" w:rsidRPr="00F8164B" w:rsidRDefault="00F8164B" w:rsidP="00F8164B">
            <w:pPr>
              <w:spacing w:after="0" w:line="240" w:lineRule="auto"/>
              <w:jc w:val="right"/>
              <w:rPr>
                <w:rFonts w:eastAsia="Times New Roman" w:cs="Times New Roman"/>
                <w:b/>
                <w:color w:val="17365D"/>
                <w:sz w:val="18"/>
                <w:szCs w:val="18"/>
                <w:lang w:eastAsia="lv-LV"/>
              </w:rPr>
            </w:pPr>
            <w:r w:rsidRPr="00F8164B">
              <w:rPr>
                <w:rFonts w:eastAsia="Times New Roman" w:cs="Times New Roman"/>
                <w:b/>
                <w:color w:val="17365D"/>
                <w:sz w:val="18"/>
                <w:szCs w:val="18"/>
                <w:lang w:eastAsia="lv-LV"/>
              </w:rPr>
              <w:t>41 200 681</w:t>
            </w:r>
          </w:p>
        </w:tc>
        <w:tc>
          <w:tcPr>
            <w:tcW w:w="1380" w:type="dxa"/>
            <w:tcBorders>
              <w:top w:val="single" w:sz="4" w:space="0" w:color="17365D"/>
              <w:bottom w:val="single" w:sz="4" w:space="0" w:color="17365D"/>
            </w:tcBorders>
            <w:shd w:val="clear" w:color="auto" w:fill="auto"/>
            <w:vAlign w:val="center"/>
            <w:hideMark/>
          </w:tcPr>
          <w:p w14:paraId="439A1E2D" w14:textId="72E5BD54" w:rsidR="00F8164B" w:rsidRPr="00A27896" w:rsidRDefault="00F8164B" w:rsidP="00F8164B">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11 976 489</w:t>
            </w:r>
          </w:p>
        </w:tc>
        <w:tc>
          <w:tcPr>
            <w:tcW w:w="1176" w:type="dxa"/>
            <w:gridSpan w:val="2"/>
            <w:tcBorders>
              <w:top w:val="single" w:sz="4" w:space="0" w:color="17365D"/>
              <w:bottom w:val="single" w:sz="4" w:space="0" w:color="17365D"/>
            </w:tcBorders>
            <w:shd w:val="clear" w:color="auto" w:fill="auto"/>
            <w:vAlign w:val="center"/>
            <w:hideMark/>
          </w:tcPr>
          <w:p w14:paraId="0A84799F" w14:textId="15630A70" w:rsidR="00F8164B" w:rsidRPr="00A27896" w:rsidRDefault="00F8164B" w:rsidP="00F8164B">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10 881 389</w:t>
            </w:r>
          </w:p>
        </w:tc>
      </w:tr>
      <w:tr w:rsidR="00F8164B" w:rsidRPr="00A27896" w14:paraId="56C35C96" w14:textId="77777777" w:rsidTr="00CA5792">
        <w:trPr>
          <w:gridAfter w:val="1"/>
          <w:wAfter w:w="1281" w:type="dxa"/>
          <w:trHeight w:val="193"/>
        </w:trPr>
        <w:tc>
          <w:tcPr>
            <w:tcW w:w="4258" w:type="dxa"/>
            <w:tcBorders>
              <w:top w:val="single" w:sz="4" w:space="0" w:color="000000"/>
            </w:tcBorders>
            <w:shd w:val="clear" w:color="auto" w:fill="B8CCE4" w:themeFill="accent1" w:themeFillTint="66"/>
            <w:vAlign w:val="center"/>
          </w:tcPr>
          <w:p w14:paraId="72865493" w14:textId="77777777" w:rsidR="00F8164B" w:rsidRPr="00A27896" w:rsidRDefault="00F8164B" w:rsidP="00F8164B">
            <w:pPr>
              <w:spacing w:after="0" w:line="240" w:lineRule="auto"/>
              <w:ind w:firstLineChars="100" w:firstLine="180"/>
              <w:rPr>
                <w:rFonts w:eastAsia="Times New Roman" w:cs="Times New Roman"/>
                <w:color w:val="17365D"/>
                <w:sz w:val="18"/>
                <w:szCs w:val="18"/>
                <w:lang w:eastAsia="lv-LV"/>
              </w:rPr>
            </w:pPr>
          </w:p>
        </w:tc>
        <w:tc>
          <w:tcPr>
            <w:tcW w:w="1273" w:type="dxa"/>
            <w:tcBorders>
              <w:top w:val="single" w:sz="4" w:space="0" w:color="000000"/>
            </w:tcBorders>
            <w:shd w:val="clear" w:color="auto" w:fill="B8CCE4" w:themeFill="accent1" w:themeFillTint="66"/>
            <w:vAlign w:val="center"/>
          </w:tcPr>
          <w:p w14:paraId="26677641" w14:textId="77777777" w:rsidR="00F8164B" w:rsidRPr="00A27896" w:rsidRDefault="00F8164B" w:rsidP="00F8164B">
            <w:pPr>
              <w:spacing w:after="0" w:line="240" w:lineRule="auto"/>
              <w:jc w:val="right"/>
              <w:rPr>
                <w:rFonts w:eastAsia="Times New Roman" w:cs="Times New Roman"/>
                <w:color w:val="17365D"/>
                <w:sz w:val="18"/>
                <w:szCs w:val="18"/>
                <w:lang w:eastAsia="lv-LV"/>
              </w:rPr>
            </w:pPr>
          </w:p>
        </w:tc>
        <w:tc>
          <w:tcPr>
            <w:tcW w:w="1274" w:type="dxa"/>
            <w:tcBorders>
              <w:top w:val="single" w:sz="4" w:space="0" w:color="000000"/>
            </w:tcBorders>
            <w:shd w:val="clear" w:color="auto" w:fill="B8CCE4" w:themeFill="accent1" w:themeFillTint="66"/>
            <w:vAlign w:val="center"/>
          </w:tcPr>
          <w:p w14:paraId="6A304FFC" w14:textId="77777777" w:rsidR="00F8164B" w:rsidRPr="00A27896" w:rsidRDefault="00F8164B" w:rsidP="00F8164B">
            <w:pPr>
              <w:spacing w:after="0" w:line="240" w:lineRule="auto"/>
              <w:jc w:val="right"/>
              <w:rPr>
                <w:rFonts w:eastAsia="Times New Roman" w:cs="Times New Roman"/>
                <w:color w:val="17365D"/>
                <w:sz w:val="18"/>
                <w:szCs w:val="18"/>
                <w:lang w:eastAsia="lv-LV"/>
              </w:rPr>
            </w:pPr>
          </w:p>
        </w:tc>
        <w:tc>
          <w:tcPr>
            <w:tcW w:w="1417" w:type="dxa"/>
            <w:tcBorders>
              <w:top w:val="single" w:sz="4" w:space="0" w:color="000000"/>
            </w:tcBorders>
            <w:shd w:val="clear" w:color="auto" w:fill="B8CCE4" w:themeFill="accent1" w:themeFillTint="66"/>
            <w:vAlign w:val="center"/>
          </w:tcPr>
          <w:p w14:paraId="5A797579" w14:textId="77777777" w:rsidR="00F8164B" w:rsidRPr="00A27896" w:rsidRDefault="00F8164B" w:rsidP="00F8164B">
            <w:pPr>
              <w:spacing w:after="0" w:line="240" w:lineRule="auto"/>
              <w:jc w:val="right"/>
              <w:rPr>
                <w:rFonts w:eastAsia="Times New Roman" w:cs="Times New Roman"/>
                <w:color w:val="17365D"/>
                <w:sz w:val="18"/>
                <w:szCs w:val="18"/>
                <w:lang w:eastAsia="lv-LV"/>
              </w:rPr>
            </w:pPr>
          </w:p>
        </w:tc>
        <w:tc>
          <w:tcPr>
            <w:tcW w:w="1416" w:type="dxa"/>
            <w:tcBorders>
              <w:top w:val="single" w:sz="4" w:space="0" w:color="000000"/>
            </w:tcBorders>
            <w:shd w:val="clear" w:color="auto" w:fill="B8CCE4" w:themeFill="accent1" w:themeFillTint="66"/>
            <w:vAlign w:val="center"/>
          </w:tcPr>
          <w:p w14:paraId="009C97A0" w14:textId="77777777" w:rsidR="00F8164B" w:rsidRPr="00A27896" w:rsidRDefault="00F8164B" w:rsidP="00F8164B">
            <w:pPr>
              <w:spacing w:after="0" w:line="240" w:lineRule="auto"/>
              <w:jc w:val="right"/>
              <w:rPr>
                <w:rFonts w:eastAsia="Times New Roman" w:cs="Times New Roman"/>
                <w:color w:val="17365D"/>
                <w:sz w:val="18"/>
                <w:szCs w:val="18"/>
                <w:lang w:eastAsia="lv-LV"/>
              </w:rPr>
            </w:pPr>
          </w:p>
        </w:tc>
        <w:tc>
          <w:tcPr>
            <w:tcW w:w="1423" w:type="dxa"/>
            <w:tcBorders>
              <w:top w:val="single" w:sz="4" w:space="0" w:color="000000"/>
            </w:tcBorders>
            <w:shd w:val="clear" w:color="auto" w:fill="B8CCE4" w:themeFill="accent1" w:themeFillTint="66"/>
            <w:vAlign w:val="center"/>
          </w:tcPr>
          <w:p w14:paraId="1271817C" w14:textId="77777777" w:rsidR="00F8164B" w:rsidRPr="00A27896" w:rsidRDefault="00F8164B" w:rsidP="00F8164B">
            <w:pPr>
              <w:spacing w:after="0" w:line="240" w:lineRule="auto"/>
              <w:jc w:val="right"/>
              <w:rPr>
                <w:rFonts w:eastAsia="Times New Roman" w:cs="Times New Roman"/>
                <w:color w:val="17365D"/>
                <w:sz w:val="18"/>
                <w:szCs w:val="18"/>
                <w:lang w:eastAsia="lv-LV"/>
              </w:rPr>
            </w:pPr>
          </w:p>
        </w:tc>
        <w:tc>
          <w:tcPr>
            <w:tcW w:w="1418" w:type="dxa"/>
            <w:tcBorders>
              <w:top w:val="single" w:sz="4" w:space="0" w:color="000000"/>
            </w:tcBorders>
            <w:shd w:val="clear" w:color="auto" w:fill="B8CCE4" w:themeFill="accent1" w:themeFillTint="66"/>
            <w:vAlign w:val="center"/>
          </w:tcPr>
          <w:p w14:paraId="278139E8" w14:textId="77777777" w:rsidR="00F8164B" w:rsidRPr="00A27896" w:rsidRDefault="00F8164B" w:rsidP="00F8164B">
            <w:pPr>
              <w:spacing w:after="0" w:line="240" w:lineRule="auto"/>
              <w:jc w:val="right"/>
              <w:rPr>
                <w:rFonts w:eastAsia="Times New Roman" w:cs="Times New Roman"/>
                <w:color w:val="17365D"/>
                <w:sz w:val="18"/>
                <w:szCs w:val="18"/>
                <w:lang w:eastAsia="lv-LV"/>
              </w:rPr>
            </w:pPr>
          </w:p>
        </w:tc>
        <w:tc>
          <w:tcPr>
            <w:tcW w:w="1417" w:type="dxa"/>
            <w:gridSpan w:val="2"/>
            <w:tcBorders>
              <w:top w:val="single" w:sz="4" w:space="0" w:color="000000"/>
            </w:tcBorders>
            <w:shd w:val="clear" w:color="auto" w:fill="B8CCE4" w:themeFill="accent1" w:themeFillTint="66"/>
            <w:vAlign w:val="center"/>
          </w:tcPr>
          <w:p w14:paraId="23973FAE" w14:textId="77777777" w:rsidR="00F8164B" w:rsidRPr="00A27896" w:rsidRDefault="00F8164B" w:rsidP="00F8164B">
            <w:pPr>
              <w:spacing w:after="0" w:line="240" w:lineRule="auto"/>
              <w:jc w:val="right"/>
              <w:rPr>
                <w:rFonts w:eastAsia="Times New Roman" w:cs="Times New Roman"/>
                <w:color w:val="17365D"/>
                <w:sz w:val="18"/>
                <w:szCs w:val="18"/>
                <w:lang w:eastAsia="lv-LV"/>
              </w:rPr>
            </w:pPr>
          </w:p>
        </w:tc>
        <w:tc>
          <w:tcPr>
            <w:tcW w:w="1139" w:type="dxa"/>
            <w:tcBorders>
              <w:top w:val="single" w:sz="4" w:space="0" w:color="000000"/>
            </w:tcBorders>
            <w:shd w:val="clear" w:color="auto" w:fill="B8CCE4" w:themeFill="accent1" w:themeFillTint="66"/>
            <w:vAlign w:val="center"/>
          </w:tcPr>
          <w:p w14:paraId="7C72AF7E" w14:textId="77777777" w:rsidR="00F8164B" w:rsidRPr="00A27896" w:rsidRDefault="00F8164B" w:rsidP="00F8164B">
            <w:pPr>
              <w:spacing w:after="0" w:line="240" w:lineRule="auto"/>
              <w:jc w:val="right"/>
              <w:rPr>
                <w:rFonts w:eastAsia="Times New Roman" w:cs="Times New Roman"/>
                <w:color w:val="17365D"/>
                <w:sz w:val="18"/>
                <w:szCs w:val="18"/>
                <w:lang w:eastAsia="lv-LV"/>
              </w:rPr>
            </w:pPr>
          </w:p>
        </w:tc>
      </w:tr>
      <w:tr w:rsidR="00F8164B" w:rsidRPr="00A27896" w14:paraId="73D9DECB" w14:textId="77777777" w:rsidTr="00CA5792">
        <w:trPr>
          <w:trHeight w:val="828"/>
        </w:trPr>
        <w:tc>
          <w:tcPr>
            <w:tcW w:w="16316" w:type="dxa"/>
            <w:gridSpan w:val="11"/>
            <w:tcBorders>
              <w:top w:val="nil"/>
              <w:left w:val="nil"/>
              <w:bottom w:val="nil"/>
              <w:right w:val="nil"/>
            </w:tcBorders>
            <w:shd w:val="clear" w:color="auto" w:fill="auto"/>
            <w:vAlign w:val="center"/>
            <w:hideMark/>
          </w:tcPr>
          <w:p w14:paraId="469F99BE" w14:textId="53D59582" w:rsidR="00F8164B" w:rsidRPr="00A27896" w:rsidRDefault="00F8164B" w:rsidP="00F8164B">
            <w:pPr>
              <w:spacing w:after="0" w:line="240" w:lineRule="auto"/>
              <w:ind w:right="1186"/>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¹ </w:t>
            </w:r>
            <w:proofErr w:type="spellStart"/>
            <w:r w:rsidRPr="00A27896">
              <w:rPr>
                <w:rFonts w:eastAsia="Times New Roman" w:cs="Times New Roman"/>
                <w:color w:val="17365D"/>
                <w:sz w:val="18"/>
                <w:szCs w:val="18"/>
                <w:lang w:eastAsia="lv-LV"/>
              </w:rPr>
              <w:t>ePārskatos</w:t>
            </w:r>
            <w:proofErr w:type="spellEnd"/>
            <w:r w:rsidRPr="00A27896">
              <w:rPr>
                <w:rFonts w:eastAsia="Times New Roman" w:cs="Times New Roman"/>
                <w:color w:val="17365D"/>
                <w:sz w:val="18"/>
                <w:szCs w:val="18"/>
                <w:lang w:eastAsia="lv-LV"/>
              </w:rPr>
              <w:t xml:space="preserve"> organizācijas līmenī "Pašvaldības" un "Ministrijas un centrālās iestādes" aktīvu vērtības samazinājuma rezultāta korekcija bilances postenī 3520 "Pārskata gada budžeta izpildes rezultāts" ievadīta dimensijā "Konsolidācija"</w:t>
            </w:r>
          </w:p>
        </w:tc>
      </w:tr>
      <w:tr w:rsidR="00F8164B" w:rsidRPr="00A27896" w14:paraId="5BB4B5B2" w14:textId="77777777" w:rsidTr="00CA5792">
        <w:trPr>
          <w:trHeight w:val="64"/>
        </w:trPr>
        <w:tc>
          <w:tcPr>
            <w:tcW w:w="16316" w:type="dxa"/>
            <w:gridSpan w:val="11"/>
            <w:tcBorders>
              <w:top w:val="nil"/>
              <w:left w:val="nil"/>
              <w:bottom w:val="nil"/>
              <w:right w:val="nil"/>
            </w:tcBorders>
            <w:shd w:val="clear" w:color="auto" w:fill="auto"/>
            <w:vAlign w:val="center"/>
            <w:hideMark/>
          </w:tcPr>
          <w:p w14:paraId="08450A9C" w14:textId="76F771F3" w:rsidR="00F8164B" w:rsidRPr="00A27896" w:rsidRDefault="00F8164B" w:rsidP="00F8164B">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² </w:t>
            </w:r>
            <w:proofErr w:type="spellStart"/>
            <w:r w:rsidRPr="00A27896">
              <w:rPr>
                <w:rFonts w:eastAsia="Times New Roman" w:cs="Times New Roman"/>
                <w:color w:val="17365D"/>
                <w:sz w:val="18"/>
                <w:szCs w:val="18"/>
                <w:lang w:eastAsia="lv-LV"/>
              </w:rPr>
              <w:t>ePārskatos</w:t>
            </w:r>
            <w:proofErr w:type="spellEnd"/>
            <w:r w:rsidRPr="00A27896">
              <w:rPr>
                <w:rFonts w:eastAsia="Times New Roman" w:cs="Times New Roman"/>
                <w:color w:val="17365D"/>
                <w:sz w:val="18"/>
                <w:szCs w:val="18"/>
                <w:lang w:eastAsia="lv-LV"/>
              </w:rPr>
              <w:t xml:space="preserve"> organizācijas līmenī "Pašvaldības" un "Ministrijas un centrālās iestādes" aktīvu vērtības samazinājuma korekcija aktīvu posteņiem ievadīta dimensijā "Korekcija"</w:t>
            </w:r>
          </w:p>
        </w:tc>
      </w:tr>
    </w:tbl>
    <w:p w14:paraId="793DF928" w14:textId="77777777" w:rsidR="00B02C11" w:rsidRPr="00A27896" w:rsidRDefault="00B02C11" w:rsidP="00B47C77">
      <w:pPr>
        <w:spacing w:after="120" w:line="240" w:lineRule="auto"/>
        <w:ind w:right="-4961"/>
        <w:jc w:val="both"/>
        <w:rPr>
          <w:rFonts w:eastAsia="Times New Roman" w:cs="Times New Roman"/>
          <w:iCs/>
          <w:color w:val="17365D"/>
          <w:sz w:val="20"/>
          <w:szCs w:val="20"/>
          <w:lang w:eastAsia="lv-LV"/>
        </w:rPr>
      </w:pPr>
    </w:p>
    <w:p w14:paraId="2BAF5BFB" w14:textId="77777777" w:rsidR="0000105F" w:rsidRPr="00A27896" w:rsidRDefault="0000105F" w:rsidP="004C7DD0">
      <w:pPr>
        <w:spacing w:after="120" w:line="240" w:lineRule="auto"/>
        <w:ind w:right="255"/>
        <w:jc w:val="both"/>
        <w:rPr>
          <w:rFonts w:eastAsia="Times New Roman" w:cs="Times New Roman"/>
          <w:iCs/>
          <w:color w:val="17365D"/>
          <w:sz w:val="20"/>
          <w:szCs w:val="20"/>
          <w:lang w:eastAsia="lv-LV"/>
        </w:rPr>
        <w:sectPr w:rsidR="0000105F" w:rsidRPr="00A27896" w:rsidSect="00AC7FDB">
          <w:headerReference w:type="first" r:id="rId17"/>
          <w:pgSz w:w="16838" w:h="11906" w:orient="landscape" w:code="9"/>
          <w:pgMar w:top="1701" w:right="6348" w:bottom="851" w:left="1134" w:header="567" w:footer="567" w:gutter="0"/>
          <w:cols w:space="708"/>
          <w:titlePg/>
          <w:docGrid w:linePitch="360"/>
        </w:sectPr>
      </w:pPr>
    </w:p>
    <w:p w14:paraId="38EE7028" w14:textId="039D1880" w:rsidR="008911F1" w:rsidRPr="00A27896" w:rsidRDefault="008911F1" w:rsidP="004F0B4D">
      <w:pPr>
        <w:pStyle w:val="Heading3"/>
        <w:spacing w:line="240" w:lineRule="auto"/>
      </w:pPr>
      <w:r w:rsidRPr="00A27896">
        <w:lastRenderedPageBreak/>
        <w:t xml:space="preserve">Paskaidrojumi konsolidētā </w:t>
      </w:r>
      <w:r w:rsidRPr="00A27896" w:rsidDel="00550C21">
        <w:t>pārskat</w:t>
      </w:r>
      <w:r w:rsidRPr="00A27896">
        <w:t>a</w:t>
      </w:r>
      <w:r w:rsidRPr="00A27896" w:rsidDel="00550C21">
        <w:t xml:space="preserve"> par darbības finansiālajiem rezultātiem</w:t>
      </w:r>
      <w:r w:rsidRPr="00A27896">
        <w:t xml:space="preserve"> posteņiem </w:t>
      </w:r>
    </w:p>
    <w:p w14:paraId="33BA556E" w14:textId="1EE42E19" w:rsidR="00DD24C5" w:rsidRPr="00A27896" w:rsidRDefault="008911F1" w:rsidP="00595B2B">
      <w:pPr>
        <w:pStyle w:val="Pamatteksts"/>
        <w:spacing w:after="0"/>
        <w:ind w:firstLine="284"/>
        <w:rPr>
          <w:rFonts w:eastAsia="Arial Unicode MS"/>
          <w:i/>
          <w:color w:val="17365D"/>
        </w:rPr>
      </w:pPr>
      <w:r w:rsidRPr="00A27896">
        <w:rPr>
          <w:noProof w:val="0"/>
          <w:color w:val="17365D"/>
        </w:rPr>
        <w:t>Konsolidēt</w:t>
      </w:r>
      <w:r w:rsidR="00612528" w:rsidRPr="00A27896">
        <w:rPr>
          <w:noProof w:val="0"/>
          <w:color w:val="17365D"/>
        </w:rPr>
        <w:t>ā pārskata</w:t>
      </w:r>
      <w:r w:rsidRPr="00A27896">
        <w:rPr>
          <w:noProof w:val="0"/>
          <w:color w:val="17365D"/>
        </w:rPr>
        <w:t xml:space="preserve"> </w:t>
      </w:r>
      <w:r w:rsidR="00612528" w:rsidRPr="00A27896" w:rsidDel="00550C21">
        <w:rPr>
          <w:iCs/>
          <w:noProof w:val="0"/>
          <w:color w:val="17365D"/>
        </w:rPr>
        <w:t>par darbības finansiālajiem rezultātiem</w:t>
      </w:r>
      <w:r w:rsidR="00612528" w:rsidRPr="00A27896">
        <w:rPr>
          <w:iCs/>
          <w:noProof w:val="0"/>
          <w:color w:val="17365D"/>
        </w:rPr>
        <w:t xml:space="preserve"> </w:t>
      </w:r>
      <w:r w:rsidRPr="00A27896">
        <w:rPr>
          <w:color w:val="17365D"/>
        </w:rPr>
        <w:t>ieņēmumu</w:t>
      </w:r>
      <w:r w:rsidR="00612528" w:rsidRPr="00A27896">
        <w:rPr>
          <w:color w:val="17365D"/>
        </w:rPr>
        <w:t xml:space="preserve"> posteņu izmaiņas uzrādītas </w:t>
      </w:r>
      <w:r w:rsidR="00D5669D" w:rsidRPr="00A27896">
        <w:rPr>
          <w:color w:val="17365D"/>
        </w:rPr>
        <w:t>4</w:t>
      </w:r>
      <w:r w:rsidR="006C1AA7" w:rsidRPr="00A27896">
        <w:rPr>
          <w:color w:val="17365D"/>
        </w:rPr>
        <w:t>1</w:t>
      </w:r>
      <w:r w:rsidRPr="00A27896">
        <w:rPr>
          <w:color w:val="17365D"/>
        </w:rPr>
        <w:t>. tabulā.</w:t>
      </w:r>
    </w:p>
    <w:p w14:paraId="67FFD4F7" w14:textId="4C61546A" w:rsidR="008911F1" w:rsidRPr="00A27896" w:rsidRDefault="00612528" w:rsidP="00744AE4">
      <w:pPr>
        <w:pStyle w:val="Tabulasnosaukums1"/>
        <w:spacing w:before="0" w:line="240" w:lineRule="auto"/>
        <w:rPr>
          <w:rFonts w:eastAsia="Arial Unicode MS" w:cs="Times New Roman"/>
          <w:i/>
          <w:color w:val="17365D"/>
        </w:rPr>
      </w:pPr>
      <w:r w:rsidRPr="00A27896">
        <w:rPr>
          <w:rFonts w:eastAsia="Arial Unicode MS" w:cs="Times New Roman"/>
          <w:i/>
          <w:color w:val="17365D"/>
        </w:rPr>
        <w:t>4</w:t>
      </w:r>
      <w:r w:rsidR="006C1AA7" w:rsidRPr="00A27896">
        <w:rPr>
          <w:rFonts w:eastAsia="Arial Unicode MS" w:cs="Times New Roman"/>
          <w:i/>
          <w:color w:val="17365D"/>
        </w:rPr>
        <w:t>1</w:t>
      </w:r>
      <w:r w:rsidR="008911F1" w:rsidRPr="00A27896">
        <w:rPr>
          <w:rFonts w:eastAsia="Arial Unicode MS" w:cs="Times New Roman"/>
          <w:i/>
          <w:color w:val="17365D"/>
        </w:rPr>
        <w:t>. tabula. Ieņēmumi (</w:t>
      </w:r>
      <w:proofErr w:type="spellStart"/>
      <w:r w:rsidR="008911F1" w:rsidRPr="00A27896">
        <w:rPr>
          <w:rFonts w:eastAsia="Arial Unicode MS" w:cs="Times New Roman"/>
          <w:i/>
          <w:color w:val="17365D"/>
        </w:rPr>
        <w:t>euro</w:t>
      </w:r>
      <w:proofErr w:type="spellEnd"/>
      <w:r w:rsidR="008911F1" w:rsidRPr="00A27896">
        <w:rPr>
          <w:rFonts w:eastAsia="Arial Unicode MS" w:cs="Times New Roman"/>
          <w:i/>
          <w:color w:val="17365D"/>
        </w:rPr>
        <w:t>)</w:t>
      </w:r>
    </w:p>
    <w:tbl>
      <w:tblPr>
        <w:tblW w:w="9361" w:type="dxa"/>
        <w:tblInd w:w="-5" w:type="dxa"/>
        <w:tblLayout w:type="fixed"/>
        <w:tblLook w:val="04A0" w:firstRow="1" w:lastRow="0" w:firstColumn="1" w:lastColumn="0" w:noHBand="0" w:noVBand="1"/>
      </w:tblPr>
      <w:tblGrid>
        <w:gridCol w:w="98"/>
        <w:gridCol w:w="2709"/>
        <w:gridCol w:w="884"/>
        <w:gridCol w:w="109"/>
        <w:gridCol w:w="1417"/>
        <w:gridCol w:w="1309"/>
        <w:gridCol w:w="142"/>
        <w:gridCol w:w="1559"/>
        <w:gridCol w:w="1134"/>
      </w:tblGrid>
      <w:tr w:rsidR="00990063" w:rsidRPr="00A27896" w14:paraId="1547D551" w14:textId="77777777" w:rsidTr="002559CD">
        <w:trPr>
          <w:gridBefore w:val="1"/>
          <w:wBefore w:w="98" w:type="dxa"/>
          <w:trHeight w:val="791"/>
          <w:tblHeader/>
        </w:trPr>
        <w:tc>
          <w:tcPr>
            <w:tcW w:w="2709" w:type="dxa"/>
            <w:tcBorders>
              <w:bottom w:val="single" w:sz="4" w:space="0" w:color="012169"/>
            </w:tcBorders>
            <w:shd w:val="clear" w:color="auto" w:fill="B9CDE5"/>
            <w:vAlign w:val="center"/>
            <w:hideMark/>
          </w:tcPr>
          <w:p w14:paraId="57E29E3B" w14:textId="77777777" w:rsidR="00990063" w:rsidRPr="00A27896" w:rsidRDefault="00990063" w:rsidP="00990063">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Rādītājs</w:t>
            </w:r>
          </w:p>
        </w:tc>
        <w:tc>
          <w:tcPr>
            <w:tcW w:w="993" w:type="dxa"/>
            <w:gridSpan w:val="2"/>
            <w:tcBorders>
              <w:bottom w:val="single" w:sz="4" w:space="0" w:color="012169"/>
            </w:tcBorders>
            <w:shd w:val="clear" w:color="auto" w:fill="B9CDE5"/>
            <w:vAlign w:val="center"/>
          </w:tcPr>
          <w:p w14:paraId="2BDD2A4E" w14:textId="77777777" w:rsidR="00990063" w:rsidRPr="00A27896" w:rsidRDefault="00990063" w:rsidP="00990063">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 Nr.</w:t>
            </w:r>
          </w:p>
        </w:tc>
        <w:tc>
          <w:tcPr>
            <w:tcW w:w="1417" w:type="dxa"/>
            <w:tcBorders>
              <w:bottom w:val="single" w:sz="4" w:space="0" w:color="012169"/>
            </w:tcBorders>
            <w:shd w:val="clear" w:color="auto" w:fill="B9CDE5"/>
            <w:vAlign w:val="center"/>
          </w:tcPr>
          <w:p w14:paraId="5EACC940" w14:textId="77777777" w:rsidR="00990063" w:rsidRPr="00A27896" w:rsidRDefault="00990063" w:rsidP="00990063">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periods</w:t>
            </w:r>
          </w:p>
        </w:tc>
        <w:tc>
          <w:tcPr>
            <w:tcW w:w="1451" w:type="dxa"/>
            <w:gridSpan w:val="2"/>
            <w:tcBorders>
              <w:bottom w:val="single" w:sz="4" w:space="0" w:color="012169"/>
            </w:tcBorders>
            <w:shd w:val="clear" w:color="auto" w:fill="B9CDE5"/>
            <w:vAlign w:val="center"/>
          </w:tcPr>
          <w:p w14:paraId="25B19111" w14:textId="77777777" w:rsidR="00990063" w:rsidRPr="00A27896" w:rsidRDefault="00990063" w:rsidP="00990063">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Iepriekšējais pārskata periods</w:t>
            </w:r>
          </w:p>
        </w:tc>
        <w:tc>
          <w:tcPr>
            <w:tcW w:w="1559" w:type="dxa"/>
            <w:tcBorders>
              <w:bottom w:val="single" w:sz="4" w:space="0" w:color="012169"/>
            </w:tcBorders>
            <w:shd w:val="clear" w:color="auto" w:fill="B9CDE5"/>
            <w:vAlign w:val="center"/>
          </w:tcPr>
          <w:p w14:paraId="07AB86F7" w14:textId="77777777" w:rsidR="00A8735F" w:rsidRDefault="00990063" w:rsidP="00990063">
            <w:pPr>
              <w:spacing w:after="0" w:line="240" w:lineRule="auto"/>
              <w:ind w:left="-107" w:right="-109"/>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Palielinājums (+), samazinājums (–) </w:t>
            </w:r>
          </w:p>
          <w:p w14:paraId="2816F379" w14:textId="33EC349F" w:rsidR="00990063" w:rsidRPr="00A27896" w:rsidRDefault="00990063" w:rsidP="00990063">
            <w:pPr>
              <w:spacing w:after="0" w:line="240" w:lineRule="auto"/>
              <w:ind w:left="-107" w:right="-109"/>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 – 2.)</w:t>
            </w:r>
          </w:p>
        </w:tc>
        <w:tc>
          <w:tcPr>
            <w:tcW w:w="1134" w:type="dxa"/>
            <w:tcBorders>
              <w:bottom w:val="single" w:sz="4" w:space="0" w:color="012169"/>
            </w:tcBorders>
            <w:shd w:val="clear" w:color="auto" w:fill="B9CDE5"/>
            <w:vAlign w:val="center"/>
          </w:tcPr>
          <w:p w14:paraId="13872893" w14:textId="77777777" w:rsidR="00990063" w:rsidRPr="00A27896" w:rsidRDefault="00990063" w:rsidP="00990063">
            <w:pPr>
              <w:spacing w:after="0" w:line="240" w:lineRule="auto"/>
              <w:ind w:left="-107" w:right="-109"/>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Procentuālās izmaiņas </w:t>
            </w:r>
          </w:p>
          <w:p w14:paraId="432C4B0C" w14:textId="584FBAAF" w:rsidR="00990063" w:rsidRPr="00A27896" w:rsidRDefault="00990063" w:rsidP="00990063">
            <w:pPr>
              <w:spacing w:after="0" w:line="240" w:lineRule="auto"/>
              <w:ind w:right="-109"/>
              <w:rPr>
                <w:rFonts w:eastAsia="Times New Roman" w:cs="Times New Roman"/>
                <w:b/>
                <w:color w:val="17365D"/>
                <w:sz w:val="16"/>
                <w:szCs w:val="16"/>
                <w:lang w:eastAsia="lv-LV"/>
              </w:rPr>
            </w:pPr>
            <w:r w:rsidRPr="00A27896">
              <w:rPr>
                <w:rFonts w:eastAsia="Times New Roman" w:cs="Times New Roman"/>
                <w:b/>
                <w:color w:val="17365D"/>
                <w:sz w:val="16"/>
                <w:szCs w:val="16"/>
                <w:lang w:eastAsia="lv-LV"/>
              </w:rPr>
              <w:t>(</w:t>
            </w:r>
            <w:r w:rsidR="00674191" w:rsidRPr="00A27896">
              <w:rPr>
                <w:rFonts w:eastAsia="Times New Roman" w:cs="Times New Roman"/>
                <w:b/>
                <w:color w:val="17365D"/>
                <w:sz w:val="18"/>
                <w:szCs w:val="18"/>
                <w:lang w:eastAsia="lv-LV"/>
              </w:rPr>
              <w:t xml:space="preserve">3./2. * </w:t>
            </w:r>
            <w:r w:rsidRPr="00A27896">
              <w:rPr>
                <w:rFonts w:eastAsia="Times New Roman" w:cs="Times New Roman"/>
                <w:b/>
                <w:color w:val="17365D"/>
                <w:sz w:val="18"/>
                <w:szCs w:val="18"/>
                <w:lang w:eastAsia="lv-LV"/>
              </w:rPr>
              <w:t>100)</w:t>
            </w:r>
          </w:p>
        </w:tc>
      </w:tr>
      <w:tr w:rsidR="00990063" w:rsidRPr="00A27896" w14:paraId="6AB93B21" w14:textId="77777777" w:rsidTr="002559CD">
        <w:trPr>
          <w:gridBefore w:val="1"/>
          <w:wBefore w:w="98" w:type="dxa"/>
          <w:trHeight w:val="97"/>
          <w:tblHeader/>
        </w:trPr>
        <w:tc>
          <w:tcPr>
            <w:tcW w:w="2709" w:type="dxa"/>
            <w:tcBorders>
              <w:top w:val="single" w:sz="4" w:space="0" w:color="012169"/>
              <w:bottom w:val="single" w:sz="4" w:space="0" w:color="auto"/>
            </w:tcBorders>
            <w:shd w:val="clear" w:color="auto" w:fill="auto"/>
            <w:vAlign w:val="center"/>
            <w:hideMark/>
          </w:tcPr>
          <w:p w14:paraId="7FCF429D" w14:textId="77777777" w:rsidR="00990063" w:rsidRPr="00A27896" w:rsidRDefault="00990063" w:rsidP="00990063">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993" w:type="dxa"/>
            <w:gridSpan w:val="2"/>
            <w:tcBorders>
              <w:top w:val="single" w:sz="4" w:space="0" w:color="012169"/>
              <w:bottom w:val="single" w:sz="4" w:space="0" w:color="auto"/>
            </w:tcBorders>
            <w:shd w:val="clear" w:color="auto" w:fill="auto"/>
            <w:vAlign w:val="center"/>
            <w:hideMark/>
          </w:tcPr>
          <w:p w14:paraId="4D3B7819" w14:textId="77777777" w:rsidR="00990063" w:rsidRPr="00A27896" w:rsidRDefault="00990063" w:rsidP="00990063">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1417" w:type="dxa"/>
            <w:tcBorders>
              <w:top w:val="single" w:sz="4" w:space="0" w:color="012169"/>
              <w:bottom w:val="single" w:sz="4" w:space="0" w:color="auto"/>
            </w:tcBorders>
            <w:shd w:val="clear" w:color="auto" w:fill="auto"/>
            <w:vAlign w:val="center"/>
            <w:hideMark/>
          </w:tcPr>
          <w:p w14:paraId="7D7B22AE" w14:textId="77777777" w:rsidR="00990063" w:rsidRPr="00A27896" w:rsidRDefault="00990063" w:rsidP="00990063">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1451" w:type="dxa"/>
            <w:gridSpan w:val="2"/>
            <w:tcBorders>
              <w:top w:val="single" w:sz="4" w:space="0" w:color="012169"/>
              <w:bottom w:val="single" w:sz="4" w:space="0" w:color="auto"/>
            </w:tcBorders>
            <w:shd w:val="clear" w:color="auto" w:fill="auto"/>
            <w:vAlign w:val="center"/>
            <w:hideMark/>
          </w:tcPr>
          <w:p w14:paraId="77EE77FA" w14:textId="77777777" w:rsidR="00990063" w:rsidRPr="00A27896" w:rsidRDefault="00990063" w:rsidP="00990063">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1559" w:type="dxa"/>
            <w:tcBorders>
              <w:top w:val="single" w:sz="4" w:space="0" w:color="012169"/>
              <w:bottom w:val="single" w:sz="4" w:space="0" w:color="auto"/>
            </w:tcBorders>
            <w:shd w:val="clear" w:color="auto" w:fill="auto"/>
            <w:vAlign w:val="center"/>
            <w:hideMark/>
          </w:tcPr>
          <w:p w14:paraId="127D9AF3" w14:textId="77777777" w:rsidR="00990063" w:rsidRPr="00A27896" w:rsidRDefault="00990063" w:rsidP="00990063">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1134" w:type="dxa"/>
            <w:tcBorders>
              <w:top w:val="single" w:sz="4" w:space="0" w:color="012169"/>
              <w:bottom w:val="single" w:sz="4" w:space="0" w:color="auto"/>
            </w:tcBorders>
            <w:shd w:val="clear" w:color="auto" w:fill="auto"/>
            <w:vAlign w:val="center"/>
            <w:hideMark/>
          </w:tcPr>
          <w:p w14:paraId="77AE09C1" w14:textId="77777777" w:rsidR="00990063" w:rsidRPr="00A27896" w:rsidRDefault="00990063" w:rsidP="00990063">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2913B7" w:rsidRPr="00A27896" w14:paraId="42083549" w14:textId="77777777" w:rsidTr="002559CD">
        <w:trPr>
          <w:gridBefore w:val="1"/>
          <w:wBefore w:w="98" w:type="dxa"/>
          <w:trHeight w:val="513"/>
        </w:trPr>
        <w:tc>
          <w:tcPr>
            <w:tcW w:w="2709" w:type="dxa"/>
            <w:tcBorders>
              <w:top w:val="single" w:sz="4" w:space="0" w:color="auto"/>
              <w:bottom w:val="single" w:sz="4" w:space="0" w:color="auto"/>
            </w:tcBorders>
            <w:shd w:val="clear" w:color="auto" w:fill="auto"/>
            <w:vAlign w:val="center"/>
            <w:hideMark/>
          </w:tcPr>
          <w:p w14:paraId="5F1E514E" w14:textId="77777777" w:rsidR="002913B7" w:rsidRPr="00A27896" w:rsidRDefault="002913B7" w:rsidP="002913B7">
            <w:pPr>
              <w:spacing w:after="0" w:line="240" w:lineRule="auto"/>
              <w:rPr>
                <w:rFonts w:eastAsia="Times New Roman" w:cs="Times New Roman"/>
                <w:color w:val="17365D"/>
                <w:sz w:val="18"/>
                <w:szCs w:val="18"/>
                <w:lang w:eastAsia="lv-LV"/>
              </w:rPr>
            </w:pPr>
            <w:r w:rsidRPr="00A27896">
              <w:rPr>
                <w:rFonts w:eastAsia="Times New Roman" w:cs="Times New Roman"/>
                <w:b/>
                <w:bCs/>
                <w:color w:val="17365D"/>
                <w:sz w:val="18"/>
                <w:szCs w:val="18"/>
                <w:lang w:eastAsia="lv-LV"/>
              </w:rPr>
              <w:t xml:space="preserve">Ieņēmumi </w:t>
            </w:r>
            <w:r w:rsidRPr="00A27896">
              <w:rPr>
                <w:rFonts w:eastAsia="Times New Roman" w:cs="Times New Roman"/>
                <w:bCs/>
                <w:color w:val="17365D"/>
                <w:sz w:val="18"/>
                <w:szCs w:val="18"/>
                <w:lang w:eastAsia="lv-LV"/>
              </w:rPr>
              <w:t>(A11. līdz A18. rindas summa)</w:t>
            </w:r>
          </w:p>
        </w:tc>
        <w:tc>
          <w:tcPr>
            <w:tcW w:w="993" w:type="dxa"/>
            <w:gridSpan w:val="2"/>
            <w:tcBorders>
              <w:top w:val="single" w:sz="4" w:space="0" w:color="auto"/>
              <w:bottom w:val="single" w:sz="4" w:space="0" w:color="auto"/>
            </w:tcBorders>
            <w:shd w:val="clear" w:color="auto" w:fill="auto"/>
            <w:noWrap/>
            <w:vAlign w:val="center"/>
            <w:hideMark/>
          </w:tcPr>
          <w:p w14:paraId="292201E4" w14:textId="73022467" w:rsidR="002913B7" w:rsidRPr="00A27896" w:rsidRDefault="002913B7" w:rsidP="002913B7">
            <w:pPr>
              <w:spacing w:after="0" w:line="240" w:lineRule="auto"/>
              <w:jc w:val="center"/>
              <w:rPr>
                <w:rFonts w:eastAsia="Times New Roman" w:cs="Times New Roman"/>
                <w:b/>
                <w:color w:val="17365D"/>
                <w:sz w:val="18"/>
                <w:szCs w:val="18"/>
                <w:lang w:eastAsia="lv-LV"/>
              </w:rPr>
            </w:pPr>
            <w:r>
              <w:rPr>
                <w:rFonts w:eastAsia="Times New Roman" w:cs="Times New Roman"/>
                <w:b/>
                <w:color w:val="17365D"/>
                <w:sz w:val="18"/>
                <w:szCs w:val="18"/>
                <w:lang w:eastAsia="lv-LV"/>
              </w:rPr>
              <w:t>FD.A1.</w:t>
            </w:r>
          </w:p>
        </w:tc>
        <w:tc>
          <w:tcPr>
            <w:tcW w:w="1417" w:type="dxa"/>
            <w:tcBorders>
              <w:top w:val="single" w:sz="4" w:space="0" w:color="auto"/>
              <w:bottom w:val="single" w:sz="4" w:space="0" w:color="auto"/>
            </w:tcBorders>
            <w:shd w:val="clear" w:color="F2F2F2" w:fill="FFFFFF"/>
            <w:noWrap/>
            <w:vAlign w:val="center"/>
          </w:tcPr>
          <w:p w14:paraId="18AF5887" w14:textId="5A9FFEEB" w:rsidR="002913B7" w:rsidRPr="002913B7" w:rsidRDefault="002913B7" w:rsidP="002913B7">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16 806 669 899</w:t>
            </w:r>
          </w:p>
        </w:tc>
        <w:tc>
          <w:tcPr>
            <w:tcW w:w="1451" w:type="dxa"/>
            <w:gridSpan w:val="2"/>
            <w:tcBorders>
              <w:top w:val="single" w:sz="4" w:space="0" w:color="auto"/>
              <w:bottom w:val="single" w:sz="4" w:space="0" w:color="auto"/>
            </w:tcBorders>
            <w:shd w:val="clear" w:color="F2F2F2" w:fill="FFFFFF"/>
            <w:noWrap/>
            <w:vAlign w:val="center"/>
          </w:tcPr>
          <w:p w14:paraId="19E3FE93" w14:textId="4703696B" w:rsidR="002913B7" w:rsidRPr="002913B7" w:rsidRDefault="002913B7" w:rsidP="002913B7">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13 746 271 927</w:t>
            </w:r>
          </w:p>
        </w:tc>
        <w:tc>
          <w:tcPr>
            <w:tcW w:w="1559" w:type="dxa"/>
            <w:tcBorders>
              <w:top w:val="single" w:sz="4" w:space="0" w:color="auto"/>
              <w:bottom w:val="single" w:sz="4" w:space="0" w:color="auto"/>
            </w:tcBorders>
            <w:shd w:val="clear" w:color="auto" w:fill="auto"/>
            <w:noWrap/>
            <w:vAlign w:val="center"/>
          </w:tcPr>
          <w:p w14:paraId="5AAA0479" w14:textId="68F004DC" w:rsidR="002913B7" w:rsidRPr="002913B7" w:rsidRDefault="002913B7" w:rsidP="00A8735F">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3 060 397 972</w:t>
            </w:r>
          </w:p>
        </w:tc>
        <w:tc>
          <w:tcPr>
            <w:tcW w:w="1134" w:type="dxa"/>
            <w:tcBorders>
              <w:top w:val="single" w:sz="4" w:space="0" w:color="auto"/>
              <w:bottom w:val="single" w:sz="4" w:space="0" w:color="auto"/>
            </w:tcBorders>
            <w:shd w:val="clear" w:color="auto" w:fill="auto"/>
            <w:vAlign w:val="center"/>
          </w:tcPr>
          <w:p w14:paraId="477A8334" w14:textId="5AF767B4" w:rsidR="002913B7" w:rsidRPr="002913B7" w:rsidRDefault="002913B7" w:rsidP="00A8735F">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22.26</w:t>
            </w:r>
          </w:p>
        </w:tc>
      </w:tr>
      <w:tr w:rsidR="002913B7" w:rsidRPr="00A27896" w14:paraId="5D299B86" w14:textId="77777777" w:rsidTr="002559CD">
        <w:trPr>
          <w:gridBefore w:val="1"/>
          <w:wBefore w:w="98" w:type="dxa"/>
          <w:trHeight w:val="64"/>
        </w:trPr>
        <w:tc>
          <w:tcPr>
            <w:tcW w:w="2709" w:type="dxa"/>
            <w:tcBorders>
              <w:top w:val="single" w:sz="4" w:space="0" w:color="auto"/>
              <w:bottom w:val="single" w:sz="4" w:space="0" w:color="auto"/>
            </w:tcBorders>
            <w:shd w:val="clear" w:color="auto" w:fill="auto"/>
            <w:vAlign w:val="center"/>
          </w:tcPr>
          <w:p w14:paraId="4FF111BA" w14:textId="77777777" w:rsidR="002913B7" w:rsidRPr="00A27896" w:rsidRDefault="002913B7" w:rsidP="002913B7">
            <w:pPr>
              <w:spacing w:after="0" w:line="240" w:lineRule="auto"/>
              <w:rPr>
                <w:rFonts w:eastAsia="Times New Roman" w:cs="Times New Roman"/>
                <w:bCs/>
                <w:color w:val="17365D"/>
                <w:sz w:val="18"/>
                <w:szCs w:val="18"/>
                <w:lang w:eastAsia="lv-LV"/>
              </w:rPr>
            </w:pPr>
            <w:r w:rsidRPr="00A27896">
              <w:rPr>
                <w:rFonts w:eastAsia="Times New Roman" w:cs="Times New Roman"/>
                <w:bCs/>
                <w:color w:val="17365D"/>
                <w:sz w:val="18"/>
                <w:szCs w:val="18"/>
                <w:lang w:eastAsia="lv-LV"/>
              </w:rPr>
              <w:t>Nodokļu ieņēmumi</w:t>
            </w:r>
          </w:p>
        </w:tc>
        <w:tc>
          <w:tcPr>
            <w:tcW w:w="993" w:type="dxa"/>
            <w:gridSpan w:val="2"/>
            <w:tcBorders>
              <w:top w:val="single" w:sz="4" w:space="0" w:color="auto"/>
              <w:bottom w:val="single" w:sz="4" w:space="0" w:color="auto"/>
            </w:tcBorders>
            <w:shd w:val="clear" w:color="auto" w:fill="auto"/>
            <w:noWrap/>
            <w:vAlign w:val="center"/>
          </w:tcPr>
          <w:p w14:paraId="6E41EF19" w14:textId="5F02A04E" w:rsidR="002913B7" w:rsidRPr="00A27896" w:rsidRDefault="002913B7" w:rsidP="002913B7">
            <w:pPr>
              <w:spacing w:after="0" w:line="240" w:lineRule="auto"/>
              <w:jc w:val="center"/>
              <w:rPr>
                <w:rFonts w:eastAsia="Times New Roman" w:cs="Times New Roman"/>
                <w:color w:val="17365D"/>
                <w:sz w:val="18"/>
                <w:szCs w:val="18"/>
                <w:lang w:eastAsia="lv-LV"/>
              </w:rPr>
            </w:pPr>
            <w:r>
              <w:rPr>
                <w:rFonts w:eastAsia="Times New Roman" w:cs="Times New Roman"/>
                <w:color w:val="17365D"/>
                <w:sz w:val="18"/>
                <w:szCs w:val="18"/>
                <w:lang w:eastAsia="lv-LV"/>
              </w:rPr>
              <w:t>FD.A11.</w:t>
            </w:r>
          </w:p>
        </w:tc>
        <w:tc>
          <w:tcPr>
            <w:tcW w:w="1417" w:type="dxa"/>
            <w:tcBorders>
              <w:top w:val="single" w:sz="4" w:space="0" w:color="auto"/>
              <w:bottom w:val="single" w:sz="4" w:space="0" w:color="auto"/>
            </w:tcBorders>
            <w:shd w:val="clear" w:color="F2F2F2" w:fill="FFFFFF"/>
            <w:noWrap/>
            <w:vAlign w:val="center"/>
          </w:tcPr>
          <w:p w14:paraId="727E8CD0" w14:textId="605240ED" w:rsidR="002913B7" w:rsidRPr="00A27896" w:rsidRDefault="002913B7" w:rsidP="002913B7">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11 689 499 898</w:t>
            </w:r>
          </w:p>
        </w:tc>
        <w:tc>
          <w:tcPr>
            <w:tcW w:w="1451" w:type="dxa"/>
            <w:gridSpan w:val="2"/>
            <w:tcBorders>
              <w:top w:val="single" w:sz="4" w:space="0" w:color="auto"/>
              <w:bottom w:val="single" w:sz="4" w:space="0" w:color="auto"/>
            </w:tcBorders>
            <w:shd w:val="clear" w:color="F2F2F2" w:fill="FFFFFF"/>
            <w:noWrap/>
            <w:vAlign w:val="center"/>
          </w:tcPr>
          <w:p w14:paraId="7BECF5C7" w14:textId="4E91AA73" w:rsidR="002913B7" w:rsidRPr="00A27896" w:rsidRDefault="002913B7" w:rsidP="002913B7">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10 112 840 608</w:t>
            </w:r>
          </w:p>
        </w:tc>
        <w:tc>
          <w:tcPr>
            <w:tcW w:w="1559" w:type="dxa"/>
            <w:tcBorders>
              <w:top w:val="single" w:sz="4" w:space="0" w:color="auto"/>
              <w:bottom w:val="single" w:sz="4" w:space="0" w:color="auto"/>
            </w:tcBorders>
            <w:shd w:val="clear" w:color="auto" w:fill="auto"/>
            <w:noWrap/>
            <w:vAlign w:val="center"/>
          </w:tcPr>
          <w:p w14:paraId="4C9DDAFD" w14:textId="4544DC43" w:rsidR="002913B7" w:rsidRPr="00A27896" w:rsidRDefault="002913B7" w:rsidP="00A8735F">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1 576 659 290</w:t>
            </w:r>
          </w:p>
        </w:tc>
        <w:tc>
          <w:tcPr>
            <w:tcW w:w="1134" w:type="dxa"/>
            <w:tcBorders>
              <w:top w:val="single" w:sz="4" w:space="0" w:color="auto"/>
              <w:bottom w:val="single" w:sz="4" w:space="0" w:color="auto"/>
            </w:tcBorders>
            <w:shd w:val="clear" w:color="auto" w:fill="auto"/>
            <w:vAlign w:val="center"/>
          </w:tcPr>
          <w:p w14:paraId="5EE6F3F3" w14:textId="7DC2D20C" w:rsidR="002913B7" w:rsidRPr="00A27896" w:rsidRDefault="002913B7" w:rsidP="00A8735F">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15.59</w:t>
            </w:r>
          </w:p>
        </w:tc>
      </w:tr>
      <w:tr w:rsidR="002913B7" w:rsidRPr="00A27896" w14:paraId="6567933D" w14:textId="77777777" w:rsidTr="002559CD">
        <w:trPr>
          <w:gridBefore w:val="1"/>
          <w:wBefore w:w="98" w:type="dxa"/>
          <w:trHeight w:val="64"/>
        </w:trPr>
        <w:tc>
          <w:tcPr>
            <w:tcW w:w="2709" w:type="dxa"/>
            <w:tcBorders>
              <w:top w:val="single" w:sz="4" w:space="0" w:color="auto"/>
              <w:bottom w:val="single" w:sz="4" w:space="0" w:color="auto"/>
            </w:tcBorders>
            <w:shd w:val="clear" w:color="auto" w:fill="auto"/>
            <w:vAlign w:val="center"/>
          </w:tcPr>
          <w:p w14:paraId="20405340" w14:textId="77777777" w:rsidR="002913B7" w:rsidRPr="00A27896" w:rsidRDefault="002913B7" w:rsidP="002913B7">
            <w:pPr>
              <w:spacing w:after="0" w:line="240" w:lineRule="auto"/>
              <w:rPr>
                <w:rFonts w:eastAsia="Times New Roman" w:cs="Times New Roman"/>
                <w:bCs/>
                <w:color w:val="17365D"/>
                <w:sz w:val="18"/>
                <w:szCs w:val="18"/>
                <w:lang w:eastAsia="lv-LV"/>
              </w:rPr>
            </w:pPr>
            <w:proofErr w:type="spellStart"/>
            <w:r w:rsidRPr="00A27896">
              <w:rPr>
                <w:rFonts w:eastAsia="Times New Roman" w:cs="Times New Roman"/>
                <w:bCs/>
                <w:color w:val="17365D"/>
                <w:sz w:val="18"/>
                <w:szCs w:val="18"/>
                <w:lang w:eastAsia="lv-LV"/>
              </w:rPr>
              <w:t>Nenodokļu</w:t>
            </w:r>
            <w:proofErr w:type="spellEnd"/>
            <w:r w:rsidRPr="00A27896">
              <w:rPr>
                <w:rFonts w:eastAsia="Times New Roman" w:cs="Times New Roman"/>
                <w:bCs/>
                <w:color w:val="17365D"/>
                <w:sz w:val="18"/>
                <w:szCs w:val="18"/>
                <w:lang w:eastAsia="lv-LV"/>
              </w:rPr>
              <w:t xml:space="preserve"> ieņēmumi</w:t>
            </w:r>
          </w:p>
        </w:tc>
        <w:tc>
          <w:tcPr>
            <w:tcW w:w="993" w:type="dxa"/>
            <w:gridSpan w:val="2"/>
            <w:tcBorders>
              <w:top w:val="single" w:sz="4" w:space="0" w:color="auto"/>
              <w:bottom w:val="single" w:sz="4" w:space="0" w:color="auto"/>
            </w:tcBorders>
            <w:shd w:val="clear" w:color="auto" w:fill="auto"/>
            <w:noWrap/>
            <w:vAlign w:val="center"/>
          </w:tcPr>
          <w:p w14:paraId="5EC6837B" w14:textId="30C30695" w:rsidR="002913B7" w:rsidRPr="00A27896" w:rsidRDefault="002913B7" w:rsidP="002913B7">
            <w:pPr>
              <w:spacing w:after="0" w:line="240" w:lineRule="auto"/>
              <w:jc w:val="center"/>
              <w:rPr>
                <w:rFonts w:eastAsia="Times New Roman" w:cs="Times New Roman"/>
                <w:color w:val="17365D"/>
                <w:sz w:val="18"/>
                <w:szCs w:val="18"/>
                <w:lang w:eastAsia="lv-LV"/>
              </w:rPr>
            </w:pPr>
            <w:r>
              <w:rPr>
                <w:rFonts w:eastAsia="Times New Roman" w:cs="Times New Roman"/>
                <w:color w:val="17365D"/>
                <w:sz w:val="18"/>
                <w:szCs w:val="18"/>
                <w:lang w:eastAsia="lv-LV"/>
              </w:rPr>
              <w:t>FD.A12.</w:t>
            </w:r>
          </w:p>
        </w:tc>
        <w:tc>
          <w:tcPr>
            <w:tcW w:w="1417" w:type="dxa"/>
            <w:tcBorders>
              <w:top w:val="single" w:sz="4" w:space="0" w:color="auto"/>
              <w:bottom w:val="single" w:sz="4" w:space="0" w:color="auto"/>
            </w:tcBorders>
            <w:shd w:val="clear" w:color="F2F2F2" w:fill="FFFFFF"/>
            <w:noWrap/>
            <w:vAlign w:val="center"/>
          </w:tcPr>
          <w:p w14:paraId="00AEFF99" w14:textId="36012327" w:rsidR="002913B7" w:rsidRPr="00A27896" w:rsidRDefault="002913B7" w:rsidP="002913B7">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817 652 890</w:t>
            </w:r>
          </w:p>
        </w:tc>
        <w:tc>
          <w:tcPr>
            <w:tcW w:w="1451" w:type="dxa"/>
            <w:gridSpan w:val="2"/>
            <w:tcBorders>
              <w:top w:val="single" w:sz="4" w:space="0" w:color="auto"/>
              <w:bottom w:val="single" w:sz="4" w:space="0" w:color="auto"/>
            </w:tcBorders>
            <w:shd w:val="clear" w:color="F2F2F2" w:fill="FFFFFF"/>
            <w:noWrap/>
            <w:vAlign w:val="center"/>
          </w:tcPr>
          <w:p w14:paraId="54903200" w14:textId="64AE4E55" w:rsidR="002913B7" w:rsidRPr="00A27896" w:rsidRDefault="002913B7" w:rsidP="002913B7">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531 010 740</w:t>
            </w:r>
          </w:p>
        </w:tc>
        <w:tc>
          <w:tcPr>
            <w:tcW w:w="1559" w:type="dxa"/>
            <w:tcBorders>
              <w:top w:val="single" w:sz="4" w:space="0" w:color="auto"/>
              <w:bottom w:val="single" w:sz="4" w:space="0" w:color="auto"/>
            </w:tcBorders>
            <w:shd w:val="clear" w:color="auto" w:fill="auto"/>
            <w:noWrap/>
            <w:vAlign w:val="center"/>
          </w:tcPr>
          <w:p w14:paraId="3ADB044A" w14:textId="0DFFF171" w:rsidR="002913B7" w:rsidRPr="00A27896" w:rsidRDefault="002913B7" w:rsidP="00A8735F">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286 642 150</w:t>
            </w:r>
          </w:p>
        </w:tc>
        <w:tc>
          <w:tcPr>
            <w:tcW w:w="1134" w:type="dxa"/>
            <w:tcBorders>
              <w:top w:val="single" w:sz="4" w:space="0" w:color="auto"/>
              <w:bottom w:val="single" w:sz="4" w:space="0" w:color="auto"/>
            </w:tcBorders>
            <w:shd w:val="clear" w:color="auto" w:fill="auto"/>
            <w:vAlign w:val="center"/>
          </w:tcPr>
          <w:p w14:paraId="7F406B76" w14:textId="2EDE385F" w:rsidR="002913B7" w:rsidRPr="00A27896" w:rsidRDefault="002913B7" w:rsidP="00A8735F">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53.98</w:t>
            </w:r>
          </w:p>
        </w:tc>
      </w:tr>
      <w:tr w:rsidR="002913B7" w:rsidRPr="00A27896" w14:paraId="49CC4EDB" w14:textId="77777777" w:rsidTr="002559CD">
        <w:trPr>
          <w:gridBefore w:val="1"/>
          <w:wBefore w:w="98" w:type="dxa"/>
          <w:trHeight w:val="382"/>
        </w:trPr>
        <w:tc>
          <w:tcPr>
            <w:tcW w:w="2709" w:type="dxa"/>
            <w:tcBorders>
              <w:top w:val="single" w:sz="4" w:space="0" w:color="auto"/>
              <w:bottom w:val="single" w:sz="4" w:space="0" w:color="auto"/>
            </w:tcBorders>
            <w:shd w:val="clear" w:color="auto" w:fill="auto"/>
            <w:vAlign w:val="center"/>
          </w:tcPr>
          <w:p w14:paraId="51887149" w14:textId="77777777" w:rsidR="002913B7" w:rsidRPr="00A27896" w:rsidRDefault="002913B7" w:rsidP="002913B7">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Maksas pakalpojumi un citi pašu ieņēmumi</w:t>
            </w:r>
          </w:p>
        </w:tc>
        <w:tc>
          <w:tcPr>
            <w:tcW w:w="993" w:type="dxa"/>
            <w:gridSpan w:val="2"/>
            <w:tcBorders>
              <w:top w:val="single" w:sz="4" w:space="0" w:color="auto"/>
              <w:bottom w:val="single" w:sz="4" w:space="0" w:color="auto"/>
            </w:tcBorders>
            <w:shd w:val="clear" w:color="auto" w:fill="auto"/>
            <w:noWrap/>
            <w:vAlign w:val="center"/>
          </w:tcPr>
          <w:p w14:paraId="7A6EED76" w14:textId="77777777" w:rsidR="002913B7" w:rsidRPr="00A27896" w:rsidRDefault="002913B7" w:rsidP="002913B7">
            <w:pPr>
              <w:spacing w:after="0" w:line="240" w:lineRule="auto"/>
              <w:jc w:val="center"/>
              <w:rPr>
                <w:rFonts w:eastAsia="Times New Roman" w:cs="Times New Roman"/>
                <w:color w:val="17365D"/>
                <w:sz w:val="18"/>
                <w:szCs w:val="18"/>
                <w:lang w:eastAsia="lv-LV"/>
              </w:rPr>
            </w:pPr>
          </w:p>
        </w:tc>
        <w:tc>
          <w:tcPr>
            <w:tcW w:w="1417" w:type="dxa"/>
            <w:tcBorders>
              <w:top w:val="single" w:sz="4" w:space="0" w:color="auto"/>
              <w:bottom w:val="single" w:sz="4" w:space="0" w:color="auto"/>
            </w:tcBorders>
            <w:shd w:val="clear" w:color="F2F2F2" w:fill="FFFFFF"/>
            <w:noWrap/>
            <w:vAlign w:val="center"/>
          </w:tcPr>
          <w:p w14:paraId="0C98AFF2" w14:textId="1E255075" w:rsidR="002913B7" w:rsidRPr="00A27896" w:rsidRDefault="002913B7" w:rsidP="002913B7">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452 914 904</w:t>
            </w:r>
          </w:p>
        </w:tc>
        <w:tc>
          <w:tcPr>
            <w:tcW w:w="1451" w:type="dxa"/>
            <w:gridSpan w:val="2"/>
            <w:tcBorders>
              <w:top w:val="single" w:sz="4" w:space="0" w:color="auto"/>
              <w:bottom w:val="single" w:sz="4" w:space="0" w:color="auto"/>
            </w:tcBorders>
            <w:shd w:val="clear" w:color="F2F2F2" w:fill="FFFFFF"/>
            <w:noWrap/>
            <w:vAlign w:val="center"/>
          </w:tcPr>
          <w:p w14:paraId="58A295ED" w14:textId="188C57F9" w:rsidR="002913B7" w:rsidRPr="00A27896" w:rsidRDefault="002913B7" w:rsidP="002913B7">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399 029 441</w:t>
            </w:r>
          </w:p>
        </w:tc>
        <w:tc>
          <w:tcPr>
            <w:tcW w:w="1559" w:type="dxa"/>
            <w:tcBorders>
              <w:top w:val="single" w:sz="4" w:space="0" w:color="auto"/>
              <w:bottom w:val="single" w:sz="4" w:space="0" w:color="auto"/>
            </w:tcBorders>
            <w:shd w:val="clear" w:color="auto" w:fill="auto"/>
            <w:noWrap/>
            <w:vAlign w:val="center"/>
          </w:tcPr>
          <w:p w14:paraId="705E9C15" w14:textId="5B179929" w:rsidR="002913B7" w:rsidRPr="00A27896" w:rsidRDefault="002913B7" w:rsidP="00A8735F">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53 885 463</w:t>
            </w:r>
          </w:p>
        </w:tc>
        <w:tc>
          <w:tcPr>
            <w:tcW w:w="1134" w:type="dxa"/>
            <w:tcBorders>
              <w:top w:val="single" w:sz="4" w:space="0" w:color="auto"/>
              <w:bottom w:val="single" w:sz="4" w:space="0" w:color="auto"/>
            </w:tcBorders>
            <w:shd w:val="clear" w:color="auto" w:fill="auto"/>
            <w:vAlign w:val="center"/>
          </w:tcPr>
          <w:p w14:paraId="7896BC8C" w14:textId="335BB275" w:rsidR="002913B7" w:rsidRPr="00A27896" w:rsidRDefault="002913B7" w:rsidP="00A8735F">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13.50</w:t>
            </w:r>
          </w:p>
        </w:tc>
      </w:tr>
      <w:tr w:rsidR="002913B7" w:rsidRPr="00A27896" w14:paraId="0312F1E1" w14:textId="77777777" w:rsidTr="002559CD">
        <w:trPr>
          <w:gridBefore w:val="1"/>
          <w:wBefore w:w="98" w:type="dxa"/>
          <w:trHeight w:val="64"/>
        </w:trPr>
        <w:tc>
          <w:tcPr>
            <w:tcW w:w="2709" w:type="dxa"/>
            <w:tcBorders>
              <w:top w:val="single" w:sz="4" w:space="0" w:color="auto"/>
              <w:bottom w:val="single" w:sz="4" w:space="0" w:color="auto"/>
            </w:tcBorders>
            <w:shd w:val="clear" w:color="auto" w:fill="auto"/>
            <w:vAlign w:val="center"/>
          </w:tcPr>
          <w:p w14:paraId="3DF9F51C" w14:textId="77777777" w:rsidR="002913B7" w:rsidRPr="00A27896" w:rsidRDefault="002913B7" w:rsidP="002913B7">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Ārvalstu finanšu palīdzība</w:t>
            </w:r>
          </w:p>
        </w:tc>
        <w:tc>
          <w:tcPr>
            <w:tcW w:w="993" w:type="dxa"/>
            <w:gridSpan w:val="2"/>
            <w:tcBorders>
              <w:top w:val="single" w:sz="4" w:space="0" w:color="auto"/>
              <w:bottom w:val="single" w:sz="4" w:space="0" w:color="auto"/>
            </w:tcBorders>
            <w:shd w:val="clear" w:color="auto" w:fill="auto"/>
            <w:noWrap/>
            <w:vAlign w:val="center"/>
          </w:tcPr>
          <w:p w14:paraId="393D0CF0" w14:textId="77777777" w:rsidR="002913B7" w:rsidRPr="00A27896" w:rsidRDefault="002913B7" w:rsidP="002913B7">
            <w:pPr>
              <w:spacing w:after="0" w:line="240" w:lineRule="auto"/>
              <w:jc w:val="center"/>
              <w:rPr>
                <w:rFonts w:eastAsia="Times New Roman" w:cs="Times New Roman"/>
                <w:color w:val="17365D"/>
                <w:sz w:val="18"/>
                <w:szCs w:val="18"/>
                <w:lang w:eastAsia="lv-LV"/>
              </w:rPr>
            </w:pPr>
          </w:p>
        </w:tc>
        <w:tc>
          <w:tcPr>
            <w:tcW w:w="1417" w:type="dxa"/>
            <w:tcBorders>
              <w:top w:val="single" w:sz="4" w:space="0" w:color="auto"/>
              <w:bottom w:val="single" w:sz="4" w:space="0" w:color="auto"/>
            </w:tcBorders>
            <w:shd w:val="clear" w:color="F2F2F2" w:fill="FFFFFF"/>
            <w:noWrap/>
            <w:vAlign w:val="center"/>
          </w:tcPr>
          <w:p w14:paraId="76261DE3" w14:textId="5FD9EFF2" w:rsidR="002913B7" w:rsidRPr="00A27896" w:rsidRDefault="002913B7" w:rsidP="002913B7">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1 423 127 953</w:t>
            </w:r>
          </w:p>
        </w:tc>
        <w:tc>
          <w:tcPr>
            <w:tcW w:w="1451" w:type="dxa"/>
            <w:gridSpan w:val="2"/>
            <w:tcBorders>
              <w:top w:val="single" w:sz="4" w:space="0" w:color="auto"/>
              <w:bottom w:val="single" w:sz="4" w:space="0" w:color="auto"/>
            </w:tcBorders>
            <w:shd w:val="clear" w:color="F2F2F2" w:fill="FFFFFF"/>
            <w:noWrap/>
            <w:vAlign w:val="center"/>
          </w:tcPr>
          <w:p w14:paraId="2F559157" w14:textId="46D6EEA8" w:rsidR="002913B7" w:rsidRPr="00A27896" w:rsidRDefault="002913B7" w:rsidP="002913B7">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1 418 057 283</w:t>
            </w:r>
          </w:p>
        </w:tc>
        <w:tc>
          <w:tcPr>
            <w:tcW w:w="1559" w:type="dxa"/>
            <w:tcBorders>
              <w:top w:val="single" w:sz="4" w:space="0" w:color="auto"/>
              <w:bottom w:val="single" w:sz="4" w:space="0" w:color="auto"/>
            </w:tcBorders>
            <w:shd w:val="clear" w:color="auto" w:fill="auto"/>
            <w:noWrap/>
            <w:vAlign w:val="center"/>
          </w:tcPr>
          <w:p w14:paraId="00B58476" w14:textId="3E8E7168" w:rsidR="002913B7" w:rsidRPr="00A27896" w:rsidRDefault="002913B7" w:rsidP="00A8735F">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5 070 670</w:t>
            </w:r>
          </w:p>
        </w:tc>
        <w:tc>
          <w:tcPr>
            <w:tcW w:w="1134" w:type="dxa"/>
            <w:tcBorders>
              <w:top w:val="single" w:sz="4" w:space="0" w:color="auto"/>
              <w:bottom w:val="single" w:sz="4" w:space="0" w:color="auto"/>
            </w:tcBorders>
            <w:shd w:val="clear" w:color="auto" w:fill="auto"/>
            <w:vAlign w:val="center"/>
          </w:tcPr>
          <w:p w14:paraId="4EA74BC7" w14:textId="79A17C78" w:rsidR="002913B7" w:rsidRPr="00A27896" w:rsidRDefault="002913B7" w:rsidP="00A8735F">
            <w:pPr>
              <w:spacing w:after="0" w:line="240" w:lineRule="auto"/>
              <w:jc w:val="right"/>
              <w:rPr>
                <w:rFonts w:eastAsia="Arial Unicode MS" w:cs="Times New Roman"/>
                <w:color w:val="17365D"/>
                <w:sz w:val="18"/>
                <w:szCs w:val="18"/>
              </w:rPr>
            </w:pPr>
            <w:r w:rsidRPr="002913B7">
              <w:rPr>
                <w:rFonts w:eastAsia="Arial Unicode MS" w:cs="Times New Roman"/>
                <w:color w:val="17365D"/>
                <w:sz w:val="18"/>
                <w:szCs w:val="18"/>
              </w:rPr>
              <w:t>0.36</w:t>
            </w:r>
          </w:p>
        </w:tc>
      </w:tr>
      <w:tr w:rsidR="00474CB0" w:rsidRPr="00A27896" w14:paraId="610AA716" w14:textId="77777777" w:rsidTr="002559CD">
        <w:trPr>
          <w:gridBefore w:val="1"/>
          <w:wBefore w:w="98" w:type="dxa"/>
          <w:trHeight w:val="64"/>
        </w:trPr>
        <w:tc>
          <w:tcPr>
            <w:tcW w:w="2709" w:type="dxa"/>
            <w:tcBorders>
              <w:top w:val="single" w:sz="4" w:space="0" w:color="auto"/>
              <w:bottom w:val="single" w:sz="4" w:space="0" w:color="012169"/>
            </w:tcBorders>
            <w:shd w:val="clear" w:color="auto" w:fill="auto"/>
            <w:vAlign w:val="center"/>
          </w:tcPr>
          <w:p w14:paraId="279806B9" w14:textId="77777777" w:rsidR="00474CB0" w:rsidRPr="00A27896" w:rsidRDefault="00474CB0" w:rsidP="00474CB0">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Ziedojumi un dāvinājumi</w:t>
            </w:r>
          </w:p>
        </w:tc>
        <w:tc>
          <w:tcPr>
            <w:tcW w:w="993" w:type="dxa"/>
            <w:gridSpan w:val="2"/>
            <w:tcBorders>
              <w:top w:val="single" w:sz="4" w:space="0" w:color="auto"/>
              <w:bottom w:val="single" w:sz="4" w:space="0" w:color="auto"/>
            </w:tcBorders>
            <w:shd w:val="clear" w:color="auto" w:fill="auto"/>
            <w:noWrap/>
            <w:vAlign w:val="center"/>
          </w:tcPr>
          <w:p w14:paraId="0E469DD5" w14:textId="77777777" w:rsidR="00474CB0" w:rsidRPr="00A27896" w:rsidRDefault="00474CB0" w:rsidP="00474CB0">
            <w:pPr>
              <w:spacing w:after="0" w:line="240" w:lineRule="auto"/>
              <w:jc w:val="center"/>
              <w:rPr>
                <w:rFonts w:eastAsia="Times New Roman" w:cs="Times New Roman"/>
                <w:color w:val="17365D"/>
                <w:sz w:val="18"/>
                <w:szCs w:val="18"/>
                <w:lang w:eastAsia="lv-LV"/>
              </w:rPr>
            </w:pPr>
          </w:p>
        </w:tc>
        <w:tc>
          <w:tcPr>
            <w:tcW w:w="1417" w:type="dxa"/>
            <w:tcBorders>
              <w:top w:val="single" w:sz="4" w:space="0" w:color="auto"/>
              <w:bottom w:val="single" w:sz="4" w:space="0" w:color="auto"/>
            </w:tcBorders>
            <w:shd w:val="clear" w:color="F2F2F2" w:fill="FFFFFF"/>
            <w:noWrap/>
            <w:vAlign w:val="center"/>
          </w:tcPr>
          <w:p w14:paraId="4621B7D0" w14:textId="44557074" w:rsidR="00474CB0" w:rsidRPr="00A27896" w:rsidRDefault="00474CB0" w:rsidP="00474CB0">
            <w:pPr>
              <w:spacing w:after="0" w:line="240" w:lineRule="auto"/>
              <w:jc w:val="right"/>
              <w:rPr>
                <w:rFonts w:eastAsia="Arial Unicode MS" w:cs="Times New Roman"/>
                <w:color w:val="17365D"/>
                <w:sz w:val="18"/>
                <w:szCs w:val="18"/>
              </w:rPr>
            </w:pPr>
            <w:r w:rsidRPr="00474CB0">
              <w:rPr>
                <w:rFonts w:eastAsia="Arial Unicode MS" w:cs="Times New Roman"/>
                <w:color w:val="17365D"/>
                <w:sz w:val="18"/>
                <w:szCs w:val="18"/>
              </w:rPr>
              <w:t>22 170 906</w:t>
            </w:r>
          </w:p>
        </w:tc>
        <w:tc>
          <w:tcPr>
            <w:tcW w:w="1451" w:type="dxa"/>
            <w:gridSpan w:val="2"/>
            <w:tcBorders>
              <w:top w:val="single" w:sz="4" w:space="0" w:color="auto"/>
              <w:bottom w:val="single" w:sz="4" w:space="0" w:color="auto"/>
            </w:tcBorders>
            <w:shd w:val="clear" w:color="F2F2F2" w:fill="FFFFFF"/>
            <w:noWrap/>
            <w:vAlign w:val="center"/>
          </w:tcPr>
          <w:p w14:paraId="169592B0" w14:textId="1CC7DA39" w:rsidR="00474CB0" w:rsidRPr="00A27896" w:rsidRDefault="00474CB0" w:rsidP="00474CB0">
            <w:pPr>
              <w:spacing w:after="0" w:line="240" w:lineRule="auto"/>
              <w:jc w:val="right"/>
              <w:rPr>
                <w:rFonts w:eastAsia="Arial Unicode MS" w:cs="Times New Roman"/>
                <w:color w:val="17365D"/>
                <w:sz w:val="18"/>
                <w:szCs w:val="18"/>
              </w:rPr>
            </w:pPr>
            <w:r w:rsidRPr="00474CB0">
              <w:rPr>
                <w:rFonts w:eastAsia="Arial Unicode MS" w:cs="Times New Roman"/>
                <w:color w:val="17365D"/>
                <w:sz w:val="18"/>
                <w:szCs w:val="18"/>
              </w:rPr>
              <w:t>34 663 334</w:t>
            </w:r>
          </w:p>
        </w:tc>
        <w:tc>
          <w:tcPr>
            <w:tcW w:w="1559" w:type="dxa"/>
            <w:tcBorders>
              <w:top w:val="single" w:sz="4" w:space="0" w:color="auto"/>
              <w:bottom w:val="single" w:sz="4" w:space="0" w:color="auto"/>
            </w:tcBorders>
            <w:shd w:val="clear" w:color="auto" w:fill="auto"/>
            <w:noWrap/>
            <w:vAlign w:val="center"/>
          </w:tcPr>
          <w:p w14:paraId="0329218A" w14:textId="3A0B8C82" w:rsidR="00474CB0" w:rsidRPr="00A27896" w:rsidRDefault="00474CB0" w:rsidP="00A8735F">
            <w:pPr>
              <w:spacing w:after="0" w:line="240" w:lineRule="auto"/>
              <w:jc w:val="right"/>
              <w:rPr>
                <w:rFonts w:eastAsia="Arial Unicode MS" w:cs="Times New Roman"/>
                <w:color w:val="17365D"/>
                <w:sz w:val="18"/>
                <w:szCs w:val="18"/>
              </w:rPr>
            </w:pPr>
            <w:r w:rsidRPr="00474CB0">
              <w:rPr>
                <w:rFonts w:eastAsia="Arial Unicode MS" w:cs="Times New Roman"/>
                <w:color w:val="17365D"/>
                <w:sz w:val="18"/>
                <w:szCs w:val="18"/>
              </w:rPr>
              <w:t>-12 492 428</w:t>
            </w:r>
          </w:p>
        </w:tc>
        <w:tc>
          <w:tcPr>
            <w:tcW w:w="1134" w:type="dxa"/>
            <w:tcBorders>
              <w:top w:val="single" w:sz="4" w:space="0" w:color="auto"/>
              <w:bottom w:val="single" w:sz="4" w:space="0" w:color="auto"/>
            </w:tcBorders>
            <w:shd w:val="clear" w:color="auto" w:fill="auto"/>
            <w:vAlign w:val="center"/>
          </w:tcPr>
          <w:p w14:paraId="5BF85611" w14:textId="681A1BDC" w:rsidR="00474CB0" w:rsidRPr="00A27896" w:rsidRDefault="00474CB0" w:rsidP="00A8735F">
            <w:pPr>
              <w:spacing w:after="0" w:line="240" w:lineRule="auto"/>
              <w:jc w:val="right"/>
              <w:rPr>
                <w:rFonts w:eastAsia="Arial Unicode MS" w:cs="Times New Roman"/>
                <w:color w:val="17365D"/>
                <w:sz w:val="18"/>
                <w:szCs w:val="18"/>
              </w:rPr>
            </w:pPr>
            <w:r w:rsidRPr="00474CB0">
              <w:rPr>
                <w:rFonts w:eastAsia="Arial Unicode MS" w:cs="Times New Roman"/>
                <w:color w:val="17365D"/>
                <w:sz w:val="18"/>
                <w:szCs w:val="18"/>
              </w:rPr>
              <w:t>-36.04</w:t>
            </w:r>
          </w:p>
        </w:tc>
      </w:tr>
      <w:tr w:rsidR="00474CB0" w:rsidRPr="00A27896" w14:paraId="22E3D2E1" w14:textId="77777777" w:rsidTr="002559CD">
        <w:trPr>
          <w:gridBefore w:val="1"/>
          <w:wBefore w:w="98" w:type="dxa"/>
          <w:trHeight w:val="64"/>
        </w:trPr>
        <w:tc>
          <w:tcPr>
            <w:tcW w:w="2709" w:type="dxa"/>
            <w:tcBorders>
              <w:top w:val="single" w:sz="4" w:space="0" w:color="012169"/>
              <w:bottom w:val="single" w:sz="4" w:space="0" w:color="012169"/>
            </w:tcBorders>
            <w:shd w:val="clear" w:color="auto" w:fill="auto"/>
            <w:vAlign w:val="center"/>
          </w:tcPr>
          <w:p w14:paraId="70B8F0D3" w14:textId="77777777" w:rsidR="00474CB0" w:rsidRPr="00A27896" w:rsidRDefault="00474CB0" w:rsidP="00474CB0">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Procentu ieņēmumi</w:t>
            </w:r>
          </w:p>
        </w:tc>
        <w:tc>
          <w:tcPr>
            <w:tcW w:w="993" w:type="dxa"/>
            <w:gridSpan w:val="2"/>
            <w:tcBorders>
              <w:top w:val="single" w:sz="4" w:space="0" w:color="auto"/>
              <w:bottom w:val="single" w:sz="4" w:space="0" w:color="auto"/>
            </w:tcBorders>
            <w:shd w:val="clear" w:color="auto" w:fill="auto"/>
            <w:noWrap/>
            <w:vAlign w:val="center"/>
          </w:tcPr>
          <w:p w14:paraId="01FBB5D5" w14:textId="70DFF186" w:rsidR="00474CB0" w:rsidRPr="00A27896" w:rsidRDefault="00474CB0" w:rsidP="00474CB0">
            <w:pPr>
              <w:spacing w:after="0" w:line="240" w:lineRule="auto"/>
              <w:jc w:val="center"/>
              <w:rPr>
                <w:rFonts w:eastAsia="Times New Roman" w:cs="Times New Roman"/>
                <w:color w:val="17365D"/>
                <w:sz w:val="18"/>
                <w:szCs w:val="18"/>
                <w:lang w:eastAsia="lv-LV"/>
              </w:rPr>
            </w:pPr>
          </w:p>
        </w:tc>
        <w:tc>
          <w:tcPr>
            <w:tcW w:w="1417" w:type="dxa"/>
            <w:tcBorders>
              <w:top w:val="single" w:sz="4" w:space="0" w:color="auto"/>
              <w:bottom w:val="single" w:sz="4" w:space="0" w:color="auto"/>
            </w:tcBorders>
            <w:shd w:val="clear" w:color="F2F2F2" w:fill="FFFFFF"/>
            <w:noWrap/>
            <w:vAlign w:val="center"/>
          </w:tcPr>
          <w:p w14:paraId="307B6480" w14:textId="4CABAF72" w:rsidR="00474CB0" w:rsidRPr="00A27896" w:rsidRDefault="00474CB0" w:rsidP="00474CB0">
            <w:pPr>
              <w:spacing w:after="0" w:line="240" w:lineRule="auto"/>
              <w:jc w:val="right"/>
              <w:rPr>
                <w:rFonts w:eastAsia="Arial Unicode MS" w:cs="Times New Roman"/>
                <w:color w:val="17365D"/>
                <w:sz w:val="18"/>
                <w:szCs w:val="18"/>
              </w:rPr>
            </w:pPr>
            <w:r w:rsidRPr="00474CB0">
              <w:rPr>
                <w:rFonts w:eastAsia="Arial Unicode MS" w:cs="Times New Roman"/>
                <w:color w:val="17365D"/>
                <w:sz w:val="18"/>
                <w:szCs w:val="18"/>
              </w:rPr>
              <w:t>62 438 548</w:t>
            </w:r>
          </w:p>
        </w:tc>
        <w:tc>
          <w:tcPr>
            <w:tcW w:w="1451" w:type="dxa"/>
            <w:gridSpan w:val="2"/>
            <w:tcBorders>
              <w:top w:val="single" w:sz="4" w:space="0" w:color="auto"/>
              <w:bottom w:val="single" w:sz="4" w:space="0" w:color="auto"/>
            </w:tcBorders>
            <w:shd w:val="clear" w:color="F2F2F2" w:fill="FFFFFF"/>
            <w:noWrap/>
            <w:vAlign w:val="center"/>
          </w:tcPr>
          <w:p w14:paraId="08CB5E38" w14:textId="71769129" w:rsidR="00474CB0" w:rsidRPr="00A27896" w:rsidRDefault="00474CB0" w:rsidP="00474CB0">
            <w:pPr>
              <w:spacing w:after="0" w:line="240" w:lineRule="auto"/>
              <w:jc w:val="right"/>
              <w:rPr>
                <w:rFonts w:eastAsia="Arial Unicode MS" w:cs="Times New Roman"/>
                <w:color w:val="17365D"/>
                <w:sz w:val="18"/>
                <w:szCs w:val="18"/>
              </w:rPr>
            </w:pPr>
            <w:r w:rsidRPr="00474CB0">
              <w:rPr>
                <w:rFonts w:eastAsia="Arial Unicode MS" w:cs="Times New Roman"/>
                <w:color w:val="17365D"/>
                <w:sz w:val="18"/>
                <w:szCs w:val="18"/>
              </w:rPr>
              <w:t>38 296 926</w:t>
            </w:r>
          </w:p>
        </w:tc>
        <w:tc>
          <w:tcPr>
            <w:tcW w:w="1559" w:type="dxa"/>
            <w:tcBorders>
              <w:top w:val="single" w:sz="4" w:space="0" w:color="auto"/>
              <w:bottom w:val="single" w:sz="4" w:space="0" w:color="auto"/>
            </w:tcBorders>
            <w:shd w:val="clear" w:color="auto" w:fill="auto"/>
            <w:noWrap/>
            <w:vAlign w:val="center"/>
          </w:tcPr>
          <w:p w14:paraId="7CEA3B0B" w14:textId="6CABCF8C" w:rsidR="00474CB0" w:rsidRPr="00A27896" w:rsidRDefault="00474CB0" w:rsidP="00A8735F">
            <w:pPr>
              <w:spacing w:after="0" w:line="240" w:lineRule="auto"/>
              <w:jc w:val="right"/>
              <w:rPr>
                <w:rFonts w:eastAsia="Arial Unicode MS" w:cs="Times New Roman"/>
                <w:color w:val="17365D"/>
                <w:sz w:val="18"/>
                <w:szCs w:val="18"/>
              </w:rPr>
            </w:pPr>
            <w:r w:rsidRPr="00474CB0">
              <w:rPr>
                <w:rFonts w:eastAsia="Arial Unicode MS" w:cs="Times New Roman"/>
                <w:color w:val="17365D"/>
                <w:sz w:val="18"/>
                <w:szCs w:val="18"/>
              </w:rPr>
              <w:t>24 141 622</w:t>
            </w:r>
          </w:p>
        </w:tc>
        <w:tc>
          <w:tcPr>
            <w:tcW w:w="1134" w:type="dxa"/>
            <w:tcBorders>
              <w:top w:val="single" w:sz="4" w:space="0" w:color="auto"/>
              <w:bottom w:val="single" w:sz="4" w:space="0" w:color="auto"/>
            </w:tcBorders>
            <w:shd w:val="clear" w:color="auto" w:fill="auto"/>
            <w:vAlign w:val="center"/>
          </w:tcPr>
          <w:p w14:paraId="40E817BF" w14:textId="16461F3B" w:rsidR="00474CB0" w:rsidRPr="00A27896" w:rsidRDefault="00474CB0" w:rsidP="00A8735F">
            <w:pPr>
              <w:spacing w:after="0" w:line="240" w:lineRule="auto"/>
              <w:jc w:val="right"/>
              <w:rPr>
                <w:rFonts w:eastAsia="Arial Unicode MS" w:cs="Times New Roman"/>
                <w:color w:val="17365D"/>
                <w:sz w:val="18"/>
                <w:szCs w:val="18"/>
              </w:rPr>
            </w:pPr>
            <w:r w:rsidRPr="00474CB0">
              <w:rPr>
                <w:rFonts w:eastAsia="Arial Unicode MS" w:cs="Times New Roman"/>
                <w:color w:val="17365D"/>
                <w:sz w:val="18"/>
                <w:szCs w:val="18"/>
              </w:rPr>
              <w:t>63.04</w:t>
            </w:r>
          </w:p>
        </w:tc>
      </w:tr>
      <w:tr w:rsidR="00474CB0" w:rsidRPr="00A27896" w14:paraId="134ABD71" w14:textId="77777777" w:rsidTr="002559CD">
        <w:trPr>
          <w:gridBefore w:val="1"/>
          <w:wBefore w:w="98" w:type="dxa"/>
          <w:trHeight w:val="64"/>
        </w:trPr>
        <w:tc>
          <w:tcPr>
            <w:tcW w:w="2709" w:type="dxa"/>
            <w:tcBorders>
              <w:top w:val="single" w:sz="4" w:space="0" w:color="012169"/>
              <w:bottom w:val="single" w:sz="4" w:space="0" w:color="012169"/>
            </w:tcBorders>
            <w:shd w:val="clear" w:color="auto" w:fill="auto"/>
            <w:vAlign w:val="center"/>
          </w:tcPr>
          <w:p w14:paraId="191DC913" w14:textId="77777777" w:rsidR="00474CB0" w:rsidRPr="00A27896" w:rsidRDefault="00474CB0" w:rsidP="00474CB0">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ieņēmumi, kas nav klasificēti A11 līdz A18 rindā</w:t>
            </w:r>
          </w:p>
        </w:tc>
        <w:tc>
          <w:tcPr>
            <w:tcW w:w="993" w:type="dxa"/>
            <w:gridSpan w:val="2"/>
            <w:tcBorders>
              <w:top w:val="single" w:sz="4" w:space="0" w:color="auto"/>
            </w:tcBorders>
            <w:shd w:val="clear" w:color="auto" w:fill="auto"/>
            <w:noWrap/>
            <w:vAlign w:val="center"/>
          </w:tcPr>
          <w:p w14:paraId="26B78E62" w14:textId="04623F8E" w:rsidR="00474CB0" w:rsidRPr="00A27896" w:rsidRDefault="00474CB0" w:rsidP="00474CB0">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FD.A19</w:t>
            </w:r>
            <w:r>
              <w:rPr>
                <w:rFonts w:eastAsia="Times New Roman" w:cs="Times New Roman"/>
                <w:color w:val="17365D"/>
                <w:sz w:val="18"/>
                <w:szCs w:val="18"/>
                <w:lang w:eastAsia="lv-LV"/>
              </w:rPr>
              <w:t>.</w:t>
            </w:r>
          </w:p>
        </w:tc>
        <w:tc>
          <w:tcPr>
            <w:tcW w:w="1417" w:type="dxa"/>
            <w:tcBorders>
              <w:top w:val="single" w:sz="4" w:space="0" w:color="auto"/>
            </w:tcBorders>
            <w:shd w:val="clear" w:color="F2F2F2" w:fill="FFFFFF"/>
            <w:noWrap/>
            <w:vAlign w:val="center"/>
          </w:tcPr>
          <w:p w14:paraId="6ADE0D15" w14:textId="1B28C72B" w:rsidR="00474CB0" w:rsidRPr="00A27896" w:rsidRDefault="00474CB0" w:rsidP="00A8735F">
            <w:pPr>
              <w:spacing w:after="0" w:line="240" w:lineRule="auto"/>
              <w:jc w:val="right"/>
              <w:rPr>
                <w:rFonts w:eastAsia="Arial Unicode MS" w:cs="Times New Roman"/>
                <w:color w:val="17365D"/>
                <w:sz w:val="18"/>
                <w:szCs w:val="18"/>
              </w:rPr>
            </w:pPr>
            <w:r w:rsidRPr="00474CB0">
              <w:rPr>
                <w:rFonts w:eastAsia="Arial Unicode MS" w:cs="Times New Roman"/>
                <w:color w:val="17365D"/>
                <w:sz w:val="18"/>
                <w:szCs w:val="18"/>
              </w:rPr>
              <w:t>2 338 864 800</w:t>
            </w:r>
          </w:p>
        </w:tc>
        <w:tc>
          <w:tcPr>
            <w:tcW w:w="1451" w:type="dxa"/>
            <w:gridSpan w:val="2"/>
            <w:tcBorders>
              <w:top w:val="single" w:sz="4" w:space="0" w:color="auto"/>
            </w:tcBorders>
            <w:shd w:val="clear" w:color="F2F2F2" w:fill="FFFFFF"/>
            <w:noWrap/>
            <w:vAlign w:val="center"/>
          </w:tcPr>
          <w:p w14:paraId="63A8C368" w14:textId="066D80F6" w:rsidR="00474CB0" w:rsidRPr="00A27896" w:rsidRDefault="00474CB0" w:rsidP="00A8735F">
            <w:pPr>
              <w:spacing w:after="0" w:line="240" w:lineRule="auto"/>
              <w:jc w:val="right"/>
              <w:rPr>
                <w:rFonts w:eastAsia="Arial Unicode MS" w:cs="Times New Roman"/>
                <w:color w:val="17365D"/>
                <w:sz w:val="18"/>
                <w:szCs w:val="18"/>
              </w:rPr>
            </w:pPr>
            <w:r w:rsidRPr="00474CB0">
              <w:rPr>
                <w:rFonts w:eastAsia="Arial Unicode MS" w:cs="Times New Roman"/>
                <w:color w:val="17365D"/>
                <w:sz w:val="18"/>
                <w:szCs w:val="18"/>
              </w:rPr>
              <w:t>1 212 373 595</w:t>
            </w:r>
          </w:p>
        </w:tc>
        <w:tc>
          <w:tcPr>
            <w:tcW w:w="1559" w:type="dxa"/>
            <w:tcBorders>
              <w:top w:val="single" w:sz="4" w:space="0" w:color="auto"/>
            </w:tcBorders>
            <w:shd w:val="clear" w:color="auto" w:fill="auto"/>
            <w:noWrap/>
            <w:vAlign w:val="center"/>
          </w:tcPr>
          <w:p w14:paraId="5C5D5275" w14:textId="31F903A8" w:rsidR="00474CB0" w:rsidRPr="00A27896" w:rsidRDefault="00474CB0" w:rsidP="00A8735F">
            <w:pPr>
              <w:spacing w:after="0" w:line="240" w:lineRule="auto"/>
              <w:jc w:val="right"/>
              <w:rPr>
                <w:rFonts w:eastAsia="Arial Unicode MS" w:cs="Times New Roman"/>
                <w:color w:val="17365D"/>
                <w:sz w:val="18"/>
                <w:szCs w:val="18"/>
              </w:rPr>
            </w:pPr>
            <w:r w:rsidRPr="00474CB0">
              <w:rPr>
                <w:rFonts w:eastAsia="Arial Unicode MS" w:cs="Times New Roman"/>
                <w:color w:val="17365D"/>
                <w:sz w:val="18"/>
                <w:szCs w:val="18"/>
              </w:rPr>
              <w:t>1 126 491 205</w:t>
            </w:r>
          </w:p>
        </w:tc>
        <w:tc>
          <w:tcPr>
            <w:tcW w:w="1134" w:type="dxa"/>
            <w:tcBorders>
              <w:top w:val="single" w:sz="4" w:space="0" w:color="auto"/>
            </w:tcBorders>
            <w:shd w:val="clear" w:color="auto" w:fill="auto"/>
            <w:vAlign w:val="center"/>
          </w:tcPr>
          <w:p w14:paraId="03313F01" w14:textId="390E16E7" w:rsidR="00474CB0" w:rsidRPr="00A27896" w:rsidRDefault="00474CB0" w:rsidP="00A8735F">
            <w:pPr>
              <w:spacing w:after="0" w:line="240" w:lineRule="auto"/>
              <w:jc w:val="right"/>
              <w:rPr>
                <w:rFonts w:eastAsia="Arial Unicode MS" w:cs="Times New Roman"/>
                <w:color w:val="17365D"/>
                <w:sz w:val="18"/>
                <w:szCs w:val="18"/>
              </w:rPr>
            </w:pPr>
            <w:r w:rsidRPr="00474CB0">
              <w:rPr>
                <w:rFonts w:eastAsia="Arial Unicode MS" w:cs="Times New Roman"/>
                <w:color w:val="17365D"/>
                <w:sz w:val="18"/>
                <w:szCs w:val="18"/>
              </w:rPr>
              <w:t>92.92</w:t>
            </w:r>
          </w:p>
        </w:tc>
      </w:tr>
      <w:tr w:rsidR="00990063" w:rsidRPr="00A27896" w14:paraId="72E55605" w14:textId="77777777" w:rsidTr="002559CD">
        <w:tblPrEx>
          <w:tblBorders>
            <w:insideH w:val="single" w:sz="4" w:space="0" w:color="auto"/>
          </w:tblBorders>
        </w:tblPrEx>
        <w:trPr>
          <w:trHeight w:val="70"/>
        </w:trPr>
        <w:tc>
          <w:tcPr>
            <w:tcW w:w="3691" w:type="dxa"/>
            <w:gridSpan w:val="3"/>
            <w:tcBorders>
              <w:top w:val="single" w:sz="4" w:space="0" w:color="17365D"/>
            </w:tcBorders>
            <w:shd w:val="clear" w:color="auto" w:fill="B8CCE4" w:themeFill="accent1" w:themeFillTint="66"/>
            <w:vAlign w:val="center"/>
          </w:tcPr>
          <w:p w14:paraId="3860A052" w14:textId="77777777" w:rsidR="00990063" w:rsidRPr="00A27896" w:rsidRDefault="00990063" w:rsidP="00162DBF">
            <w:pPr>
              <w:spacing w:after="0" w:line="240" w:lineRule="auto"/>
              <w:rPr>
                <w:rFonts w:eastAsia="Times New Roman" w:cs="Times New Roman"/>
                <w:color w:val="17365D"/>
                <w:sz w:val="18"/>
                <w:szCs w:val="18"/>
                <w:lang w:eastAsia="lv-LV"/>
              </w:rPr>
            </w:pPr>
          </w:p>
        </w:tc>
        <w:tc>
          <w:tcPr>
            <w:tcW w:w="2835" w:type="dxa"/>
            <w:gridSpan w:val="3"/>
            <w:tcBorders>
              <w:top w:val="single" w:sz="4" w:space="0" w:color="17365D"/>
            </w:tcBorders>
            <w:shd w:val="clear" w:color="auto" w:fill="B8CCE4" w:themeFill="accent1" w:themeFillTint="66"/>
            <w:vAlign w:val="center"/>
          </w:tcPr>
          <w:p w14:paraId="6DF33577" w14:textId="77777777" w:rsidR="00990063" w:rsidRPr="00A27896" w:rsidRDefault="00990063" w:rsidP="00162DBF">
            <w:pPr>
              <w:spacing w:after="0" w:line="240" w:lineRule="auto"/>
              <w:jc w:val="right"/>
              <w:rPr>
                <w:rFonts w:eastAsia="Times New Roman" w:cs="Times New Roman"/>
                <w:color w:val="17365D"/>
                <w:sz w:val="18"/>
                <w:szCs w:val="18"/>
                <w:lang w:eastAsia="lv-LV"/>
              </w:rPr>
            </w:pPr>
          </w:p>
        </w:tc>
        <w:tc>
          <w:tcPr>
            <w:tcW w:w="2835" w:type="dxa"/>
            <w:gridSpan w:val="3"/>
            <w:tcBorders>
              <w:top w:val="single" w:sz="4" w:space="0" w:color="17365D"/>
            </w:tcBorders>
            <w:shd w:val="clear" w:color="auto" w:fill="B8CCE4" w:themeFill="accent1" w:themeFillTint="66"/>
          </w:tcPr>
          <w:p w14:paraId="2657019B" w14:textId="77777777" w:rsidR="00990063" w:rsidRPr="00A27896" w:rsidRDefault="00990063" w:rsidP="00162DBF">
            <w:pPr>
              <w:spacing w:after="0" w:line="240" w:lineRule="auto"/>
              <w:jc w:val="right"/>
              <w:rPr>
                <w:rFonts w:eastAsia="Times New Roman" w:cs="Times New Roman"/>
                <w:color w:val="17365D"/>
                <w:sz w:val="18"/>
                <w:szCs w:val="18"/>
                <w:lang w:eastAsia="lv-LV"/>
              </w:rPr>
            </w:pPr>
          </w:p>
        </w:tc>
      </w:tr>
    </w:tbl>
    <w:p w14:paraId="2A5DE6A1" w14:textId="79580804" w:rsidR="00595B2B" w:rsidRPr="00A27896" w:rsidRDefault="004A6291" w:rsidP="00A24A96">
      <w:pPr>
        <w:pStyle w:val="Pamatteksts"/>
        <w:spacing w:before="120"/>
        <w:ind w:firstLine="284"/>
        <w:rPr>
          <w:rFonts w:eastAsia="Arial Unicode MS"/>
          <w:noProof w:val="0"/>
          <w:color w:val="17365D"/>
          <w:lang w:eastAsia="en-US"/>
        </w:rPr>
      </w:pPr>
      <w:r w:rsidRPr="00A27896">
        <w:rPr>
          <w:rFonts w:eastAsia="Arial Unicode MS"/>
          <w:noProof w:val="0"/>
          <w:color w:val="17365D"/>
          <w:u w:val="single"/>
          <w:lang w:eastAsia="en-US"/>
        </w:rPr>
        <w:t xml:space="preserve">Ieņēmumi </w:t>
      </w:r>
      <w:r w:rsidR="00595B2B" w:rsidRPr="00A27896">
        <w:rPr>
          <w:rFonts w:eastAsia="Arial Unicode MS"/>
          <w:noProof w:val="0"/>
          <w:color w:val="17365D"/>
          <w:lang w:eastAsia="en-US"/>
        </w:rPr>
        <w:t>salīdzinājumā ar 20</w:t>
      </w:r>
      <w:r w:rsidR="004D577C" w:rsidRPr="00A27896">
        <w:rPr>
          <w:rFonts w:eastAsia="Arial Unicode MS"/>
          <w:noProof w:val="0"/>
          <w:color w:val="17365D"/>
          <w:lang w:eastAsia="en-US"/>
        </w:rPr>
        <w:t>2</w:t>
      </w:r>
      <w:r w:rsidR="0049451D" w:rsidRPr="00A27896">
        <w:rPr>
          <w:rFonts w:eastAsia="Arial Unicode MS"/>
          <w:noProof w:val="0"/>
          <w:color w:val="17365D"/>
          <w:lang w:eastAsia="en-US"/>
        </w:rPr>
        <w:t>1</w:t>
      </w:r>
      <w:r w:rsidR="004D577C" w:rsidRPr="00A27896">
        <w:rPr>
          <w:rFonts w:eastAsia="Arial Unicode MS"/>
          <w:noProof w:val="0"/>
          <w:color w:val="17365D"/>
          <w:lang w:eastAsia="en-US"/>
        </w:rPr>
        <w:t xml:space="preserve">. gadu palielinājušies par </w:t>
      </w:r>
      <w:r w:rsidR="0049451D" w:rsidRPr="00A27896">
        <w:rPr>
          <w:rFonts w:eastAsia="Arial Unicode MS"/>
          <w:noProof w:val="0"/>
          <w:color w:val="17365D"/>
          <w:lang w:eastAsia="en-US"/>
        </w:rPr>
        <w:t>3 </w:t>
      </w:r>
      <w:r w:rsidR="00474CB0">
        <w:rPr>
          <w:rFonts w:eastAsia="Arial Unicode MS"/>
          <w:noProof w:val="0"/>
          <w:color w:val="17365D"/>
          <w:lang w:eastAsia="en-US"/>
        </w:rPr>
        <w:t>060</w:t>
      </w:r>
      <w:r w:rsidR="00474CB0" w:rsidRPr="00A27896">
        <w:rPr>
          <w:rFonts w:eastAsia="Arial Unicode MS"/>
          <w:noProof w:val="0"/>
          <w:color w:val="17365D"/>
          <w:lang w:eastAsia="en-US"/>
        </w:rPr>
        <w:t> </w:t>
      </w:r>
      <w:r w:rsidR="00474CB0">
        <w:rPr>
          <w:rFonts w:eastAsia="Arial Unicode MS"/>
          <w:noProof w:val="0"/>
          <w:color w:val="17365D"/>
          <w:lang w:eastAsia="en-US"/>
        </w:rPr>
        <w:t>397</w:t>
      </w:r>
      <w:r w:rsidR="00474CB0" w:rsidRPr="00A27896">
        <w:rPr>
          <w:rFonts w:eastAsia="Arial Unicode MS"/>
          <w:noProof w:val="0"/>
          <w:color w:val="17365D"/>
          <w:lang w:eastAsia="en-US"/>
        </w:rPr>
        <w:t> </w:t>
      </w:r>
      <w:r w:rsidR="00474CB0">
        <w:rPr>
          <w:rFonts w:eastAsia="Arial Unicode MS"/>
          <w:noProof w:val="0"/>
          <w:color w:val="17365D"/>
          <w:lang w:eastAsia="en-US"/>
        </w:rPr>
        <w:t>972</w:t>
      </w:r>
      <w:r w:rsidR="00474CB0" w:rsidRPr="00A27896">
        <w:rPr>
          <w:rFonts w:eastAsia="Arial Unicode MS"/>
          <w:noProof w:val="0"/>
          <w:color w:val="17365D"/>
          <w:lang w:eastAsia="en-US"/>
        </w:rPr>
        <w:t xml:space="preserve"> </w:t>
      </w:r>
      <w:proofErr w:type="spellStart"/>
      <w:r w:rsidR="00595B2B" w:rsidRPr="00A27896">
        <w:rPr>
          <w:rFonts w:eastAsia="Arial Unicode MS"/>
          <w:i/>
          <w:noProof w:val="0"/>
          <w:color w:val="17365D"/>
          <w:lang w:eastAsia="en-US"/>
        </w:rPr>
        <w:t>euro</w:t>
      </w:r>
      <w:proofErr w:type="spellEnd"/>
      <w:r w:rsidR="00595B2B" w:rsidRPr="00A27896">
        <w:rPr>
          <w:rFonts w:eastAsia="Arial Unicode MS"/>
          <w:i/>
          <w:noProof w:val="0"/>
          <w:color w:val="17365D"/>
          <w:lang w:eastAsia="en-US"/>
        </w:rPr>
        <w:t>.</w:t>
      </w:r>
      <w:r w:rsidR="00595B2B" w:rsidRPr="00A27896">
        <w:rPr>
          <w:rFonts w:eastAsia="Arial Unicode MS"/>
          <w:noProof w:val="0"/>
          <w:color w:val="17365D"/>
          <w:lang w:eastAsia="en-US"/>
        </w:rPr>
        <w:t xml:space="preserve"> </w:t>
      </w:r>
    </w:p>
    <w:p w14:paraId="19B61421" w14:textId="3B52BDF6" w:rsidR="008911F1" w:rsidRPr="00A27896" w:rsidRDefault="00595B2B" w:rsidP="00B55F13">
      <w:pPr>
        <w:pStyle w:val="Pamatteksts"/>
        <w:spacing w:before="120"/>
        <w:ind w:firstLine="284"/>
        <w:rPr>
          <w:rFonts w:eastAsia="Arial Unicode MS"/>
          <w:noProof w:val="0"/>
          <w:color w:val="17365D"/>
          <w:lang w:eastAsia="en-US"/>
        </w:rPr>
      </w:pPr>
      <w:r w:rsidRPr="00A27896">
        <w:rPr>
          <w:color w:val="17365D"/>
        </w:rPr>
        <w:t>Saskaņā ar pašvaldību, Labklājības ministrijas</w:t>
      </w:r>
      <w:r w:rsidR="009A1BFA" w:rsidRPr="00A27896">
        <w:rPr>
          <w:color w:val="17365D"/>
        </w:rPr>
        <w:t>,</w:t>
      </w:r>
      <w:r w:rsidR="00BA7015" w:rsidRPr="00A27896">
        <w:rPr>
          <w:color w:val="17365D"/>
        </w:rPr>
        <w:t>VID</w:t>
      </w:r>
      <w:r w:rsidRPr="00A27896">
        <w:rPr>
          <w:color w:val="17365D"/>
        </w:rPr>
        <w:t xml:space="preserve"> ikgadējā pārskatā par tā administrētajiem valsts budžeta ieņēmumiem </w:t>
      </w:r>
      <w:r w:rsidR="009A1BFA" w:rsidRPr="00A27896">
        <w:rPr>
          <w:color w:val="17365D"/>
        </w:rPr>
        <w:t xml:space="preserve">un </w:t>
      </w:r>
      <w:r w:rsidR="005A324E" w:rsidRPr="00A27896">
        <w:rPr>
          <w:color w:val="17365D"/>
        </w:rPr>
        <w:t xml:space="preserve">ikgadējā pārskatā par valsts budžeta finanšu uzskaiti </w:t>
      </w:r>
      <w:r w:rsidR="006870AB" w:rsidRPr="00A27896">
        <w:rPr>
          <w:color w:val="17365D"/>
        </w:rPr>
        <w:t>sniegto i</w:t>
      </w:r>
      <w:proofErr w:type="spellStart"/>
      <w:r w:rsidR="008911F1" w:rsidRPr="00A27896">
        <w:rPr>
          <w:rFonts w:eastAsia="Arial Unicode MS"/>
          <w:noProof w:val="0"/>
          <w:color w:val="17365D"/>
          <w:lang w:eastAsia="en-US"/>
        </w:rPr>
        <w:t>nformāciju</w:t>
      </w:r>
      <w:proofErr w:type="spellEnd"/>
      <w:r w:rsidR="008911F1" w:rsidRPr="00A27896">
        <w:rPr>
          <w:rFonts w:eastAsia="Arial Unicode MS"/>
          <w:noProof w:val="0"/>
          <w:color w:val="17365D"/>
          <w:lang w:eastAsia="en-US"/>
        </w:rPr>
        <w:t xml:space="preserve"> </w:t>
      </w:r>
      <w:r w:rsidR="006870AB" w:rsidRPr="00A27896">
        <w:rPr>
          <w:rFonts w:eastAsia="Arial Unicode MS"/>
          <w:noProof w:val="0"/>
          <w:color w:val="17365D"/>
          <w:lang w:eastAsia="en-US"/>
        </w:rPr>
        <w:t>4</w:t>
      </w:r>
      <w:r w:rsidR="006C1AA7" w:rsidRPr="00A27896">
        <w:rPr>
          <w:rFonts w:eastAsia="Arial Unicode MS"/>
          <w:noProof w:val="0"/>
          <w:color w:val="17365D"/>
          <w:lang w:eastAsia="en-US"/>
        </w:rPr>
        <w:t>2</w:t>
      </w:r>
      <w:r w:rsidR="006870AB" w:rsidRPr="00A27896">
        <w:rPr>
          <w:rFonts w:eastAsia="Arial Unicode MS"/>
          <w:noProof w:val="0"/>
          <w:color w:val="17365D"/>
          <w:lang w:eastAsia="en-US"/>
        </w:rPr>
        <w:t>.tabulā norādīti</w:t>
      </w:r>
      <w:r w:rsidR="008911F1" w:rsidRPr="00A27896">
        <w:rPr>
          <w:rFonts w:eastAsia="Arial Unicode MS"/>
          <w:noProof w:val="0"/>
          <w:color w:val="17365D"/>
          <w:lang w:eastAsia="en-US"/>
        </w:rPr>
        <w:t xml:space="preserve"> nodokļu ieņēmumi</w:t>
      </w:r>
      <w:r w:rsidR="006870AB" w:rsidRPr="00A27896">
        <w:rPr>
          <w:rFonts w:eastAsia="Arial Unicode MS"/>
          <w:noProof w:val="0"/>
          <w:color w:val="17365D"/>
          <w:lang w:eastAsia="en-US"/>
        </w:rPr>
        <w:t xml:space="preserve"> sadalījumā pa veidiem</w:t>
      </w:r>
      <w:r w:rsidR="00612528" w:rsidRPr="00A27896">
        <w:rPr>
          <w:rFonts w:eastAsia="Arial Unicode MS"/>
          <w:noProof w:val="0"/>
          <w:color w:val="17365D"/>
          <w:lang w:eastAsia="en-US"/>
        </w:rPr>
        <w:t>.</w:t>
      </w:r>
    </w:p>
    <w:p w14:paraId="56B8BA95" w14:textId="742764CF" w:rsidR="00612528" w:rsidRPr="00A27896" w:rsidRDefault="00612528" w:rsidP="006870AB">
      <w:pPr>
        <w:pStyle w:val="Tabulasnosaukums1"/>
        <w:spacing w:before="0" w:line="240" w:lineRule="auto"/>
        <w:rPr>
          <w:rFonts w:eastAsia="Arial Unicode MS" w:cs="Times New Roman"/>
          <w:i/>
          <w:color w:val="17365D"/>
        </w:rPr>
      </w:pPr>
      <w:r w:rsidRPr="00A27896">
        <w:rPr>
          <w:rFonts w:eastAsia="Arial Unicode MS" w:cs="Times New Roman"/>
          <w:i/>
          <w:color w:val="17365D"/>
        </w:rPr>
        <w:t>4</w:t>
      </w:r>
      <w:r w:rsidR="006C1AA7" w:rsidRPr="00A27896">
        <w:rPr>
          <w:rFonts w:eastAsia="Arial Unicode MS" w:cs="Times New Roman"/>
          <w:i/>
          <w:color w:val="17365D"/>
        </w:rPr>
        <w:t>2</w:t>
      </w:r>
      <w:r w:rsidRPr="00A27896">
        <w:rPr>
          <w:rFonts w:eastAsia="Arial Unicode MS" w:cs="Times New Roman"/>
          <w:i/>
          <w:color w:val="17365D"/>
        </w:rPr>
        <w:t>.</w:t>
      </w:r>
      <w:r w:rsidR="00D2147C" w:rsidRPr="00A27896">
        <w:rPr>
          <w:rFonts w:eastAsia="Arial Unicode MS" w:cs="Times New Roman"/>
          <w:i/>
          <w:color w:val="17365D"/>
        </w:rPr>
        <w:t xml:space="preserve"> </w:t>
      </w:r>
      <w:r w:rsidRPr="00A27896">
        <w:rPr>
          <w:rFonts w:eastAsia="Arial Unicode MS" w:cs="Times New Roman"/>
          <w:i/>
          <w:color w:val="17365D"/>
        </w:rPr>
        <w:t>tabula. Nodokļu ieņēmumi (</w:t>
      </w:r>
      <w:proofErr w:type="spellStart"/>
      <w:r w:rsidRPr="00A27896">
        <w:rPr>
          <w:rFonts w:eastAsia="Arial Unicode MS" w:cs="Times New Roman"/>
          <w:i/>
          <w:color w:val="17365D"/>
        </w:rPr>
        <w:t>euro</w:t>
      </w:r>
      <w:proofErr w:type="spellEnd"/>
      <w:r w:rsidRPr="00A27896">
        <w:rPr>
          <w:rFonts w:eastAsia="Arial Unicode MS" w:cs="Times New Roman"/>
          <w:i/>
          <w:color w:val="17365D"/>
        </w:rPr>
        <w:t>)</w:t>
      </w:r>
    </w:p>
    <w:tbl>
      <w:tblPr>
        <w:tblW w:w="9361" w:type="dxa"/>
        <w:tblInd w:w="-5" w:type="dxa"/>
        <w:tblBorders>
          <w:insideH w:val="single" w:sz="4" w:space="0" w:color="auto"/>
        </w:tblBorders>
        <w:tblLook w:val="04A0" w:firstRow="1" w:lastRow="0" w:firstColumn="1" w:lastColumn="0" w:noHBand="0" w:noVBand="1"/>
      </w:tblPr>
      <w:tblGrid>
        <w:gridCol w:w="5959"/>
        <w:gridCol w:w="1701"/>
        <w:gridCol w:w="1701"/>
      </w:tblGrid>
      <w:tr w:rsidR="000C1009" w:rsidRPr="00A27896" w14:paraId="5B2E5976" w14:textId="338E6DE5" w:rsidTr="002559CD">
        <w:trPr>
          <w:trHeight w:val="329"/>
        </w:trPr>
        <w:tc>
          <w:tcPr>
            <w:tcW w:w="5959" w:type="dxa"/>
            <w:tcBorders>
              <w:bottom w:val="single" w:sz="4" w:space="0" w:color="17365D"/>
            </w:tcBorders>
            <w:shd w:val="clear" w:color="auto" w:fill="B8CCE4" w:themeFill="accent1" w:themeFillTint="66"/>
            <w:vAlign w:val="center"/>
            <w:hideMark/>
          </w:tcPr>
          <w:p w14:paraId="3880727C" w14:textId="77777777" w:rsidR="004A6291" w:rsidRPr="00A27896" w:rsidRDefault="004A6291" w:rsidP="004A629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Nodokļa veids</w:t>
            </w:r>
          </w:p>
        </w:tc>
        <w:tc>
          <w:tcPr>
            <w:tcW w:w="1701" w:type="dxa"/>
            <w:tcBorders>
              <w:bottom w:val="single" w:sz="4" w:space="0" w:color="17365D"/>
            </w:tcBorders>
            <w:shd w:val="clear" w:color="auto" w:fill="B8CCE4" w:themeFill="accent1" w:themeFillTint="66"/>
            <w:vAlign w:val="center"/>
            <w:hideMark/>
          </w:tcPr>
          <w:p w14:paraId="32B4BFC9" w14:textId="77777777" w:rsidR="004A6291" w:rsidRPr="00A27896" w:rsidRDefault="004A6291" w:rsidP="004A629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Pārskata periodā</w:t>
            </w:r>
          </w:p>
        </w:tc>
        <w:tc>
          <w:tcPr>
            <w:tcW w:w="1701" w:type="dxa"/>
            <w:tcBorders>
              <w:bottom w:val="single" w:sz="4" w:space="0" w:color="17365D"/>
            </w:tcBorders>
            <w:shd w:val="clear" w:color="auto" w:fill="B8CCE4" w:themeFill="accent1" w:themeFillTint="66"/>
            <w:vAlign w:val="center"/>
          </w:tcPr>
          <w:p w14:paraId="63DF8602" w14:textId="4EF8B985" w:rsidR="004A6291" w:rsidRPr="00A27896" w:rsidRDefault="004A6291" w:rsidP="004A629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Iepriekšējā pārskata periodā</w:t>
            </w:r>
          </w:p>
        </w:tc>
      </w:tr>
      <w:tr w:rsidR="000C1009" w:rsidRPr="00A27896" w14:paraId="72A2E068" w14:textId="709A102B" w:rsidTr="002559CD">
        <w:trPr>
          <w:trHeight w:val="255"/>
        </w:trPr>
        <w:tc>
          <w:tcPr>
            <w:tcW w:w="5959" w:type="dxa"/>
            <w:tcBorders>
              <w:top w:val="single" w:sz="4" w:space="0" w:color="17365D"/>
              <w:bottom w:val="single" w:sz="4" w:space="0" w:color="auto"/>
            </w:tcBorders>
            <w:shd w:val="clear" w:color="auto" w:fill="auto"/>
            <w:vAlign w:val="center"/>
            <w:hideMark/>
          </w:tcPr>
          <w:p w14:paraId="1C2ADCBC" w14:textId="77777777" w:rsidR="004A6291" w:rsidRPr="00A27896" w:rsidRDefault="004A6291" w:rsidP="004A629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A</w:t>
            </w:r>
          </w:p>
        </w:tc>
        <w:tc>
          <w:tcPr>
            <w:tcW w:w="1701" w:type="dxa"/>
            <w:tcBorders>
              <w:top w:val="single" w:sz="4" w:space="0" w:color="17365D"/>
              <w:bottom w:val="single" w:sz="4" w:space="0" w:color="auto"/>
            </w:tcBorders>
            <w:shd w:val="clear" w:color="auto" w:fill="auto"/>
            <w:vAlign w:val="center"/>
            <w:hideMark/>
          </w:tcPr>
          <w:p w14:paraId="3362DC1C" w14:textId="77777777" w:rsidR="004A6291" w:rsidRPr="00A27896" w:rsidRDefault="004A6291" w:rsidP="004A629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1</w:t>
            </w:r>
          </w:p>
        </w:tc>
        <w:tc>
          <w:tcPr>
            <w:tcW w:w="1701" w:type="dxa"/>
            <w:tcBorders>
              <w:top w:val="single" w:sz="4" w:space="0" w:color="17365D"/>
              <w:bottom w:val="single" w:sz="4" w:space="0" w:color="auto"/>
            </w:tcBorders>
            <w:vAlign w:val="center"/>
          </w:tcPr>
          <w:p w14:paraId="509EE672" w14:textId="5A5C1452" w:rsidR="004A6291" w:rsidRPr="00A27896" w:rsidRDefault="004A6291" w:rsidP="000D62CB">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2</w:t>
            </w:r>
          </w:p>
        </w:tc>
      </w:tr>
      <w:tr w:rsidR="00B226E3" w:rsidRPr="00A27896" w14:paraId="64B39BBB" w14:textId="6AD48CE1" w:rsidTr="002559CD">
        <w:trPr>
          <w:trHeight w:val="255"/>
        </w:trPr>
        <w:tc>
          <w:tcPr>
            <w:tcW w:w="5959" w:type="dxa"/>
            <w:tcBorders>
              <w:top w:val="single" w:sz="4" w:space="0" w:color="auto"/>
              <w:bottom w:val="single" w:sz="4" w:space="0" w:color="auto"/>
              <w:right w:val="nil"/>
            </w:tcBorders>
            <w:shd w:val="clear" w:color="auto" w:fill="auto"/>
            <w:vAlign w:val="center"/>
            <w:hideMark/>
          </w:tcPr>
          <w:p w14:paraId="6D87E57F" w14:textId="20AD6777" w:rsidR="00B226E3" w:rsidRPr="00A27896" w:rsidRDefault="00B226E3" w:rsidP="00B226E3">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Nodokļu ieņēmumi</w:t>
            </w:r>
          </w:p>
        </w:tc>
        <w:tc>
          <w:tcPr>
            <w:tcW w:w="1701" w:type="dxa"/>
            <w:tcBorders>
              <w:top w:val="single" w:sz="4" w:space="0" w:color="auto"/>
              <w:left w:val="nil"/>
              <w:bottom w:val="single" w:sz="4" w:space="0" w:color="auto"/>
              <w:right w:val="nil"/>
            </w:tcBorders>
            <w:shd w:val="clear" w:color="auto" w:fill="auto"/>
            <w:vAlign w:val="center"/>
            <w:hideMark/>
          </w:tcPr>
          <w:p w14:paraId="117C32C0" w14:textId="7797A178" w:rsidR="00B226E3" w:rsidRPr="00B226E3" w:rsidRDefault="00B226E3" w:rsidP="00B226E3">
            <w:pPr>
              <w:spacing w:after="0" w:line="240" w:lineRule="auto"/>
              <w:jc w:val="right"/>
              <w:rPr>
                <w:rFonts w:eastAsia="Arial Unicode MS" w:cs="Times New Roman"/>
                <w:color w:val="17365D"/>
                <w:sz w:val="18"/>
                <w:szCs w:val="18"/>
              </w:rPr>
            </w:pPr>
            <w:r w:rsidRPr="00B226E3">
              <w:rPr>
                <w:rFonts w:eastAsia="Arial Unicode MS" w:cs="Times New Roman"/>
                <w:color w:val="17365D"/>
                <w:sz w:val="18"/>
                <w:szCs w:val="18"/>
              </w:rPr>
              <w:t>11 689 499 898</w:t>
            </w:r>
          </w:p>
        </w:tc>
        <w:tc>
          <w:tcPr>
            <w:tcW w:w="1701" w:type="dxa"/>
            <w:tcBorders>
              <w:top w:val="single" w:sz="4" w:space="0" w:color="auto"/>
              <w:left w:val="nil"/>
              <w:bottom w:val="single" w:sz="4" w:space="0" w:color="auto"/>
              <w:right w:val="nil"/>
            </w:tcBorders>
            <w:shd w:val="clear" w:color="auto" w:fill="auto"/>
            <w:vAlign w:val="center"/>
          </w:tcPr>
          <w:p w14:paraId="1E0F2C22" w14:textId="04400B61" w:rsidR="00B226E3" w:rsidRPr="00B226E3" w:rsidRDefault="00B226E3" w:rsidP="00B226E3">
            <w:pPr>
              <w:spacing w:after="0" w:line="240" w:lineRule="auto"/>
              <w:jc w:val="right"/>
              <w:rPr>
                <w:rFonts w:eastAsia="Arial Unicode MS" w:cs="Times New Roman"/>
                <w:color w:val="17365D"/>
                <w:sz w:val="18"/>
                <w:szCs w:val="18"/>
              </w:rPr>
            </w:pPr>
            <w:r w:rsidRPr="00B226E3">
              <w:rPr>
                <w:rFonts w:eastAsia="Arial Unicode MS" w:cs="Times New Roman"/>
                <w:color w:val="17365D"/>
                <w:sz w:val="18"/>
                <w:szCs w:val="18"/>
              </w:rPr>
              <w:t>10 112 840 608</w:t>
            </w:r>
          </w:p>
        </w:tc>
      </w:tr>
      <w:tr w:rsidR="00B226E3" w:rsidRPr="00A27896" w14:paraId="1C336775" w14:textId="29130793" w:rsidTr="00B226E3">
        <w:trPr>
          <w:trHeight w:val="255"/>
        </w:trPr>
        <w:tc>
          <w:tcPr>
            <w:tcW w:w="5959" w:type="dxa"/>
            <w:tcBorders>
              <w:top w:val="single" w:sz="4" w:space="0" w:color="auto"/>
              <w:bottom w:val="single" w:sz="4" w:space="0" w:color="auto"/>
              <w:right w:val="nil"/>
            </w:tcBorders>
            <w:shd w:val="clear" w:color="auto" w:fill="auto"/>
            <w:vAlign w:val="center"/>
            <w:hideMark/>
          </w:tcPr>
          <w:p w14:paraId="596A46AC" w14:textId="213AF4BD" w:rsidR="00B226E3" w:rsidRPr="00A27896" w:rsidRDefault="00B226E3" w:rsidP="00B226E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Ienākuma nodokļi</w:t>
            </w:r>
          </w:p>
        </w:tc>
        <w:tc>
          <w:tcPr>
            <w:tcW w:w="1701" w:type="dxa"/>
            <w:tcBorders>
              <w:top w:val="single" w:sz="4" w:space="0" w:color="auto"/>
              <w:left w:val="nil"/>
              <w:bottom w:val="single" w:sz="4" w:space="0" w:color="auto"/>
              <w:right w:val="nil"/>
            </w:tcBorders>
            <w:shd w:val="clear" w:color="auto" w:fill="auto"/>
            <w:vAlign w:val="center"/>
            <w:hideMark/>
          </w:tcPr>
          <w:p w14:paraId="5D262A58" w14:textId="52B5C924" w:rsidR="00B226E3" w:rsidRPr="00B226E3" w:rsidRDefault="00B226E3" w:rsidP="00B226E3">
            <w:pPr>
              <w:spacing w:after="0" w:line="240" w:lineRule="auto"/>
              <w:jc w:val="right"/>
              <w:rPr>
                <w:rFonts w:eastAsia="Arial Unicode MS" w:cs="Times New Roman"/>
                <w:color w:val="17365D"/>
                <w:sz w:val="18"/>
                <w:szCs w:val="18"/>
              </w:rPr>
            </w:pPr>
            <w:r w:rsidRPr="00B226E3">
              <w:rPr>
                <w:rFonts w:eastAsia="Arial Unicode MS" w:cs="Times New Roman"/>
                <w:color w:val="17365D"/>
                <w:sz w:val="18"/>
                <w:szCs w:val="18"/>
              </w:rPr>
              <w:t>2 556 262 742</w:t>
            </w:r>
          </w:p>
        </w:tc>
        <w:tc>
          <w:tcPr>
            <w:tcW w:w="1701" w:type="dxa"/>
            <w:tcBorders>
              <w:top w:val="single" w:sz="4" w:space="0" w:color="auto"/>
              <w:left w:val="nil"/>
              <w:bottom w:val="single" w:sz="4" w:space="0" w:color="auto"/>
              <w:right w:val="nil"/>
            </w:tcBorders>
            <w:shd w:val="clear" w:color="auto" w:fill="auto"/>
            <w:vAlign w:val="center"/>
          </w:tcPr>
          <w:p w14:paraId="3589E8EE" w14:textId="46ED1476" w:rsidR="00B226E3" w:rsidRPr="00B226E3" w:rsidRDefault="00B226E3" w:rsidP="00B226E3">
            <w:pPr>
              <w:spacing w:after="0" w:line="240" w:lineRule="auto"/>
              <w:jc w:val="right"/>
              <w:rPr>
                <w:rFonts w:eastAsia="Arial Unicode MS" w:cs="Times New Roman"/>
                <w:color w:val="17365D"/>
                <w:sz w:val="18"/>
                <w:szCs w:val="18"/>
              </w:rPr>
            </w:pPr>
            <w:r w:rsidRPr="00B226E3">
              <w:rPr>
                <w:rFonts w:eastAsia="Arial Unicode MS" w:cs="Times New Roman"/>
                <w:color w:val="17365D"/>
                <w:sz w:val="18"/>
                <w:szCs w:val="18"/>
              </w:rPr>
              <w:t>2 366 313 836</w:t>
            </w:r>
          </w:p>
        </w:tc>
      </w:tr>
      <w:tr w:rsidR="00B226E3" w:rsidRPr="00A27896" w14:paraId="6704099D" w14:textId="27326FFE" w:rsidTr="00B226E3">
        <w:trPr>
          <w:trHeight w:val="257"/>
        </w:trPr>
        <w:tc>
          <w:tcPr>
            <w:tcW w:w="5959" w:type="dxa"/>
            <w:tcBorders>
              <w:top w:val="single" w:sz="4" w:space="0" w:color="auto"/>
              <w:bottom w:val="single" w:sz="4" w:space="0" w:color="auto"/>
              <w:right w:val="nil"/>
            </w:tcBorders>
            <w:shd w:val="clear" w:color="auto" w:fill="auto"/>
            <w:vAlign w:val="center"/>
            <w:hideMark/>
          </w:tcPr>
          <w:p w14:paraId="7B14C626" w14:textId="1E856876" w:rsidR="00B226E3" w:rsidRPr="00A27896" w:rsidRDefault="00B226E3" w:rsidP="00B226E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Sociālās apdrošināšanas iemaksas</w:t>
            </w:r>
          </w:p>
        </w:tc>
        <w:tc>
          <w:tcPr>
            <w:tcW w:w="1701" w:type="dxa"/>
            <w:tcBorders>
              <w:top w:val="single" w:sz="4" w:space="0" w:color="auto"/>
              <w:left w:val="nil"/>
              <w:bottom w:val="single" w:sz="4" w:space="0" w:color="auto"/>
              <w:right w:val="nil"/>
            </w:tcBorders>
            <w:shd w:val="clear" w:color="auto" w:fill="auto"/>
            <w:vAlign w:val="center"/>
            <w:hideMark/>
          </w:tcPr>
          <w:p w14:paraId="6702870E" w14:textId="201EBB86" w:rsidR="00B226E3" w:rsidRPr="00B226E3" w:rsidRDefault="00B226E3" w:rsidP="00B226E3">
            <w:pPr>
              <w:spacing w:after="0" w:line="240" w:lineRule="auto"/>
              <w:jc w:val="right"/>
              <w:rPr>
                <w:rFonts w:eastAsia="Arial Unicode MS" w:cs="Times New Roman"/>
                <w:color w:val="17365D"/>
                <w:sz w:val="18"/>
                <w:szCs w:val="18"/>
              </w:rPr>
            </w:pPr>
            <w:r w:rsidRPr="00B226E3">
              <w:rPr>
                <w:rFonts w:eastAsia="Arial Unicode MS" w:cs="Times New Roman"/>
                <w:color w:val="17365D"/>
                <w:sz w:val="18"/>
                <w:szCs w:val="18"/>
              </w:rPr>
              <w:t>3 519 901 429</w:t>
            </w:r>
          </w:p>
        </w:tc>
        <w:tc>
          <w:tcPr>
            <w:tcW w:w="1701" w:type="dxa"/>
            <w:tcBorders>
              <w:top w:val="single" w:sz="4" w:space="0" w:color="auto"/>
              <w:left w:val="nil"/>
              <w:bottom w:val="single" w:sz="4" w:space="0" w:color="auto"/>
              <w:right w:val="nil"/>
            </w:tcBorders>
            <w:shd w:val="clear" w:color="auto" w:fill="auto"/>
            <w:vAlign w:val="center"/>
          </w:tcPr>
          <w:p w14:paraId="20E53763" w14:textId="44DD7D09" w:rsidR="00B226E3" w:rsidRPr="00B226E3" w:rsidRDefault="00B226E3" w:rsidP="00B226E3">
            <w:pPr>
              <w:spacing w:after="0" w:line="240" w:lineRule="auto"/>
              <w:jc w:val="right"/>
              <w:rPr>
                <w:rFonts w:eastAsia="Arial Unicode MS" w:cs="Times New Roman"/>
                <w:color w:val="17365D"/>
                <w:sz w:val="18"/>
                <w:szCs w:val="18"/>
              </w:rPr>
            </w:pPr>
            <w:r w:rsidRPr="00B226E3">
              <w:rPr>
                <w:rFonts w:eastAsia="Arial Unicode MS" w:cs="Times New Roman"/>
                <w:color w:val="17365D"/>
                <w:sz w:val="18"/>
                <w:szCs w:val="18"/>
              </w:rPr>
              <w:t>3 132 742 433</w:t>
            </w:r>
          </w:p>
        </w:tc>
      </w:tr>
      <w:tr w:rsidR="00B226E3" w:rsidRPr="00A27896" w14:paraId="607A38DC" w14:textId="5D6E2380" w:rsidTr="00B226E3">
        <w:trPr>
          <w:trHeight w:val="255"/>
        </w:trPr>
        <w:tc>
          <w:tcPr>
            <w:tcW w:w="5959" w:type="dxa"/>
            <w:tcBorders>
              <w:top w:val="single" w:sz="4" w:space="0" w:color="auto"/>
              <w:bottom w:val="single" w:sz="4" w:space="0" w:color="auto"/>
              <w:right w:val="nil"/>
            </w:tcBorders>
            <w:shd w:val="clear" w:color="auto" w:fill="auto"/>
            <w:vAlign w:val="center"/>
            <w:hideMark/>
          </w:tcPr>
          <w:p w14:paraId="20F1AA99" w14:textId="772E902A" w:rsidR="00B226E3" w:rsidRPr="00A27896" w:rsidRDefault="00B226E3" w:rsidP="00B226E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Īpašuma nodokļi</w:t>
            </w:r>
          </w:p>
        </w:tc>
        <w:tc>
          <w:tcPr>
            <w:tcW w:w="1701" w:type="dxa"/>
            <w:tcBorders>
              <w:top w:val="single" w:sz="4" w:space="0" w:color="auto"/>
              <w:left w:val="nil"/>
              <w:bottom w:val="single" w:sz="4" w:space="0" w:color="auto"/>
              <w:right w:val="nil"/>
            </w:tcBorders>
            <w:shd w:val="clear" w:color="auto" w:fill="auto"/>
            <w:vAlign w:val="center"/>
            <w:hideMark/>
          </w:tcPr>
          <w:p w14:paraId="722A6BE6" w14:textId="62E7E7C4" w:rsidR="00B226E3" w:rsidRPr="00B226E3" w:rsidRDefault="00B226E3" w:rsidP="00B226E3">
            <w:pPr>
              <w:spacing w:after="0" w:line="240" w:lineRule="auto"/>
              <w:jc w:val="right"/>
              <w:rPr>
                <w:rFonts w:eastAsia="Arial Unicode MS" w:cs="Times New Roman"/>
                <w:color w:val="17365D"/>
                <w:sz w:val="18"/>
                <w:szCs w:val="18"/>
              </w:rPr>
            </w:pPr>
            <w:r w:rsidRPr="00B226E3">
              <w:rPr>
                <w:rFonts w:eastAsia="Arial Unicode MS" w:cs="Times New Roman"/>
                <w:color w:val="17365D"/>
                <w:sz w:val="18"/>
                <w:szCs w:val="18"/>
              </w:rPr>
              <w:t>229 318 219</w:t>
            </w:r>
          </w:p>
        </w:tc>
        <w:tc>
          <w:tcPr>
            <w:tcW w:w="1701" w:type="dxa"/>
            <w:tcBorders>
              <w:top w:val="single" w:sz="4" w:space="0" w:color="auto"/>
              <w:left w:val="nil"/>
              <w:bottom w:val="single" w:sz="4" w:space="0" w:color="auto"/>
              <w:right w:val="nil"/>
            </w:tcBorders>
            <w:shd w:val="clear" w:color="auto" w:fill="auto"/>
            <w:vAlign w:val="center"/>
          </w:tcPr>
          <w:p w14:paraId="257A0183" w14:textId="796E4045" w:rsidR="00B226E3" w:rsidRPr="00B226E3" w:rsidRDefault="00B226E3" w:rsidP="00B226E3">
            <w:pPr>
              <w:spacing w:after="0" w:line="240" w:lineRule="auto"/>
              <w:jc w:val="right"/>
              <w:rPr>
                <w:rFonts w:eastAsia="Arial Unicode MS" w:cs="Times New Roman"/>
                <w:color w:val="17365D"/>
                <w:sz w:val="18"/>
                <w:szCs w:val="18"/>
              </w:rPr>
            </w:pPr>
            <w:r w:rsidRPr="00B226E3">
              <w:rPr>
                <w:rFonts w:eastAsia="Arial Unicode MS" w:cs="Times New Roman"/>
                <w:color w:val="17365D"/>
                <w:sz w:val="18"/>
                <w:szCs w:val="18"/>
              </w:rPr>
              <w:t>225 445 199</w:t>
            </w:r>
          </w:p>
        </w:tc>
      </w:tr>
      <w:tr w:rsidR="00B226E3" w:rsidRPr="00A27896" w14:paraId="048BBED1" w14:textId="77777777" w:rsidTr="00B226E3">
        <w:trPr>
          <w:trHeight w:val="255"/>
        </w:trPr>
        <w:tc>
          <w:tcPr>
            <w:tcW w:w="5959" w:type="dxa"/>
            <w:tcBorders>
              <w:top w:val="single" w:sz="4" w:space="0" w:color="auto"/>
              <w:bottom w:val="single" w:sz="4" w:space="0" w:color="auto"/>
              <w:right w:val="nil"/>
            </w:tcBorders>
            <w:shd w:val="clear" w:color="auto" w:fill="auto"/>
            <w:vAlign w:val="center"/>
          </w:tcPr>
          <w:p w14:paraId="08A92B5D" w14:textId="0DEEB472" w:rsidR="00B226E3" w:rsidRPr="00A27896" w:rsidRDefault="00B226E3" w:rsidP="00B226E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Muitas nodoklis</w:t>
            </w:r>
          </w:p>
        </w:tc>
        <w:tc>
          <w:tcPr>
            <w:tcW w:w="1701" w:type="dxa"/>
            <w:tcBorders>
              <w:top w:val="single" w:sz="4" w:space="0" w:color="auto"/>
              <w:left w:val="nil"/>
              <w:bottom w:val="single" w:sz="4" w:space="0" w:color="auto"/>
              <w:right w:val="nil"/>
            </w:tcBorders>
            <w:shd w:val="clear" w:color="auto" w:fill="auto"/>
            <w:vAlign w:val="center"/>
          </w:tcPr>
          <w:p w14:paraId="5CF14BA0" w14:textId="646ED948" w:rsidR="00B226E3" w:rsidRPr="00B226E3" w:rsidRDefault="00B226E3" w:rsidP="00B226E3">
            <w:pPr>
              <w:spacing w:after="0" w:line="240" w:lineRule="auto"/>
              <w:jc w:val="right"/>
              <w:rPr>
                <w:rFonts w:eastAsia="Arial Unicode MS" w:cs="Times New Roman"/>
                <w:color w:val="17365D"/>
                <w:sz w:val="18"/>
                <w:szCs w:val="18"/>
              </w:rPr>
            </w:pPr>
            <w:r w:rsidRPr="00B226E3">
              <w:rPr>
                <w:rFonts w:eastAsia="Arial Unicode MS" w:cs="Times New Roman"/>
                <w:color w:val="17365D"/>
                <w:sz w:val="18"/>
                <w:szCs w:val="18"/>
              </w:rPr>
              <w:t>86 908 465</w:t>
            </w:r>
          </w:p>
        </w:tc>
        <w:tc>
          <w:tcPr>
            <w:tcW w:w="1701" w:type="dxa"/>
            <w:tcBorders>
              <w:top w:val="single" w:sz="4" w:space="0" w:color="auto"/>
              <w:left w:val="nil"/>
              <w:bottom w:val="single" w:sz="4" w:space="0" w:color="auto"/>
              <w:right w:val="nil"/>
            </w:tcBorders>
            <w:shd w:val="clear" w:color="auto" w:fill="auto"/>
            <w:vAlign w:val="center"/>
          </w:tcPr>
          <w:p w14:paraId="2FEF25D9" w14:textId="0D3B802F" w:rsidR="00B226E3" w:rsidRPr="00B226E3" w:rsidRDefault="00B226E3" w:rsidP="00B226E3">
            <w:pPr>
              <w:spacing w:after="0" w:line="240" w:lineRule="auto"/>
              <w:jc w:val="right"/>
              <w:rPr>
                <w:rFonts w:eastAsia="Arial Unicode MS" w:cs="Times New Roman"/>
                <w:color w:val="17365D"/>
                <w:sz w:val="18"/>
                <w:szCs w:val="18"/>
              </w:rPr>
            </w:pPr>
            <w:r w:rsidRPr="00B226E3">
              <w:rPr>
                <w:rFonts w:eastAsia="Arial Unicode MS" w:cs="Times New Roman"/>
                <w:color w:val="17365D"/>
                <w:sz w:val="18"/>
                <w:szCs w:val="18"/>
              </w:rPr>
              <w:t>61 686 711</w:t>
            </w:r>
          </w:p>
        </w:tc>
      </w:tr>
      <w:tr w:rsidR="00B226E3" w:rsidRPr="00A27896" w14:paraId="424D7C7C" w14:textId="023F9B9F" w:rsidTr="00B226E3">
        <w:trPr>
          <w:trHeight w:val="255"/>
        </w:trPr>
        <w:tc>
          <w:tcPr>
            <w:tcW w:w="5959" w:type="dxa"/>
            <w:tcBorders>
              <w:top w:val="single" w:sz="4" w:space="0" w:color="auto"/>
              <w:bottom w:val="single" w:sz="4" w:space="0" w:color="auto"/>
              <w:right w:val="nil"/>
            </w:tcBorders>
            <w:shd w:val="clear" w:color="auto" w:fill="auto"/>
            <w:vAlign w:val="center"/>
            <w:hideMark/>
          </w:tcPr>
          <w:p w14:paraId="4BE435C0" w14:textId="16384677" w:rsidR="00B226E3" w:rsidRPr="00A27896" w:rsidRDefault="00B226E3" w:rsidP="00B226E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Nodokļi par pakalpojumiem un precēm</w:t>
            </w:r>
          </w:p>
        </w:tc>
        <w:tc>
          <w:tcPr>
            <w:tcW w:w="1701" w:type="dxa"/>
            <w:tcBorders>
              <w:top w:val="single" w:sz="4" w:space="0" w:color="auto"/>
              <w:left w:val="nil"/>
              <w:bottom w:val="single" w:sz="4" w:space="0" w:color="auto"/>
              <w:right w:val="nil"/>
            </w:tcBorders>
            <w:shd w:val="clear" w:color="auto" w:fill="auto"/>
            <w:vAlign w:val="center"/>
            <w:hideMark/>
          </w:tcPr>
          <w:p w14:paraId="0CEEDAD3" w14:textId="300A20C9" w:rsidR="00B226E3" w:rsidRPr="00B226E3" w:rsidRDefault="00B226E3" w:rsidP="00B226E3">
            <w:pPr>
              <w:spacing w:after="0" w:line="240" w:lineRule="auto"/>
              <w:jc w:val="right"/>
              <w:rPr>
                <w:rFonts w:eastAsia="Arial Unicode MS" w:cs="Times New Roman"/>
                <w:color w:val="17365D"/>
                <w:sz w:val="18"/>
                <w:szCs w:val="18"/>
              </w:rPr>
            </w:pPr>
            <w:r w:rsidRPr="00B226E3">
              <w:rPr>
                <w:rFonts w:eastAsia="Arial Unicode MS" w:cs="Times New Roman"/>
                <w:color w:val="17365D"/>
                <w:sz w:val="18"/>
                <w:szCs w:val="18"/>
              </w:rPr>
              <w:t>5 274 888 989</w:t>
            </w:r>
          </w:p>
        </w:tc>
        <w:tc>
          <w:tcPr>
            <w:tcW w:w="1701" w:type="dxa"/>
            <w:tcBorders>
              <w:top w:val="single" w:sz="4" w:space="0" w:color="auto"/>
              <w:left w:val="nil"/>
              <w:bottom w:val="single" w:sz="4" w:space="0" w:color="auto"/>
              <w:right w:val="nil"/>
            </w:tcBorders>
            <w:shd w:val="clear" w:color="auto" w:fill="auto"/>
            <w:vAlign w:val="center"/>
          </w:tcPr>
          <w:p w14:paraId="03892A1B" w14:textId="69897FFC" w:rsidR="00B226E3" w:rsidRPr="00B226E3" w:rsidRDefault="00B226E3" w:rsidP="00B226E3">
            <w:pPr>
              <w:spacing w:after="0" w:line="240" w:lineRule="auto"/>
              <w:jc w:val="right"/>
              <w:rPr>
                <w:rFonts w:eastAsia="Arial Unicode MS" w:cs="Times New Roman"/>
                <w:color w:val="17365D"/>
                <w:sz w:val="18"/>
                <w:szCs w:val="18"/>
              </w:rPr>
            </w:pPr>
            <w:r w:rsidRPr="00B226E3">
              <w:rPr>
                <w:rFonts w:eastAsia="Arial Unicode MS" w:cs="Times New Roman"/>
                <w:color w:val="17365D"/>
                <w:sz w:val="18"/>
                <w:szCs w:val="18"/>
              </w:rPr>
              <w:t>4 270 321 101</w:t>
            </w:r>
          </w:p>
        </w:tc>
      </w:tr>
      <w:tr w:rsidR="00B226E3" w:rsidRPr="00A27896" w14:paraId="69F6058C" w14:textId="77777777" w:rsidTr="00B226E3">
        <w:trPr>
          <w:trHeight w:val="255"/>
        </w:trPr>
        <w:tc>
          <w:tcPr>
            <w:tcW w:w="5959" w:type="dxa"/>
            <w:tcBorders>
              <w:top w:val="single" w:sz="4" w:space="0" w:color="auto"/>
              <w:bottom w:val="single" w:sz="4" w:space="0" w:color="auto"/>
              <w:right w:val="nil"/>
            </w:tcBorders>
            <w:shd w:val="clear" w:color="auto" w:fill="auto"/>
            <w:vAlign w:val="center"/>
          </w:tcPr>
          <w:p w14:paraId="4D22F1D4" w14:textId="53FD68B8" w:rsidR="00B226E3" w:rsidRPr="00A27896" w:rsidRDefault="00B226E3" w:rsidP="00B226E3">
            <w:pPr>
              <w:spacing w:after="0" w:line="240" w:lineRule="auto"/>
              <w:rPr>
                <w:rFonts w:eastAsia="Times New Roman" w:cs="Times New Roman"/>
                <w:color w:val="17365D"/>
                <w:sz w:val="18"/>
                <w:szCs w:val="18"/>
                <w:lang w:eastAsia="lv-LV"/>
              </w:rPr>
            </w:pPr>
            <w:r w:rsidRPr="00B226E3">
              <w:rPr>
                <w:rFonts w:eastAsia="Times New Roman" w:cs="Times New Roman"/>
                <w:color w:val="17365D"/>
                <w:sz w:val="18"/>
                <w:szCs w:val="18"/>
                <w:lang w:eastAsia="lv-LV"/>
              </w:rPr>
              <w:t>Ieņēmumi no speciālajiem nodokļu režīmiem</w:t>
            </w:r>
          </w:p>
        </w:tc>
        <w:tc>
          <w:tcPr>
            <w:tcW w:w="1701" w:type="dxa"/>
            <w:tcBorders>
              <w:top w:val="single" w:sz="4" w:space="0" w:color="auto"/>
              <w:left w:val="nil"/>
              <w:bottom w:val="single" w:sz="4" w:space="0" w:color="auto"/>
              <w:right w:val="nil"/>
            </w:tcBorders>
            <w:shd w:val="clear" w:color="auto" w:fill="auto"/>
            <w:vAlign w:val="center"/>
          </w:tcPr>
          <w:p w14:paraId="50A437B1" w14:textId="21DA7840" w:rsidR="00B226E3" w:rsidRPr="00B226E3" w:rsidRDefault="00B226E3" w:rsidP="00B226E3">
            <w:pPr>
              <w:spacing w:after="0" w:line="240" w:lineRule="auto"/>
              <w:jc w:val="right"/>
              <w:rPr>
                <w:rFonts w:eastAsia="Arial Unicode MS" w:cs="Times New Roman"/>
                <w:color w:val="17365D"/>
                <w:sz w:val="18"/>
                <w:szCs w:val="18"/>
              </w:rPr>
            </w:pPr>
            <w:r w:rsidRPr="00B226E3">
              <w:rPr>
                <w:rFonts w:eastAsia="Arial Unicode MS" w:cs="Times New Roman"/>
                <w:color w:val="17365D"/>
                <w:sz w:val="18"/>
                <w:szCs w:val="18"/>
              </w:rPr>
              <w:t>22 220 054</w:t>
            </w:r>
          </w:p>
        </w:tc>
        <w:tc>
          <w:tcPr>
            <w:tcW w:w="1701" w:type="dxa"/>
            <w:tcBorders>
              <w:top w:val="single" w:sz="4" w:space="0" w:color="auto"/>
              <w:left w:val="nil"/>
              <w:bottom w:val="single" w:sz="4" w:space="0" w:color="auto"/>
              <w:right w:val="nil"/>
            </w:tcBorders>
            <w:shd w:val="clear" w:color="auto" w:fill="auto"/>
            <w:vAlign w:val="center"/>
          </w:tcPr>
          <w:p w14:paraId="46F96DCC" w14:textId="298B9DAA" w:rsidR="00B226E3" w:rsidRPr="00B226E3" w:rsidRDefault="00B226E3" w:rsidP="00B226E3">
            <w:pPr>
              <w:spacing w:after="0" w:line="240" w:lineRule="auto"/>
              <w:jc w:val="right"/>
              <w:rPr>
                <w:rFonts w:eastAsia="Arial Unicode MS" w:cs="Times New Roman"/>
                <w:color w:val="17365D"/>
                <w:sz w:val="18"/>
                <w:szCs w:val="18"/>
              </w:rPr>
            </w:pPr>
            <w:r w:rsidRPr="00B226E3">
              <w:rPr>
                <w:rFonts w:eastAsia="Arial Unicode MS" w:cs="Times New Roman"/>
                <w:color w:val="17365D"/>
                <w:sz w:val="18"/>
                <w:szCs w:val="18"/>
              </w:rPr>
              <w:t>56 331 328</w:t>
            </w:r>
          </w:p>
        </w:tc>
      </w:tr>
      <w:tr w:rsidR="000C1009" w:rsidRPr="00A27896" w14:paraId="0BC88181" w14:textId="42E9E6A5" w:rsidTr="00B226E3">
        <w:trPr>
          <w:trHeight w:val="70"/>
        </w:trPr>
        <w:tc>
          <w:tcPr>
            <w:tcW w:w="5959" w:type="dxa"/>
            <w:tcBorders>
              <w:top w:val="single" w:sz="4" w:space="0" w:color="auto"/>
            </w:tcBorders>
            <w:shd w:val="clear" w:color="auto" w:fill="B8CCE4" w:themeFill="accent1" w:themeFillTint="66"/>
            <w:vAlign w:val="center"/>
          </w:tcPr>
          <w:p w14:paraId="50ADE03D" w14:textId="5070C995" w:rsidR="00595B2B" w:rsidRPr="00A27896" w:rsidRDefault="00595B2B" w:rsidP="00595B2B">
            <w:pPr>
              <w:spacing w:after="0" w:line="240" w:lineRule="auto"/>
              <w:rPr>
                <w:rFonts w:eastAsia="Times New Roman" w:cs="Times New Roman"/>
                <w:color w:val="17365D"/>
                <w:sz w:val="18"/>
                <w:szCs w:val="18"/>
                <w:lang w:eastAsia="lv-LV"/>
              </w:rPr>
            </w:pPr>
          </w:p>
        </w:tc>
        <w:tc>
          <w:tcPr>
            <w:tcW w:w="1701" w:type="dxa"/>
            <w:tcBorders>
              <w:top w:val="single" w:sz="4" w:space="0" w:color="auto"/>
            </w:tcBorders>
            <w:shd w:val="clear" w:color="auto" w:fill="B8CCE4" w:themeFill="accent1" w:themeFillTint="66"/>
            <w:vAlign w:val="center"/>
          </w:tcPr>
          <w:p w14:paraId="3980584E" w14:textId="124DDF00" w:rsidR="00595B2B" w:rsidRPr="00A27896" w:rsidRDefault="00595B2B" w:rsidP="00627C71">
            <w:pPr>
              <w:spacing w:after="0" w:line="240" w:lineRule="auto"/>
              <w:jc w:val="center"/>
              <w:rPr>
                <w:rFonts w:eastAsia="Times New Roman" w:cs="Times New Roman"/>
                <w:color w:val="17365D"/>
                <w:sz w:val="18"/>
                <w:szCs w:val="18"/>
                <w:lang w:eastAsia="lv-LV"/>
              </w:rPr>
            </w:pPr>
          </w:p>
        </w:tc>
        <w:tc>
          <w:tcPr>
            <w:tcW w:w="1701" w:type="dxa"/>
            <w:tcBorders>
              <w:top w:val="single" w:sz="4" w:space="0" w:color="auto"/>
            </w:tcBorders>
            <w:shd w:val="clear" w:color="auto" w:fill="B8CCE4" w:themeFill="accent1" w:themeFillTint="66"/>
          </w:tcPr>
          <w:p w14:paraId="4ED90C91" w14:textId="77777777" w:rsidR="00595B2B" w:rsidRPr="00A27896" w:rsidRDefault="00595B2B" w:rsidP="00595B2B">
            <w:pPr>
              <w:spacing w:after="0" w:line="240" w:lineRule="auto"/>
              <w:jc w:val="right"/>
              <w:rPr>
                <w:rFonts w:eastAsia="Times New Roman" w:cs="Times New Roman"/>
                <w:color w:val="17365D"/>
                <w:sz w:val="18"/>
                <w:szCs w:val="18"/>
                <w:lang w:eastAsia="lv-LV"/>
              </w:rPr>
            </w:pPr>
          </w:p>
        </w:tc>
      </w:tr>
    </w:tbl>
    <w:p w14:paraId="517139F6" w14:textId="061A29B9" w:rsidR="00BA7015" w:rsidRPr="00A27896" w:rsidRDefault="00BA7015" w:rsidP="00A24A96">
      <w:pPr>
        <w:spacing w:before="120" w:after="120" w:line="240" w:lineRule="auto"/>
        <w:ind w:firstLine="284"/>
        <w:jc w:val="both"/>
        <w:rPr>
          <w:rFonts w:eastAsia="Arial Unicode MS" w:cs="Times New Roman"/>
          <w:color w:val="17365D"/>
          <w:szCs w:val="24"/>
        </w:rPr>
      </w:pPr>
      <w:r w:rsidRPr="00A27896">
        <w:rPr>
          <w:rFonts w:eastAsia="Arial Unicode MS" w:cs="Times New Roman"/>
          <w:color w:val="17365D"/>
          <w:szCs w:val="24"/>
        </w:rPr>
        <w:t>FD.A11</w:t>
      </w:r>
      <w:r w:rsidR="00BF3742" w:rsidRPr="00A27896">
        <w:rPr>
          <w:rFonts w:eastAsia="Arial Unicode MS" w:cs="Times New Roman"/>
          <w:color w:val="17365D"/>
          <w:szCs w:val="24"/>
        </w:rPr>
        <w:t>.</w:t>
      </w:r>
      <w:r w:rsidRPr="00A27896">
        <w:rPr>
          <w:rFonts w:eastAsia="Arial Unicode MS" w:cs="Times New Roman"/>
          <w:color w:val="17365D"/>
          <w:szCs w:val="24"/>
        </w:rPr>
        <w:t xml:space="preserve"> Nodokļu ieņēmumi.</w:t>
      </w:r>
    </w:p>
    <w:p w14:paraId="436081CE" w14:textId="0EB7FE61" w:rsidR="004C3C41" w:rsidRPr="00A27896" w:rsidRDefault="004C3C41" w:rsidP="002C58E3">
      <w:pPr>
        <w:pStyle w:val="Pamatteksts"/>
        <w:numPr>
          <w:ilvl w:val="0"/>
          <w:numId w:val="43"/>
        </w:numPr>
        <w:spacing w:before="120"/>
        <w:ind w:left="851"/>
        <w:rPr>
          <w:rFonts w:eastAsia="Arial Unicode MS"/>
          <w:color w:val="17365D"/>
        </w:rPr>
      </w:pPr>
      <w:r w:rsidRPr="00A27896">
        <w:rPr>
          <w:rFonts w:eastAsia="Arial Unicode MS"/>
          <w:color w:val="17365D"/>
        </w:rPr>
        <w:t xml:space="preserve">Lielākais šī posteņa palielinājums ir VID administrēto valsts budžeta ieņēmumu uzskaitē, tai skaitā </w:t>
      </w:r>
      <w:r w:rsidR="00A4210D" w:rsidRPr="00A4210D">
        <w:rPr>
          <w:rFonts w:eastAsia="Arial Unicode MS"/>
          <w:color w:val="17365D"/>
        </w:rPr>
        <w:t>904</w:t>
      </w:r>
      <w:r w:rsidR="00A4210D">
        <w:rPr>
          <w:rFonts w:eastAsia="Arial Unicode MS"/>
          <w:color w:val="17365D"/>
        </w:rPr>
        <w:t> </w:t>
      </w:r>
      <w:r w:rsidR="00A4210D" w:rsidRPr="00A4210D">
        <w:rPr>
          <w:rFonts w:eastAsia="Arial Unicode MS"/>
          <w:color w:val="17365D"/>
        </w:rPr>
        <w:t>967</w:t>
      </w:r>
      <w:r w:rsidR="00A4210D">
        <w:rPr>
          <w:rFonts w:eastAsia="Arial Unicode MS"/>
          <w:color w:val="17365D"/>
        </w:rPr>
        <w:t> </w:t>
      </w:r>
      <w:r w:rsidR="00A4210D" w:rsidRPr="00A4210D">
        <w:rPr>
          <w:rFonts w:eastAsia="Arial Unicode MS"/>
          <w:color w:val="17365D"/>
        </w:rPr>
        <w:t>169</w:t>
      </w:r>
      <w:r w:rsidR="00A4210D">
        <w:rPr>
          <w:rFonts w:eastAsia="Arial Unicode MS"/>
          <w:color w:val="17365D"/>
        </w:rPr>
        <w:t> </w:t>
      </w:r>
      <w:r w:rsidRPr="00A27896">
        <w:rPr>
          <w:rFonts w:eastAsia="Arial Unicode MS"/>
          <w:i/>
          <w:color w:val="17365D"/>
        </w:rPr>
        <w:t>euro</w:t>
      </w:r>
      <w:r w:rsidRPr="00A27896">
        <w:rPr>
          <w:rFonts w:eastAsia="Arial Unicode MS"/>
          <w:color w:val="17365D"/>
        </w:rPr>
        <w:t xml:space="preserve"> vērtībā palielinājās ieņēmumi no pievienotās vērtības nodokļa</w:t>
      </w:r>
      <w:r w:rsidRPr="00A27896">
        <w:rPr>
          <w:rFonts w:eastAsia="Arial Unicode MS"/>
          <w:noProof w:val="0"/>
          <w:color w:val="17365D"/>
          <w:lang w:eastAsia="en-US"/>
        </w:rPr>
        <w:t xml:space="preserve"> un (</w:t>
      </w:r>
      <w:r w:rsidR="00A4210D" w:rsidRPr="00A4210D">
        <w:rPr>
          <w:rFonts w:eastAsia="Arial Unicode MS"/>
          <w:color w:val="17365D"/>
        </w:rPr>
        <w:t>127</w:t>
      </w:r>
      <w:r w:rsidR="00A4210D">
        <w:rPr>
          <w:rFonts w:eastAsia="Arial Unicode MS"/>
          <w:color w:val="17365D"/>
        </w:rPr>
        <w:t> </w:t>
      </w:r>
      <w:r w:rsidR="00A4210D" w:rsidRPr="00A4210D">
        <w:rPr>
          <w:rFonts w:eastAsia="Arial Unicode MS"/>
          <w:color w:val="17365D"/>
        </w:rPr>
        <w:t>734</w:t>
      </w:r>
      <w:r w:rsidR="00A4210D">
        <w:rPr>
          <w:rFonts w:eastAsia="Arial Unicode MS"/>
          <w:color w:val="17365D"/>
        </w:rPr>
        <w:t> </w:t>
      </w:r>
      <w:r w:rsidR="00A4210D" w:rsidRPr="00A4210D">
        <w:rPr>
          <w:rFonts w:eastAsia="Arial Unicode MS"/>
          <w:color w:val="17365D"/>
        </w:rPr>
        <w:t>241</w:t>
      </w:r>
      <w:r w:rsidR="00A4210D">
        <w:rPr>
          <w:rFonts w:eastAsia="Arial Unicode MS"/>
          <w:color w:val="17365D"/>
        </w:rPr>
        <w:t xml:space="preserve">) </w:t>
      </w:r>
      <w:r w:rsidRPr="00A27896">
        <w:rPr>
          <w:rFonts w:eastAsia="Arial Unicode MS"/>
          <w:i/>
          <w:color w:val="17365D"/>
        </w:rPr>
        <w:t>euro</w:t>
      </w:r>
      <w:r w:rsidRPr="00A27896">
        <w:rPr>
          <w:rFonts w:eastAsia="Arial Unicode MS"/>
          <w:color w:val="17365D"/>
        </w:rPr>
        <w:t xml:space="preserve"> vērtībā samazinājās </w:t>
      </w:r>
      <w:r w:rsidR="007B0D86" w:rsidRPr="007B0D86">
        <w:rPr>
          <w:rFonts w:eastAsia="Arial Unicode MS"/>
          <w:color w:val="17365D"/>
        </w:rPr>
        <w:t xml:space="preserve">par iepriekšējā pārskata periodā atzītiem </w:t>
      </w:r>
      <w:r w:rsidRPr="00A27896">
        <w:rPr>
          <w:rFonts w:eastAsia="Arial Unicode MS"/>
          <w:color w:val="17365D"/>
        </w:rPr>
        <w:t>ieņēmumi</w:t>
      </w:r>
      <w:r w:rsidR="007B0D86">
        <w:rPr>
          <w:rFonts w:eastAsia="Arial Unicode MS"/>
          <w:color w:val="17365D"/>
        </w:rPr>
        <w:t>em</w:t>
      </w:r>
      <w:r w:rsidRPr="00A27896">
        <w:rPr>
          <w:rFonts w:eastAsia="Arial Unicode MS"/>
          <w:color w:val="17365D"/>
        </w:rPr>
        <w:t xml:space="preserve"> no iedzīvotāju ienākuma nodokļa;</w:t>
      </w:r>
    </w:p>
    <w:p w14:paraId="68609E37" w14:textId="476B4244" w:rsidR="004C3C41" w:rsidRPr="00A27896" w:rsidRDefault="004C3C41" w:rsidP="00603FE0">
      <w:pPr>
        <w:pStyle w:val="Pamatteksts"/>
        <w:numPr>
          <w:ilvl w:val="0"/>
          <w:numId w:val="43"/>
        </w:numPr>
        <w:spacing w:before="120"/>
        <w:ind w:left="851" w:hanging="357"/>
        <w:rPr>
          <w:rFonts w:eastAsia="Arial Unicode MS"/>
          <w:color w:val="17365D"/>
        </w:rPr>
      </w:pPr>
      <w:r w:rsidRPr="00A27896">
        <w:rPr>
          <w:rFonts w:eastAsia="Arial Unicode MS"/>
          <w:color w:val="17365D"/>
        </w:rPr>
        <w:t xml:space="preserve">Labklājības ministrijai </w:t>
      </w:r>
      <w:r w:rsidR="0058152B" w:rsidRPr="00A27896">
        <w:rPr>
          <w:rFonts w:eastAsia="Arial Unicode MS"/>
          <w:color w:val="17365D"/>
        </w:rPr>
        <w:t xml:space="preserve">par </w:t>
      </w:r>
      <w:r w:rsidRPr="00A27896">
        <w:rPr>
          <w:rFonts w:eastAsia="Arial Unicode MS"/>
          <w:color w:val="17365D"/>
        </w:rPr>
        <w:t xml:space="preserve">613 297 852 </w:t>
      </w:r>
      <w:r w:rsidRPr="00A27896">
        <w:rPr>
          <w:rFonts w:eastAsia="Arial Unicode MS"/>
          <w:i/>
          <w:color w:val="17365D"/>
        </w:rPr>
        <w:t>euro</w:t>
      </w:r>
      <w:r w:rsidRPr="00A27896">
        <w:rPr>
          <w:rFonts w:eastAsia="Arial Unicode MS"/>
          <w:color w:val="17365D"/>
        </w:rPr>
        <w:t xml:space="preserve"> </w:t>
      </w:r>
      <w:r w:rsidR="0058152B" w:rsidRPr="00A27896">
        <w:rPr>
          <w:rFonts w:eastAsia="Arial Unicode MS"/>
          <w:color w:val="17365D"/>
        </w:rPr>
        <w:t xml:space="preserve">palielinājās </w:t>
      </w:r>
      <w:r w:rsidRPr="00A27896">
        <w:rPr>
          <w:rFonts w:eastAsia="Arial Unicode MS"/>
          <w:color w:val="17365D"/>
        </w:rPr>
        <w:t>ieņēmumi</w:t>
      </w:r>
      <w:r w:rsidR="0058152B" w:rsidRPr="00A27896">
        <w:rPr>
          <w:rFonts w:eastAsia="Arial Unicode MS"/>
          <w:color w:val="17365D"/>
        </w:rPr>
        <w:t xml:space="preserve"> no</w:t>
      </w:r>
      <w:r w:rsidRPr="00A27896">
        <w:rPr>
          <w:rFonts w:eastAsia="Arial Unicode MS"/>
          <w:color w:val="17365D"/>
        </w:rPr>
        <w:t xml:space="preserve"> valsts sociālās apdrošināšanas obligātām iemaksām</w:t>
      </w:r>
      <w:r w:rsidR="0058152B" w:rsidRPr="00A27896">
        <w:rPr>
          <w:rFonts w:eastAsia="Arial Unicode MS"/>
          <w:color w:val="17365D"/>
        </w:rPr>
        <w:t xml:space="preserve"> un par (87 114 810) </w:t>
      </w:r>
      <w:r w:rsidR="0058152B" w:rsidRPr="00A27896">
        <w:rPr>
          <w:rFonts w:eastAsia="Arial Unicode MS"/>
          <w:i/>
          <w:color w:val="17365D"/>
        </w:rPr>
        <w:t>euro</w:t>
      </w:r>
      <w:r w:rsidR="0058152B" w:rsidRPr="00A27896">
        <w:rPr>
          <w:rFonts w:eastAsia="Arial Unicode MS"/>
          <w:color w:val="17365D"/>
        </w:rPr>
        <w:t xml:space="preserve"> samazinājās ieņēmumi no iemaksām fondēto pensiju shēmā</w:t>
      </w:r>
      <w:r w:rsidRPr="00A27896">
        <w:rPr>
          <w:rFonts w:eastAsia="Arial Unicode MS"/>
          <w:color w:val="17365D"/>
        </w:rPr>
        <w:t>;</w:t>
      </w:r>
    </w:p>
    <w:p w14:paraId="46920718" w14:textId="7FBB3151" w:rsidR="004C3C41" w:rsidRPr="00A27896" w:rsidRDefault="004C3C41" w:rsidP="00603FE0">
      <w:pPr>
        <w:pStyle w:val="Pamatteksts"/>
        <w:numPr>
          <w:ilvl w:val="0"/>
          <w:numId w:val="43"/>
        </w:numPr>
        <w:spacing w:before="120"/>
        <w:ind w:left="851" w:hanging="357"/>
        <w:rPr>
          <w:rFonts w:eastAsia="Arial Unicode MS"/>
          <w:color w:val="17365D"/>
        </w:rPr>
      </w:pPr>
      <w:r w:rsidRPr="00A27896">
        <w:rPr>
          <w:rFonts w:eastAsia="Arial Unicode MS"/>
          <w:color w:val="17365D"/>
        </w:rPr>
        <w:t xml:space="preserve">Rīgas valstspilsētas pašvaldībai palielinājums 105 004 210 </w:t>
      </w:r>
      <w:r w:rsidRPr="00A27896">
        <w:rPr>
          <w:rFonts w:eastAsia="Arial Unicode MS"/>
          <w:i/>
          <w:color w:val="17365D"/>
        </w:rPr>
        <w:t>euro</w:t>
      </w:r>
      <w:r w:rsidRPr="00A27896">
        <w:rPr>
          <w:rFonts w:eastAsia="Arial Unicode MS"/>
          <w:color w:val="17365D"/>
        </w:rPr>
        <w:t xml:space="preserve"> vērtībā</w:t>
      </w:r>
      <w:r w:rsidR="0058152B" w:rsidRPr="00A27896">
        <w:rPr>
          <w:rFonts w:eastAsia="Arial Unicode MS"/>
          <w:color w:val="17365D"/>
        </w:rPr>
        <w:t xml:space="preserve"> </w:t>
      </w:r>
      <w:r w:rsidRPr="00A27896">
        <w:rPr>
          <w:rFonts w:eastAsia="Arial Unicode MS"/>
          <w:color w:val="17365D"/>
        </w:rPr>
        <w:t>saistī</w:t>
      </w:r>
      <w:r w:rsidR="0058152B" w:rsidRPr="00A27896">
        <w:rPr>
          <w:rFonts w:eastAsia="Arial Unicode MS"/>
          <w:color w:val="17365D"/>
        </w:rPr>
        <w:t>bā</w:t>
      </w:r>
      <w:r w:rsidRPr="00A27896">
        <w:rPr>
          <w:rFonts w:eastAsia="Arial Unicode MS"/>
          <w:color w:val="17365D"/>
        </w:rPr>
        <w:t xml:space="preserve"> ar ieņēmumiem no iedzīvotāju ienākuma nodokļa</w:t>
      </w:r>
      <w:r w:rsidR="0058152B" w:rsidRPr="00A27896">
        <w:rPr>
          <w:rFonts w:eastAsia="Arial Unicode MS"/>
          <w:color w:val="17365D"/>
        </w:rPr>
        <w:t>.</w:t>
      </w:r>
    </w:p>
    <w:p w14:paraId="496D7C81" w14:textId="0B2D69F7" w:rsidR="00BA7015" w:rsidRPr="00A27896" w:rsidRDefault="00BA7015" w:rsidP="00A24A96">
      <w:pPr>
        <w:pStyle w:val="Pamatteksts"/>
        <w:spacing w:before="120"/>
        <w:ind w:firstLine="284"/>
        <w:rPr>
          <w:rFonts w:eastAsia="Arial Unicode MS"/>
          <w:color w:val="17365D"/>
        </w:rPr>
      </w:pPr>
      <w:r w:rsidRPr="00A27896">
        <w:rPr>
          <w:rFonts w:eastAsia="Arial Unicode MS"/>
          <w:color w:val="17365D"/>
        </w:rPr>
        <w:t>FD.A12</w:t>
      </w:r>
      <w:r w:rsidR="00BF3742" w:rsidRPr="00A27896">
        <w:rPr>
          <w:rFonts w:eastAsia="Arial Unicode MS"/>
          <w:color w:val="17365D"/>
        </w:rPr>
        <w:t>.</w:t>
      </w:r>
      <w:r w:rsidRPr="00A27896">
        <w:rPr>
          <w:rFonts w:eastAsia="Arial Unicode MS"/>
          <w:color w:val="17365D"/>
        </w:rPr>
        <w:t xml:space="preserve"> Nenodokļu ieņēmumi.</w:t>
      </w:r>
    </w:p>
    <w:p w14:paraId="0925B815" w14:textId="3BBCD588" w:rsidR="0058152B" w:rsidRPr="00A27896" w:rsidRDefault="0058152B" w:rsidP="00603FE0">
      <w:pPr>
        <w:pStyle w:val="Pamatteksts"/>
        <w:numPr>
          <w:ilvl w:val="0"/>
          <w:numId w:val="39"/>
        </w:numPr>
        <w:spacing w:before="120"/>
        <w:ind w:left="851" w:hanging="357"/>
        <w:rPr>
          <w:rFonts w:eastAsia="Arial Unicode MS"/>
          <w:color w:val="17365D"/>
        </w:rPr>
      </w:pPr>
      <w:r w:rsidRPr="00A27896">
        <w:rPr>
          <w:rFonts w:eastAsia="Arial Unicode MS"/>
          <w:color w:val="17365D"/>
        </w:rPr>
        <w:t xml:space="preserve">Lielākais šī posteņa palielinājums ir valsts budžeta finanšu uzskaitē 86 121 475 </w:t>
      </w:r>
      <w:r w:rsidRPr="00A27896">
        <w:rPr>
          <w:rFonts w:eastAsia="Arial Unicode MS"/>
          <w:i/>
          <w:color w:val="17365D"/>
        </w:rPr>
        <w:t>euro</w:t>
      </w:r>
      <w:r w:rsidRPr="00A27896">
        <w:rPr>
          <w:rFonts w:eastAsia="Arial Unicode MS"/>
          <w:color w:val="17365D"/>
        </w:rPr>
        <w:t xml:space="preserve"> vērtībā, izmaiņas saistītas ar atzītajiem ieņēmumiem no Latvijai piešķirto emisijas kvotu izsolīšanas un realizācijas;</w:t>
      </w:r>
    </w:p>
    <w:p w14:paraId="19AF0849" w14:textId="3C36E6B4" w:rsidR="0058152B" w:rsidRPr="00A27896" w:rsidRDefault="0058152B" w:rsidP="00603FE0">
      <w:pPr>
        <w:pStyle w:val="Pamatteksts"/>
        <w:numPr>
          <w:ilvl w:val="0"/>
          <w:numId w:val="39"/>
        </w:numPr>
        <w:spacing w:before="120"/>
        <w:ind w:left="851" w:hanging="357"/>
        <w:rPr>
          <w:rFonts w:eastAsia="Arial Unicode MS"/>
          <w:color w:val="17365D"/>
        </w:rPr>
      </w:pPr>
      <w:r w:rsidRPr="00A27896">
        <w:rPr>
          <w:rFonts w:eastAsia="Arial Unicode MS"/>
          <w:color w:val="17365D"/>
        </w:rPr>
        <w:lastRenderedPageBreak/>
        <w:t xml:space="preserve">valsts budžeta finanšu uzskaitē palielinājums 15 822 433 </w:t>
      </w:r>
      <w:r w:rsidRPr="00A27896">
        <w:rPr>
          <w:rFonts w:eastAsia="Arial Unicode MS"/>
          <w:i/>
          <w:color w:val="17365D"/>
        </w:rPr>
        <w:t>euro</w:t>
      </w:r>
      <w:r w:rsidRPr="00A27896">
        <w:rPr>
          <w:rFonts w:eastAsia="Arial Unicode MS"/>
          <w:color w:val="17365D"/>
        </w:rPr>
        <w:t xml:space="preserve"> vērtībā par atzītajiem ieņēmumiem no valsts nodevām, kancelejas nodevām, naudas sodiem un sankcijām un no valstij piekritīgās mantas realizācijas;</w:t>
      </w:r>
    </w:p>
    <w:p w14:paraId="6ADD9236" w14:textId="06A2664A" w:rsidR="0058152B" w:rsidRDefault="0058152B" w:rsidP="00603FE0">
      <w:pPr>
        <w:pStyle w:val="Pamatteksts"/>
        <w:numPr>
          <w:ilvl w:val="0"/>
          <w:numId w:val="39"/>
        </w:numPr>
        <w:spacing w:before="120"/>
        <w:ind w:left="851" w:hanging="357"/>
        <w:rPr>
          <w:rFonts w:eastAsia="Arial Unicode MS"/>
          <w:color w:val="17365D"/>
        </w:rPr>
      </w:pPr>
      <w:r w:rsidRPr="00A27896">
        <w:rPr>
          <w:rFonts w:eastAsia="Arial Unicode MS"/>
          <w:color w:val="17365D"/>
        </w:rPr>
        <w:t xml:space="preserve">valsts budžeta finanšu uzskaitē samazinājums (11 900 360) </w:t>
      </w:r>
      <w:r w:rsidRPr="00A27896">
        <w:rPr>
          <w:rFonts w:eastAsia="Arial Unicode MS"/>
          <w:i/>
          <w:color w:val="17365D"/>
        </w:rPr>
        <w:t>euro</w:t>
      </w:r>
      <w:r w:rsidRPr="00A27896">
        <w:rPr>
          <w:rFonts w:eastAsia="Arial Unicode MS"/>
          <w:color w:val="17365D"/>
        </w:rPr>
        <w:t xml:space="preserve"> vērtībā, izmaiņas saistītas ar iepriekšējā pārskata periodā atzītiem ieņēmumiem no konfiscēto noziedzīgi iegūto līdzekļu realizācijas;</w:t>
      </w:r>
    </w:p>
    <w:p w14:paraId="513F1C93" w14:textId="4AC8AB98" w:rsidR="0058152B" w:rsidRPr="001D7232" w:rsidRDefault="0058152B" w:rsidP="001D7232">
      <w:pPr>
        <w:pStyle w:val="Pamatteksts"/>
        <w:numPr>
          <w:ilvl w:val="0"/>
          <w:numId w:val="39"/>
        </w:numPr>
        <w:spacing w:before="120"/>
        <w:ind w:left="851" w:hanging="357"/>
        <w:rPr>
          <w:rFonts w:eastAsia="Arial Unicode MS"/>
          <w:color w:val="17365D"/>
        </w:rPr>
      </w:pPr>
      <w:r w:rsidRPr="001D7232">
        <w:rPr>
          <w:rFonts w:eastAsia="Arial Unicode MS"/>
          <w:color w:val="17365D"/>
        </w:rPr>
        <w:t xml:space="preserve">VID administrēto valsts budžeta ieņēmumu uzskaitē palielinājums </w:t>
      </w:r>
      <w:r w:rsidR="00A4210D" w:rsidRPr="001D7232">
        <w:rPr>
          <w:rFonts w:eastAsia="Arial Unicode MS"/>
          <w:color w:val="17365D"/>
        </w:rPr>
        <w:t>201 020 939 </w:t>
      </w:r>
      <w:r w:rsidRPr="001D7232">
        <w:rPr>
          <w:rFonts w:eastAsia="Arial Unicode MS"/>
          <w:i/>
          <w:color w:val="17365D"/>
        </w:rPr>
        <w:t>euro</w:t>
      </w:r>
      <w:r w:rsidRPr="001D7232">
        <w:rPr>
          <w:rFonts w:eastAsia="Arial Unicode MS"/>
          <w:color w:val="17365D"/>
        </w:rPr>
        <w:t xml:space="preserve"> vērtībā saistībā ar atzītiem ieņēmumiem par dividendēm no valsts kapitāla izmantošanas.</w:t>
      </w:r>
    </w:p>
    <w:p w14:paraId="0EF8BC79" w14:textId="365E4BB1" w:rsidR="00162DBF" w:rsidRPr="00A27896" w:rsidRDefault="00162DBF" w:rsidP="00162DBF">
      <w:pPr>
        <w:pStyle w:val="Pamatteksts"/>
        <w:ind w:left="360" w:firstLine="0"/>
        <w:rPr>
          <w:rFonts w:eastAsia="Arial Unicode MS"/>
          <w:noProof w:val="0"/>
          <w:color w:val="17365D"/>
          <w:lang w:eastAsia="en-US"/>
        </w:rPr>
      </w:pPr>
      <w:r w:rsidRPr="00A27896">
        <w:rPr>
          <w:rFonts w:eastAsia="Arial Unicode MS"/>
          <w:noProof w:val="0"/>
          <w:color w:val="17365D"/>
          <w:lang w:eastAsia="en-US"/>
        </w:rPr>
        <w:t>Procentu ieņēmumi sadalījumā pa darījuma veidiem norādīti 4</w:t>
      </w:r>
      <w:r w:rsidR="006B6731" w:rsidRPr="00A27896">
        <w:rPr>
          <w:rFonts w:eastAsia="Arial Unicode MS"/>
          <w:noProof w:val="0"/>
          <w:color w:val="17365D"/>
          <w:lang w:eastAsia="en-US"/>
        </w:rPr>
        <w:t>3</w:t>
      </w:r>
      <w:r w:rsidRPr="00A27896">
        <w:rPr>
          <w:rFonts w:eastAsia="Arial Unicode MS"/>
          <w:noProof w:val="0"/>
          <w:color w:val="17365D"/>
          <w:lang w:eastAsia="en-US"/>
        </w:rPr>
        <w:t>.tabulā.</w:t>
      </w:r>
    </w:p>
    <w:p w14:paraId="77631E5C" w14:textId="1D5D6D13" w:rsidR="00162DBF" w:rsidRPr="00A27896" w:rsidRDefault="00162DBF" w:rsidP="006B6731">
      <w:pPr>
        <w:pStyle w:val="Tabulasnosaukums1"/>
        <w:spacing w:before="0"/>
        <w:ind w:left="720"/>
        <w:rPr>
          <w:rFonts w:eastAsia="Arial Unicode MS" w:cs="Times New Roman"/>
          <w:i/>
          <w:color w:val="17365D"/>
        </w:rPr>
      </w:pPr>
      <w:r w:rsidRPr="00A27896">
        <w:rPr>
          <w:rFonts w:eastAsia="Arial Unicode MS" w:cs="Times New Roman"/>
          <w:i/>
          <w:color w:val="17365D"/>
        </w:rPr>
        <w:t>4</w:t>
      </w:r>
      <w:r w:rsidR="006B6731" w:rsidRPr="00A27896">
        <w:rPr>
          <w:rFonts w:eastAsia="Arial Unicode MS" w:cs="Times New Roman"/>
          <w:i/>
          <w:color w:val="17365D"/>
        </w:rPr>
        <w:t>3</w:t>
      </w:r>
      <w:r w:rsidRPr="00A27896">
        <w:rPr>
          <w:rFonts w:eastAsia="Arial Unicode MS" w:cs="Times New Roman"/>
          <w:i/>
          <w:color w:val="17365D"/>
        </w:rPr>
        <w:t>. tabula. Procentu ieņēmumi (</w:t>
      </w:r>
      <w:proofErr w:type="spellStart"/>
      <w:r w:rsidRPr="00A27896">
        <w:rPr>
          <w:rFonts w:eastAsia="Arial Unicode MS" w:cs="Times New Roman"/>
          <w:i/>
          <w:color w:val="17365D"/>
        </w:rPr>
        <w:t>euro</w:t>
      </w:r>
      <w:proofErr w:type="spellEnd"/>
      <w:r w:rsidRPr="00A27896">
        <w:rPr>
          <w:rFonts w:eastAsia="Arial Unicode MS" w:cs="Times New Roman"/>
          <w:i/>
          <w:color w:val="17365D"/>
        </w:rPr>
        <w:t>)</w:t>
      </w:r>
    </w:p>
    <w:tbl>
      <w:tblPr>
        <w:tblW w:w="9354" w:type="dxa"/>
        <w:tblBorders>
          <w:insideH w:val="single" w:sz="4" w:space="0" w:color="000000"/>
        </w:tblBorders>
        <w:tblLook w:val="04A0" w:firstRow="1" w:lastRow="0" w:firstColumn="1" w:lastColumn="0" w:noHBand="0" w:noVBand="1"/>
      </w:tblPr>
      <w:tblGrid>
        <w:gridCol w:w="5186"/>
        <w:gridCol w:w="2131"/>
        <w:gridCol w:w="2037"/>
      </w:tblGrid>
      <w:tr w:rsidR="00162DBF" w:rsidRPr="00A27896" w14:paraId="269A2F15" w14:textId="77777777" w:rsidTr="00162DBF">
        <w:trPr>
          <w:trHeight w:val="326"/>
          <w:tblHeader/>
        </w:trPr>
        <w:tc>
          <w:tcPr>
            <w:tcW w:w="5186" w:type="dxa"/>
            <w:tcBorders>
              <w:bottom w:val="single" w:sz="4" w:space="0" w:color="17365D"/>
            </w:tcBorders>
            <w:shd w:val="clear" w:color="auto" w:fill="B8CCE4" w:themeFill="accent1" w:themeFillTint="66"/>
            <w:vAlign w:val="center"/>
            <w:hideMark/>
          </w:tcPr>
          <w:p w14:paraId="3090964D" w14:textId="77777777" w:rsidR="00162DBF" w:rsidRPr="00A27896" w:rsidRDefault="00162DBF" w:rsidP="00162DBF">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Darījuma apraksts</w:t>
            </w:r>
          </w:p>
        </w:tc>
        <w:tc>
          <w:tcPr>
            <w:tcW w:w="2131" w:type="dxa"/>
            <w:tcBorders>
              <w:bottom w:val="single" w:sz="4" w:space="0" w:color="17365D"/>
            </w:tcBorders>
            <w:shd w:val="clear" w:color="auto" w:fill="B8CCE4" w:themeFill="accent1" w:themeFillTint="66"/>
            <w:vAlign w:val="center"/>
            <w:hideMark/>
          </w:tcPr>
          <w:p w14:paraId="35E2CA96" w14:textId="77777777" w:rsidR="00162DBF" w:rsidRPr="00A27896" w:rsidRDefault="00162DBF" w:rsidP="00162DBF">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Pārskata periodā</w:t>
            </w:r>
          </w:p>
        </w:tc>
        <w:tc>
          <w:tcPr>
            <w:tcW w:w="2037" w:type="dxa"/>
            <w:tcBorders>
              <w:bottom w:val="single" w:sz="4" w:space="0" w:color="17365D"/>
            </w:tcBorders>
            <w:shd w:val="clear" w:color="auto" w:fill="B8CCE4" w:themeFill="accent1" w:themeFillTint="66"/>
          </w:tcPr>
          <w:p w14:paraId="5882A253" w14:textId="77777777" w:rsidR="00162DBF" w:rsidRPr="00A27896" w:rsidRDefault="00162DBF" w:rsidP="00162DBF">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Iepriekšējā pārskata periodā</w:t>
            </w:r>
          </w:p>
        </w:tc>
      </w:tr>
      <w:tr w:rsidR="00162DBF" w:rsidRPr="00A27896" w14:paraId="4C6365AE" w14:textId="77777777" w:rsidTr="00162DBF">
        <w:trPr>
          <w:trHeight w:val="255"/>
          <w:tblHeader/>
        </w:trPr>
        <w:tc>
          <w:tcPr>
            <w:tcW w:w="5186" w:type="dxa"/>
            <w:tcBorders>
              <w:top w:val="single" w:sz="4" w:space="0" w:color="17365D"/>
              <w:bottom w:val="single" w:sz="4" w:space="0" w:color="17365D"/>
            </w:tcBorders>
            <w:shd w:val="clear" w:color="auto" w:fill="auto"/>
            <w:vAlign w:val="center"/>
            <w:hideMark/>
          </w:tcPr>
          <w:p w14:paraId="040D05CF" w14:textId="77777777" w:rsidR="00162DBF" w:rsidRPr="00A27896" w:rsidRDefault="00162DBF" w:rsidP="00162DBF">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A</w:t>
            </w:r>
          </w:p>
        </w:tc>
        <w:tc>
          <w:tcPr>
            <w:tcW w:w="2131" w:type="dxa"/>
            <w:tcBorders>
              <w:top w:val="single" w:sz="4" w:space="0" w:color="17365D"/>
              <w:bottom w:val="single" w:sz="4" w:space="0" w:color="17365D"/>
            </w:tcBorders>
            <w:shd w:val="clear" w:color="auto" w:fill="auto"/>
            <w:vAlign w:val="center"/>
            <w:hideMark/>
          </w:tcPr>
          <w:p w14:paraId="02A48D20" w14:textId="77777777" w:rsidR="00162DBF" w:rsidRPr="00A27896" w:rsidRDefault="00162DBF" w:rsidP="00162DBF">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1</w:t>
            </w:r>
          </w:p>
        </w:tc>
        <w:tc>
          <w:tcPr>
            <w:tcW w:w="2037" w:type="dxa"/>
            <w:tcBorders>
              <w:top w:val="single" w:sz="4" w:space="0" w:color="17365D"/>
              <w:bottom w:val="single" w:sz="4" w:space="0" w:color="17365D"/>
            </w:tcBorders>
            <w:shd w:val="clear" w:color="auto" w:fill="auto"/>
          </w:tcPr>
          <w:p w14:paraId="7DC6BD91" w14:textId="77777777" w:rsidR="00162DBF" w:rsidRPr="00A27896" w:rsidRDefault="00162DBF" w:rsidP="00162DBF">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2</w:t>
            </w:r>
          </w:p>
        </w:tc>
      </w:tr>
      <w:tr w:rsidR="00162DBF" w:rsidRPr="00A27896" w14:paraId="12E0BF93" w14:textId="77777777" w:rsidTr="00162DBF">
        <w:trPr>
          <w:trHeight w:val="237"/>
        </w:trPr>
        <w:tc>
          <w:tcPr>
            <w:tcW w:w="5186" w:type="dxa"/>
            <w:tcBorders>
              <w:top w:val="single" w:sz="4" w:space="0" w:color="17365D"/>
              <w:bottom w:val="single" w:sz="4" w:space="0" w:color="17365D"/>
            </w:tcBorders>
            <w:shd w:val="clear" w:color="auto" w:fill="auto"/>
            <w:vAlign w:val="center"/>
            <w:hideMark/>
          </w:tcPr>
          <w:p w14:paraId="1C409450" w14:textId="77777777" w:rsidR="00162DBF" w:rsidRPr="00A27896" w:rsidRDefault="00162DBF" w:rsidP="00162DB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Procentu ieņēmumi par kontu atlikumiem un naudas līdzekļu ekvivalentiem</w:t>
            </w:r>
          </w:p>
        </w:tc>
        <w:tc>
          <w:tcPr>
            <w:tcW w:w="2131" w:type="dxa"/>
            <w:tcBorders>
              <w:top w:val="single" w:sz="4" w:space="0" w:color="17365D"/>
              <w:left w:val="nil"/>
              <w:bottom w:val="single" w:sz="4" w:space="0" w:color="17365D"/>
              <w:right w:val="nil"/>
            </w:tcBorders>
            <w:shd w:val="clear" w:color="auto" w:fill="auto"/>
            <w:vAlign w:val="center"/>
            <w:hideMark/>
          </w:tcPr>
          <w:p w14:paraId="74867B34" w14:textId="6C75183B" w:rsidR="00162DBF" w:rsidRPr="00A27896" w:rsidRDefault="00162DBF" w:rsidP="00162D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14 345 409</w:t>
            </w:r>
          </w:p>
        </w:tc>
        <w:tc>
          <w:tcPr>
            <w:tcW w:w="2037" w:type="dxa"/>
            <w:tcBorders>
              <w:top w:val="single" w:sz="4" w:space="0" w:color="17365D"/>
              <w:left w:val="nil"/>
              <w:bottom w:val="single" w:sz="4" w:space="0" w:color="17365D"/>
              <w:right w:val="nil"/>
            </w:tcBorders>
            <w:shd w:val="clear" w:color="auto" w:fill="auto"/>
            <w:vAlign w:val="center"/>
          </w:tcPr>
          <w:p w14:paraId="6631784B" w14:textId="2DC6AA17" w:rsidR="00162DBF" w:rsidRPr="00A27896" w:rsidRDefault="00162DBF" w:rsidP="00162D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697 552</w:t>
            </w:r>
          </w:p>
        </w:tc>
      </w:tr>
      <w:tr w:rsidR="00162DBF" w:rsidRPr="00A27896" w14:paraId="202E2ED7" w14:textId="77777777" w:rsidTr="00162DBF">
        <w:trPr>
          <w:trHeight w:val="270"/>
        </w:trPr>
        <w:tc>
          <w:tcPr>
            <w:tcW w:w="5186" w:type="dxa"/>
            <w:tcBorders>
              <w:top w:val="single" w:sz="4" w:space="0" w:color="17365D"/>
              <w:bottom w:val="single" w:sz="4" w:space="0" w:color="17365D"/>
            </w:tcBorders>
            <w:shd w:val="clear" w:color="auto" w:fill="auto"/>
            <w:vAlign w:val="center"/>
            <w:hideMark/>
          </w:tcPr>
          <w:p w14:paraId="53221436" w14:textId="77777777" w:rsidR="00162DBF" w:rsidRPr="00A27896" w:rsidRDefault="00162DBF" w:rsidP="00162DB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Procentu ieņēmumi par finanšu instrumentiem, izņemot PVFA un PVFS</w:t>
            </w:r>
          </w:p>
        </w:tc>
        <w:tc>
          <w:tcPr>
            <w:tcW w:w="2131" w:type="dxa"/>
            <w:tcBorders>
              <w:top w:val="single" w:sz="4" w:space="0" w:color="17365D"/>
              <w:left w:val="nil"/>
              <w:bottom w:val="single" w:sz="4" w:space="0" w:color="17365D"/>
              <w:right w:val="nil"/>
            </w:tcBorders>
            <w:shd w:val="clear" w:color="auto" w:fill="auto"/>
            <w:vAlign w:val="center"/>
            <w:hideMark/>
          </w:tcPr>
          <w:p w14:paraId="5D6E4317" w14:textId="4C91D3AC" w:rsidR="00162DBF" w:rsidRPr="00A27896" w:rsidRDefault="00162DBF" w:rsidP="00162D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40 298 380</w:t>
            </w:r>
          </w:p>
        </w:tc>
        <w:tc>
          <w:tcPr>
            <w:tcW w:w="2037" w:type="dxa"/>
            <w:tcBorders>
              <w:top w:val="single" w:sz="4" w:space="0" w:color="17365D"/>
              <w:left w:val="nil"/>
              <w:bottom w:val="single" w:sz="4" w:space="0" w:color="17365D"/>
              <w:right w:val="nil"/>
            </w:tcBorders>
            <w:shd w:val="clear" w:color="auto" w:fill="auto"/>
            <w:vAlign w:val="center"/>
          </w:tcPr>
          <w:p w14:paraId="6A10C3A3" w14:textId="6AED0CE1" w:rsidR="00162DBF" w:rsidRPr="00A27896" w:rsidRDefault="00162DBF" w:rsidP="00162D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19 473 246</w:t>
            </w:r>
          </w:p>
        </w:tc>
      </w:tr>
      <w:tr w:rsidR="00162DBF" w:rsidRPr="00A27896" w14:paraId="598EECC8" w14:textId="77777777" w:rsidTr="00162DBF">
        <w:trPr>
          <w:trHeight w:val="255"/>
        </w:trPr>
        <w:tc>
          <w:tcPr>
            <w:tcW w:w="5186" w:type="dxa"/>
            <w:tcBorders>
              <w:top w:val="single" w:sz="4" w:space="0" w:color="17365D"/>
              <w:bottom w:val="single" w:sz="4" w:space="0" w:color="17365D"/>
            </w:tcBorders>
            <w:shd w:val="clear" w:color="auto" w:fill="auto"/>
            <w:vAlign w:val="center"/>
            <w:hideMark/>
          </w:tcPr>
          <w:p w14:paraId="26C7B3CA" w14:textId="77777777" w:rsidR="00162DBF" w:rsidRPr="00A27896" w:rsidRDefault="00162DBF" w:rsidP="00162DB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t.sk. Līdz termiņa beigām turētie ieguldījumi</w:t>
            </w:r>
          </w:p>
        </w:tc>
        <w:tc>
          <w:tcPr>
            <w:tcW w:w="2131" w:type="dxa"/>
            <w:tcBorders>
              <w:top w:val="single" w:sz="4" w:space="0" w:color="17365D"/>
              <w:left w:val="nil"/>
              <w:bottom w:val="single" w:sz="4" w:space="0" w:color="17365D"/>
              <w:right w:val="nil"/>
            </w:tcBorders>
            <w:shd w:val="clear" w:color="auto" w:fill="auto"/>
            <w:vAlign w:val="center"/>
            <w:hideMark/>
          </w:tcPr>
          <w:p w14:paraId="56492360" w14:textId="512BDA4E" w:rsidR="00162DBF" w:rsidRPr="00A27896" w:rsidRDefault="00162DBF" w:rsidP="00162D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4 521 028</w:t>
            </w:r>
          </w:p>
        </w:tc>
        <w:tc>
          <w:tcPr>
            <w:tcW w:w="2037" w:type="dxa"/>
            <w:tcBorders>
              <w:top w:val="single" w:sz="4" w:space="0" w:color="17365D"/>
              <w:left w:val="nil"/>
              <w:bottom w:val="single" w:sz="4" w:space="0" w:color="17365D"/>
              <w:right w:val="nil"/>
            </w:tcBorders>
            <w:shd w:val="clear" w:color="auto" w:fill="auto"/>
            <w:vAlign w:val="center"/>
          </w:tcPr>
          <w:p w14:paraId="4EDEEF4B" w14:textId="589D7EBC" w:rsidR="00162DBF" w:rsidRPr="00A27896" w:rsidRDefault="00162DBF" w:rsidP="00162D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2 366 518</w:t>
            </w:r>
          </w:p>
        </w:tc>
      </w:tr>
      <w:tr w:rsidR="00162DBF" w:rsidRPr="00A27896" w14:paraId="0A8E8DF2" w14:textId="77777777" w:rsidTr="00162DBF">
        <w:trPr>
          <w:trHeight w:val="255"/>
        </w:trPr>
        <w:tc>
          <w:tcPr>
            <w:tcW w:w="5186" w:type="dxa"/>
            <w:tcBorders>
              <w:top w:val="single" w:sz="4" w:space="0" w:color="17365D"/>
              <w:bottom w:val="single" w:sz="4" w:space="0" w:color="17365D"/>
            </w:tcBorders>
            <w:shd w:val="clear" w:color="auto" w:fill="auto"/>
            <w:vAlign w:val="center"/>
            <w:hideMark/>
          </w:tcPr>
          <w:p w14:paraId="5B1E9B02" w14:textId="77777777" w:rsidR="00162DBF" w:rsidRPr="00A27896" w:rsidRDefault="00162DBF" w:rsidP="00162DB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Aizdevumi un prasības</w:t>
            </w:r>
          </w:p>
        </w:tc>
        <w:tc>
          <w:tcPr>
            <w:tcW w:w="2131" w:type="dxa"/>
            <w:tcBorders>
              <w:top w:val="single" w:sz="4" w:space="0" w:color="17365D"/>
              <w:left w:val="nil"/>
              <w:bottom w:val="single" w:sz="4" w:space="0" w:color="17365D"/>
              <w:right w:val="nil"/>
            </w:tcBorders>
            <w:shd w:val="clear" w:color="auto" w:fill="auto"/>
            <w:vAlign w:val="center"/>
            <w:hideMark/>
          </w:tcPr>
          <w:p w14:paraId="402D7A36" w14:textId="6CF27C38" w:rsidR="00162DBF" w:rsidRPr="00A27896" w:rsidRDefault="00162DBF" w:rsidP="00162D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16 972 995</w:t>
            </w:r>
          </w:p>
        </w:tc>
        <w:tc>
          <w:tcPr>
            <w:tcW w:w="2037" w:type="dxa"/>
            <w:tcBorders>
              <w:top w:val="single" w:sz="4" w:space="0" w:color="17365D"/>
              <w:left w:val="nil"/>
              <w:bottom w:val="single" w:sz="4" w:space="0" w:color="17365D"/>
              <w:right w:val="nil"/>
            </w:tcBorders>
            <w:shd w:val="clear" w:color="auto" w:fill="auto"/>
            <w:vAlign w:val="center"/>
          </w:tcPr>
          <w:p w14:paraId="2BB64555" w14:textId="3027B9C8" w:rsidR="00162DBF" w:rsidRPr="00A27896" w:rsidRDefault="00162DBF" w:rsidP="00162D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8 975 962</w:t>
            </w:r>
          </w:p>
        </w:tc>
      </w:tr>
      <w:tr w:rsidR="00162DBF" w:rsidRPr="00A27896" w14:paraId="4F24DCFB" w14:textId="77777777" w:rsidTr="00162DBF">
        <w:trPr>
          <w:trHeight w:val="255"/>
        </w:trPr>
        <w:tc>
          <w:tcPr>
            <w:tcW w:w="5186" w:type="dxa"/>
            <w:tcBorders>
              <w:top w:val="single" w:sz="4" w:space="0" w:color="17365D"/>
              <w:bottom w:val="single" w:sz="4" w:space="0" w:color="17365D"/>
            </w:tcBorders>
            <w:shd w:val="clear" w:color="auto" w:fill="auto"/>
            <w:vAlign w:val="center"/>
            <w:hideMark/>
          </w:tcPr>
          <w:p w14:paraId="19E83C02" w14:textId="77777777" w:rsidR="00162DBF" w:rsidRPr="00A27896" w:rsidRDefault="00162DBF" w:rsidP="00162DB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Pārdošanai pieejamie finanšu aktīvi</w:t>
            </w:r>
          </w:p>
        </w:tc>
        <w:tc>
          <w:tcPr>
            <w:tcW w:w="2131" w:type="dxa"/>
            <w:tcBorders>
              <w:top w:val="single" w:sz="4" w:space="0" w:color="17365D"/>
              <w:left w:val="nil"/>
              <w:bottom w:val="single" w:sz="4" w:space="0" w:color="17365D"/>
              <w:right w:val="nil"/>
            </w:tcBorders>
            <w:shd w:val="clear" w:color="auto" w:fill="auto"/>
            <w:vAlign w:val="center"/>
            <w:hideMark/>
          </w:tcPr>
          <w:p w14:paraId="7D52C9F3" w14:textId="7BDF247D" w:rsidR="00162DBF" w:rsidRPr="00A27896" w:rsidRDefault="00162DBF" w:rsidP="00162D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202</w:t>
            </w:r>
          </w:p>
        </w:tc>
        <w:tc>
          <w:tcPr>
            <w:tcW w:w="2037" w:type="dxa"/>
            <w:tcBorders>
              <w:top w:val="single" w:sz="4" w:space="0" w:color="17365D"/>
              <w:left w:val="nil"/>
              <w:bottom w:val="single" w:sz="4" w:space="0" w:color="17365D"/>
              <w:right w:val="nil"/>
            </w:tcBorders>
            <w:shd w:val="clear" w:color="auto" w:fill="auto"/>
            <w:vAlign w:val="center"/>
          </w:tcPr>
          <w:p w14:paraId="6C1A7C71" w14:textId="08FAB75A" w:rsidR="00162DBF" w:rsidRPr="00A27896" w:rsidRDefault="00162DBF" w:rsidP="00162D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12 631</w:t>
            </w:r>
          </w:p>
        </w:tc>
      </w:tr>
      <w:tr w:rsidR="00162DBF" w:rsidRPr="00A27896" w14:paraId="4CB504F8" w14:textId="77777777" w:rsidTr="00162DBF">
        <w:trPr>
          <w:trHeight w:val="236"/>
        </w:trPr>
        <w:tc>
          <w:tcPr>
            <w:tcW w:w="5186" w:type="dxa"/>
            <w:tcBorders>
              <w:top w:val="single" w:sz="4" w:space="0" w:color="17365D"/>
              <w:bottom w:val="single" w:sz="4" w:space="0" w:color="17365D"/>
            </w:tcBorders>
            <w:shd w:val="clear" w:color="auto" w:fill="auto"/>
            <w:vAlign w:val="center"/>
            <w:hideMark/>
          </w:tcPr>
          <w:p w14:paraId="543E729B" w14:textId="77777777" w:rsidR="00162DBF" w:rsidRPr="00A27896" w:rsidRDefault="00162DBF" w:rsidP="00162DB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Finanšu saistības, kas novērtētas amortizētajā vērtībā, un citas finanšu saistības</w:t>
            </w:r>
          </w:p>
        </w:tc>
        <w:tc>
          <w:tcPr>
            <w:tcW w:w="2131" w:type="dxa"/>
            <w:tcBorders>
              <w:top w:val="single" w:sz="4" w:space="0" w:color="17365D"/>
              <w:left w:val="nil"/>
              <w:bottom w:val="single" w:sz="4" w:space="0" w:color="17365D"/>
              <w:right w:val="nil"/>
            </w:tcBorders>
            <w:shd w:val="clear" w:color="auto" w:fill="auto"/>
            <w:vAlign w:val="center"/>
            <w:hideMark/>
          </w:tcPr>
          <w:p w14:paraId="7ABF93F3" w14:textId="06CDDB99" w:rsidR="00162DBF" w:rsidRPr="00A27896" w:rsidRDefault="00162DBF" w:rsidP="00162D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18 804 155</w:t>
            </w:r>
          </w:p>
        </w:tc>
        <w:tc>
          <w:tcPr>
            <w:tcW w:w="2037" w:type="dxa"/>
            <w:tcBorders>
              <w:top w:val="single" w:sz="4" w:space="0" w:color="17365D"/>
              <w:left w:val="nil"/>
              <w:bottom w:val="single" w:sz="4" w:space="0" w:color="17365D"/>
              <w:right w:val="nil"/>
            </w:tcBorders>
            <w:shd w:val="clear" w:color="auto" w:fill="auto"/>
            <w:vAlign w:val="center"/>
          </w:tcPr>
          <w:p w14:paraId="229BC3D8" w14:textId="790297F0" w:rsidR="00162DBF" w:rsidRPr="00A27896" w:rsidRDefault="00162DBF" w:rsidP="00162D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8 118 135</w:t>
            </w:r>
          </w:p>
        </w:tc>
      </w:tr>
      <w:tr w:rsidR="00162DBF" w:rsidRPr="00A27896" w14:paraId="7FFA7E45" w14:textId="77777777" w:rsidTr="00162DBF">
        <w:trPr>
          <w:trHeight w:val="255"/>
        </w:trPr>
        <w:tc>
          <w:tcPr>
            <w:tcW w:w="5186" w:type="dxa"/>
            <w:tcBorders>
              <w:top w:val="single" w:sz="4" w:space="0" w:color="17365D"/>
              <w:bottom w:val="single" w:sz="4" w:space="0" w:color="17365D"/>
            </w:tcBorders>
            <w:shd w:val="clear" w:color="auto" w:fill="auto"/>
            <w:vAlign w:val="center"/>
            <w:hideMark/>
          </w:tcPr>
          <w:p w14:paraId="578C6D38" w14:textId="77777777" w:rsidR="00162DBF" w:rsidRPr="00A27896" w:rsidRDefault="00162DBF" w:rsidP="00162DB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procentu ieņēmumi</w:t>
            </w:r>
          </w:p>
        </w:tc>
        <w:tc>
          <w:tcPr>
            <w:tcW w:w="2131" w:type="dxa"/>
            <w:tcBorders>
              <w:top w:val="single" w:sz="4" w:space="0" w:color="17365D"/>
              <w:left w:val="nil"/>
              <w:bottom w:val="single" w:sz="4" w:space="0" w:color="17365D"/>
              <w:right w:val="nil"/>
            </w:tcBorders>
            <w:shd w:val="clear" w:color="auto" w:fill="auto"/>
            <w:noWrap/>
            <w:vAlign w:val="center"/>
            <w:hideMark/>
          </w:tcPr>
          <w:p w14:paraId="4146CFFD" w14:textId="5267224A" w:rsidR="00162DBF" w:rsidRPr="00A27896" w:rsidRDefault="00162DBF" w:rsidP="00162D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7 794 759</w:t>
            </w:r>
          </w:p>
        </w:tc>
        <w:tc>
          <w:tcPr>
            <w:tcW w:w="2037" w:type="dxa"/>
            <w:tcBorders>
              <w:top w:val="single" w:sz="4" w:space="0" w:color="17365D"/>
              <w:left w:val="nil"/>
              <w:bottom w:val="single" w:sz="4" w:space="0" w:color="17365D"/>
              <w:right w:val="nil"/>
            </w:tcBorders>
            <w:shd w:val="clear" w:color="auto" w:fill="auto"/>
            <w:vAlign w:val="center"/>
          </w:tcPr>
          <w:p w14:paraId="54A60429" w14:textId="363AE51F" w:rsidR="00162DBF" w:rsidRPr="00A27896" w:rsidRDefault="00162DBF" w:rsidP="00162DB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18 126 128</w:t>
            </w:r>
          </w:p>
        </w:tc>
      </w:tr>
      <w:tr w:rsidR="00162DBF" w:rsidRPr="00A27896" w14:paraId="32372D02" w14:textId="77777777" w:rsidTr="00162DBF">
        <w:trPr>
          <w:trHeight w:val="300"/>
        </w:trPr>
        <w:tc>
          <w:tcPr>
            <w:tcW w:w="5186" w:type="dxa"/>
            <w:tcBorders>
              <w:top w:val="single" w:sz="4" w:space="0" w:color="17365D"/>
              <w:right w:val="nil"/>
            </w:tcBorders>
            <w:shd w:val="clear" w:color="auto" w:fill="B8CCE4" w:themeFill="accent1" w:themeFillTint="66"/>
            <w:vAlign w:val="center"/>
            <w:hideMark/>
          </w:tcPr>
          <w:p w14:paraId="47CB140D" w14:textId="77777777" w:rsidR="00162DBF" w:rsidRPr="00A27896" w:rsidRDefault="00162DBF" w:rsidP="00162DBF">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Kopā</w:t>
            </w:r>
          </w:p>
        </w:tc>
        <w:tc>
          <w:tcPr>
            <w:tcW w:w="2131" w:type="dxa"/>
            <w:tcBorders>
              <w:top w:val="single" w:sz="4" w:space="0" w:color="17365D"/>
              <w:left w:val="nil"/>
              <w:bottom w:val="nil"/>
              <w:right w:val="nil"/>
            </w:tcBorders>
            <w:shd w:val="clear" w:color="auto" w:fill="B8CCE4" w:themeFill="accent1" w:themeFillTint="66"/>
            <w:vAlign w:val="center"/>
            <w:hideMark/>
          </w:tcPr>
          <w:p w14:paraId="54CD21A5" w14:textId="70F40560" w:rsidR="00162DBF" w:rsidRPr="00A27896" w:rsidRDefault="00162DBF" w:rsidP="00162DBF">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62 438 548</w:t>
            </w:r>
          </w:p>
        </w:tc>
        <w:tc>
          <w:tcPr>
            <w:tcW w:w="2037" w:type="dxa"/>
            <w:tcBorders>
              <w:top w:val="single" w:sz="4" w:space="0" w:color="17365D"/>
              <w:left w:val="nil"/>
              <w:bottom w:val="nil"/>
              <w:right w:val="nil"/>
            </w:tcBorders>
            <w:shd w:val="clear" w:color="auto" w:fill="B8CCE4" w:themeFill="accent1" w:themeFillTint="66"/>
            <w:vAlign w:val="center"/>
          </w:tcPr>
          <w:p w14:paraId="5C90987F" w14:textId="17B5ACBD" w:rsidR="00162DBF" w:rsidRPr="00A27896" w:rsidRDefault="00162DBF" w:rsidP="00162DBF">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38 296 926</w:t>
            </w:r>
          </w:p>
        </w:tc>
      </w:tr>
    </w:tbl>
    <w:p w14:paraId="09C67CA6" w14:textId="3E7CF4CD" w:rsidR="00162DBF" w:rsidRPr="00A27896" w:rsidRDefault="00162DBF" w:rsidP="00162DBF">
      <w:pPr>
        <w:pStyle w:val="Pamatteksts"/>
        <w:spacing w:before="120"/>
        <w:rPr>
          <w:rFonts w:eastAsia="Arial Unicode MS"/>
          <w:color w:val="17365D"/>
        </w:rPr>
      </w:pPr>
      <w:r w:rsidRPr="00A27896">
        <w:rPr>
          <w:rFonts w:eastAsia="Arial Unicode MS"/>
          <w:color w:val="17365D"/>
        </w:rPr>
        <w:t>Būtiskākais procentu ieņēmumu palielinājums pārskata gadā ir no procentu ieņēmumiem par finanšu saistībām, kas novērtētas amortizētajā vērtībā. Lielākās ieņēmumu izmaiņas bijušas val</w:t>
      </w:r>
      <w:r w:rsidR="006B6731" w:rsidRPr="00A27896">
        <w:rPr>
          <w:rFonts w:eastAsia="Arial Unicode MS"/>
          <w:color w:val="17365D"/>
        </w:rPr>
        <w:t>sts budžeta finanšu uzskaitē 10 </w:t>
      </w:r>
      <w:r w:rsidRPr="00A27896">
        <w:rPr>
          <w:rFonts w:eastAsia="Arial Unicode MS"/>
          <w:color w:val="17365D"/>
        </w:rPr>
        <w:t>667 556 </w:t>
      </w:r>
      <w:r w:rsidRPr="00A27896">
        <w:rPr>
          <w:rFonts w:eastAsia="Arial Unicode MS"/>
          <w:i/>
          <w:color w:val="17365D"/>
        </w:rPr>
        <w:t>euro</w:t>
      </w:r>
      <w:r w:rsidRPr="00A27896">
        <w:rPr>
          <w:rFonts w:eastAsia="Arial Unicode MS"/>
          <w:color w:val="17365D"/>
        </w:rPr>
        <w:t xml:space="preserve"> vērtībā.</w:t>
      </w:r>
    </w:p>
    <w:p w14:paraId="4740E801" w14:textId="27F763A8" w:rsidR="00306854" w:rsidRPr="00A27896" w:rsidRDefault="00306854" w:rsidP="00A24A96">
      <w:pPr>
        <w:pStyle w:val="Pamatteksts"/>
        <w:ind w:firstLine="284"/>
        <w:rPr>
          <w:rFonts w:eastAsia="Arial Unicode MS"/>
          <w:color w:val="17365D"/>
        </w:rPr>
      </w:pPr>
      <w:r w:rsidRPr="00A27896">
        <w:rPr>
          <w:rFonts w:eastAsia="Arial Unicode MS"/>
          <w:color w:val="17365D"/>
        </w:rPr>
        <w:t>FD.A19</w:t>
      </w:r>
      <w:r w:rsidR="00BF3742" w:rsidRPr="00A27896">
        <w:rPr>
          <w:rFonts w:eastAsia="Arial Unicode MS"/>
          <w:color w:val="17365D"/>
        </w:rPr>
        <w:t>.</w:t>
      </w:r>
      <w:r w:rsidRPr="00A27896">
        <w:rPr>
          <w:rFonts w:eastAsia="Arial Unicode MS"/>
          <w:color w:val="17365D"/>
        </w:rPr>
        <w:t xml:space="preserve"> Pārējie ieņēmumi, kas nav klasificēti A11</w:t>
      </w:r>
      <w:r w:rsidR="007E01B8" w:rsidRPr="00A27896">
        <w:rPr>
          <w:rFonts w:eastAsia="Arial Unicode MS"/>
          <w:color w:val="17365D"/>
        </w:rPr>
        <w:t>.</w:t>
      </w:r>
      <w:r w:rsidRPr="00A27896">
        <w:rPr>
          <w:rFonts w:eastAsia="Arial Unicode MS"/>
          <w:color w:val="17365D"/>
        </w:rPr>
        <w:t xml:space="preserve"> līdz A18</w:t>
      </w:r>
      <w:r w:rsidR="007E01B8" w:rsidRPr="00A27896">
        <w:rPr>
          <w:rFonts w:eastAsia="Arial Unicode MS"/>
          <w:color w:val="17365D"/>
        </w:rPr>
        <w:t>.</w:t>
      </w:r>
      <w:r w:rsidRPr="00A27896">
        <w:rPr>
          <w:rFonts w:eastAsia="Arial Unicode MS"/>
          <w:color w:val="17365D"/>
        </w:rPr>
        <w:t xml:space="preserve"> rindā.</w:t>
      </w:r>
    </w:p>
    <w:p w14:paraId="09824BDB" w14:textId="123096F4" w:rsidR="0058152B" w:rsidRPr="00A27896" w:rsidRDefault="0058152B" w:rsidP="00BE697A">
      <w:pPr>
        <w:pStyle w:val="Pamatteksts"/>
        <w:numPr>
          <w:ilvl w:val="0"/>
          <w:numId w:val="39"/>
        </w:numPr>
        <w:spacing w:before="120"/>
        <w:ind w:left="709" w:hanging="215"/>
        <w:rPr>
          <w:rFonts w:eastAsia="Arial Unicode MS"/>
          <w:color w:val="17365D"/>
        </w:rPr>
      </w:pPr>
      <w:r w:rsidRPr="00A27896">
        <w:rPr>
          <w:rFonts w:eastAsia="Arial Unicode MS"/>
          <w:color w:val="17365D"/>
        </w:rPr>
        <w:t xml:space="preserve">Lielākais šī posteņa palielinājums ir Aizsardzības ministrijai 624 089 845 </w:t>
      </w:r>
      <w:r w:rsidRPr="00A27896">
        <w:rPr>
          <w:rFonts w:eastAsia="Arial Unicode MS"/>
          <w:i/>
          <w:color w:val="17365D"/>
        </w:rPr>
        <w:t>euro</w:t>
      </w:r>
      <w:r w:rsidRPr="00A27896">
        <w:rPr>
          <w:rFonts w:eastAsia="Arial Unicode MS"/>
          <w:color w:val="17365D"/>
        </w:rPr>
        <w:t xml:space="preserve"> vērtībā izmaiņas saistītas ar atzītiem ieņēmumiem no uzkrājumu </w:t>
      </w:r>
      <w:r w:rsidR="00713BBD" w:rsidRPr="00A27896">
        <w:rPr>
          <w:rFonts w:eastAsia="Arial Unicode MS"/>
          <w:color w:val="17365D"/>
        </w:rPr>
        <w:t xml:space="preserve">norakstīšanas </w:t>
      </w:r>
      <w:r w:rsidRPr="00A27896">
        <w:rPr>
          <w:rFonts w:eastAsia="Arial Unicode MS"/>
          <w:color w:val="17365D"/>
        </w:rPr>
        <w:t>izdienas pensijām un pabalstiem;</w:t>
      </w:r>
    </w:p>
    <w:p w14:paraId="66A4CD06" w14:textId="3ABBC6E8" w:rsidR="0058152B" w:rsidRDefault="0058152B" w:rsidP="00BE697A">
      <w:pPr>
        <w:pStyle w:val="Pamatteksts"/>
        <w:numPr>
          <w:ilvl w:val="0"/>
          <w:numId w:val="39"/>
        </w:numPr>
        <w:spacing w:before="120"/>
        <w:ind w:left="709" w:hanging="215"/>
        <w:rPr>
          <w:rFonts w:eastAsia="Arial Unicode MS"/>
          <w:color w:val="17365D"/>
        </w:rPr>
      </w:pPr>
      <w:r w:rsidRPr="00A27896">
        <w:rPr>
          <w:rFonts w:eastAsia="Arial Unicode MS"/>
          <w:color w:val="17365D"/>
        </w:rPr>
        <w:t>palielinājums Iekšlietu ministrijai 327</w:t>
      </w:r>
      <w:r w:rsidR="00162DBF" w:rsidRPr="00A27896">
        <w:rPr>
          <w:rFonts w:eastAsia="Arial Unicode MS"/>
          <w:color w:val="17365D"/>
        </w:rPr>
        <w:t> </w:t>
      </w:r>
      <w:r w:rsidRPr="00A27896">
        <w:rPr>
          <w:rFonts w:eastAsia="Arial Unicode MS"/>
          <w:color w:val="17365D"/>
        </w:rPr>
        <w:t>374</w:t>
      </w:r>
      <w:r w:rsidR="00162DBF" w:rsidRPr="00A27896">
        <w:rPr>
          <w:rFonts w:eastAsia="Arial Unicode MS"/>
          <w:color w:val="17365D"/>
        </w:rPr>
        <w:t> </w:t>
      </w:r>
      <w:r w:rsidRPr="00A27896">
        <w:rPr>
          <w:rFonts w:eastAsia="Arial Unicode MS"/>
          <w:color w:val="17365D"/>
        </w:rPr>
        <w:t xml:space="preserve">409 </w:t>
      </w:r>
      <w:r w:rsidRPr="00304946">
        <w:rPr>
          <w:rFonts w:eastAsia="Arial Unicode MS"/>
          <w:i/>
          <w:color w:val="17365D"/>
        </w:rPr>
        <w:t>euro</w:t>
      </w:r>
      <w:r w:rsidRPr="00A27896">
        <w:rPr>
          <w:rFonts w:eastAsia="Arial Unicode MS"/>
          <w:color w:val="17365D"/>
        </w:rPr>
        <w:t xml:space="preserve"> vērtībā, izmaiņas saistītas ar atzītiem ieņēmumiem no uzkrājumu </w:t>
      </w:r>
      <w:r w:rsidR="00713BBD" w:rsidRPr="00A27896">
        <w:rPr>
          <w:rFonts w:eastAsia="Arial Unicode MS"/>
          <w:color w:val="17365D"/>
        </w:rPr>
        <w:t xml:space="preserve">norakstīšanas </w:t>
      </w:r>
      <w:r w:rsidRPr="00A27896">
        <w:rPr>
          <w:rFonts w:eastAsia="Arial Unicode MS"/>
          <w:color w:val="17365D"/>
        </w:rPr>
        <w:t>izdienas pensijām;</w:t>
      </w:r>
    </w:p>
    <w:p w14:paraId="50CA9077" w14:textId="25AD29AE" w:rsidR="00BE697A" w:rsidRDefault="00BE697A" w:rsidP="00BE697A">
      <w:pPr>
        <w:pStyle w:val="Pamatteksts"/>
        <w:numPr>
          <w:ilvl w:val="0"/>
          <w:numId w:val="39"/>
        </w:numPr>
        <w:spacing w:before="120"/>
        <w:rPr>
          <w:rFonts w:eastAsia="Arial Unicode MS"/>
          <w:color w:val="17365D"/>
        </w:rPr>
      </w:pPr>
      <w:r>
        <w:rPr>
          <w:rFonts w:eastAsia="Arial Unicode MS"/>
          <w:color w:val="17365D"/>
        </w:rPr>
        <w:t xml:space="preserve">palielinājums </w:t>
      </w:r>
      <w:r w:rsidRPr="00BE697A">
        <w:rPr>
          <w:rFonts w:eastAsia="Arial Unicode MS"/>
          <w:color w:val="17365D"/>
        </w:rPr>
        <w:t>Kultūras ministrijai 32</w:t>
      </w:r>
      <w:r>
        <w:rPr>
          <w:rFonts w:eastAsia="Arial Unicode MS"/>
          <w:color w:val="17365D"/>
        </w:rPr>
        <w:t xml:space="preserve"> </w:t>
      </w:r>
      <w:r w:rsidRPr="00BE697A">
        <w:rPr>
          <w:rFonts w:eastAsia="Arial Unicode MS"/>
          <w:color w:val="17365D"/>
        </w:rPr>
        <w:t>532</w:t>
      </w:r>
      <w:r>
        <w:rPr>
          <w:rFonts w:eastAsia="Arial Unicode MS"/>
          <w:color w:val="17365D"/>
        </w:rPr>
        <w:t> </w:t>
      </w:r>
      <w:r w:rsidRPr="00BE697A">
        <w:rPr>
          <w:rFonts w:eastAsia="Arial Unicode MS"/>
          <w:color w:val="17365D"/>
        </w:rPr>
        <w:t xml:space="preserve">492 </w:t>
      </w:r>
      <w:r w:rsidRPr="00304946">
        <w:rPr>
          <w:rFonts w:eastAsia="Arial Unicode MS"/>
          <w:i/>
          <w:color w:val="17365D"/>
        </w:rPr>
        <w:t>euro</w:t>
      </w:r>
      <w:r w:rsidRPr="00A27896">
        <w:rPr>
          <w:rFonts w:eastAsia="Arial Unicode MS"/>
          <w:color w:val="17365D"/>
        </w:rPr>
        <w:t xml:space="preserve"> vērtībā</w:t>
      </w:r>
      <w:r>
        <w:rPr>
          <w:rFonts w:eastAsia="Arial Unicode MS"/>
          <w:color w:val="17365D"/>
        </w:rPr>
        <w:t>,</w:t>
      </w:r>
      <w:r w:rsidRPr="00BE697A">
        <w:rPr>
          <w:rFonts w:eastAsia="Arial Unicode MS"/>
          <w:color w:val="17365D"/>
        </w:rPr>
        <w:t xml:space="preserve"> izmaiņas saistītas ar atzītiem ieņēmumiem no e</w:t>
      </w:r>
      <w:r w:rsidR="001D7232">
        <w:rPr>
          <w:rFonts w:eastAsia="Arial Unicode MS"/>
          <w:color w:val="17365D"/>
        </w:rPr>
        <w:t>ksponātēku sākotnējās atzīšanas;</w:t>
      </w:r>
    </w:p>
    <w:p w14:paraId="2A57F90C" w14:textId="0FE17843" w:rsidR="00BE697A" w:rsidRPr="005C000D" w:rsidRDefault="00BE697A" w:rsidP="006931A9">
      <w:pPr>
        <w:pStyle w:val="Pamatteksts"/>
        <w:numPr>
          <w:ilvl w:val="0"/>
          <w:numId w:val="39"/>
        </w:numPr>
        <w:spacing w:before="120"/>
        <w:rPr>
          <w:rFonts w:eastAsia="Arial Unicode MS"/>
          <w:color w:val="17365D"/>
        </w:rPr>
      </w:pPr>
      <w:r w:rsidRPr="005C000D">
        <w:rPr>
          <w:rFonts w:eastAsia="Arial Unicode MS"/>
          <w:color w:val="17365D"/>
        </w:rPr>
        <w:t>samazinājums</w:t>
      </w:r>
      <w:r w:rsidR="00C5084F" w:rsidRPr="005C000D">
        <w:rPr>
          <w:rFonts w:eastAsia="Arial Unicode MS"/>
          <w:color w:val="17365D"/>
        </w:rPr>
        <w:t xml:space="preserve"> </w:t>
      </w:r>
      <w:r w:rsidR="00CD69E0" w:rsidRPr="005C000D">
        <w:rPr>
          <w:rFonts w:eastAsia="Arial Unicode MS"/>
          <w:color w:val="17365D"/>
        </w:rPr>
        <w:t>valsts budžeta finanšu uzskaitē</w:t>
      </w:r>
      <w:r w:rsidRPr="005C000D">
        <w:rPr>
          <w:rFonts w:eastAsia="Arial Unicode MS"/>
          <w:color w:val="17365D"/>
        </w:rPr>
        <w:t xml:space="preserve"> (128 020 025) euro</w:t>
      </w:r>
      <w:r w:rsidR="00873568" w:rsidRPr="005C000D">
        <w:rPr>
          <w:rFonts w:eastAsia="Arial Unicode MS"/>
          <w:color w:val="17365D"/>
        </w:rPr>
        <w:t xml:space="preserve"> </w:t>
      </w:r>
      <w:r w:rsidRPr="005C000D">
        <w:rPr>
          <w:rFonts w:eastAsia="Arial Unicode MS"/>
          <w:color w:val="17365D"/>
        </w:rPr>
        <w:t xml:space="preserve">vērtībā, izmaiņas saistītas </w:t>
      </w:r>
      <w:r w:rsidR="000B37CE" w:rsidRPr="005C000D">
        <w:rPr>
          <w:rFonts w:eastAsia="Arial Unicode MS"/>
          <w:color w:val="17365D"/>
        </w:rPr>
        <w:t>ar ieņēmumu samazinājumu</w:t>
      </w:r>
      <w:r w:rsidR="00FB6AE0" w:rsidRPr="005C000D">
        <w:rPr>
          <w:rFonts w:eastAsia="Arial Unicode MS"/>
          <w:color w:val="17365D"/>
        </w:rPr>
        <w:t xml:space="preserve"> </w:t>
      </w:r>
      <w:r w:rsidR="005C000D" w:rsidRPr="005C000D">
        <w:rPr>
          <w:rFonts w:eastAsia="Arial Unicode MS"/>
          <w:color w:val="17365D"/>
        </w:rPr>
        <w:t>no uzkrāto saistību</w:t>
      </w:r>
      <w:r w:rsidR="00FB6AE0" w:rsidRPr="005C000D">
        <w:rPr>
          <w:rFonts w:eastAsia="Arial Unicode MS"/>
          <w:color w:val="17365D"/>
        </w:rPr>
        <w:t xml:space="preserve"> </w:t>
      </w:r>
      <w:r w:rsidR="005C000D" w:rsidRPr="005C000D">
        <w:rPr>
          <w:rFonts w:eastAsia="Arial Unicode MS"/>
          <w:color w:val="17365D"/>
        </w:rPr>
        <w:t>dzēša</w:t>
      </w:r>
      <w:r w:rsidR="00FB6AE0" w:rsidRPr="005C000D">
        <w:rPr>
          <w:rFonts w:eastAsia="Arial Unicode MS"/>
          <w:color w:val="17365D"/>
        </w:rPr>
        <w:t>nas</w:t>
      </w:r>
      <w:r w:rsidR="00873568" w:rsidRPr="005C000D">
        <w:rPr>
          <w:rFonts w:eastAsia="Arial Unicode MS"/>
          <w:color w:val="17365D"/>
        </w:rPr>
        <w:t>, jo</w:t>
      </w:r>
      <w:r w:rsidR="000B37CE" w:rsidRPr="005C000D">
        <w:rPr>
          <w:rFonts w:eastAsia="Arial Unicode MS"/>
          <w:color w:val="17365D"/>
        </w:rPr>
        <w:t xml:space="preserve"> iepriekšējā pārskata periodā</w:t>
      </w:r>
      <w:r w:rsidRPr="005C000D">
        <w:rPr>
          <w:rFonts w:eastAsia="Arial Unicode MS"/>
          <w:color w:val="17365D"/>
        </w:rPr>
        <w:t xml:space="preserve"> </w:t>
      </w:r>
      <w:r w:rsidR="00873568" w:rsidRPr="005C000D">
        <w:rPr>
          <w:rFonts w:eastAsia="Arial Unicode MS"/>
          <w:color w:val="17365D"/>
        </w:rPr>
        <w:t xml:space="preserve">bija atzīti būtiski </w:t>
      </w:r>
      <w:r w:rsidRPr="005C000D">
        <w:rPr>
          <w:rFonts w:eastAsia="Arial Unicode MS"/>
          <w:color w:val="17365D"/>
        </w:rPr>
        <w:t>ieņēmumiem no uz</w:t>
      </w:r>
      <w:r w:rsidR="005C000D" w:rsidRPr="005C000D">
        <w:rPr>
          <w:rFonts w:eastAsia="Arial Unicode MS"/>
          <w:color w:val="17365D"/>
        </w:rPr>
        <w:t xml:space="preserve">krāto saistību </w:t>
      </w:r>
      <w:r w:rsidRPr="005C000D">
        <w:rPr>
          <w:rFonts w:eastAsia="Arial Unicode MS"/>
          <w:color w:val="17365D"/>
        </w:rPr>
        <w:t>norakstīšanas par valsts vārdā izsniegtajiem galvojumiem</w:t>
      </w:r>
      <w:r w:rsidR="00FB6AE0" w:rsidRPr="005C000D">
        <w:rPr>
          <w:rFonts w:eastAsia="Arial Unicode MS"/>
          <w:color w:val="17365D"/>
        </w:rPr>
        <w:t xml:space="preserve"> ārstniecības iestādēm</w:t>
      </w:r>
      <w:r w:rsidRPr="005C000D">
        <w:rPr>
          <w:rFonts w:eastAsia="Arial Unicode MS"/>
          <w:color w:val="17365D"/>
        </w:rPr>
        <w:t>;</w:t>
      </w:r>
    </w:p>
    <w:p w14:paraId="1BBCB01C" w14:textId="2D75212A" w:rsidR="0058152B" w:rsidRPr="00A27896" w:rsidRDefault="0058152B" w:rsidP="00BE697A">
      <w:pPr>
        <w:pStyle w:val="Pamatteksts"/>
        <w:numPr>
          <w:ilvl w:val="0"/>
          <w:numId w:val="39"/>
        </w:numPr>
        <w:spacing w:before="120"/>
        <w:ind w:left="709" w:hanging="215"/>
        <w:rPr>
          <w:rFonts w:eastAsia="Arial Unicode MS"/>
          <w:color w:val="17365D"/>
        </w:rPr>
      </w:pPr>
      <w:r w:rsidRPr="00A27896">
        <w:rPr>
          <w:rFonts w:eastAsia="Arial Unicode MS"/>
          <w:color w:val="17365D"/>
        </w:rPr>
        <w:t>samazinājums Rīgas va</w:t>
      </w:r>
      <w:r w:rsidR="00162DBF" w:rsidRPr="00A27896">
        <w:rPr>
          <w:rFonts w:eastAsia="Arial Unicode MS"/>
          <w:color w:val="17365D"/>
        </w:rPr>
        <w:t>lstspilsētas pašvaldībai (35 646 </w:t>
      </w:r>
      <w:r w:rsidRPr="00A27896">
        <w:rPr>
          <w:rFonts w:eastAsia="Arial Unicode MS"/>
          <w:color w:val="17365D"/>
        </w:rPr>
        <w:t>560</w:t>
      </w:r>
      <w:r w:rsidR="00162DBF" w:rsidRPr="00A27896">
        <w:rPr>
          <w:rFonts w:eastAsia="Arial Unicode MS"/>
          <w:color w:val="17365D"/>
        </w:rPr>
        <w:t>)</w:t>
      </w:r>
      <w:r w:rsidRPr="00A27896">
        <w:rPr>
          <w:rFonts w:eastAsia="Arial Unicode MS"/>
          <w:color w:val="17365D"/>
        </w:rPr>
        <w:t xml:space="preserve"> </w:t>
      </w:r>
      <w:r w:rsidRPr="00304946">
        <w:rPr>
          <w:rFonts w:eastAsia="Arial Unicode MS"/>
          <w:i/>
          <w:color w:val="17365D"/>
        </w:rPr>
        <w:t>euro</w:t>
      </w:r>
      <w:r w:rsidRPr="00A27896">
        <w:rPr>
          <w:rFonts w:eastAsia="Arial Unicode MS"/>
          <w:color w:val="17365D"/>
        </w:rPr>
        <w:t xml:space="preserve"> vērtībā, izmaiņas saistītas ar ieņēmumu samazinājumu par iepriekšējā pārskata periodā atzītiem ieņēmumiem no zemes vienību vērtības aktualizēšanas atbilstoši 2020.</w:t>
      </w:r>
      <w:r w:rsidR="00162DBF" w:rsidRPr="00A27896">
        <w:rPr>
          <w:rFonts w:eastAsia="Arial Unicode MS"/>
          <w:color w:val="17365D"/>
        </w:rPr>
        <w:t> </w:t>
      </w:r>
      <w:r w:rsidRPr="00A27896">
        <w:rPr>
          <w:rFonts w:eastAsia="Arial Unicode MS"/>
          <w:color w:val="17365D"/>
        </w:rPr>
        <w:t>gadā noteiktajai kadastrālajai vērtībai.</w:t>
      </w:r>
    </w:p>
    <w:p w14:paraId="1C000505" w14:textId="75F5C5E0" w:rsidR="008911F1" w:rsidRPr="00A27896" w:rsidRDefault="008911F1" w:rsidP="00A24A96">
      <w:pPr>
        <w:pStyle w:val="Pamatteksts"/>
        <w:ind w:firstLine="284"/>
        <w:rPr>
          <w:color w:val="17365D"/>
        </w:rPr>
      </w:pPr>
      <w:r w:rsidRPr="00A27896">
        <w:rPr>
          <w:color w:val="17365D"/>
        </w:rPr>
        <w:t>Informācija par citiem ieņēmumiem</w:t>
      </w:r>
      <w:r w:rsidR="006870AB" w:rsidRPr="00A27896">
        <w:rPr>
          <w:color w:val="17365D"/>
        </w:rPr>
        <w:t xml:space="preserve"> uzrādīta </w:t>
      </w:r>
      <w:r w:rsidR="00FF578B" w:rsidRPr="00A27896">
        <w:rPr>
          <w:color w:val="17365D"/>
        </w:rPr>
        <w:t>4</w:t>
      </w:r>
      <w:r w:rsidR="006C1AA7" w:rsidRPr="00A27896">
        <w:rPr>
          <w:color w:val="17365D"/>
        </w:rPr>
        <w:t>4</w:t>
      </w:r>
      <w:r w:rsidR="00FF578B" w:rsidRPr="00A27896">
        <w:rPr>
          <w:color w:val="17365D"/>
        </w:rPr>
        <w:t>.</w:t>
      </w:r>
      <w:r w:rsidR="00603FE0" w:rsidRPr="00A27896">
        <w:rPr>
          <w:color w:val="17365D"/>
        </w:rPr>
        <w:t xml:space="preserve"> </w:t>
      </w:r>
      <w:r w:rsidR="00FF578B" w:rsidRPr="00A27896">
        <w:rPr>
          <w:color w:val="17365D"/>
        </w:rPr>
        <w:t>tabul</w:t>
      </w:r>
      <w:r w:rsidR="006870AB" w:rsidRPr="00A27896">
        <w:rPr>
          <w:color w:val="17365D"/>
        </w:rPr>
        <w:t>ā.</w:t>
      </w:r>
      <w:r w:rsidRPr="00A27896">
        <w:rPr>
          <w:color w:val="17365D"/>
        </w:rPr>
        <w:t xml:space="preserve"> </w:t>
      </w:r>
    </w:p>
    <w:p w14:paraId="3DCB1CA0" w14:textId="70FED651" w:rsidR="004C431A" w:rsidRDefault="004C431A" w:rsidP="00A24A96">
      <w:pPr>
        <w:pStyle w:val="Pamatteksts"/>
        <w:ind w:firstLine="284"/>
        <w:rPr>
          <w:color w:val="17365D"/>
        </w:rPr>
      </w:pPr>
    </w:p>
    <w:p w14:paraId="7B70E3DF" w14:textId="263B22D8" w:rsidR="00B41F33" w:rsidRDefault="00B41F33" w:rsidP="00A24A96">
      <w:pPr>
        <w:pStyle w:val="Pamatteksts"/>
        <w:ind w:firstLine="284"/>
        <w:rPr>
          <w:color w:val="17365D"/>
        </w:rPr>
      </w:pPr>
    </w:p>
    <w:p w14:paraId="45B482B9" w14:textId="77777777" w:rsidR="00B41F33" w:rsidRPr="00A27896" w:rsidRDefault="00B41F33" w:rsidP="00A24A96">
      <w:pPr>
        <w:pStyle w:val="Pamatteksts"/>
        <w:ind w:firstLine="284"/>
        <w:rPr>
          <w:color w:val="17365D"/>
        </w:rPr>
      </w:pPr>
    </w:p>
    <w:p w14:paraId="782077F7" w14:textId="77777777" w:rsidR="004C431A" w:rsidRPr="00A27896" w:rsidRDefault="004C431A" w:rsidP="00A24A96">
      <w:pPr>
        <w:pStyle w:val="Pamatteksts"/>
        <w:ind w:firstLine="284"/>
        <w:rPr>
          <w:color w:val="17365D"/>
        </w:rPr>
      </w:pPr>
    </w:p>
    <w:p w14:paraId="51F3C0AE" w14:textId="645A2716" w:rsidR="00FF578B" w:rsidRPr="00A27896" w:rsidRDefault="00FF578B" w:rsidP="006870AB">
      <w:pPr>
        <w:pStyle w:val="Tabulasnosaukums1"/>
        <w:spacing w:before="0" w:line="240" w:lineRule="auto"/>
        <w:rPr>
          <w:rFonts w:eastAsia="Arial Unicode MS" w:cs="Times New Roman"/>
          <w:i/>
          <w:color w:val="17365D"/>
        </w:rPr>
      </w:pPr>
      <w:r w:rsidRPr="00A27896">
        <w:rPr>
          <w:rFonts w:eastAsia="Arial Unicode MS" w:cs="Times New Roman"/>
          <w:i/>
          <w:color w:val="17365D"/>
        </w:rPr>
        <w:t>4</w:t>
      </w:r>
      <w:r w:rsidR="006C1AA7" w:rsidRPr="00A27896">
        <w:rPr>
          <w:rFonts w:eastAsia="Arial Unicode MS" w:cs="Times New Roman"/>
          <w:i/>
          <w:color w:val="17365D"/>
        </w:rPr>
        <w:t>4</w:t>
      </w:r>
      <w:r w:rsidRPr="00A27896">
        <w:rPr>
          <w:rFonts w:eastAsia="Arial Unicode MS" w:cs="Times New Roman"/>
          <w:i/>
          <w:color w:val="17365D"/>
        </w:rPr>
        <w:t>.</w:t>
      </w:r>
      <w:r w:rsidR="00D2147C" w:rsidRPr="00A27896">
        <w:rPr>
          <w:rFonts w:eastAsia="Arial Unicode MS" w:cs="Times New Roman"/>
          <w:i/>
          <w:color w:val="17365D"/>
        </w:rPr>
        <w:t xml:space="preserve"> </w:t>
      </w:r>
      <w:r w:rsidRPr="00A27896">
        <w:rPr>
          <w:rFonts w:eastAsia="Arial Unicode MS" w:cs="Times New Roman"/>
          <w:i/>
          <w:color w:val="17365D"/>
        </w:rPr>
        <w:t xml:space="preserve">tabula. </w:t>
      </w:r>
      <w:r w:rsidR="00E50CD1" w:rsidRPr="00A27896">
        <w:rPr>
          <w:rFonts w:eastAsia="Arial Unicode MS" w:cs="Times New Roman"/>
          <w:i/>
          <w:color w:val="17365D"/>
        </w:rPr>
        <w:t>Citi</w:t>
      </w:r>
      <w:r w:rsidRPr="00A27896">
        <w:rPr>
          <w:rFonts w:eastAsia="Arial Unicode MS" w:cs="Times New Roman"/>
          <w:i/>
          <w:color w:val="17365D"/>
        </w:rPr>
        <w:t xml:space="preserve"> ieņēmumi (</w:t>
      </w:r>
      <w:proofErr w:type="spellStart"/>
      <w:r w:rsidRPr="00A27896">
        <w:rPr>
          <w:rFonts w:eastAsia="Arial Unicode MS" w:cs="Times New Roman"/>
          <w:i/>
          <w:color w:val="17365D"/>
        </w:rPr>
        <w:t>euro</w:t>
      </w:r>
      <w:proofErr w:type="spellEnd"/>
      <w:r w:rsidRPr="00A27896">
        <w:rPr>
          <w:rFonts w:eastAsia="Arial Unicode MS" w:cs="Times New Roman"/>
          <w:i/>
          <w:color w:val="17365D"/>
        </w:rPr>
        <w:t>)</w:t>
      </w:r>
    </w:p>
    <w:tbl>
      <w:tblPr>
        <w:tblW w:w="9356" w:type="dxa"/>
        <w:tblBorders>
          <w:bottom w:val="single" w:sz="4" w:space="0" w:color="auto"/>
          <w:insideH w:val="single" w:sz="4" w:space="0" w:color="000000"/>
        </w:tblBorders>
        <w:tblLook w:val="04A0" w:firstRow="1" w:lastRow="0" w:firstColumn="1" w:lastColumn="0" w:noHBand="0" w:noVBand="1"/>
      </w:tblPr>
      <w:tblGrid>
        <w:gridCol w:w="5387"/>
        <w:gridCol w:w="1984"/>
        <w:gridCol w:w="1985"/>
      </w:tblGrid>
      <w:tr w:rsidR="000C1009" w:rsidRPr="00A27896" w14:paraId="6B4CFB9F" w14:textId="08408483" w:rsidTr="00281697">
        <w:trPr>
          <w:trHeight w:val="328"/>
          <w:tblHeader/>
        </w:trPr>
        <w:tc>
          <w:tcPr>
            <w:tcW w:w="5387" w:type="dxa"/>
            <w:tcBorders>
              <w:bottom w:val="single" w:sz="4" w:space="0" w:color="17365D"/>
            </w:tcBorders>
            <w:shd w:val="clear" w:color="auto" w:fill="B8CCE4" w:themeFill="accent1" w:themeFillTint="66"/>
            <w:vAlign w:val="center"/>
            <w:hideMark/>
          </w:tcPr>
          <w:p w14:paraId="47CD47D0" w14:textId="77777777" w:rsidR="00823821" w:rsidRPr="00A27896" w:rsidRDefault="00823821" w:rsidP="00FF578B">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Darījuma apraksts</w:t>
            </w:r>
          </w:p>
        </w:tc>
        <w:tc>
          <w:tcPr>
            <w:tcW w:w="1984" w:type="dxa"/>
            <w:tcBorders>
              <w:bottom w:val="single" w:sz="4" w:space="0" w:color="17365D"/>
            </w:tcBorders>
            <w:shd w:val="clear" w:color="auto" w:fill="B8CCE4" w:themeFill="accent1" w:themeFillTint="66"/>
            <w:vAlign w:val="center"/>
            <w:hideMark/>
          </w:tcPr>
          <w:p w14:paraId="2948DCD7" w14:textId="77777777" w:rsidR="00823821" w:rsidRPr="00A27896" w:rsidRDefault="00823821" w:rsidP="008911F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Pārskata periodā</w:t>
            </w:r>
          </w:p>
        </w:tc>
        <w:tc>
          <w:tcPr>
            <w:tcW w:w="1985" w:type="dxa"/>
            <w:tcBorders>
              <w:bottom w:val="single" w:sz="4" w:space="0" w:color="17365D"/>
            </w:tcBorders>
            <w:shd w:val="clear" w:color="auto" w:fill="B8CCE4" w:themeFill="accent1" w:themeFillTint="66"/>
            <w:vAlign w:val="center"/>
          </w:tcPr>
          <w:p w14:paraId="2E28440C" w14:textId="7DC8AD2D" w:rsidR="00823821" w:rsidRPr="00A27896" w:rsidRDefault="00823821" w:rsidP="0082382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Iepriekšējā pārskata periodā</w:t>
            </w:r>
          </w:p>
        </w:tc>
      </w:tr>
      <w:tr w:rsidR="000C1009" w:rsidRPr="00A27896" w14:paraId="554E6AE9" w14:textId="59C74B83" w:rsidTr="00281697">
        <w:trPr>
          <w:trHeight w:val="255"/>
          <w:tblHeader/>
        </w:trPr>
        <w:tc>
          <w:tcPr>
            <w:tcW w:w="5387" w:type="dxa"/>
            <w:tcBorders>
              <w:top w:val="single" w:sz="4" w:space="0" w:color="17365D"/>
              <w:bottom w:val="single" w:sz="4" w:space="0" w:color="17365D"/>
            </w:tcBorders>
            <w:shd w:val="clear" w:color="auto" w:fill="auto"/>
            <w:vAlign w:val="center"/>
            <w:hideMark/>
          </w:tcPr>
          <w:p w14:paraId="035DE299" w14:textId="77777777" w:rsidR="00823821" w:rsidRPr="00A27896" w:rsidRDefault="00823821" w:rsidP="00FF578B">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A</w:t>
            </w:r>
          </w:p>
        </w:tc>
        <w:tc>
          <w:tcPr>
            <w:tcW w:w="1984" w:type="dxa"/>
            <w:tcBorders>
              <w:top w:val="single" w:sz="4" w:space="0" w:color="17365D"/>
              <w:bottom w:val="single" w:sz="4" w:space="0" w:color="17365D"/>
            </w:tcBorders>
            <w:shd w:val="clear" w:color="auto" w:fill="auto"/>
            <w:vAlign w:val="center"/>
            <w:hideMark/>
          </w:tcPr>
          <w:p w14:paraId="43CAC759" w14:textId="77777777" w:rsidR="00823821" w:rsidRPr="00A27896" w:rsidRDefault="00823821" w:rsidP="008911F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1</w:t>
            </w:r>
          </w:p>
        </w:tc>
        <w:tc>
          <w:tcPr>
            <w:tcW w:w="1985" w:type="dxa"/>
            <w:tcBorders>
              <w:top w:val="single" w:sz="4" w:space="0" w:color="17365D"/>
              <w:bottom w:val="single" w:sz="4" w:space="0" w:color="17365D"/>
            </w:tcBorders>
          </w:tcPr>
          <w:p w14:paraId="4DA8C18C" w14:textId="753F3AE6" w:rsidR="00823821" w:rsidRPr="00A27896" w:rsidRDefault="00823821" w:rsidP="008911F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2</w:t>
            </w:r>
          </w:p>
        </w:tc>
      </w:tr>
      <w:tr w:rsidR="00162DBF" w:rsidRPr="00A27896" w14:paraId="1A840776" w14:textId="5E15F358" w:rsidTr="00162DBF">
        <w:trPr>
          <w:trHeight w:val="255"/>
        </w:trPr>
        <w:tc>
          <w:tcPr>
            <w:tcW w:w="5387" w:type="dxa"/>
            <w:tcBorders>
              <w:top w:val="single" w:sz="4" w:space="0" w:color="17365D"/>
              <w:bottom w:val="single" w:sz="4" w:space="0" w:color="17365D"/>
            </w:tcBorders>
            <w:shd w:val="clear" w:color="auto" w:fill="auto"/>
            <w:vAlign w:val="center"/>
            <w:hideMark/>
          </w:tcPr>
          <w:p w14:paraId="3C6854B8" w14:textId="77777777"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Ieņēmumi no saistību, kas nav finanšu instrumenti, dzēšanas</w:t>
            </w:r>
          </w:p>
        </w:tc>
        <w:tc>
          <w:tcPr>
            <w:tcW w:w="1984" w:type="dxa"/>
            <w:tcBorders>
              <w:top w:val="single" w:sz="4" w:space="0" w:color="17365D"/>
              <w:left w:val="nil"/>
              <w:bottom w:val="single" w:sz="4" w:space="0" w:color="17365D"/>
              <w:right w:val="nil"/>
            </w:tcBorders>
            <w:shd w:val="clear" w:color="auto" w:fill="auto"/>
            <w:vAlign w:val="center"/>
            <w:hideMark/>
          </w:tcPr>
          <w:p w14:paraId="0986FC27" w14:textId="37F313C5"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6 920 449</w:t>
            </w:r>
          </w:p>
        </w:tc>
        <w:tc>
          <w:tcPr>
            <w:tcW w:w="1985" w:type="dxa"/>
            <w:tcBorders>
              <w:top w:val="single" w:sz="4" w:space="0" w:color="17365D"/>
              <w:left w:val="nil"/>
              <w:bottom w:val="single" w:sz="4" w:space="0" w:color="17365D"/>
              <w:right w:val="nil"/>
            </w:tcBorders>
            <w:shd w:val="clear" w:color="auto" w:fill="auto"/>
            <w:vAlign w:val="center"/>
          </w:tcPr>
          <w:p w14:paraId="0B256EDC" w14:textId="51E687B0"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6 578 212</w:t>
            </w:r>
          </w:p>
        </w:tc>
      </w:tr>
      <w:tr w:rsidR="00162DBF" w:rsidRPr="00A27896" w14:paraId="7DD5EE06" w14:textId="361A9303" w:rsidTr="00162DBF">
        <w:trPr>
          <w:trHeight w:val="510"/>
        </w:trPr>
        <w:tc>
          <w:tcPr>
            <w:tcW w:w="5387" w:type="dxa"/>
            <w:tcBorders>
              <w:top w:val="single" w:sz="4" w:space="0" w:color="17365D"/>
              <w:bottom w:val="single" w:sz="4" w:space="0" w:color="17365D"/>
            </w:tcBorders>
            <w:shd w:val="clear" w:color="auto" w:fill="auto"/>
            <w:vAlign w:val="center"/>
            <w:hideMark/>
          </w:tcPr>
          <w:p w14:paraId="561F028C" w14:textId="77777777"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Ieņēmumi no ilgtermiņa aktīvu sākotnējās atzīšanas, izņemot bioloģiskos aktīvus lauksaimnieciskajai darbībai</w:t>
            </w:r>
          </w:p>
        </w:tc>
        <w:tc>
          <w:tcPr>
            <w:tcW w:w="1984" w:type="dxa"/>
            <w:tcBorders>
              <w:top w:val="single" w:sz="4" w:space="0" w:color="17365D"/>
              <w:left w:val="nil"/>
              <w:bottom w:val="single" w:sz="4" w:space="0" w:color="17365D"/>
              <w:right w:val="nil"/>
            </w:tcBorders>
            <w:shd w:val="clear" w:color="auto" w:fill="auto"/>
            <w:vAlign w:val="center"/>
            <w:hideMark/>
          </w:tcPr>
          <w:p w14:paraId="7EB1960A" w14:textId="0451C60C"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256 067 964</w:t>
            </w:r>
          </w:p>
        </w:tc>
        <w:tc>
          <w:tcPr>
            <w:tcW w:w="1985" w:type="dxa"/>
            <w:tcBorders>
              <w:top w:val="single" w:sz="4" w:space="0" w:color="17365D"/>
              <w:left w:val="nil"/>
              <w:bottom w:val="single" w:sz="4" w:space="0" w:color="17365D"/>
              <w:right w:val="nil"/>
            </w:tcBorders>
            <w:shd w:val="clear" w:color="auto" w:fill="auto"/>
            <w:vAlign w:val="center"/>
          </w:tcPr>
          <w:p w14:paraId="3486B08F" w14:textId="15A1A5EA"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206 772 205</w:t>
            </w:r>
          </w:p>
        </w:tc>
      </w:tr>
      <w:tr w:rsidR="00162DBF" w:rsidRPr="00A27896" w14:paraId="012925DF" w14:textId="2E3028F4" w:rsidTr="00162DBF">
        <w:trPr>
          <w:trHeight w:val="247"/>
        </w:trPr>
        <w:tc>
          <w:tcPr>
            <w:tcW w:w="5387" w:type="dxa"/>
            <w:tcBorders>
              <w:top w:val="single" w:sz="4" w:space="0" w:color="17365D"/>
              <w:bottom w:val="single" w:sz="4" w:space="0" w:color="17365D"/>
            </w:tcBorders>
            <w:shd w:val="clear" w:color="auto" w:fill="auto"/>
            <w:vAlign w:val="center"/>
            <w:hideMark/>
          </w:tcPr>
          <w:p w14:paraId="131947B4" w14:textId="77777777"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Ieņēmumi no īstermiņa aktīvu sākotnējās atzīšanas, izņemot lauksaimniecības produktus</w:t>
            </w:r>
          </w:p>
        </w:tc>
        <w:tc>
          <w:tcPr>
            <w:tcW w:w="1984" w:type="dxa"/>
            <w:tcBorders>
              <w:top w:val="single" w:sz="4" w:space="0" w:color="17365D"/>
              <w:left w:val="nil"/>
              <w:bottom w:val="single" w:sz="4" w:space="0" w:color="17365D"/>
              <w:right w:val="nil"/>
            </w:tcBorders>
            <w:shd w:val="clear" w:color="auto" w:fill="auto"/>
            <w:vAlign w:val="center"/>
            <w:hideMark/>
          </w:tcPr>
          <w:p w14:paraId="4BE0910B" w14:textId="02021411"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13 999 825</w:t>
            </w:r>
          </w:p>
        </w:tc>
        <w:tc>
          <w:tcPr>
            <w:tcW w:w="1985" w:type="dxa"/>
            <w:tcBorders>
              <w:top w:val="single" w:sz="4" w:space="0" w:color="17365D"/>
              <w:left w:val="nil"/>
              <w:bottom w:val="single" w:sz="4" w:space="0" w:color="17365D"/>
              <w:right w:val="nil"/>
            </w:tcBorders>
            <w:shd w:val="clear" w:color="auto" w:fill="auto"/>
            <w:vAlign w:val="center"/>
          </w:tcPr>
          <w:p w14:paraId="089FEBAA" w14:textId="39810596"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15 171 755</w:t>
            </w:r>
          </w:p>
        </w:tc>
      </w:tr>
      <w:tr w:rsidR="00162DBF" w:rsidRPr="00A27896" w14:paraId="50AB346C" w14:textId="7A20961F" w:rsidTr="00162DBF">
        <w:trPr>
          <w:trHeight w:val="255"/>
        </w:trPr>
        <w:tc>
          <w:tcPr>
            <w:tcW w:w="5387" w:type="dxa"/>
            <w:tcBorders>
              <w:top w:val="single" w:sz="4" w:space="0" w:color="17365D"/>
              <w:bottom w:val="single" w:sz="4" w:space="0" w:color="17365D"/>
            </w:tcBorders>
            <w:shd w:val="clear" w:color="auto" w:fill="auto"/>
            <w:vAlign w:val="center"/>
            <w:hideMark/>
          </w:tcPr>
          <w:p w14:paraId="229E8B72" w14:textId="77777777"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Ieņēmumi no uzkrājumu norakstīšanas</w:t>
            </w:r>
          </w:p>
        </w:tc>
        <w:tc>
          <w:tcPr>
            <w:tcW w:w="1984" w:type="dxa"/>
            <w:tcBorders>
              <w:top w:val="single" w:sz="4" w:space="0" w:color="17365D"/>
              <w:left w:val="nil"/>
              <w:bottom w:val="single" w:sz="4" w:space="0" w:color="17365D"/>
              <w:right w:val="nil"/>
            </w:tcBorders>
            <w:shd w:val="clear" w:color="auto" w:fill="auto"/>
            <w:vAlign w:val="center"/>
            <w:hideMark/>
          </w:tcPr>
          <w:p w14:paraId="37584711" w14:textId="57C3DB48"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1 081 280 951</w:t>
            </w:r>
          </w:p>
        </w:tc>
        <w:tc>
          <w:tcPr>
            <w:tcW w:w="1985" w:type="dxa"/>
            <w:tcBorders>
              <w:top w:val="single" w:sz="4" w:space="0" w:color="17365D"/>
              <w:left w:val="nil"/>
              <w:bottom w:val="single" w:sz="4" w:space="0" w:color="17365D"/>
              <w:right w:val="nil"/>
            </w:tcBorders>
            <w:shd w:val="clear" w:color="auto" w:fill="auto"/>
            <w:vAlign w:val="center"/>
          </w:tcPr>
          <w:p w14:paraId="4F2C1A66" w14:textId="5DFDB4F3"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28 422 791</w:t>
            </w:r>
          </w:p>
        </w:tc>
      </w:tr>
      <w:tr w:rsidR="00162DBF" w:rsidRPr="00A27896" w14:paraId="4B4FC6D9" w14:textId="69FD8DB3" w:rsidTr="001D6796">
        <w:trPr>
          <w:trHeight w:val="439"/>
        </w:trPr>
        <w:tc>
          <w:tcPr>
            <w:tcW w:w="5387" w:type="dxa"/>
            <w:tcBorders>
              <w:top w:val="single" w:sz="4" w:space="0" w:color="17365D"/>
              <w:bottom w:val="single" w:sz="4" w:space="0" w:color="17365D"/>
            </w:tcBorders>
            <w:shd w:val="clear" w:color="auto" w:fill="auto"/>
            <w:vAlign w:val="center"/>
            <w:hideMark/>
          </w:tcPr>
          <w:p w14:paraId="53070247" w14:textId="77777777"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Ieņēmumi no bioloģisko aktīvu lauksaimnieciskajai darbībai un lauksaimniecības produktu sākotnējās atzīšanas un uzskaites vērtības izmaiņām pārskata perioda beigās</w:t>
            </w:r>
          </w:p>
        </w:tc>
        <w:tc>
          <w:tcPr>
            <w:tcW w:w="1984" w:type="dxa"/>
            <w:tcBorders>
              <w:top w:val="single" w:sz="4" w:space="0" w:color="17365D"/>
              <w:left w:val="nil"/>
              <w:bottom w:val="single" w:sz="4" w:space="0" w:color="17365D"/>
              <w:right w:val="nil"/>
            </w:tcBorders>
            <w:shd w:val="clear" w:color="auto" w:fill="auto"/>
            <w:vAlign w:val="center"/>
            <w:hideMark/>
          </w:tcPr>
          <w:p w14:paraId="4EEF3EF9" w14:textId="359D909C"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39 845 503</w:t>
            </w:r>
          </w:p>
        </w:tc>
        <w:tc>
          <w:tcPr>
            <w:tcW w:w="1985" w:type="dxa"/>
            <w:tcBorders>
              <w:top w:val="single" w:sz="4" w:space="0" w:color="17365D"/>
              <w:left w:val="nil"/>
              <w:bottom w:val="single" w:sz="4" w:space="0" w:color="17365D"/>
              <w:right w:val="nil"/>
            </w:tcBorders>
            <w:shd w:val="clear" w:color="auto" w:fill="auto"/>
            <w:vAlign w:val="center"/>
          </w:tcPr>
          <w:p w14:paraId="3F31F347" w14:textId="32BDC2D8"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42 063 786</w:t>
            </w:r>
          </w:p>
        </w:tc>
      </w:tr>
      <w:tr w:rsidR="00162DBF" w:rsidRPr="00A27896" w14:paraId="4FD55A1E" w14:textId="7A4ED02B" w:rsidTr="001D6796">
        <w:trPr>
          <w:trHeight w:val="417"/>
        </w:trPr>
        <w:tc>
          <w:tcPr>
            <w:tcW w:w="5387" w:type="dxa"/>
            <w:tcBorders>
              <w:top w:val="single" w:sz="4" w:space="0" w:color="17365D"/>
              <w:bottom w:val="single" w:sz="4" w:space="0" w:color="auto"/>
            </w:tcBorders>
            <w:shd w:val="clear" w:color="auto" w:fill="auto"/>
            <w:vAlign w:val="center"/>
            <w:hideMark/>
          </w:tcPr>
          <w:p w14:paraId="4E8C5E5B" w14:textId="77777777"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Kompensācija no trešajām pusēm par ilgtermiņa ieguldījuma vērtības samazināšanos, zaudētu vai atdotu ilgtermiņa ieguldījumu</w:t>
            </w:r>
          </w:p>
        </w:tc>
        <w:tc>
          <w:tcPr>
            <w:tcW w:w="1984" w:type="dxa"/>
            <w:tcBorders>
              <w:top w:val="single" w:sz="4" w:space="0" w:color="17365D"/>
              <w:left w:val="nil"/>
              <w:bottom w:val="single" w:sz="4" w:space="0" w:color="auto"/>
              <w:right w:val="nil"/>
            </w:tcBorders>
            <w:shd w:val="clear" w:color="auto" w:fill="auto"/>
            <w:vAlign w:val="center"/>
            <w:hideMark/>
          </w:tcPr>
          <w:p w14:paraId="7A0C95A2" w14:textId="59DA42BD"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217 597</w:t>
            </w:r>
          </w:p>
        </w:tc>
        <w:tc>
          <w:tcPr>
            <w:tcW w:w="1985" w:type="dxa"/>
            <w:tcBorders>
              <w:top w:val="single" w:sz="4" w:space="0" w:color="17365D"/>
              <w:left w:val="nil"/>
              <w:bottom w:val="single" w:sz="4" w:space="0" w:color="auto"/>
              <w:right w:val="nil"/>
            </w:tcBorders>
            <w:shd w:val="clear" w:color="auto" w:fill="auto"/>
            <w:vAlign w:val="center"/>
          </w:tcPr>
          <w:p w14:paraId="3C94F89C" w14:textId="03A64350"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188 204</w:t>
            </w:r>
          </w:p>
        </w:tc>
      </w:tr>
      <w:tr w:rsidR="001D6796" w:rsidRPr="00A27896" w14:paraId="1301580E" w14:textId="3A123D3B" w:rsidTr="001D6796">
        <w:trPr>
          <w:trHeight w:val="268"/>
        </w:trPr>
        <w:tc>
          <w:tcPr>
            <w:tcW w:w="5387" w:type="dxa"/>
            <w:tcBorders>
              <w:top w:val="single" w:sz="4" w:space="0" w:color="auto"/>
              <w:bottom w:val="single" w:sz="4" w:space="0" w:color="auto"/>
              <w:right w:val="nil"/>
            </w:tcBorders>
            <w:shd w:val="clear" w:color="auto" w:fill="auto"/>
            <w:vAlign w:val="center"/>
            <w:hideMark/>
          </w:tcPr>
          <w:p w14:paraId="46EF0AE3" w14:textId="77777777" w:rsidR="001D6796" w:rsidRPr="00A27896" w:rsidRDefault="001D6796" w:rsidP="001D679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Ieņēmumi no ilgtermiņa finanšu ieguldījumu pārvērtēšanas vai pārsnieguma</w:t>
            </w:r>
          </w:p>
        </w:tc>
        <w:tc>
          <w:tcPr>
            <w:tcW w:w="1984" w:type="dxa"/>
            <w:tcBorders>
              <w:top w:val="single" w:sz="4" w:space="0" w:color="auto"/>
              <w:left w:val="nil"/>
              <w:bottom w:val="single" w:sz="4" w:space="0" w:color="auto"/>
              <w:right w:val="nil"/>
            </w:tcBorders>
            <w:shd w:val="clear" w:color="auto" w:fill="auto"/>
            <w:vAlign w:val="center"/>
            <w:hideMark/>
          </w:tcPr>
          <w:p w14:paraId="5B818612" w14:textId="51293AE1" w:rsidR="001D6796" w:rsidRPr="00A27896" w:rsidRDefault="001D6796" w:rsidP="001D6796">
            <w:pPr>
              <w:spacing w:after="0" w:line="240" w:lineRule="auto"/>
              <w:jc w:val="right"/>
              <w:rPr>
                <w:rFonts w:eastAsia="Arial Unicode MS" w:cs="Times New Roman"/>
                <w:color w:val="17365D"/>
                <w:sz w:val="18"/>
                <w:szCs w:val="18"/>
              </w:rPr>
            </w:pPr>
            <w:r w:rsidRPr="001D6796">
              <w:rPr>
                <w:rFonts w:eastAsia="Arial Unicode MS" w:cs="Times New Roman"/>
                <w:color w:val="17365D"/>
                <w:sz w:val="18"/>
                <w:szCs w:val="18"/>
              </w:rPr>
              <w:t>582 328 907</w:t>
            </w:r>
          </w:p>
        </w:tc>
        <w:tc>
          <w:tcPr>
            <w:tcW w:w="1985" w:type="dxa"/>
            <w:tcBorders>
              <w:top w:val="single" w:sz="4" w:space="0" w:color="auto"/>
              <w:left w:val="nil"/>
              <w:bottom w:val="single" w:sz="4" w:space="0" w:color="auto"/>
              <w:right w:val="nil"/>
            </w:tcBorders>
            <w:shd w:val="clear" w:color="auto" w:fill="auto"/>
            <w:vAlign w:val="center"/>
          </w:tcPr>
          <w:p w14:paraId="68C3E1FD" w14:textId="53F2345E" w:rsidR="001D6796" w:rsidRPr="00A27896" w:rsidRDefault="001D6796" w:rsidP="001D6796">
            <w:pPr>
              <w:spacing w:after="0" w:line="240" w:lineRule="auto"/>
              <w:jc w:val="right"/>
              <w:rPr>
                <w:rFonts w:eastAsia="Arial Unicode MS" w:cs="Times New Roman"/>
                <w:color w:val="17365D"/>
                <w:sz w:val="18"/>
                <w:szCs w:val="18"/>
              </w:rPr>
            </w:pPr>
            <w:r w:rsidRPr="001D6796">
              <w:rPr>
                <w:rFonts w:eastAsia="Arial Unicode MS" w:cs="Times New Roman"/>
                <w:color w:val="17365D"/>
                <w:sz w:val="18"/>
                <w:szCs w:val="18"/>
              </w:rPr>
              <w:t>225 779 184</w:t>
            </w:r>
          </w:p>
        </w:tc>
      </w:tr>
      <w:tr w:rsidR="00162DBF" w:rsidRPr="00A27896" w14:paraId="6ECE37CA" w14:textId="3DC193C8" w:rsidTr="001D6796">
        <w:trPr>
          <w:trHeight w:val="286"/>
        </w:trPr>
        <w:tc>
          <w:tcPr>
            <w:tcW w:w="5387" w:type="dxa"/>
            <w:tcBorders>
              <w:top w:val="single" w:sz="4" w:space="0" w:color="auto"/>
              <w:bottom w:val="single" w:sz="4" w:space="0" w:color="17365D"/>
            </w:tcBorders>
            <w:shd w:val="clear" w:color="auto" w:fill="auto"/>
            <w:vAlign w:val="center"/>
            <w:hideMark/>
          </w:tcPr>
          <w:p w14:paraId="359BB9B3" w14:textId="77777777"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Ieņēmumi no asociētas un radniecīgas kapitālsabiedrības kapitāla daļu pārdošanas</w:t>
            </w:r>
          </w:p>
        </w:tc>
        <w:tc>
          <w:tcPr>
            <w:tcW w:w="1984" w:type="dxa"/>
            <w:tcBorders>
              <w:top w:val="single" w:sz="4" w:space="0" w:color="auto"/>
              <w:left w:val="nil"/>
              <w:bottom w:val="single" w:sz="4" w:space="0" w:color="17365D"/>
              <w:right w:val="nil"/>
            </w:tcBorders>
            <w:shd w:val="clear" w:color="auto" w:fill="auto"/>
            <w:vAlign w:val="center"/>
            <w:hideMark/>
          </w:tcPr>
          <w:p w14:paraId="322FCCBD" w14:textId="46249372"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985" w:type="dxa"/>
            <w:tcBorders>
              <w:top w:val="single" w:sz="4" w:space="0" w:color="auto"/>
              <w:left w:val="nil"/>
              <w:bottom w:val="single" w:sz="4" w:space="0" w:color="17365D"/>
              <w:right w:val="nil"/>
            </w:tcBorders>
            <w:shd w:val="clear" w:color="auto" w:fill="auto"/>
            <w:vAlign w:val="center"/>
          </w:tcPr>
          <w:p w14:paraId="464F3693" w14:textId="286F4493"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25 419</w:t>
            </w:r>
          </w:p>
        </w:tc>
      </w:tr>
      <w:tr w:rsidR="00162DBF" w:rsidRPr="00A27896" w14:paraId="0AE1A8D5" w14:textId="67ED73DA" w:rsidTr="00162DBF">
        <w:trPr>
          <w:trHeight w:val="262"/>
        </w:trPr>
        <w:tc>
          <w:tcPr>
            <w:tcW w:w="5387" w:type="dxa"/>
            <w:tcBorders>
              <w:top w:val="single" w:sz="4" w:space="0" w:color="17365D"/>
              <w:bottom w:val="single" w:sz="4" w:space="0" w:color="17365D"/>
            </w:tcBorders>
            <w:shd w:val="clear" w:color="auto" w:fill="auto"/>
            <w:vAlign w:val="center"/>
            <w:hideMark/>
          </w:tcPr>
          <w:p w14:paraId="783F2502" w14:textId="77777777"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Ieņēmumi no mantiska ieguldījuma radniecīgajās un asociētajās kapitālsabiedrībās</w:t>
            </w:r>
          </w:p>
        </w:tc>
        <w:tc>
          <w:tcPr>
            <w:tcW w:w="1984" w:type="dxa"/>
            <w:tcBorders>
              <w:top w:val="single" w:sz="4" w:space="0" w:color="17365D"/>
              <w:left w:val="nil"/>
              <w:bottom w:val="single" w:sz="4" w:space="0" w:color="17365D"/>
              <w:right w:val="nil"/>
            </w:tcBorders>
            <w:shd w:val="clear" w:color="auto" w:fill="auto"/>
            <w:vAlign w:val="center"/>
            <w:hideMark/>
          </w:tcPr>
          <w:p w14:paraId="297BBBD5" w14:textId="44D7DBC6"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67 226 654</w:t>
            </w:r>
          </w:p>
        </w:tc>
        <w:tc>
          <w:tcPr>
            <w:tcW w:w="1985" w:type="dxa"/>
            <w:tcBorders>
              <w:top w:val="single" w:sz="4" w:space="0" w:color="17365D"/>
              <w:left w:val="nil"/>
              <w:bottom w:val="single" w:sz="4" w:space="0" w:color="17365D"/>
              <w:right w:val="nil"/>
            </w:tcBorders>
            <w:shd w:val="clear" w:color="auto" w:fill="auto"/>
            <w:vAlign w:val="center"/>
          </w:tcPr>
          <w:p w14:paraId="1B8252DB" w14:textId="1768080B"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40 728 816</w:t>
            </w:r>
          </w:p>
        </w:tc>
      </w:tr>
      <w:tr w:rsidR="00162DBF" w:rsidRPr="00A27896" w14:paraId="1639E1E0" w14:textId="71B15B2C" w:rsidTr="00162DBF">
        <w:trPr>
          <w:trHeight w:val="279"/>
        </w:trPr>
        <w:tc>
          <w:tcPr>
            <w:tcW w:w="5387" w:type="dxa"/>
            <w:tcBorders>
              <w:top w:val="single" w:sz="4" w:space="0" w:color="17365D"/>
              <w:bottom w:val="single" w:sz="4" w:space="0" w:color="17365D"/>
            </w:tcBorders>
            <w:shd w:val="clear" w:color="auto" w:fill="auto"/>
            <w:vAlign w:val="center"/>
            <w:hideMark/>
          </w:tcPr>
          <w:p w14:paraId="0E16ADAD" w14:textId="77777777"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Ieņēmumi no valūtas kursu svārstībām, kas neattiecas uz finanšu instrumentiem</w:t>
            </w:r>
          </w:p>
        </w:tc>
        <w:tc>
          <w:tcPr>
            <w:tcW w:w="1984" w:type="dxa"/>
            <w:tcBorders>
              <w:top w:val="single" w:sz="4" w:space="0" w:color="17365D"/>
              <w:left w:val="nil"/>
              <w:bottom w:val="single" w:sz="4" w:space="0" w:color="17365D"/>
              <w:right w:val="nil"/>
            </w:tcBorders>
            <w:shd w:val="clear" w:color="auto" w:fill="auto"/>
            <w:vAlign w:val="center"/>
            <w:hideMark/>
          </w:tcPr>
          <w:p w14:paraId="17118577" w14:textId="3AB68760"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19 486 792</w:t>
            </w:r>
          </w:p>
        </w:tc>
        <w:tc>
          <w:tcPr>
            <w:tcW w:w="1985" w:type="dxa"/>
            <w:tcBorders>
              <w:top w:val="single" w:sz="4" w:space="0" w:color="17365D"/>
              <w:left w:val="nil"/>
              <w:bottom w:val="single" w:sz="4" w:space="0" w:color="17365D"/>
              <w:right w:val="nil"/>
            </w:tcBorders>
            <w:shd w:val="clear" w:color="auto" w:fill="auto"/>
            <w:vAlign w:val="center"/>
          </w:tcPr>
          <w:p w14:paraId="3C0388FE" w14:textId="1154FBA6"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35 917 070</w:t>
            </w:r>
          </w:p>
        </w:tc>
      </w:tr>
      <w:tr w:rsidR="00162DBF" w:rsidRPr="00A27896" w14:paraId="4B110A3D" w14:textId="6EAB423A" w:rsidTr="00162DBF">
        <w:trPr>
          <w:trHeight w:val="255"/>
        </w:trPr>
        <w:tc>
          <w:tcPr>
            <w:tcW w:w="5387" w:type="dxa"/>
            <w:tcBorders>
              <w:top w:val="single" w:sz="4" w:space="0" w:color="17365D"/>
              <w:bottom w:val="single" w:sz="4" w:space="0" w:color="17365D"/>
            </w:tcBorders>
            <w:shd w:val="clear" w:color="auto" w:fill="auto"/>
            <w:vAlign w:val="center"/>
            <w:hideMark/>
          </w:tcPr>
          <w:p w14:paraId="459B1854" w14:textId="77777777"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Pārējie darījumi</w:t>
            </w:r>
          </w:p>
        </w:tc>
        <w:tc>
          <w:tcPr>
            <w:tcW w:w="1984" w:type="dxa"/>
            <w:tcBorders>
              <w:top w:val="single" w:sz="4" w:space="0" w:color="17365D"/>
              <w:left w:val="nil"/>
              <w:bottom w:val="single" w:sz="4" w:space="0" w:color="17365D"/>
              <w:right w:val="nil"/>
            </w:tcBorders>
            <w:shd w:val="clear" w:color="auto" w:fill="auto"/>
            <w:vAlign w:val="center"/>
            <w:hideMark/>
          </w:tcPr>
          <w:p w14:paraId="6A013311" w14:textId="2EE920FB" w:rsidR="00162DBF" w:rsidRPr="00A27896" w:rsidRDefault="001D6796" w:rsidP="00162DBF">
            <w:pPr>
              <w:spacing w:after="0" w:line="240" w:lineRule="auto"/>
              <w:jc w:val="right"/>
              <w:rPr>
                <w:rFonts w:eastAsia="Arial Unicode MS" w:cs="Times New Roman"/>
                <w:color w:val="17365D"/>
                <w:sz w:val="18"/>
                <w:szCs w:val="18"/>
              </w:rPr>
            </w:pPr>
            <w:r w:rsidRPr="001D6796">
              <w:rPr>
                <w:rFonts w:eastAsia="Arial Unicode MS" w:cs="Times New Roman"/>
                <w:color w:val="17365D"/>
                <w:sz w:val="18"/>
                <w:szCs w:val="18"/>
              </w:rPr>
              <w:t>52</w:t>
            </w:r>
            <w:r>
              <w:rPr>
                <w:rFonts w:eastAsia="Arial Unicode MS" w:cs="Times New Roman"/>
                <w:color w:val="17365D"/>
                <w:sz w:val="18"/>
                <w:szCs w:val="18"/>
              </w:rPr>
              <w:t xml:space="preserve"> </w:t>
            </w:r>
            <w:r w:rsidRPr="001D6796">
              <w:rPr>
                <w:rFonts w:eastAsia="Arial Unicode MS" w:cs="Times New Roman"/>
                <w:color w:val="17365D"/>
                <w:sz w:val="18"/>
                <w:szCs w:val="18"/>
              </w:rPr>
              <w:t>078</w:t>
            </w:r>
            <w:r>
              <w:rPr>
                <w:rFonts w:eastAsia="Arial Unicode MS" w:cs="Times New Roman"/>
                <w:color w:val="17365D"/>
                <w:sz w:val="18"/>
                <w:szCs w:val="18"/>
              </w:rPr>
              <w:t xml:space="preserve"> </w:t>
            </w:r>
            <w:r w:rsidRPr="001D6796">
              <w:rPr>
                <w:rFonts w:eastAsia="Arial Unicode MS" w:cs="Times New Roman"/>
                <w:color w:val="17365D"/>
                <w:sz w:val="18"/>
                <w:szCs w:val="18"/>
              </w:rPr>
              <w:t>691</w:t>
            </w:r>
          </w:p>
        </w:tc>
        <w:tc>
          <w:tcPr>
            <w:tcW w:w="1985" w:type="dxa"/>
            <w:tcBorders>
              <w:top w:val="single" w:sz="4" w:space="0" w:color="17365D"/>
              <w:left w:val="nil"/>
              <w:bottom w:val="single" w:sz="4" w:space="0" w:color="17365D"/>
              <w:right w:val="nil"/>
            </w:tcBorders>
            <w:shd w:val="clear" w:color="auto" w:fill="auto"/>
            <w:vAlign w:val="center"/>
          </w:tcPr>
          <w:p w14:paraId="3B188FA0" w14:textId="0D304C98" w:rsidR="00162DBF" w:rsidRPr="00A27896" w:rsidRDefault="001D6796" w:rsidP="00162DBF">
            <w:pPr>
              <w:spacing w:after="0" w:line="240" w:lineRule="auto"/>
              <w:jc w:val="right"/>
              <w:rPr>
                <w:rFonts w:eastAsia="Arial Unicode MS" w:cs="Times New Roman"/>
                <w:color w:val="17365D"/>
                <w:sz w:val="18"/>
                <w:szCs w:val="18"/>
              </w:rPr>
            </w:pPr>
            <w:r w:rsidRPr="001D6796">
              <w:rPr>
                <w:rFonts w:eastAsia="Arial Unicode MS" w:cs="Times New Roman"/>
                <w:color w:val="17365D"/>
                <w:sz w:val="18"/>
                <w:szCs w:val="18"/>
              </w:rPr>
              <w:t>348</w:t>
            </w:r>
            <w:r w:rsidR="004F2DA3">
              <w:rPr>
                <w:rFonts w:eastAsia="Arial Unicode MS" w:cs="Times New Roman"/>
                <w:color w:val="17365D"/>
                <w:sz w:val="18"/>
                <w:szCs w:val="18"/>
              </w:rPr>
              <w:t xml:space="preserve"> </w:t>
            </w:r>
            <w:r w:rsidRPr="001D6796">
              <w:rPr>
                <w:rFonts w:eastAsia="Arial Unicode MS" w:cs="Times New Roman"/>
                <w:color w:val="17365D"/>
                <w:sz w:val="18"/>
                <w:szCs w:val="18"/>
              </w:rPr>
              <w:t>969</w:t>
            </w:r>
            <w:r>
              <w:rPr>
                <w:rFonts w:eastAsia="Arial Unicode MS" w:cs="Times New Roman"/>
                <w:color w:val="17365D"/>
                <w:sz w:val="18"/>
                <w:szCs w:val="18"/>
              </w:rPr>
              <w:t xml:space="preserve"> </w:t>
            </w:r>
            <w:r w:rsidRPr="001D6796">
              <w:rPr>
                <w:rFonts w:eastAsia="Arial Unicode MS" w:cs="Times New Roman"/>
                <w:color w:val="17365D"/>
                <w:sz w:val="18"/>
                <w:szCs w:val="18"/>
              </w:rPr>
              <w:t>575</w:t>
            </w:r>
          </w:p>
        </w:tc>
      </w:tr>
      <w:tr w:rsidR="00162DBF" w:rsidRPr="00A27896" w14:paraId="173B2BC3" w14:textId="384ABDF9" w:rsidTr="00162DBF">
        <w:trPr>
          <w:trHeight w:val="255"/>
        </w:trPr>
        <w:tc>
          <w:tcPr>
            <w:tcW w:w="5387" w:type="dxa"/>
            <w:tcBorders>
              <w:top w:val="single" w:sz="4" w:space="0" w:color="17365D"/>
              <w:bottom w:val="single" w:sz="4" w:space="0" w:color="17365D"/>
            </w:tcBorders>
            <w:shd w:val="clear" w:color="auto" w:fill="auto"/>
            <w:vAlign w:val="center"/>
            <w:hideMark/>
          </w:tcPr>
          <w:p w14:paraId="67C291B0" w14:textId="77777777"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Ieņēmumi no pārējo rezervju izslēgšanas</w:t>
            </w:r>
          </w:p>
        </w:tc>
        <w:tc>
          <w:tcPr>
            <w:tcW w:w="1984" w:type="dxa"/>
            <w:tcBorders>
              <w:top w:val="single" w:sz="4" w:space="0" w:color="17365D"/>
              <w:left w:val="nil"/>
              <w:bottom w:val="single" w:sz="4" w:space="0" w:color="17365D"/>
              <w:right w:val="nil"/>
            </w:tcBorders>
            <w:shd w:val="clear" w:color="auto" w:fill="auto"/>
            <w:vAlign w:val="center"/>
            <w:hideMark/>
          </w:tcPr>
          <w:p w14:paraId="2E5BEA60" w14:textId="1559F091"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81 659</w:t>
            </w:r>
          </w:p>
        </w:tc>
        <w:tc>
          <w:tcPr>
            <w:tcW w:w="1985" w:type="dxa"/>
            <w:tcBorders>
              <w:top w:val="single" w:sz="4" w:space="0" w:color="17365D"/>
              <w:left w:val="nil"/>
              <w:bottom w:val="single" w:sz="4" w:space="0" w:color="17365D"/>
              <w:right w:val="nil"/>
            </w:tcBorders>
            <w:shd w:val="clear" w:color="auto" w:fill="auto"/>
            <w:vAlign w:val="center"/>
          </w:tcPr>
          <w:p w14:paraId="2666D2EC" w14:textId="4E5C9CD4"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2 041 787</w:t>
            </w:r>
          </w:p>
        </w:tc>
      </w:tr>
      <w:tr w:rsidR="00162DBF" w:rsidRPr="00A27896" w14:paraId="15BE29E1" w14:textId="51B67CED" w:rsidTr="00162DBF">
        <w:trPr>
          <w:trHeight w:val="263"/>
        </w:trPr>
        <w:tc>
          <w:tcPr>
            <w:tcW w:w="5387" w:type="dxa"/>
            <w:tcBorders>
              <w:top w:val="single" w:sz="4" w:space="0" w:color="17365D"/>
              <w:bottom w:val="nil"/>
              <w:right w:val="nil"/>
            </w:tcBorders>
            <w:shd w:val="clear" w:color="auto" w:fill="B8CCE4" w:themeFill="accent1" w:themeFillTint="66"/>
            <w:vAlign w:val="center"/>
            <w:hideMark/>
          </w:tcPr>
          <w:p w14:paraId="540A84DF" w14:textId="3597F854" w:rsidR="00162DBF" w:rsidRPr="00A27896" w:rsidRDefault="00162DBF" w:rsidP="00162DBF">
            <w:pPr>
              <w:spacing w:after="0" w:line="240" w:lineRule="auto"/>
              <w:rPr>
                <w:rFonts w:eastAsia="Arial Unicode MS" w:cs="Times New Roman"/>
                <w:b/>
                <w:color w:val="17365D"/>
                <w:sz w:val="18"/>
                <w:szCs w:val="18"/>
              </w:rPr>
            </w:pPr>
            <w:r w:rsidRPr="00A27896">
              <w:rPr>
                <w:rFonts w:eastAsia="Arial Unicode MS" w:cs="Times New Roman"/>
                <w:color w:val="17365D"/>
                <w:sz w:val="18"/>
                <w:szCs w:val="18"/>
              </w:rPr>
              <w:t> </w:t>
            </w:r>
            <w:r w:rsidRPr="00A27896">
              <w:rPr>
                <w:rFonts w:eastAsia="Arial Unicode MS" w:cs="Times New Roman"/>
                <w:b/>
                <w:color w:val="17365D"/>
                <w:sz w:val="18"/>
                <w:szCs w:val="18"/>
              </w:rPr>
              <w:t>Kopā</w:t>
            </w:r>
          </w:p>
        </w:tc>
        <w:tc>
          <w:tcPr>
            <w:tcW w:w="1984" w:type="dxa"/>
            <w:tcBorders>
              <w:top w:val="single" w:sz="4" w:space="0" w:color="17365D"/>
              <w:left w:val="nil"/>
              <w:bottom w:val="nil"/>
              <w:right w:val="nil"/>
            </w:tcBorders>
            <w:shd w:val="clear" w:color="auto" w:fill="B8CCE4" w:themeFill="accent1" w:themeFillTint="66"/>
            <w:noWrap/>
            <w:vAlign w:val="center"/>
            <w:hideMark/>
          </w:tcPr>
          <w:p w14:paraId="32983F39" w14:textId="32B679A7" w:rsidR="00162DBF" w:rsidRPr="00A27896" w:rsidRDefault="004F2DA3" w:rsidP="00162DBF">
            <w:pPr>
              <w:spacing w:after="0" w:line="240" w:lineRule="auto"/>
              <w:jc w:val="right"/>
              <w:rPr>
                <w:rFonts w:eastAsia="Arial Unicode MS" w:cs="Times New Roman"/>
                <w:b/>
                <w:color w:val="17365D"/>
                <w:sz w:val="18"/>
                <w:szCs w:val="18"/>
              </w:rPr>
            </w:pPr>
            <w:r w:rsidRPr="004F2DA3">
              <w:rPr>
                <w:rFonts w:eastAsia="Arial Unicode MS" w:cs="Times New Roman"/>
                <w:b/>
                <w:color w:val="17365D"/>
                <w:sz w:val="18"/>
                <w:szCs w:val="18"/>
              </w:rPr>
              <w:t>2</w:t>
            </w:r>
            <w:r>
              <w:rPr>
                <w:rFonts w:eastAsia="Arial Unicode MS" w:cs="Times New Roman"/>
                <w:b/>
                <w:color w:val="17365D"/>
                <w:sz w:val="18"/>
                <w:szCs w:val="18"/>
              </w:rPr>
              <w:t xml:space="preserve"> </w:t>
            </w:r>
            <w:r w:rsidRPr="004F2DA3">
              <w:rPr>
                <w:rFonts w:eastAsia="Arial Unicode MS" w:cs="Times New Roman"/>
                <w:b/>
                <w:color w:val="17365D"/>
                <w:sz w:val="18"/>
                <w:szCs w:val="18"/>
              </w:rPr>
              <w:t>119</w:t>
            </w:r>
            <w:r>
              <w:rPr>
                <w:rFonts w:eastAsia="Arial Unicode MS" w:cs="Times New Roman"/>
                <w:b/>
                <w:color w:val="17365D"/>
                <w:sz w:val="18"/>
                <w:szCs w:val="18"/>
              </w:rPr>
              <w:t xml:space="preserve"> </w:t>
            </w:r>
            <w:r w:rsidRPr="004F2DA3">
              <w:rPr>
                <w:rFonts w:eastAsia="Arial Unicode MS" w:cs="Times New Roman"/>
                <w:b/>
                <w:color w:val="17365D"/>
                <w:sz w:val="18"/>
                <w:szCs w:val="18"/>
              </w:rPr>
              <w:t>534</w:t>
            </w:r>
            <w:r>
              <w:rPr>
                <w:rFonts w:eastAsia="Arial Unicode MS" w:cs="Times New Roman"/>
                <w:b/>
                <w:color w:val="17365D"/>
                <w:sz w:val="18"/>
                <w:szCs w:val="18"/>
              </w:rPr>
              <w:t xml:space="preserve"> </w:t>
            </w:r>
            <w:r w:rsidRPr="004F2DA3">
              <w:rPr>
                <w:rFonts w:eastAsia="Arial Unicode MS" w:cs="Times New Roman"/>
                <w:b/>
                <w:color w:val="17365D"/>
                <w:sz w:val="18"/>
                <w:szCs w:val="18"/>
              </w:rPr>
              <w:t>992</w:t>
            </w:r>
          </w:p>
        </w:tc>
        <w:tc>
          <w:tcPr>
            <w:tcW w:w="1985" w:type="dxa"/>
            <w:tcBorders>
              <w:top w:val="single" w:sz="4" w:space="0" w:color="17365D"/>
              <w:left w:val="nil"/>
              <w:bottom w:val="nil"/>
              <w:right w:val="nil"/>
            </w:tcBorders>
            <w:shd w:val="clear" w:color="auto" w:fill="B8CCE4" w:themeFill="accent1" w:themeFillTint="66"/>
            <w:vAlign w:val="center"/>
          </w:tcPr>
          <w:p w14:paraId="60E37E17" w14:textId="39BA0F7C" w:rsidR="00162DBF" w:rsidRPr="00A27896" w:rsidRDefault="004F2DA3" w:rsidP="00162DBF">
            <w:pPr>
              <w:spacing w:after="0" w:line="240" w:lineRule="auto"/>
              <w:jc w:val="right"/>
              <w:rPr>
                <w:rFonts w:eastAsia="Arial Unicode MS" w:cs="Times New Roman"/>
                <w:b/>
                <w:color w:val="17365D"/>
                <w:sz w:val="18"/>
                <w:szCs w:val="18"/>
              </w:rPr>
            </w:pPr>
            <w:r w:rsidRPr="004F2DA3">
              <w:rPr>
                <w:rFonts w:eastAsia="Arial Unicode MS" w:cs="Times New Roman"/>
                <w:b/>
                <w:color w:val="17365D"/>
                <w:sz w:val="18"/>
                <w:szCs w:val="18"/>
              </w:rPr>
              <w:t>952</w:t>
            </w:r>
            <w:r>
              <w:rPr>
                <w:rFonts w:eastAsia="Arial Unicode MS" w:cs="Times New Roman"/>
                <w:b/>
                <w:color w:val="17365D"/>
                <w:sz w:val="18"/>
                <w:szCs w:val="18"/>
              </w:rPr>
              <w:t xml:space="preserve"> </w:t>
            </w:r>
            <w:r w:rsidRPr="004F2DA3">
              <w:rPr>
                <w:rFonts w:eastAsia="Arial Unicode MS" w:cs="Times New Roman"/>
                <w:b/>
                <w:color w:val="17365D"/>
                <w:sz w:val="18"/>
                <w:szCs w:val="18"/>
              </w:rPr>
              <w:t>658</w:t>
            </w:r>
            <w:r>
              <w:rPr>
                <w:rFonts w:eastAsia="Arial Unicode MS" w:cs="Times New Roman"/>
                <w:b/>
                <w:color w:val="17365D"/>
                <w:sz w:val="18"/>
                <w:szCs w:val="18"/>
              </w:rPr>
              <w:t xml:space="preserve"> </w:t>
            </w:r>
            <w:r w:rsidRPr="004F2DA3">
              <w:rPr>
                <w:rFonts w:eastAsia="Arial Unicode MS" w:cs="Times New Roman"/>
                <w:b/>
                <w:color w:val="17365D"/>
                <w:sz w:val="18"/>
                <w:szCs w:val="18"/>
              </w:rPr>
              <w:t>804</w:t>
            </w:r>
          </w:p>
        </w:tc>
      </w:tr>
    </w:tbl>
    <w:p w14:paraId="3B594ABF" w14:textId="165A8C45" w:rsidR="008911F1" w:rsidRPr="00A27896" w:rsidRDefault="008911F1" w:rsidP="004F0B4D">
      <w:pPr>
        <w:pStyle w:val="Pamatteksts"/>
        <w:spacing w:before="240"/>
        <w:ind w:firstLine="284"/>
        <w:rPr>
          <w:color w:val="17365D"/>
        </w:rPr>
      </w:pPr>
      <w:r w:rsidRPr="00A27896">
        <w:rPr>
          <w:color w:val="17365D"/>
        </w:rPr>
        <w:t>Informācija par ieņēmumiem no aktīvu vērtības sam</w:t>
      </w:r>
      <w:r w:rsidR="003142A1" w:rsidRPr="00A27896">
        <w:rPr>
          <w:color w:val="17365D"/>
        </w:rPr>
        <w:t>azinājuma norakstīšanas uzrādīta</w:t>
      </w:r>
      <w:r w:rsidRPr="00A27896">
        <w:rPr>
          <w:color w:val="17365D"/>
        </w:rPr>
        <w:t xml:space="preserve"> </w:t>
      </w:r>
      <w:r w:rsidR="003142A1" w:rsidRPr="00A27896">
        <w:rPr>
          <w:color w:val="17365D"/>
        </w:rPr>
        <w:t>4</w:t>
      </w:r>
      <w:r w:rsidR="006C1AA7" w:rsidRPr="00A27896">
        <w:rPr>
          <w:color w:val="17365D"/>
        </w:rPr>
        <w:t>5</w:t>
      </w:r>
      <w:r w:rsidR="00FF578B" w:rsidRPr="00A27896">
        <w:rPr>
          <w:rFonts w:eastAsia="Arial Unicode MS"/>
          <w:color w:val="17365D"/>
          <w:lang w:eastAsia="en-US"/>
        </w:rPr>
        <w:t>.</w:t>
      </w:r>
      <w:r w:rsidR="00603FE0" w:rsidRPr="00A27896">
        <w:rPr>
          <w:rFonts w:eastAsia="Arial Unicode MS"/>
          <w:color w:val="17365D"/>
          <w:lang w:eastAsia="en-US"/>
        </w:rPr>
        <w:t> </w:t>
      </w:r>
      <w:r w:rsidR="00FF578B" w:rsidRPr="00A27896">
        <w:rPr>
          <w:rFonts w:eastAsia="Arial Unicode MS"/>
          <w:color w:val="17365D"/>
          <w:lang w:eastAsia="en-US"/>
        </w:rPr>
        <w:t>tabul</w:t>
      </w:r>
      <w:r w:rsidR="003142A1" w:rsidRPr="00A27896">
        <w:rPr>
          <w:rFonts w:eastAsia="Arial Unicode MS"/>
          <w:color w:val="17365D"/>
          <w:lang w:eastAsia="en-US"/>
        </w:rPr>
        <w:t>ā</w:t>
      </w:r>
      <w:r w:rsidR="003142A1" w:rsidRPr="00A27896">
        <w:rPr>
          <w:rFonts w:eastAsia="Arial Unicode MS"/>
          <w:i/>
          <w:color w:val="17365D"/>
          <w:lang w:eastAsia="en-US"/>
        </w:rPr>
        <w:t>.</w:t>
      </w:r>
    </w:p>
    <w:p w14:paraId="63B5D5EA" w14:textId="51C7A520" w:rsidR="00FF578B" w:rsidRPr="00A27896" w:rsidRDefault="00FF578B" w:rsidP="003142A1">
      <w:pPr>
        <w:pStyle w:val="Tabulasnosaukums1"/>
        <w:spacing w:before="0" w:line="240" w:lineRule="auto"/>
        <w:rPr>
          <w:rFonts w:eastAsia="Arial Unicode MS" w:cs="Times New Roman"/>
          <w:i/>
          <w:color w:val="17365D"/>
        </w:rPr>
      </w:pPr>
      <w:r w:rsidRPr="00A27896">
        <w:rPr>
          <w:rFonts w:eastAsia="Arial Unicode MS" w:cs="Times New Roman"/>
          <w:i/>
          <w:color w:val="17365D"/>
        </w:rPr>
        <w:t>4</w:t>
      </w:r>
      <w:r w:rsidR="006C1AA7" w:rsidRPr="00A27896">
        <w:rPr>
          <w:rFonts w:eastAsia="Arial Unicode MS" w:cs="Times New Roman"/>
          <w:i/>
          <w:color w:val="17365D"/>
        </w:rPr>
        <w:t>5</w:t>
      </w:r>
      <w:r w:rsidRPr="00A27896">
        <w:rPr>
          <w:rFonts w:eastAsia="Arial Unicode MS" w:cs="Times New Roman"/>
          <w:i/>
          <w:color w:val="17365D"/>
        </w:rPr>
        <w:t>.</w:t>
      </w:r>
      <w:r w:rsidR="00D2147C" w:rsidRPr="00A27896">
        <w:rPr>
          <w:rFonts w:eastAsia="Arial Unicode MS" w:cs="Times New Roman"/>
          <w:i/>
          <w:color w:val="17365D"/>
        </w:rPr>
        <w:t xml:space="preserve"> </w:t>
      </w:r>
      <w:r w:rsidRPr="00A27896">
        <w:rPr>
          <w:rFonts w:eastAsia="Arial Unicode MS" w:cs="Times New Roman"/>
          <w:i/>
          <w:color w:val="17365D"/>
        </w:rPr>
        <w:t xml:space="preserve">tabula. </w:t>
      </w:r>
      <w:r w:rsidR="00AB3B84" w:rsidRPr="00A27896">
        <w:rPr>
          <w:rFonts w:eastAsia="Arial Unicode MS" w:cs="Times New Roman"/>
          <w:i/>
          <w:color w:val="17365D"/>
        </w:rPr>
        <w:t xml:space="preserve">Ieņēmumi no aktīvu vērtības samazinājuma norakstīšanas </w:t>
      </w:r>
      <w:r w:rsidRPr="00A27896">
        <w:rPr>
          <w:rFonts w:eastAsia="Arial Unicode MS" w:cs="Times New Roman"/>
          <w:i/>
          <w:color w:val="17365D"/>
        </w:rPr>
        <w:t>(</w:t>
      </w:r>
      <w:proofErr w:type="spellStart"/>
      <w:r w:rsidRPr="00A27896">
        <w:rPr>
          <w:rFonts w:eastAsia="Arial Unicode MS" w:cs="Times New Roman"/>
          <w:i/>
          <w:color w:val="17365D"/>
        </w:rPr>
        <w:t>euro</w:t>
      </w:r>
      <w:proofErr w:type="spellEnd"/>
      <w:r w:rsidRPr="00A27896">
        <w:rPr>
          <w:rFonts w:eastAsia="Arial Unicode MS" w:cs="Times New Roman"/>
          <w:i/>
          <w:color w:val="17365D"/>
        </w:rPr>
        <w:t>)</w:t>
      </w:r>
    </w:p>
    <w:tbl>
      <w:tblPr>
        <w:tblW w:w="9365" w:type="dxa"/>
        <w:tblBorders>
          <w:top w:val="single" w:sz="4" w:space="0" w:color="000000"/>
          <w:insideH w:val="single" w:sz="4" w:space="0" w:color="000000"/>
        </w:tblBorders>
        <w:tblLook w:val="04A0" w:firstRow="1" w:lastRow="0" w:firstColumn="1" w:lastColumn="0" w:noHBand="0" w:noVBand="1"/>
      </w:tblPr>
      <w:tblGrid>
        <w:gridCol w:w="5103"/>
        <w:gridCol w:w="2131"/>
        <w:gridCol w:w="2131"/>
      </w:tblGrid>
      <w:tr w:rsidR="000C1009" w:rsidRPr="00A27896" w14:paraId="3D2C87C1" w14:textId="6361D3D0" w:rsidTr="00281697">
        <w:trPr>
          <w:trHeight w:val="255"/>
        </w:trPr>
        <w:tc>
          <w:tcPr>
            <w:tcW w:w="5103" w:type="dxa"/>
            <w:tcBorders>
              <w:top w:val="nil"/>
              <w:bottom w:val="single" w:sz="4" w:space="0" w:color="17365D"/>
            </w:tcBorders>
            <w:shd w:val="clear" w:color="auto" w:fill="B8CCE4" w:themeFill="accent1" w:themeFillTint="66"/>
            <w:vAlign w:val="center"/>
            <w:hideMark/>
          </w:tcPr>
          <w:p w14:paraId="0628E5E0" w14:textId="77777777" w:rsidR="00E50CD1" w:rsidRPr="00A27896" w:rsidRDefault="00E50CD1" w:rsidP="00E50CD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Darījuma apraksts</w:t>
            </w:r>
          </w:p>
        </w:tc>
        <w:tc>
          <w:tcPr>
            <w:tcW w:w="2131" w:type="dxa"/>
            <w:tcBorders>
              <w:top w:val="nil"/>
              <w:bottom w:val="single" w:sz="4" w:space="0" w:color="17365D"/>
            </w:tcBorders>
            <w:shd w:val="clear" w:color="auto" w:fill="B8CCE4" w:themeFill="accent1" w:themeFillTint="66"/>
            <w:vAlign w:val="center"/>
            <w:hideMark/>
          </w:tcPr>
          <w:p w14:paraId="6A0782A9" w14:textId="77777777" w:rsidR="00E50CD1" w:rsidRPr="00A27896" w:rsidRDefault="00E50CD1" w:rsidP="00E50CD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Pārskata periodā</w:t>
            </w:r>
          </w:p>
        </w:tc>
        <w:tc>
          <w:tcPr>
            <w:tcW w:w="2131" w:type="dxa"/>
            <w:tcBorders>
              <w:top w:val="nil"/>
              <w:bottom w:val="single" w:sz="4" w:space="0" w:color="17365D"/>
            </w:tcBorders>
            <w:shd w:val="clear" w:color="auto" w:fill="B8CCE4" w:themeFill="accent1" w:themeFillTint="66"/>
            <w:vAlign w:val="center"/>
          </w:tcPr>
          <w:p w14:paraId="3B07C401" w14:textId="4520FDC7" w:rsidR="00E50CD1" w:rsidRPr="00A27896" w:rsidRDefault="00E50CD1" w:rsidP="00E50CD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Iepriekšējā pārskata periodā</w:t>
            </w:r>
          </w:p>
        </w:tc>
      </w:tr>
      <w:tr w:rsidR="000C1009" w:rsidRPr="00A27896" w14:paraId="368617D9" w14:textId="33F7345A" w:rsidTr="00281697">
        <w:trPr>
          <w:trHeight w:val="255"/>
        </w:trPr>
        <w:tc>
          <w:tcPr>
            <w:tcW w:w="5103" w:type="dxa"/>
            <w:tcBorders>
              <w:top w:val="single" w:sz="4" w:space="0" w:color="17365D"/>
              <w:bottom w:val="single" w:sz="4" w:space="0" w:color="17365D"/>
            </w:tcBorders>
            <w:shd w:val="clear" w:color="auto" w:fill="auto"/>
            <w:vAlign w:val="center"/>
            <w:hideMark/>
          </w:tcPr>
          <w:p w14:paraId="7060C257" w14:textId="77777777" w:rsidR="00E50CD1" w:rsidRPr="00A27896" w:rsidRDefault="00E50CD1" w:rsidP="00E50CD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A</w:t>
            </w:r>
          </w:p>
        </w:tc>
        <w:tc>
          <w:tcPr>
            <w:tcW w:w="2131" w:type="dxa"/>
            <w:tcBorders>
              <w:top w:val="single" w:sz="4" w:space="0" w:color="17365D"/>
              <w:bottom w:val="single" w:sz="4" w:space="0" w:color="17365D"/>
            </w:tcBorders>
            <w:shd w:val="clear" w:color="auto" w:fill="auto"/>
            <w:vAlign w:val="center"/>
            <w:hideMark/>
          </w:tcPr>
          <w:p w14:paraId="4B0C6B88" w14:textId="77777777" w:rsidR="00E50CD1" w:rsidRPr="00A27896" w:rsidRDefault="00E50CD1" w:rsidP="00E50CD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1</w:t>
            </w:r>
          </w:p>
        </w:tc>
        <w:tc>
          <w:tcPr>
            <w:tcW w:w="2131" w:type="dxa"/>
            <w:tcBorders>
              <w:top w:val="single" w:sz="4" w:space="0" w:color="17365D"/>
              <w:bottom w:val="single" w:sz="4" w:space="0" w:color="17365D"/>
            </w:tcBorders>
          </w:tcPr>
          <w:p w14:paraId="2DA0404E" w14:textId="1DB4852D" w:rsidR="00E50CD1" w:rsidRPr="00A27896" w:rsidRDefault="00E50CD1" w:rsidP="00E50CD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2</w:t>
            </w:r>
          </w:p>
        </w:tc>
      </w:tr>
      <w:tr w:rsidR="00162DBF" w:rsidRPr="00A27896" w14:paraId="57AFF057" w14:textId="77CFC17B" w:rsidTr="00162DBF">
        <w:trPr>
          <w:trHeight w:val="131"/>
        </w:trPr>
        <w:tc>
          <w:tcPr>
            <w:tcW w:w="5103" w:type="dxa"/>
            <w:tcBorders>
              <w:top w:val="single" w:sz="4" w:space="0" w:color="17365D"/>
              <w:bottom w:val="single" w:sz="4" w:space="0" w:color="17365D"/>
            </w:tcBorders>
            <w:shd w:val="clear" w:color="auto" w:fill="auto"/>
            <w:vAlign w:val="center"/>
            <w:hideMark/>
          </w:tcPr>
          <w:p w14:paraId="514DB8B2" w14:textId="77777777"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Ieņēmumi no vērtības samazinājuma norakstīšanas avansa maksājumiem par </w:t>
            </w:r>
            <w:proofErr w:type="spellStart"/>
            <w:r w:rsidRPr="00A27896">
              <w:rPr>
                <w:rFonts w:eastAsia="Arial Unicode MS" w:cs="Times New Roman"/>
                <w:color w:val="17365D"/>
                <w:sz w:val="18"/>
                <w:szCs w:val="18"/>
              </w:rPr>
              <w:t>nefinanšu</w:t>
            </w:r>
            <w:proofErr w:type="spellEnd"/>
            <w:r w:rsidRPr="00A27896">
              <w:rPr>
                <w:rFonts w:eastAsia="Arial Unicode MS" w:cs="Times New Roman"/>
                <w:color w:val="17365D"/>
                <w:sz w:val="18"/>
                <w:szCs w:val="18"/>
              </w:rPr>
              <w:t xml:space="preserve"> aktīviem</w:t>
            </w:r>
          </w:p>
        </w:tc>
        <w:tc>
          <w:tcPr>
            <w:tcW w:w="2131" w:type="dxa"/>
            <w:tcBorders>
              <w:top w:val="single" w:sz="4" w:space="0" w:color="17365D"/>
              <w:left w:val="nil"/>
              <w:bottom w:val="single" w:sz="4" w:space="0" w:color="17365D"/>
              <w:right w:val="nil"/>
            </w:tcBorders>
            <w:shd w:val="clear" w:color="auto" w:fill="auto"/>
            <w:vAlign w:val="center"/>
            <w:hideMark/>
          </w:tcPr>
          <w:p w14:paraId="2DB36ED7" w14:textId="453C47A6"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1 198 841</w:t>
            </w:r>
          </w:p>
        </w:tc>
        <w:tc>
          <w:tcPr>
            <w:tcW w:w="2131" w:type="dxa"/>
            <w:tcBorders>
              <w:top w:val="single" w:sz="4" w:space="0" w:color="17365D"/>
              <w:left w:val="nil"/>
              <w:bottom w:val="single" w:sz="4" w:space="0" w:color="17365D"/>
              <w:right w:val="nil"/>
            </w:tcBorders>
            <w:shd w:val="clear" w:color="auto" w:fill="auto"/>
            <w:vAlign w:val="center"/>
          </w:tcPr>
          <w:p w14:paraId="783E8105" w14:textId="674FAC0B"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134 035</w:t>
            </w:r>
          </w:p>
        </w:tc>
      </w:tr>
      <w:tr w:rsidR="00162DBF" w:rsidRPr="00A27896" w14:paraId="6861C374" w14:textId="10E8880B" w:rsidTr="00162DBF">
        <w:trPr>
          <w:trHeight w:val="222"/>
        </w:trPr>
        <w:tc>
          <w:tcPr>
            <w:tcW w:w="5103" w:type="dxa"/>
            <w:tcBorders>
              <w:top w:val="single" w:sz="4" w:space="0" w:color="17365D"/>
              <w:bottom w:val="single" w:sz="4" w:space="0" w:color="17365D"/>
            </w:tcBorders>
            <w:shd w:val="clear" w:color="auto" w:fill="auto"/>
            <w:vAlign w:val="center"/>
            <w:hideMark/>
          </w:tcPr>
          <w:p w14:paraId="13A42954" w14:textId="77777777"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Ieņēmumi no vērtības samazinājuma norakstīšanas </w:t>
            </w:r>
            <w:proofErr w:type="spellStart"/>
            <w:r w:rsidRPr="00A27896">
              <w:rPr>
                <w:rFonts w:eastAsia="Arial Unicode MS" w:cs="Times New Roman"/>
                <w:color w:val="17365D"/>
                <w:sz w:val="18"/>
                <w:szCs w:val="18"/>
              </w:rPr>
              <w:t>nefinanšu</w:t>
            </w:r>
            <w:proofErr w:type="spellEnd"/>
            <w:r w:rsidRPr="00A27896">
              <w:rPr>
                <w:rFonts w:eastAsia="Arial Unicode MS" w:cs="Times New Roman"/>
                <w:color w:val="17365D"/>
                <w:sz w:val="18"/>
                <w:szCs w:val="18"/>
              </w:rPr>
              <w:t xml:space="preserve"> aktīviem</w:t>
            </w:r>
          </w:p>
        </w:tc>
        <w:tc>
          <w:tcPr>
            <w:tcW w:w="2131" w:type="dxa"/>
            <w:tcBorders>
              <w:top w:val="single" w:sz="4" w:space="0" w:color="17365D"/>
              <w:left w:val="nil"/>
              <w:bottom w:val="single" w:sz="4" w:space="0" w:color="17365D"/>
              <w:right w:val="nil"/>
            </w:tcBorders>
            <w:shd w:val="clear" w:color="auto" w:fill="auto"/>
            <w:vAlign w:val="center"/>
            <w:hideMark/>
          </w:tcPr>
          <w:p w14:paraId="1BD22853" w14:textId="5B61C091"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1 307 427</w:t>
            </w:r>
          </w:p>
        </w:tc>
        <w:tc>
          <w:tcPr>
            <w:tcW w:w="2131" w:type="dxa"/>
            <w:tcBorders>
              <w:top w:val="single" w:sz="4" w:space="0" w:color="17365D"/>
              <w:left w:val="nil"/>
              <w:bottom w:val="single" w:sz="4" w:space="0" w:color="17365D"/>
              <w:right w:val="nil"/>
            </w:tcBorders>
            <w:shd w:val="clear" w:color="auto" w:fill="auto"/>
            <w:vAlign w:val="center"/>
          </w:tcPr>
          <w:p w14:paraId="43B7BEC6" w14:textId="441992C3"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13 185 723</w:t>
            </w:r>
          </w:p>
        </w:tc>
      </w:tr>
      <w:tr w:rsidR="00162DBF" w:rsidRPr="00A27896" w14:paraId="48A9FE39" w14:textId="7B1E9548" w:rsidTr="00162DBF">
        <w:trPr>
          <w:trHeight w:val="393"/>
        </w:trPr>
        <w:tc>
          <w:tcPr>
            <w:tcW w:w="5103" w:type="dxa"/>
            <w:tcBorders>
              <w:top w:val="single" w:sz="4" w:space="0" w:color="17365D"/>
              <w:bottom w:val="single" w:sz="4" w:space="0" w:color="17365D"/>
            </w:tcBorders>
            <w:shd w:val="clear" w:color="auto" w:fill="auto"/>
            <w:vAlign w:val="center"/>
            <w:hideMark/>
          </w:tcPr>
          <w:p w14:paraId="0994280A" w14:textId="77777777"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Ieņēmumi no vērtības samazinājuma norakstīšanas prasībām un avansa maksājumiem par pakalpojumiem</w:t>
            </w:r>
          </w:p>
        </w:tc>
        <w:tc>
          <w:tcPr>
            <w:tcW w:w="2131" w:type="dxa"/>
            <w:tcBorders>
              <w:top w:val="single" w:sz="4" w:space="0" w:color="17365D"/>
              <w:left w:val="nil"/>
              <w:bottom w:val="single" w:sz="4" w:space="0" w:color="17365D"/>
              <w:right w:val="nil"/>
            </w:tcBorders>
            <w:shd w:val="clear" w:color="auto" w:fill="auto"/>
            <w:vAlign w:val="center"/>
            <w:hideMark/>
          </w:tcPr>
          <w:p w14:paraId="13D0B485" w14:textId="7EC55335"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32 732 822</w:t>
            </w:r>
          </w:p>
        </w:tc>
        <w:tc>
          <w:tcPr>
            <w:tcW w:w="2131" w:type="dxa"/>
            <w:tcBorders>
              <w:top w:val="single" w:sz="4" w:space="0" w:color="17365D"/>
              <w:left w:val="nil"/>
              <w:bottom w:val="single" w:sz="4" w:space="0" w:color="17365D"/>
              <w:right w:val="nil"/>
            </w:tcBorders>
            <w:shd w:val="clear" w:color="auto" w:fill="auto"/>
            <w:vAlign w:val="center"/>
          </w:tcPr>
          <w:p w14:paraId="5F51E5D0" w14:textId="3142176D"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28 629 638</w:t>
            </w:r>
          </w:p>
        </w:tc>
      </w:tr>
      <w:tr w:rsidR="00162DBF" w:rsidRPr="00A27896" w14:paraId="133B4C17" w14:textId="63EA43BD" w:rsidTr="00162DBF">
        <w:trPr>
          <w:trHeight w:val="244"/>
        </w:trPr>
        <w:tc>
          <w:tcPr>
            <w:tcW w:w="5103" w:type="dxa"/>
            <w:tcBorders>
              <w:top w:val="single" w:sz="4" w:space="0" w:color="17365D"/>
              <w:bottom w:val="single" w:sz="4" w:space="0" w:color="17365D"/>
            </w:tcBorders>
            <w:shd w:val="clear" w:color="auto" w:fill="auto"/>
            <w:vAlign w:val="center"/>
            <w:hideMark/>
          </w:tcPr>
          <w:p w14:paraId="3C8ABB7B" w14:textId="77777777"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Ieņēmumi no vērtības samazinājuma norakstīšanas prasībām par nodokļiem, nodevām un citiem maksājumiem budžetos</w:t>
            </w:r>
          </w:p>
        </w:tc>
        <w:tc>
          <w:tcPr>
            <w:tcW w:w="2131" w:type="dxa"/>
            <w:tcBorders>
              <w:top w:val="single" w:sz="4" w:space="0" w:color="17365D"/>
              <w:left w:val="nil"/>
              <w:bottom w:val="single" w:sz="4" w:space="0" w:color="17365D"/>
              <w:right w:val="nil"/>
            </w:tcBorders>
            <w:shd w:val="clear" w:color="auto" w:fill="auto"/>
            <w:vAlign w:val="center"/>
            <w:hideMark/>
          </w:tcPr>
          <w:p w14:paraId="3147314E" w14:textId="488E3EF7" w:rsidR="00162DBF" w:rsidRPr="00A27896" w:rsidRDefault="002B1503" w:rsidP="00162DBF">
            <w:pPr>
              <w:spacing w:after="0" w:line="240" w:lineRule="auto"/>
              <w:jc w:val="right"/>
              <w:rPr>
                <w:rFonts w:eastAsia="Arial Unicode MS" w:cs="Times New Roman"/>
                <w:color w:val="17365D"/>
                <w:sz w:val="18"/>
                <w:szCs w:val="18"/>
              </w:rPr>
            </w:pPr>
            <w:r>
              <w:rPr>
                <w:rFonts w:eastAsia="Arial Unicode MS" w:cs="Times New Roman"/>
                <w:color w:val="17365D"/>
                <w:sz w:val="18"/>
                <w:szCs w:val="18"/>
              </w:rPr>
              <w:t>181 244 608</w:t>
            </w:r>
          </w:p>
        </w:tc>
        <w:tc>
          <w:tcPr>
            <w:tcW w:w="2131" w:type="dxa"/>
            <w:tcBorders>
              <w:top w:val="single" w:sz="4" w:space="0" w:color="17365D"/>
              <w:left w:val="nil"/>
              <w:bottom w:val="single" w:sz="4" w:space="0" w:color="17365D"/>
              <w:right w:val="nil"/>
            </w:tcBorders>
            <w:shd w:val="clear" w:color="auto" w:fill="auto"/>
            <w:vAlign w:val="center"/>
          </w:tcPr>
          <w:p w14:paraId="2D358812" w14:textId="313F38A3"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194 903 565</w:t>
            </w:r>
          </w:p>
        </w:tc>
      </w:tr>
      <w:tr w:rsidR="00162DBF" w:rsidRPr="00A27896" w14:paraId="2069B979" w14:textId="79B1EF48" w:rsidTr="00162DBF">
        <w:trPr>
          <w:trHeight w:val="216"/>
        </w:trPr>
        <w:tc>
          <w:tcPr>
            <w:tcW w:w="5103" w:type="dxa"/>
            <w:tcBorders>
              <w:top w:val="single" w:sz="4" w:space="0" w:color="17365D"/>
              <w:bottom w:val="single" w:sz="4" w:space="0" w:color="17365D"/>
            </w:tcBorders>
            <w:shd w:val="clear" w:color="auto" w:fill="auto"/>
            <w:vAlign w:val="center"/>
            <w:hideMark/>
          </w:tcPr>
          <w:p w14:paraId="64E2BE28" w14:textId="77777777"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Ieņēmumi no vērtības samazinājuma norakstīšanas finanšu instrumentiem</w:t>
            </w:r>
          </w:p>
        </w:tc>
        <w:tc>
          <w:tcPr>
            <w:tcW w:w="2131" w:type="dxa"/>
            <w:tcBorders>
              <w:top w:val="single" w:sz="4" w:space="0" w:color="17365D"/>
              <w:left w:val="nil"/>
              <w:bottom w:val="single" w:sz="4" w:space="0" w:color="17365D"/>
              <w:right w:val="nil"/>
            </w:tcBorders>
            <w:shd w:val="clear" w:color="auto" w:fill="auto"/>
            <w:vAlign w:val="center"/>
            <w:hideMark/>
          </w:tcPr>
          <w:p w14:paraId="69A60063" w14:textId="1CD44825"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2 622 081</w:t>
            </w:r>
          </w:p>
        </w:tc>
        <w:tc>
          <w:tcPr>
            <w:tcW w:w="2131" w:type="dxa"/>
            <w:tcBorders>
              <w:top w:val="single" w:sz="4" w:space="0" w:color="17365D"/>
              <w:left w:val="nil"/>
              <w:bottom w:val="single" w:sz="4" w:space="0" w:color="17365D"/>
              <w:right w:val="nil"/>
            </w:tcBorders>
            <w:shd w:val="clear" w:color="auto" w:fill="auto"/>
            <w:vAlign w:val="center"/>
          </w:tcPr>
          <w:p w14:paraId="3A3587B4" w14:textId="39495D83"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22 656 616</w:t>
            </w:r>
          </w:p>
        </w:tc>
      </w:tr>
      <w:tr w:rsidR="00162DBF" w:rsidRPr="00A27896" w14:paraId="3990816C" w14:textId="77777777" w:rsidTr="00162DBF">
        <w:trPr>
          <w:trHeight w:val="216"/>
        </w:trPr>
        <w:tc>
          <w:tcPr>
            <w:tcW w:w="5103" w:type="dxa"/>
            <w:tcBorders>
              <w:top w:val="single" w:sz="4" w:space="0" w:color="17365D"/>
              <w:bottom w:val="single" w:sz="4" w:space="0" w:color="17365D"/>
            </w:tcBorders>
            <w:shd w:val="clear" w:color="auto" w:fill="auto"/>
            <w:vAlign w:val="center"/>
          </w:tcPr>
          <w:p w14:paraId="39B6B83D" w14:textId="4301C577"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t.sk. Līdz termiņa beigām turētie ieguldījumi</w:t>
            </w:r>
          </w:p>
        </w:tc>
        <w:tc>
          <w:tcPr>
            <w:tcW w:w="2131" w:type="dxa"/>
            <w:tcBorders>
              <w:top w:val="single" w:sz="4" w:space="0" w:color="17365D"/>
              <w:left w:val="nil"/>
              <w:bottom w:val="single" w:sz="4" w:space="0" w:color="17365D"/>
              <w:right w:val="nil"/>
            </w:tcBorders>
            <w:shd w:val="clear" w:color="auto" w:fill="auto"/>
            <w:vAlign w:val="center"/>
          </w:tcPr>
          <w:p w14:paraId="31C6D5A0" w14:textId="4BC02C0D"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2131" w:type="dxa"/>
            <w:tcBorders>
              <w:top w:val="single" w:sz="4" w:space="0" w:color="17365D"/>
              <w:left w:val="nil"/>
              <w:bottom w:val="single" w:sz="4" w:space="0" w:color="17365D"/>
              <w:right w:val="nil"/>
            </w:tcBorders>
            <w:shd w:val="clear" w:color="auto" w:fill="auto"/>
            <w:vAlign w:val="center"/>
          </w:tcPr>
          <w:p w14:paraId="33FE3052" w14:textId="5170BF3E"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1 183 662</w:t>
            </w:r>
          </w:p>
        </w:tc>
      </w:tr>
      <w:tr w:rsidR="00162DBF" w:rsidRPr="00A27896" w14:paraId="41D504C8" w14:textId="32A3E99F" w:rsidTr="00162DBF">
        <w:trPr>
          <w:trHeight w:val="255"/>
        </w:trPr>
        <w:tc>
          <w:tcPr>
            <w:tcW w:w="5103" w:type="dxa"/>
            <w:tcBorders>
              <w:top w:val="single" w:sz="4" w:space="0" w:color="17365D"/>
              <w:bottom w:val="single" w:sz="4" w:space="0" w:color="17365D"/>
            </w:tcBorders>
            <w:shd w:val="clear" w:color="auto" w:fill="auto"/>
            <w:vAlign w:val="center"/>
            <w:hideMark/>
          </w:tcPr>
          <w:p w14:paraId="12FD12D4" w14:textId="634BF394" w:rsidR="00162DBF" w:rsidRPr="00A27896" w:rsidRDefault="00162DBF" w:rsidP="00162DBF">
            <w:pPr>
              <w:spacing w:after="0" w:line="240" w:lineRule="auto"/>
              <w:ind w:firstLine="316"/>
              <w:rPr>
                <w:rFonts w:eastAsia="Arial Unicode MS" w:cs="Times New Roman"/>
                <w:color w:val="17365D"/>
                <w:sz w:val="18"/>
                <w:szCs w:val="18"/>
              </w:rPr>
            </w:pPr>
            <w:r w:rsidRPr="00A27896">
              <w:rPr>
                <w:rFonts w:eastAsia="Arial Unicode MS" w:cs="Times New Roman"/>
                <w:color w:val="17365D"/>
                <w:sz w:val="18"/>
                <w:szCs w:val="18"/>
              </w:rPr>
              <w:t>Aizdevumi un prasības</w:t>
            </w:r>
          </w:p>
        </w:tc>
        <w:tc>
          <w:tcPr>
            <w:tcW w:w="2131" w:type="dxa"/>
            <w:tcBorders>
              <w:top w:val="single" w:sz="4" w:space="0" w:color="17365D"/>
              <w:left w:val="nil"/>
              <w:bottom w:val="single" w:sz="4" w:space="0" w:color="17365D"/>
              <w:right w:val="nil"/>
            </w:tcBorders>
            <w:shd w:val="clear" w:color="auto" w:fill="auto"/>
            <w:vAlign w:val="center"/>
            <w:hideMark/>
          </w:tcPr>
          <w:p w14:paraId="11C80784" w14:textId="4EC02839"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2 621 586</w:t>
            </w:r>
          </w:p>
        </w:tc>
        <w:tc>
          <w:tcPr>
            <w:tcW w:w="2131" w:type="dxa"/>
            <w:tcBorders>
              <w:top w:val="single" w:sz="4" w:space="0" w:color="17365D"/>
              <w:left w:val="nil"/>
              <w:bottom w:val="single" w:sz="4" w:space="0" w:color="17365D"/>
              <w:right w:val="nil"/>
            </w:tcBorders>
            <w:shd w:val="clear" w:color="auto" w:fill="auto"/>
            <w:vAlign w:val="center"/>
          </w:tcPr>
          <w:p w14:paraId="55463B72" w14:textId="2A00FEB4"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21 468 459</w:t>
            </w:r>
          </w:p>
        </w:tc>
      </w:tr>
      <w:tr w:rsidR="00162DBF" w:rsidRPr="00A27896" w14:paraId="3877674A" w14:textId="02637795" w:rsidTr="00162DBF">
        <w:trPr>
          <w:trHeight w:val="255"/>
        </w:trPr>
        <w:tc>
          <w:tcPr>
            <w:tcW w:w="5103" w:type="dxa"/>
            <w:tcBorders>
              <w:top w:val="single" w:sz="4" w:space="0" w:color="17365D"/>
              <w:bottom w:val="single" w:sz="4" w:space="0" w:color="17365D"/>
            </w:tcBorders>
            <w:shd w:val="clear" w:color="auto" w:fill="auto"/>
            <w:vAlign w:val="center"/>
            <w:hideMark/>
          </w:tcPr>
          <w:p w14:paraId="24253E7B" w14:textId="5579A19F"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       Pārdošanai pieejamie finanšu aktīvi</w:t>
            </w:r>
          </w:p>
        </w:tc>
        <w:tc>
          <w:tcPr>
            <w:tcW w:w="2131" w:type="dxa"/>
            <w:tcBorders>
              <w:top w:val="single" w:sz="4" w:space="0" w:color="17365D"/>
              <w:left w:val="nil"/>
              <w:bottom w:val="single" w:sz="4" w:space="0" w:color="17365D"/>
              <w:right w:val="nil"/>
            </w:tcBorders>
            <w:shd w:val="clear" w:color="auto" w:fill="auto"/>
            <w:vAlign w:val="center"/>
            <w:hideMark/>
          </w:tcPr>
          <w:p w14:paraId="43DAB5A6" w14:textId="45086DD0"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495</w:t>
            </w:r>
          </w:p>
        </w:tc>
        <w:tc>
          <w:tcPr>
            <w:tcW w:w="2131" w:type="dxa"/>
            <w:tcBorders>
              <w:top w:val="single" w:sz="4" w:space="0" w:color="17365D"/>
              <w:left w:val="nil"/>
              <w:bottom w:val="single" w:sz="4" w:space="0" w:color="17365D"/>
              <w:right w:val="nil"/>
            </w:tcBorders>
            <w:shd w:val="clear" w:color="auto" w:fill="auto"/>
            <w:vAlign w:val="center"/>
          </w:tcPr>
          <w:p w14:paraId="3CEF4993" w14:textId="4095B69C"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4 495</w:t>
            </w:r>
          </w:p>
        </w:tc>
      </w:tr>
      <w:tr w:rsidR="00162DBF" w:rsidRPr="00A27896" w14:paraId="1A378598" w14:textId="42E659F5" w:rsidTr="00162DBF">
        <w:trPr>
          <w:trHeight w:val="159"/>
        </w:trPr>
        <w:tc>
          <w:tcPr>
            <w:tcW w:w="5103" w:type="dxa"/>
            <w:tcBorders>
              <w:top w:val="single" w:sz="4" w:space="0" w:color="17365D"/>
              <w:bottom w:val="single" w:sz="4" w:space="0" w:color="17365D"/>
            </w:tcBorders>
            <w:shd w:val="clear" w:color="auto" w:fill="auto"/>
            <w:vAlign w:val="center"/>
            <w:hideMark/>
          </w:tcPr>
          <w:p w14:paraId="57C24E62" w14:textId="15694FA7" w:rsidR="00162DBF" w:rsidRPr="00A27896" w:rsidRDefault="00162DBF" w:rsidP="00162DBF">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Ieņēmumi no vērtības samazinājuma norakstīšanas aktīviem, kas nav minēti citur</w:t>
            </w:r>
          </w:p>
        </w:tc>
        <w:tc>
          <w:tcPr>
            <w:tcW w:w="2131" w:type="dxa"/>
            <w:tcBorders>
              <w:top w:val="single" w:sz="4" w:space="0" w:color="17365D"/>
              <w:left w:val="nil"/>
              <w:bottom w:val="single" w:sz="4" w:space="0" w:color="17365D"/>
              <w:right w:val="nil"/>
            </w:tcBorders>
            <w:shd w:val="clear" w:color="auto" w:fill="auto"/>
            <w:noWrap/>
            <w:vAlign w:val="center"/>
            <w:hideMark/>
          </w:tcPr>
          <w:p w14:paraId="5445F0E6" w14:textId="6E832AD3"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224 029</w:t>
            </w:r>
          </w:p>
        </w:tc>
        <w:tc>
          <w:tcPr>
            <w:tcW w:w="2131" w:type="dxa"/>
            <w:tcBorders>
              <w:top w:val="single" w:sz="4" w:space="0" w:color="17365D"/>
              <w:left w:val="nil"/>
              <w:bottom w:val="single" w:sz="4" w:space="0" w:color="17365D"/>
              <w:right w:val="nil"/>
            </w:tcBorders>
            <w:vAlign w:val="center"/>
          </w:tcPr>
          <w:p w14:paraId="1A15D669" w14:textId="0A4B0984" w:rsidR="00162DBF" w:rsidRPr="00A27896" w:rsidRDefault="00162DBF" w:rsidP="00162DBF">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205 214</w:t>
            </w:r>
          </w:p>
        </w:tc>
      </w:tr>
      <w:tr w:rsidR="00162DBF" w:rsidRPr="00A27896" w14:paraId="514A35ED" w14:textId="52CF3BC8" w:rsidTr="00162DBF">
        <w:trPr>
          <w:trHeight w:val="300"/>
        </w:trPr>
        <w:tc>
          <w:tcPr>
            <w:tcW w:w="5103" w:type="dxa"/>
            <w:tcBorders>
              <w:top w:val="single" w:sz="4" w:space="0" w:color="17365D"/>
            </w:tcBorders>
            <w:shd w:val="clear" w:color="auto" w:fill="B8CCE4" w:themeFill="accent1" w:themeFillTint="66"/>
            <w:vAlign w:val="center"/>
            <w:hideMark/>
          </w:tcPr>
          <w:p w14:paraId="5F0CCA1F" w14:textId="22C9DBD3" w:rsidR="00162DBF" w:rsidRPr="00A27896" w:rsidRDefault="00162DBF" w:rsidP="00162DBF">
            <w:pPr>
              <w:spacing w:after="0" w:line="240" w:lineRule="auto"/>
              <w:rPr>
                <w:rFonts w:eastAsia="Arial Unicode MS" w:cs="Times New Roman"/>
                <w:b/>
                <w:color w:val="17365D"/>
                <w:sz w:val="18"/>
                <w:szCs w:val="18"/>
              </w:rPr>
            </w:pPr>
            <w:r w:rsidRPr="00A27896">
              <w:rPr>
                <w:rFonts w:eastAsia="Arial Unicode MS" w:cs="Times New Roman"/>
                <w:b/>
                <w:color w:val="17365D"/>
                <w:sz w:val="18"/>
                <w:szCs w:val="18"/>
              </w:rPr>
              <w:t>Kopā</w:t>
            </w:r>
          </w:p>
        </w:tc>
        <w:tc>
          <w:tcPr>
            <w:tcW w:w="2131" w:type="dxa"/>
            <w:tcBorders>
              <w:top w:val="single" w:sz="4" w:space="0" w:color="17365D"/>
              <w:left w:val="nil"/>
              <w:bottom w:val="nil"/>
              <w:right w:val="nil"/>
            </w:tcBorders>
            <w:shd w:val="clear" w:color="auto" w:fill="B8CCE4" w:themeFill="accent1" w:themeFillTint="66"/>
            <w:vAlign w:val="center"/>
            <w:hideMark/>
          </w:tcPr>
          <w:p w14:paraId="08B2E00E" w14:textId="3C3F42DC" w:rsidR="00162DBF" w:rsidRPr="00A27896" w:rsidRDefault="002B1503" w:rsidP="002B1503">
            <w:pPr>
              <w:spacing w:after="0" w:line="240" w:lineRule="auto"/>
              <w:jc w:val="right"/>
              <w:rPr>
                <w:rFonts w:eastAsia="Arial Unicode MS" w:cs="Times New Roman"/>
                <w:b/>
                <w:color w:val="17365D"/>
                <w:sz w:val="18"/>
                <w:szCs w:val="18"/>
              </w:rPr>
            </w:pPr>
            <w:r>
              <w:rPr>
                <w:rFonts w:eastAsia="Arial Unicode MS" w:cs="Times New Roman"/>
                <w:b/>
                <w:color w:val="17365D"/>
                <w:sz w:val="18"/>
                <w:szCs w:val="18"/>
              </w:rPr>
              <w:t>219</w:t>
            </w:r>
            <w:r w:rsidR="00162DBF" w:rsidRPr="00A27896">
              <w:rPr>
                <w:rFonts w:eastAsia="Arial Unicode MS" w:cs="Times New Roman"/>
                <w:b/>
                <w:color w:val="17365D"/>
                <w:sz w:val="18"/>
                <w:szCs w:val="18"/>
              </w:rPr>
              <w:t xml:space="preserve"> </w:t>
            </w:r>
            <w:r>
              <w:rPr>
                <w:rFonts w:eastAsia="Arial Unicode MS" w:cs="Times New Roman"/>
                <w:b/>
                <w:color w:val="17365D"/>
                <w:sz w:val="18"/>
                <w:szCs w:val="18"/>
              </w:rPr>
              <w:t>329</w:t>
            </w:r>
            <w:r w:rsidR="00162DBF" w:rsidRPr="00A27896">
              <w:rPr>
                <w:rFonts w:eastAsia="Arial Unicode MS" w:cs="Times New Roman"/>
                <w:b/>
                <w:color w:val="17365D"/>
                <w:sz w:val="18"/>
                <w:szCs w:val="18"/>
              </w:rPr>
              <w:t xml:space="preserve"> </w:t>
            </w:r>
            <w:r>
              <w:rPr>
                <w:rFonts w:eastAsia="Arial Unicode MS" w:cs="Times New Roman"/>
                <w:b/>
                <w:color w:val="17365D"/>
                <w:sz w:val="18"/>
                <w:szCs w:val="18"/>
              </w:rPr>
              <w:t>808</w:t>
            </w:r>
          </w:p>
        </w:tc>
        <w:tc>
          <w:tcPr>
            <w:tcW w:w="2131" w:type="dxa"/>
            <w:tcBorders>
              <w:top w:val="single" w:sz="4" w:space="0" w:color="17365D"/>
              <w:left w:val="nil"/>
              <w:bottom w:val="nil"/>
              <w:right w:val="nil"/>
            </w:tcBorders>
            <w:shd w:val="clear" w:color="auto" w:fill="B8CCE4" w:themeFill="accent1" w:themeFillTint="66"/>
            <w:vAlign w:val="center"/>
          </w:tcPr>
          <w:p w14:paraId="733545FD" w14:textId="00941F8F" w:rsidR="00162DBF" w:rsidRPr="00A27896" w:rsidRDefault="00162DBF" w:rsidP="00162DBF">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259 714 791</w:t>
            </w:r>
          </w:p>
        </w:tc>
      </w:tr>
    </w:tbl>
    <w:p w14:paraId="53C98E45" w14:textId="0F48A1FD" w:rsidR="008911F1" w:rsidRPr="00A27896" w:rsidRDefault="008911F1" w:rsidP="004F0B4D">
      <w:pPr>
        <w:pStyle w:val="Pamatteksts"/>
        <w:spacing w:before="240"/>
        <w:ind w:firstLine="284"/>
        <w:rPr>
          <w:color w:val="17365D"/>
        </w:rPr>
      </w:pPr>
      <w:r w:rsidRPr="00A27896">
        <w:rPr>
          <w:noProof w:val="0"/>
          <w:color w:val="17365D"/>
        </w:rPr>
        <w:t>Konsolidētā pārskata</w:t>
      </w:r>
      <w:r w:rsidR="00FF578B" w:rsidRPr="00A27896" w:rsidDel="00550C21">
        <w:rPr>
          <w:iCs/>
          <w:noProof w:val="0"/>
          <w:color w:val="17365D"/>
          <w:szCs w:val="22"/>
          <w:lang w:eastAsia="en-US"/>
        </w:rPr>
        <w:t xml:space="preserve"> </w:t>
      </w:r>
      <w:r w:rsidR="00FF578B" w:rsidRPr="00A27896" w:rsidDel="00550C21">
        <w:rPr>
          <w:iCs/>
          <w:noProof w:val="0"/>
          <w:color w:val="17365D"/>
        </w:rPr>
        <w:t>par darbības finansiālajiem rezultātiem</w:t>
      </w:r>
      <w:r w:rsidRPr="00A27896">
        <w:rPr>
          <w:color w:val="17365D"/>
        </w:rPr>
        <w:t xml:space="preserve"> izdevumu posteņu izmaiņas uzrādītas </w:t>
      </w:r>
      <w:r w:rsidR="003326A6" w:rsidRPr="00A27896">
        <w:rPr>
          <w:color w:val="17365D"/>
        </w:rPr>
        <w:t>4</w:t>
      </w:r>
      <w:r w:rsidR="006C1AA7" w:rsidRPr="00A27896">
        <w:rPr>
          <w:color w:val="17365D"/>
        </w:rPr>
        <w:t>6</w:t>
      </w:r>
      <w:r w:rsidRPr="00A27896">
        <w:rPr>
          <w:color w:val="17365D"/>
        </w:rPr>
        <w:t>. tabulā.</w:t>
      </w:r>
    </w:p>
    <w:p w14:paraId="7663C3C1" w14:textId="420B0067" w:rsidR="008911F1" w:rsidRPr="00A27896" w:rsidRDefault="003326A6" w:rsidP="003142A1">
      <w:pPr>
        <w:pStyle w:val="Tabulasnosaukums1"/>
        <w:spacing w:before="0" w:line="240" w:lineRule="auto"/>
        <w:rPr>
          <w:rFonts w:eastAsia="Arial Unicode MS" w:cs="Times New Roman"/>
          <w:i/>
          <w:color w:val="17365D"/>
        </w:rPr>
      </w:pPr>
      <w:r w:rsidRPr="00A27896">
        <w:rPr>
          <w:rFonts w:eastAsia="Arial Unicode MS" w:cs="Times New Roman"/>
          <w:i/>
          <w:color w:val="17365D"/>
        </w:rPr>
        <w:t>4</w:t>
      </w:r>
      <w:r w:rsidR="006C1AA7" w:rsidRPr="00A27896">
        <w:rPr>
          <w:rFonts w:eastAsia="Arial Unicode MS" w:cs="Times New Roman"/>
          <w:i/>
          <w:color w:val="17365D"/>
        </w:rPr>
        <w:t>6</w:t>
      </w:r>
      <w:r w:rsidR="008911F1" w:rsidRPr="00A27896">
        <w:rPr>
          <w:rFonts w:eastAsia="Arial Unicode MS" w:cs="Times New Roman"/>
          <w:i/>
          <w:color w:val="17365D"/>
        </w:rPr>
        <w:t>. tabula. Izdevumi (</w:t>
      </w:r>
      <w:proofErr w:type="spellStart"/>
      <w:r w:rsidR="008911F1" w:rsidRPr="00A27896">
        <w:rPr>
          <w:rFonts w:eastAsia="Arial Unicode MS" w:cs="Times New Roman"/>
          <w:i/>
          <w:color w:val="17365D"/>
        </w:rPr>
        <w:t>euro</w:t>
      </w:r>
      <w:proofErr w:type="spellEnd"/>
      <w:r w:rsidR="008911F1" w:rsidRPr="00A27896">
        <w:rPr>
          <w:rFonts w:eastAsia="Arial Unicode MS" w:cs="Times New Roman"/>
          <w:i/>
          <w:color w:val="17365D"/>
        </w:rPr>
        <w:t>)</w:t>
      </w:r>
    </w:p>
    <w:tbl>
      <w:tblPr>
        <w:tblW w:w="9263" w:type="dxa"/>
        <w:tblInd w:w="93" w:type="dxa"/>
        <w:tblLayout w:type="fixed"/>
        <w:tblLook w:val="04A0" w:firstRow="1" w:lastRow="0" w:firstColumn="1" w:lastColumn="0" w:noHBand="0" w:noVBand="1"/>
      </w:tblPr>
      <w:tblGrid>
        <w:gridCol w:w="2709"/>
        <w:gridCol w:w="992"/>
        <w:gridCol w:w="1275"/>
        <w:gridCol w:w="34"/>
        <w:gridCol w:w="1560"/>
        <w:gridCol w:w="1559"/>
        <w:gridCol w:w="1134"/>
      </w:tblGrid>
      <w:tr w:rsidR="000C1009" w:rsidRPr="00A27896" w14:paraId="412C8DD9" w14:textId="77777777" w:rsidTr="005F426E">
        <w:trPr>
          <w:trHeight w:val="791"/>
          <w:tblHeader/>
        </w:trPr>
        <w:tc>
          <w:tcPr>
            <w:tcW w:w="2709" w:type="dxa"/>
            <w:tcBorders>
              <w:bottom w:val="single" w:sz="4" w:space="0" w:color="17365D"/>
            </w:tcBorders>
            <w:shd w:val="clear" w:color="auto" w:fill="B9CDE5"/>
            <w:vAlign w:val="center"/>
            <w:hideMark/>
          </w:tcPr>
          <w:p w14:paraId="2E6716BF" w14:textId="77777777" w:rsidR="00DB5C38" w:rsidRPr="00A27896" w:rsidRDefault="00DB5C38" w:rsidP="00612D4C">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Rādītājs</w:t>
            </w:r>
          </w:p>
        </w:tc>
        <w:tc>
          <w:tcPr>
            <w:tcW w:w="992" w:type="dxa"/>
            <w:tcBorders>
              <w:bottom w:val="single" w:sz="4" w:space="0" w:color="17365D"/>
            </w:tcBorders>
            <w:shd w:val="clear" w:color="auto" w:fill="B9CDE5"/>
            <w:vAlign w:val="center"/>
          </w:tcPr>
          <w:p w14:paraId="43E0731B" w14:textId="77777777" w:rsidR="00DB5C38" w:rsidRPr="00A27896" w:rsidRDefault="00DB5C38" w:rsidP="00612D4C">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 Nr.</w:t>
            </w:r>
          </w:p>
        </w:tc>
        <w:tc>
          <w:tcPr>
            <w:tcW w:w="1275" w:type="dxa"/>
            <w:tcBorders>
              <w:bottom w:val="single" w:sz="4" w:space="0" w:color="17365D"/>
            </w:tcBorders>
            <w:shd w:val="clear" w:color="auto" w:fill="B9CDE5"/>
            <w:vAlign w:val="center"/>
          </w:tcPr>
          <w:p w14:paraId="14ACA4DC" w14:textId="77777777" w:rsidR="00DB5C38" w:rsidRPr="00A27896" w:rsidRDefault="00DB5C38" w:rsidP="00612D4C">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periods</w:t>
            </w:r>
          </w:p>
        </w:tc>
        <w:tc>
          <w:tcPr>
            <w:tcW w:w="1594" w:type="dxa"/>
            <w:gridSpan w:val="2"/>
            <w:tcBorders>
              <w:bottom w:val="single" w:sz="4" w:space="0" w:color="17365D"/>
            </w:tcBorders>
            <w:shd w:val="clear" w:color="auto" w:fill="B9CDE5"/>
            <w:vAlign w:val="center"/>
          </w:tcPr>
          <w:p w14:paraId="3E3D3B6D" w14:textId="77777777" w:rsidR="00DB5C38" w:rsidRPr="00A27896" w:rsidRDefault="00DB5C38" w:rsidP="00612D4C">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Iepriekšējais pārskata periods</w:t>
            </w:r>
          </w:p>
        </w:tc>
        <w:tc>
          <w:tcPr>
            <w:tcW w:w="1559" w:type="dxa"/>
            <w:tcBorders>
              <w:bottom w:val="single" w:sz="4" w:space="0" w:color="17365D"/>
            </w:tcBorders>
            <w:shd w:val="clear" w:color="auto" w:fill="B9CDE5"/>
            <w:vAlign w:val="center"/>
          </w:tcPr>
          <w:p w14:paraId="4E1DA495" w14:textId="77777777" w:rsidR="00DB5C38" w:rsidRPr="00A27896" w:rsidRDefault="00DB5C38" w:rsidP="00612D4C">
            <w:pPr>
              <w:spacing w:after="0" w:line="240" w:lineRule="auto"/>
              <w:ind w:right="-142"/>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Palielinājums (+), samazinājums (–) (1. – 2.)</w:t>
            </w:r>
          </w:p>
        </w:tc>
        <w:tc>
          <w:tcPr>
            <w:tcW w:w="1134" w:type="dxa"/>
            <w:tcBorders>
              <w:bottom w:val="single" w:sz="4" w:space="0" w:color="17365D"/>
            </w:tcBorders>
            <w:shd w:val="clear" w:color="auto" w:fill="B9CDE5"/>
            <w:vAlign w:val="center"/>
          </w:tcPr>
          <w:p w14:paraId="623FB5C1" w14:textId="0ACF3D38" w:rsidR="00DB5C38" w:rsidRPr="00A27896" w:rsidRDefault="00DB5C38" w:rsidP="00B42452">
            <w:pPr>
              <w:spacing w:after="0" w:line="240" w:lineRule="auto"/>
              <w:ind w:left="-57" w:right="-57"/>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Procentuālās izmaiņas </w:t>
            </w:r>
            <w:r w:rsidRPr="00A27896">
              <w:rPr>
                <w:rFonts w:eastAsia="Times New Roman" w:cs="Times New Roman"/>
                <w:b/>
                <w:color w:val="17365D"/>
                <w:sz w:val="18"/>
                <w:szCs w:val="18"/>
                <w:lang w:eastAsia="lv-LV"/>
              </w:rPr>
              <w:br/>
              <w:t xml:space="preserve">(3./2. </w:t>
            </w:r>
            <w:r w:rsidR="00B42452" w:rsidRPr="00A27896">
              <w:rPr>
                <w:rFonts w:eastAsia="Times New Roman" w:cs="Times New Roman"/>
                <w:b/>
                <w:color w:val="17365D"/>
                <w:sz w:val="18"/>
                <w:szCs w:val="18"/>
                <w:lang w:eastAsia="lv-LV"/>
              </w:rPr>
              <w:t xml:space="preserve">* </w:t>
            </w:r>
            <w:r w:rsidRPr="00A27896">
              <w:rPr>
                <w:rFonts w:eastAsia="Times New Roman" w:cs="Times New Roman"/>
                <w:b/>
                <w:color w:val="17365D"/>
                <w:sz w:val="18"/>
                <w:szCs w:val="18"/>
                <w:lang w:eastAsia="lv-LV"/>
              </w:rPr>
              <w:t>100)</w:t>
            </w:r>
          </w:p>
        </w:tc>
      </w:tr>
      <w:tr w:rsidR="000C1009" w:rsidRPr="00A27896" w14:paraId="77DEB058" w14:textId="77777777" w:rsidTr="005F426E">
        <w:trPr>
          <w:trHeight w:val="56"/>
          <w:tblHeader/>
        </w:trPr>
        <w:tc>
          <w:tcPr>
            <w:tcW w:w="2709" w:type="dxa"/>
            <w:tcBorders>
              <w:top w:val="single" w:sz="4" w:space="0" w:color="17365D"/>
              <w:bottom w:val="single" w:sz="4" w:space="0" w:color="17365D"/>
            </w:tcBorders>
            <w:shd w:val="clear" w:color="auto" w:fill="auto"/>
            <w:vAlign w:val="center"/>
          </w:tcPr>
          <w:p w14:paraId="654A846A" w14:textId="77777777" w:rsidR="00DB5C38" w:rsidRPr="00A27896" w:rsidRDefault="00DB5C38" w:rsidP="00612D4C">
            <w:pPr>
              <w:spacing w:after="0" w:line="240" w:lineRule="auto"/>
              <w:jc w:val="center"/>
              <w:rPr>
                <w:rFonts w:eastAsia="Times New Roman" w:cs="Times New Roman"/>
                <w:b/>
                <w:color w:val="17365D"/>
                <w:sz w:val="18"/>
                <w:szCs w:val="18"/>
              </w:rPr>
            </w:pPr>
            <w:r w:rsidRPr="00A27896">
              <w:rPr>
                <w:rFonts w:eastAsia="Times New Roman" w:cs="Times New Roman"/>
                <w:b/>
                <w:color w:val="17365D"/>
                <w:sz w:val="18"/>
                <w:szCs w:val="18"/>
              </w:rPr>
              <w:t>A</w:t>
            </w:r>
          </w:p>
        </w:tc>
        <w:tc>
          <w:tcPr>
            <w:tcW w:w="992" w:type="dxa"/>
            <w:tcBorders>
              <w:top w:val="single" w:sz="4" w:space="0" w:color="17365D"/>
              <w:bottom w:val="single" w:sz="4" w:space="0" w:color="17365D"/>
            </w:tcBorders>
            <w:shd w:val="clear" w:color="auto" w:fill="auto"/>
            <w:vAlign w:val="center"/>
          </w:tcPr>
          <w:p w14:paraId="76C6B464" w14:textId="77777777" w:rsidR="00DB5C38" w:rsidRPr="00A27896" w:rsidRDefault="00DB5C38" w:rsidP="00612D4C">
            <w:pPr>
              <w:spacing w:after="0" w:line="240" w:lineRule="auto"/>
              <w:jc w:val="center"/>
              <w:rPr>
                <w:rFonts w:eastAsia="Times New Roman" w:cs="Times New Roman"/>
                <w:b/>
                <w:color w:val="17365D"/>
                <w:sz w:val="18"/>
                <w:szCs w:val="18"/>
              </w:rPr>
            </w:pPr>
            <w:r w:rsidRPr="00A27896">
              <w:rPr>
                <w:rFonts w:eastAsia="Times New Roman" w:cs="Times New Roman"/>
                <w:b/>
                <w:color w:val="17365D"/>
                <w:sz w:val="18"/>
                <w:szCs w:val="18"/>
              </w:rPr>
              <w:t>B</w:t>
            </w:r>
          </w:p>
        </w:tc>
        <w:tc>
          <w:tcPr>
            <w:tcW w:w="1275" w:type="dxa"/>
            <w:tcBorders>
              <w:top w:val="single" w:sz="4" w:space="0" w:color="17365D"/>
              <w:bottom w:val="single" w:sz="4" w:space="0" w:color="auto"/>
            </w:tcBorders>
            <w:shd w:val="clear" w:color="auto" w:fill="auto"/>
            <w:vAlign w:val="center"/>
          </w:tcPr>
          <w:p w14:paraId="40035105" w14:textId="77777777" w:rsidR="00DB5C38" w:rsidRPr="00A27896" w:rsidRDefault="00DB5C38" w:rsidP="00612D4C">
            <w:pPr>
              <w:spacing w:after="0" w:line="240" w:lineRule="auto"/>
              <w:jc w:val="center"/>
              <w:rPr>
                <w:rFonts w:eastAsia="Times New Roman" w:cs="Times New Roman"/>
                <w:b/>
                <w:color w:val="17365D"/>
                <w:sz w:val="18"/>
                <w:szCs w:val="18"/>
              </w:rPr>
            </w:pPr>
            <w:r w:rsidRPr="00A27896">
              <w:rPr>
                <w:rFonts w:eastAsia="Times New Roman" w:cs="Times New Roman"/>
                <w:b/>
                <w:color w:val="17365D"/>
                <w:sz w:val="18"/>
                <w:szCs w:val="18"/>
              </w:rPr>
              <w:t>1</w:t>
            </w:r>
          </w:p>
        </w:tc>
        <w:tc>
          <w:tcPr>
            <w:tcW w:w="1594" w:type="dxa"/>
            <w:gridSpan w:val="2"/>
            <w:tcBorders>
              <w:top w:val="single" w:sz="4" w:space="0" w:color="17365D"/>
              <w:bottom w:val="single" w:sz="4" w:space="0" w:color="auto"/>
            </w:tcBorders>
            <w:shd w:val="clear" w:color="auto" w:fill="auto"/>
            <w:vAlign w:val="center"/>
          </w:tcPr>
          <w:p w14:paraId="5A480DD9" w14:textId="77777777" w:rsidR="00DB5C38" w:rsidRPr="00A27896" w:rsidRDefault="00DB5C38" w:rsidP="00612D4C">
            <w:pPr>
              <w:spacing w:after="0" w:line="240" w:lineRule="auto"/>
              <w:jc w:val="center"/>
              <w:rPr>
                <w:rFonts w:eastAsia="Times New Roman" w:cs="Times New Roman"/>
                <w:b/>
                <w:color w:val="17365D"/>
                <w:sz w:val="18"/>
                <w:szCs w:val="18"/>
              </w:rPr>
            </w:pPr>
            <w:r w:rsidRPr="00A27896">
              <w:rPr>
                <w:rFonts w:eastAsia="Times New Roman" w:cs="Times New Roman"/>
                <w:b/>
                <w:color w:val="17365D"/>
                <w:sz w:val="18"/>
                <w:szCs w:val="18"/>
              </w:rPr>
              <w:t>2</w:t>
            </w:r>
          </w:p>
        </w:tc>
        <w:tc>
          <w:tcPr>
            <w:tcW w:w="1559" w:type="dxa"/>
            <w:tcBorders>
              <w:top w:val="single" w:sz="4" w:space="0" w:color="17365D"/>
              <w:bottom w:val="single" w:sz="4" w:space="0" w:color="auto"/>
            </w:tcBorders>
            <w:shd w:val="clear" w:color="auto" w:fill="auto"/>
            <w:vAlign w:val="center"/>
          </w:tcPr>
          <w:p w14:paraId="1948204A" w14:textId="77777777" w:rsidR="00DB5C38" w:rsidRPr="00A27896" w:rsidRDefault="00DB5C38" w:rsidP="00612D4C">
            <w:pPr>
              <w:spacing w:after="0" w:line="240" w:lineRule="auto"/>
              <w:jc w:val="center"/>
              <w:rPr>
                <w:rFonts w:eastAsia="Times New Roman" w:cs="Times New Roman"/>
                <w:b/>
                <w:color w:val="17365D"/>
                <w:sz w:val="18"/>
                <w:szCs w:val="18"/>
              </w:rPr>
            </w:pPr>
            <w:r w:rsidRPr="00A27896">
              <w:rPr>
                <w:rFonts w:eastAsia="Times New Roman" w:cs="Times New Roman"/>
                <w:b/>
                <w:color w:val="17365D"/>
                <w:sz w:val="18"/>
                <w:szCs w:val="18"/>
              </w:rPr>
              <w:t>3</w:t>
            </w:r>
          </w:p>
        </w:tc>
        <w:tc>
          <w:tcPr>
            <w:tcW w:w="1134" w:type="dxa"/>
            <w:tcBorders>
              <w:top w:val="single" w:sz="4" w:space="0" w:color="17365D"/>
              <w:bottom w:val="single" w:sz="4" w:space="0" w:color="auto"/>
            </w:tcBorders>
            <w:shd w:val="clear" w:color="auto" w:fill="auto"/>
            <w:vAlign w:val="center"/>
          </w:tcPr>
          <w:p w14:paraId="7F0B8448" w14:textId="77777777" w:rsidR="00DB5C38" w:rsidRPr="00A27896" w:rsidRDefault="00DB5C38" w:rsidP="00612D4C">
            <w:pPr>
              <w:spacing w:after="0" w:line="240" w:lineRule="auto"/>
              <w:jc w:val="center"/>
              <w:rPr>
                <w:rFonts w:eastAsia="Times New Roman" w:cs="Times New Roman"/>
                <w:b/>
                <w:color w:val="17365D"/>
                <w:sz w:val="18"/>
                <w:szCs w:val="18"/>
              </w:rPr>
            </w:pPr>
            <w:r w:rsidRPr="00A27896">
              <w:rPr>
                <w:rFonts w:eastAsia="Times New Roman" w:cs="Times New Roman"/>
                <w:b/>
                <w:color w:val="17365D"/>
                <w:sz w:val="18"/>
                <w:szCs w:val="18"/>
              </w:rPr>
              <w:t>4</w:t>
            </w:r>
          </w:p>
        </w:tc>
      </w:tr>
      <w:tr w:rsidR="005F426E" w:rsidRPr="00A27896" w14:paraId="382D8B21" w14:textId="77777777" w:rsidTr="005F426E">
        <w:trPr>
          <w:trHeight w:val="383"/>
        </w:trPr>
        <w:tc>
          <w:tcPr>
            <w:tcW w:w="2709" w:type="dxa"/>
            <w:tcBorders>
              <w:top w:val="single" w:sz="4" w:space="0" w:color="17365D"/>
              <w:bottom w:val="single" w:sz="4" w:space="0" w:color="17365D"/>
            </w:tcBorders>
            <w:shd w:val="clear" w:color="auto" w:fill="auto"/>
            <w:vAlign w:val="center"/>
          </w:tcPr>
          <w:p w14:paraId="35201947" w14:textId="143F65EE" w:rsidR="005F426E" w:rsidRPr="00A27896" w:rsidRDefault="005F426E" w:rsidP="005F426E">
            <w:pPr>
              <w:spacing w:after="0" w:line="240" w:lineRule="auto"/>
              <w:rPr>
                <w:rFonts w:eastAsia="Times New Roman" w:cs="Times New Roman"/>
                <w:color w:val="17365D"/>
                <w:sz w:val="18"/>
                <w:szCs w:val="18"/>
              </w:rPr>
            </w:pPr>
            <w:r w:rsidRPr="00A27896">
              <w:rPr>
                <w:rFonts w:eastAsia="Times New Roman" w:cs="Times New Roman"/>
                <w:b/>
                <w:color w:val="17365D"/>
                <w:sz w:val="18"/>
                <w:szCs w:val="18"/>
              </w:rPr>
              <w:t xml:space="preserve">Izdevumi </w:t>
            </w:r>
            <w:r w:rsidRPr="00A27896">
              <w:rPr>
                <w:rFonts w:eastAsia="Times New Roman" w:cs="Times New Roman"/>
                <w:color w:val="17365D"/>
                <w:sz w:val="18"/>
                <w:szCs w:val="18"/>
              </w:rPr>
              <w:t>(A21. līdz A31. rindas summa)</w:t>
            </w:r>
          </w:p>
        </w:tc>
        <w:tc>
          <w:tcPr>
            <w:tcW w:w="992" w:type="dxa"/>
            <w:tcBorders>
              <w:top w:val="single" w:sz="4" w:space="0" w:color="17365D"/>
              <w:bottom w:val="single" w:sz="4" w:space="0" w:color="17365D"/>
            </w:tcBorders>
            <w:shd w:val="clear" w:color="auto" w:fill="auto"/>
            <w:vAlign w:val="center"/>
          </w:tcPr>
          <w:p w14:paraId="2B7695A1" w14:textId="77777777" w:rsidR="005F426E" w:rsidRPr="00A27896" w:rsidRDefault="005F426E" w:rsidP="005F426E">
            <w:pPr>
              <w:spacing w:after="0" w:line="240" w:lineRule="auto"/>
              <w:jc w:val="center"/>
              <w:rPr>
                <w:rFonts w:eastAsia="Times New Roman" w:cs="Times New Roman"/>
                <w:b/>
                <w:color w:val="17365D"/>
                <w:sz w:val="18"/>
                <w:szCs w:val="18"/>
              </w:rPr>
            </w:pPr>
            <w:r w:rsidRPr="00A27896">
              <w:rPr>
                <w:rFonts w:eastAsia="Times New Roman" w:cs="Times New Roman"/>
                <w:b/>
                <w:color w:val="17365D"/>
                <w:sz w:val="18"/>
                <w:szCs w:val="18"/>
              </w:rPr>
              <w:t>FD.A2.</w:t>
            </w:r>
          </w:p>
        </w:tc>
        <w:tc>
          <w:tcPr>
            <w:tcW w:w="1309" w:type="dxa"/>
            <w:gridSpan w:val="2"/>
            <w:tcBorders>
              <w:top w:val="single" w:sz="4" w:space="0" w:color="auto"/>
              <w:bottom w:val="single" w:sz="4" w:space="0" w:color="auto"/>
            </w:tcBorders>
            <w:shd w:val="clear" w:color="F2F2F2" w:fill="FFFFFF"/>
            <w:vAlign w:val="center"/>
          </w:tcPr>
          <w:p w14:paraId="7F571D59" w14:textId="1FCF1BD2" w:rsidR="005F426E" w:rsidRPr="005F426E" w:rsidRDefault="005F426E" w:rsidP="005F426E">
            <w:pPr>
              <w:spacing w:after="0" w:line="240" w:lineRule="auto"/>
              <w:ind w:right="-107"/>
              <w:rPr>
                <w:rFonts w:eastAsia="Arial Unicode MS" w:cs="Times New Roman"/>
                <w:color w:val="17365D"/>
                <w:sz w:val="18"/>
                <w:szCs w:val="18"/>
              </w:rPr>
            </w:pPr>
            <w:r>
              <w:rPr>
                <w:rFonts w:eastAsia="Arial Unicode MS" w:cs="Times New Roman"/>
                <w:color w:val="17365D"/>
                <w:sz w:val="18"/>
                <w:szCs w:val="18"/>
              </w:rPr>
              <w:t>16 297 304 </w:t>
            </w:r>
            <w:r w:rsidRPr="005F426E">
              <w:rPr>
                <w:rFonts w:eastAsia="Arial Unicode MS" w:cs="Times New Roman"/>
                <w:color w:val="17365D"/>
                <w:sz w:val="18"/>
                <w:szCs w:val="18"/>
              </w:rPr>
              <w:t>931</w:t>
            </w:r>
          </w:p>
        </w:tc>
        <w:tc>
          <w:tcPr>
            <w:tcW w:w="1560" w:type="dxa"/>
            <w:tcBorders>
              <w:top w:val="single" w:sz="4" w:space="0" w:color="auto"/>
              <w:bottom w:val="single" w:sz="4" w:space="0" w:color="auto"/>
            </w:tcBorders>
            <w:shd w:val="clear" w:color="F2F2F2" w:fill="FFFFFF"/>
            <w:vAlign w:val="center"/>
          </w:tcPr>
          <w:p w14:paraId="4C0DD3B2" w14:textId="20920F0D" w:rsidR="005F426E" w:rsidRPr="005F426E" w:rsidRDefault="005F426E" w:rsidP="005F426E">
            <w:pPr>
              <w:spacing w:after="0" w:line="240" w:lineRule="auto"/>
              <w:jc w:val="right"/>
              <w:rPr>
                <w:rFonts w:eastAsia="Arial Unicode MS" w:cs="Times New Roman"/>
                <w:color w:val="17365D"/>
                <w:sz w:val="18"/>
                <w:szCs w:val="18"/>
              </w:rPr>
            </w:pPr>
            <w:r w:rsidRPr="005F426E">
              <w:rPr>
                <w:rFonts w:eastAsia="Arial Unicode MS" w:cs="Times New Roman"/>
                <w:color w:val="17365D"/>
                <w:sz w:val="18"/>
                <w:szCs w:val="18"/>
              </w:rPr>
              <w:t>15 047 847 846</w:t>
            </w:r>
          </w:p>
        </w:tc>
        <w:tc>
          <w:tcPr>
            <w:tcW w:w="1559" w:type="dxa"/>
            <w:tcBorders>
              <w:top w:val="single" w:sz="4" w:space="0" w:color="auto"/>
              <w:bottom w:val="single" w:sz="4" w:space="0" w:color="auto"/>
            </w:tcBorders>
            <w:shd w:val="clear" w:color="auto" w:fill="auto"/>
            <w:vAlign w:val="center"/>
          </w:tcPr>
          <w:p w14:paraId="497F30F3" w14:textId="34896E2D" w:rsidR="005F426E" w:rsidRPr="005F426E" w:rsidRDefault="005F426E" w:rsidP="005F426E">
            <w:pPr>
              <w:spacing w:after="0" w:line="240" w:lineRule="auto"/>
              <w:jc w:val="right"/>
              <w:rPr>
                <w:rFonts w:eastAsia="Arial Unicode MS" w:cs="Times New Roman"/>
                <w:color w:val="17365D"/>
                <w:sz w:val="18"/>
                <w:szCs w:val="18"/>
              </w:rPr>
            </w:pPr>
            <w:r w:rsidRPr="005F426E">
              <w:rPr>
                <w:rFonts w:eastAsia="Arial Unicode MS" w:cs="Times New Roman"/>
                <w:color w:val="17365D"/>
                <w:sz w:val="18"/>
                <w:szCs w:val="18"/>
              </w:rPr>
              <w:t>1 249 457 085</w:t>
            </w:r>
          </w:p>
        </w:tc>
        <w:tc>
          <w:tcPr>
            <w:tcW w:w="1134" w:type="dxa"/>
            <w:tcBorders>
              <w:top w:val="single" w:sz="4" w:space="0" w:color="auto"/>
              <w:bottom w:val="single" w:sz="4" w:space="0" w:color="auto"/>
            </w:tcBorders>
            <w:shd w:val="clear" w:color="auto" w:fill="auto"/>
            <w:vAlign w:val="center"/>
          </w:tcPr>
          <w:p w14:paraId="2F85B996" w14:textId="1EC35CEF" w:rsidR="005F426E" w:rsidRPr="005F426E" w:rsidRDefault="005F426E" w:rsidP="005F426E">
            <w:pPr>
              <w:spacing w:after="0" w:line="240" w:lineRule="auto"/>
              <w:jc w:val="right"/>
              <w:rPr>
                <w:rFonts w:eastAsia="Arial Unicode MS" w:cs="Times New Roman"/>
                <w:color w:val="17365D"/>
                <w:sz w:val="18"/>
                <w:szCs w:val="18"/>
              </w:rPr>
            </w:pPr>
            <w:r w:rsidRPr="005F426E">
              <w:rPr>
                <w:rFonts w:eastAsia="Arial Unicode MS" w:cs="Times New Roman"/>
                <w:color w:val="17365D"/>
                <w:sz w:val="18"/>
                <w:szCs w:val="18"/>
              </w:rPr>
              <w:t>8.30</w:t>
            </w:r>
          </w:p>
        </w:tc>
      </w:tr>
      <w:tr w:rsidR="00EC4A68" w:rsidRPr="00A27896" w14:paraId="424C4C6C" w14:textId="77777777" w:rsidTr="005F426E">
        <w:trPr>
          <w:trHeight w:val="278"/>
        </w:trPr>
        <w:tc>
          <w:tcPr>
            <w:tcW w:w="2709" w:type="dxa"/>
            <w:tcBorders>
              <w:top w:val="single" w:sz="4" w:space="0" w:color="17365D"/>
              <w:bottom w:val="single" w:sz="4" w:space="0" w:color="17365D"/>
            </w:tcBorders>
            <w:shd w:val="clear" w:color="auto" w:fill="auto"/>
            <w:vAlign w:val="center"/>
          </w:tcPr>
          <w:p w14:paraId="463F5072" w14:textId="77777777" w:rsidR="00EC4A68" w:rsidRPr="00A27896" w:rsidRDefault="00EC4A68" w:rsidP="00EC4A68">
            <w:pPr>
              <w:spacing w:after="0" w:line="240" w:lineRule="auto"/>
              <w:rPr>
                <w:rFonts w:eastAsia="Times New Roman" w:cs="Times New Roman"/>
                <w:color w:val="17365D"/>
                <w:sz w:val="18"/>
                <w:szCs w:val="18"/>
              </w:rPr>
            </w:pPr>
            <w:r w:rsidRPr="00A27896">
              <w:rPr>
                <w:rFonts w:eastAsia="Times New Roman" w:cs="Times New Roman"/>
                <w:color w:val="17365D"/>
                <w:sz w:val="18"/>
                <w:szCs w:val="18"/>
              </w:rPr>
              <w:lastRenderedPageBreak/>
              <w:t>Atalgojums</w:t>
            </w:r>
          </w:p>
        </w:tc>
        <w:tc>
          <w:tcPr>
            <w:tcW w:w="992" w:type="dxa"/>
            <w:tcBorders>
              <w:top w:val="single" w:sz="4" w:space="0" w:color="17365D"/>
              <w:bottom w:val="single" w:sz="4" w:space="0" w:color="17365D"/>
            </w:tcBorders>
            <w:shd w:val="clear" w:color="auto" w:fill="auto"/>
            <w:vAlign w:val="center"/>
          </w:tcPr>
          <w:p w14:paraId="05FE0EFE" w14:textId="77777777" w:rsidR="00EC4A68" w:rsidRPr="00A27896" w:rsidRDefault="00EC4A68" w:rsidP="00EC4A68">
            <w:pPr>
              <w:spacing w:after="0" w:line="240" w:lineRule="auto"/>
              <w:jc w:val="center"/>
              <w:rPr>
                <w:rFonts w:eastAsia="Times New Roman" w:cs="Times New Roman"/>
                <w:color w:val="17365D"/>
                <w:sz w:val="18"/>
                <w:szCs w:val="18"/>
              </w:rPr>
            </w:pPr>
          </w:p>
        </w:tc>
        <w:tc>
          <w:tcPr>
            <w:tcW w:w="1275" w:type="dxa"/>
            <w:tcBorders>
              <w:top w:val="single" w:sz="4" w:space="0" w:color="auto"/>
              <w:left w:val="nil"/>
              <w:bottom w:val="single" w:sz="4" w:space="0" w:color="17365D"/>
              <w:right w:val="nil"/>
            </w:tcBorders>
            <w:shd w:val="clear" w:color="F2F2F2" w:fill="FFFFFF"/>
            <w:vAlign w:val="center"/>
          </w:tcPr>
          <w:p w14:paraId="7E91D720" w14:textId="3FC99523"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2 386 741 682</w:t>
            </w:r>
          </w:p>
        </w:tc>
        <w:tc>
          <w:tcPr>
            <w:tcW w:w="1594" w:type="dxa"/>
            <w:gridSpan w:val="2"/>
            <w:tcBorders>
              <w:top w:val="single" w:sz="4" w:space="0" w:color="auto"/>
              <w:left w:val="nil"/>
              <w:bottom w:val="single" w:sz="4" w:space="0" w:color="17365D"/>
              <w:right w:val="nil"/>
            </w:tcBorders>
            <w:shd w:val="clear" w:color="F2F2F2" w:fill="FFFFFF"/>
            <w:vAlign w:val="center"/>
          </w:tcPr>
          <w:p w14:paraId="3BF6D0F3" w14:textId="32E515C3"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2 269 143 774</w:t>
            </w:r>
          </w:p>
        </w:tc>
        <w:tc>
          <w:tcPr>
            <w:tcW w:w="1559" w:type="dxa"/>
            <w:tcBorders>
              <w:top w:val="single" w:sz="4" w:space="0" w:color="auto"/>
              <w:left w:val="nil"/>
              <w:bottom w:val="single" w:sz="4" w:space="0" w:color="17365D"/>
              <w:right w:val="nil"/>
            </w:tcBorders>
            <w:shd w:val="clear" w:color="auto" w:fill="auto"/>
            <w:vAlign w:val="center"/>
          </w:tcPr>
          <w:p w14:paraId="06BACA88" w14:textId="74FC1F9C"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117 597 908</w:t>
            </w:r>
          </w:p>
        </w:tc>
        <w:tc>
          <w:tcPr>
            <w:tcW w:w="1134" w:type="dxa"/>
            <w:tcBorders>
              <w:top w:val="single" w:sz="4" w:space="0" w:color="auto"/>
              <w:left w:val="nil"/>
              <w:bottom w:val="single" w:sz="4" w:space="0" w:color="17365D"/>
              <w:right w:val="nil"/>
            </w:tcBorders>
            <w:shd w:val="clear" w:color="auto" w:fill="auto"/>
            <w:vAlign w:val="center"/>
          </w:tcPr>
          <w:p w14:paraId="46F86520" w14:textId="49F861A1" w:rsidR="00EC4A68" w:rsidRPr="00A27896" w:rsidRDefault="00EC4A68" w:rsidP="00EC4A68">
            <w:pPr>
              <w:spacing w:after="0" w:line="240" w:lineRule="auto"/>
              <w:jc w:val="right"/>
              <w:rPr>
                <w:rFonts w:eastAsia="Arial Unicode MS" w:cs="Times New Roman"/>
                <w:color w:val="17365D"/>
                <w:sz w:val="18"/>
                <w:szCs w:val="18"/>
              </w:rPr>
            </w:pPr>
            <w:r w:rsidRPr="00EC4A68">
              <w:rPr>
                <w:rFonts w:eastAsia="Arial Unicode MS" w:cs="Times New Roman"/>
                <w:color w:val="17365D"/>
                <w:sz w:val="18"/>
                <w:szCs w:val="18"/>
              </w:rPr>
              <w:t>5.18</w:t>
            </w:r>
          </w:p>
        </w:tc>
      </w:tr>
      <w:tr w:rsidR="00EC4A68" w:rsidRPr="00A27896" w14:paraId="592D7A78" w14:textId="77777777" w:rsidTr="009A106E">
        <w:trPr>
          <w:trHeight w:val="683"/>
        </w:trPr>
        <w:tc>
          <w:tcPr>
            <w:tcW w:w="2709" w:type="dxa"/>
            <w:tcBorders>
              <w:top w:val="single" w:sz="4" w:space="0" w:color="17365D"/>
              <w:bottom w:val="single" w:sz="4" w:space="0" w:color="17365D"/>
            </w:tcBorders>
            <w:shd w:val="clear" w:color="auto" w:fill="auto"/>
            <w:vAlign w:val="center"/>
          </w:tcPr>
          <w:p w14:paraId="041CB63C" w14:textId="77777777" w:rsidR="00EC4A68" w:rsidRPr="00A27896" w:rsidRDefault="00EC4A68" w:rsidP="00EC4A68">
            <w:pPr>
              <w:spacing w:after="0" w:line="240" w:lineRule="auto"/>
              <w:rPr>
                <w:rFonts w:eastAsia="Times New Roman" w:cs="Times New Roman"/>
                <w:color w:val="17365D"/>
                <w:sz w:val="18"/>
                <w:szCs w:val="18"/>
              </w:rPr>
            </w:pPr>
            <w:r w:rsidRPr="00A27896">
              <w:rPr>
                <w:rFonts w:eastAsia="Times New Roman" w:cs="Times New Roman"/>
                <w:color w:val="17365D"/>
                <w:sz w:val="18"/>
                <w:szCs w:val="18"/>
              </w:rPr>
              <w:t>Darba devēja sociālās apdrošināšanas iemaksas, pabalsti un kompensācijas</w:t>
            </w:r>
          </w:p>
        </w:tc>
        <w:tc>
          <w:tcPr>
            <w:tcW w:w="992" w:type="dxa"/>
            <w:tcBorders>
              <w:top w:val="single" w:sz="4" w:space="0" w:color="17365D"/>
              <w:bottom w:val="single" w:sz="4" w:space="0" w:color="17365D"/>
            </w:tcBorders>
            <w:shd w:val="clear" w:color="auto" w:fill="auto"/>
            <w:vAlign w:val="center"/>
          </w:tcPr>
          <w:p w14:paraId="5C87DDF5" w14:textId="77777777" w:rsidR="00EC4A68" w:rsidRPr="00A27896" w:rsidRDefault="00EC4A68" w:rsidP="00EC4A68">
            <w:pPr>
              <w:spacing w:after="0" w:line="240" w:lineRule="auto"/>
              <w:jc w:val="center"/>
              <w:rPr>
                <w:rFonts w:eastAsia="Times New Roman" w:cs="Times New Roman"/>
                <w:color w:val="17365D"/>
                <w:sz w:val="18"/>
                <w:szCs w:val="18"/>
              </w:rPr>
            </w:pPr>
          </w:p>
        </w:tc>
        <w:tc>
          <w:tcPr>
            <w:tcW w:w="1275" w:type="dxa"/>
            <w:tcBorders>
              <w:top w:val="single" w:sz="4" w:space="0" w:color="17365D"/>
              <w:left w:val="nil"/>
              <w:bottom w:val="single" w:sz="4" w:space="0" w:color="17365D"/>
              <w:right w:val="nil"/>
            </w:tcBorders>
            <w:shd w:val="clear" w:color="F2F2F2" w:fill="FFFFFF"/>
            <w:vAlign w:val="center"/>
          </w:tcPr>
          <w:p w14:paraId="635AE8C0" w14:textId="1A37F468"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754 369 262</w:t>
            </w:r>
          </w:p>
        </w:tc>
        <w:tc>
          <w:tcPr>
            <w:tcW w:w="1594" w:type="dxa"/>
            <w:gridSpan w:val="2"/>
            <w:tcBorders>
              <w:top w:val="single" w:sz="4" w:space="0" w:color="17365D"/>
              <w:left w:val="nil"/>
              <w:bottom w:val="single" w:sz="4" w:space="0" w:color="17365D"/>
              <w:right w:val="nil"/>
            </w:tcBorders>
            <w:shd w:val="clear" w:color="F2F2F2" w:fill="FFFFFF"/>
            <w:vAlign w:val="center"/>
          </w:tcPr>
          <w:p w14:paraId="31A00B68" w14:textId="1C1722AE"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694 517 360</w:t>
            </w:r>
          </w:p>
        </w:tc>
        <w:tc>
          <w:tcPr>
            <w:tcW w:w="1559" w:type="dxa"/>
            <w:tcBorders>
              <w:top w:val="single" w:sz="4" w:space="0" w:color="17365D"/>
              <w:left w:val="nil"/>
              <w:bottom w:val="single" w:sz="4" w:space="0" w:color="17365D"/>
              <w:right w:val="nil"/>
            </w:tcBorders>
            <w:shd w:val="clear" w:color="auto" w:fill="auto"/>
            <w:vAlign w:val="center"/>
          </w:tcPr>
          <w:p w14:paraId="63E25FB5" w14:textId="3C96B292"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59 851 902</w:t>
            </w:r>
          </w:p>
        </w:tc>
        <w:tc>
          <w:tcPr>
            <w:tcW w:w="1134" w:type="dxa"/>
            <w:tcBorders>
              <w:top w:val="single" w:sz="4" w:space="0" w:color="17365D"/>
              <w:left w:val="nil"/>
              <w:bottom w:val="single" w:sz="4" w:space="0" w:color="17365D"/>
              <w:right w:val="nil"/>
            </w:tcBorders>
            <w:shd w:val="clear" w:color="auto" w:fill="auto"/>
            <w:vAlign w:val="center"/>
          </w:tcPr>
          <w:p w14:paraId="7E7E952A" w14:textId="484257CE" w:rsidR="00EC4A68" w:rsidRPr="00A27896" w:rsidRDefault="00EC4A68" w:rsidP="00EC4A68">
            <w:pPr>
              <w:spacing w:after="0" w:line="240" w:lineRule="auto"/>
              <w:jc w:val="right"/>
              <w:rPr>
                <w:rFonts w:eastAsia="Arial Unicode MS" w:cs="Times New Roman"/>
                <w:color w:val="17365D"/>
                <w:sz w:val="18"/>
                <w:szCs w:val="18"/>
              </w:rPr>
            </w:pPr>
            <w:r w:rsidRPr="00EC4A68">
              <w:rPr>
                <w:rFonts w:eastAsia="Arial Unicode MS" w:cs="Times New Roman"/>
                <w:color w:val="17365D"/>
                <w:sz w:val="18"/>
                <w:szCs w:val="18"/>
              </w:rPr>
              <w:t>8.62</w:t>
            </w:r>
          </w:p>
        </w:tc>
      </w:tr>
      <w:tr w:rsidR="00EC4A68" w:rsidRPr="00A27896" w14:paraId="1AC22DE3" w14:textId="77777777" w:rsidTr="009A106E">
        <w:trPr>
          <w:trHeight w:val="709"/>
        </w:trPr>
        <w:tc>
          <w:tcPr>
            <w:tcW w:w="2709" w:type="dxa"/>
            <w:tcBorders>
              <w:top w:val="single" w:sz="4" w:space="0" w:color="17365D"/>
              <w:bottom w:val="single" w:sz="4" w:space="0" w:color="17365D"/>
            </w:tcBorders>
            <w:shd w:val="clear" w:color="auto" w:fill="auto"/>
            <w:vAlign w:val="center"/>
          </w:tcPr>
          <w:p w14:paraId="40C04481" w14:textId="77777777" w:rsidR="00EC4A68" w:rsidRPr="00A27896" w:rsidRDefault="00EC4A68" w:rsidP="00EC4A68">
            <w:pPr>
              <w:spacing w:after="0" w:line="240" w:lineRule="auto"/>
              <w:rPr>
                <w:rFonts w:eastAsia="Times New Roman" w:cs="Times New Roman"/>
                <w:color w:val="17365D"/>
                <w:sz w:val="18"/>
                <w:szCs w:val="18"/>
              </w:rPr>
            </w:pPr>
            <w:r w:rsidRPr="00A27896">
              <w:rPr>
                <w:rFonts w:eastAsia="Times New Roman" w:cs="Times New Roman"/>
                <w:color w:val="17365D"/>
                <w:sz w:val="18"/>
                <w:szCs w:val="18"/>
              </w:rPr>
              <w:t>Mācību, darba un dienesta komandējumi un dienesta, darba braucieni</w:t>
            </w:r>
          </w:p>
        </w:tc>
        <w:tc>
          <w:tcPr>
            <w:tcW w:w="992" w:type="dxa"/>
            <w:tcBorders>
              <w:top w:val="single" w:sz="4" w:space="0" w:color="17365D"/>
              <w:bottom w:val="single" w:sz="4" w:space="0" w:color="17365D"/>
            </w:tcBorders>
            <w:shd w:val="clear" w:color="auto" w:fill="auto"/>
            <w:vAlign w:val="center"/>
          </w:tcPr>
          <w:p w14:paraId="2B10ECD2" w14:textId="77777777" w:rsidR="00EC4A68" w:rsidRPr="00A27896" w:rsidRDefault="00EC4A68" w:rsidP="00EC4A68">
            <w:pPr>
              <w:spacing w:after="0" w:line="240" w:lineRule="auto"/>
              <w:jc w:val="center"/>
              <w:rPr>
                <w:rFonts w:eastAsia="Times New Roman" w:cs="Times New Roman"/>
                <w:color w:val="17365D"/>
                <w:sz w:val="18"/>
                <w:szCs w:val="18"/>
              </w:rPr>
            </w:pPr>
          </w:p>
        </w:tc>
        <w:tc>
          <w:tcPr>
            <w:tcW w:w="1275" w:type="dxa"/>
            <w:tcBorders>
              <w:top w:val="single" w:sz="4" w:space="0" w:color="17365D"/>
              <w:left w:val="nil"/>
              <w:bottom w:val="single" w:sz="4" w:space="0" w:color="17365D"/>
              <w:right w:val="nil"/>
            </w:tcBorders>
            <w:shd w:val="clear" w:color="F2F2F2" w:fill="FFFFFF"/>
            <w:vAlign w:val="center"/>
          </w:tcPr>
          <w:p w14:paraId="4359F39B" w14:textId="498C317D"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40 497 148</w:t>
            </w:r>
          </w:p>
        </w:tc>
        <w:tc>
          <w:tcPr>
            <w:tcW w:w="1594" w:type="dxa"/>
            <w:gridSpan w:val="2"/>
            <w:tcBorders>
              <w:top w:val="single" w:sz="4" w:space="0" w:color="17365D"/>
              <w:left w:val="nil"/>
              <w:bottom w:val="single" w:sz="4" w:space="0" w:color="17365D"/>
              <w:right w:val="nil"/>
            </w:tcBorders>
            <w:shd w:val="clear" w:color="F2F2F2" w:fill="FFFFFF"/>
            <w:vAlign w:val="center"/>
          </w:tcPr>
          <w:p w14:paraId="6CE34770" w14:textId="735D4963"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15 617 233</w:t>
            </w:r>
          </w:p>
        </w:tc>
        <w:tc>
          <w:tcPr>
            <w:tcW w:w="1559" w:type="dxa"/>
            <w:tcBorders>
              <w:top w:val="single" w:sz="4" w:space="0" w:color="17365D"/>
              <w:left w:val="nil"/>
              <w:bottom w:val="single" w:sz="4" w:space="0" w:color="17365D"/>
              <w:right w:val="nil"/>
            </w:tcBorders>
            <w:shd w:val="clear" w:color="auto" w:fill="auto"/>
            <w:vAlign w:val="center"/>
          </w:tcPr>
          <w:p w14:paraId="6638947D" w14:textId="7C687CC9"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24 879 915</w:t>
            </w:r>
          </w:p>
        </w:tc>
        <w:tc>
          <w:tcPr>
            <w:tcW w:w="1134" w:type="dxa"/>
            <w:tcBorders>
              <w:top w:val="single" w:sz="4" w:space="0" w:color="17365D"/>
              <w:left w:val="nil"/>
              <w:bottom w:val="single" w:sz="4" w:space="0" w:color="17365D"/>
              <w:right w:val="nil"/>
            </w:tcBorders>
            <w:shd w:val="clear" w:color="auto" w:fill="auto"/>
            <w:vAlign w:val="center"/>
          </w:tcPr>
          <w:p w14:paraId="23A5628B" w14:textId="19BD8216" w:rsidR="00EC4A68" w:rsidRPr="00A27896" w:rsidRDefault="00EC4A68" w:rsidP="00EC4A68">
            <w:pPr>
              <w:spacing w:after="0" w:line="240" w:lineRule="auto"/>
              <w:jc w:val="right"/>
              <w:rPr>
                <w:rFonts w:eastAsia="Arial Unicode MS" w:cs="Times New Roman"/>
                <w:color w:val="17365D"/>
                <w:sz w:val="18"/>
                <w:szCs w:val="18"/>
              </w:rPr>
            </w:pPr>
            <w:r w:rsidRPr="00EC4A68">
              <w:rPr>
                <w:rFonts w:eastAsia="Arial Unicode MS" w:cs="Times New Roman"/>
                <w:color w:val="17365D"/>
                <w:sz w:val="18"/>
                <w:szCs w:val="18"/>
              </w:rPr>
              <w:t>159.31</w:t>
            </w:r>
          </w:p>
        </w:tc>
      </w:tr>
      <w:tr w:rsidR="00EC4A68" w:rsidRPr="00A27896" w14:paraId="7095349A" w14:textId="77777777" w:rsidTr="00EC4A68">
        <w:trPr>
          <w:trHeight w:val="319"/>
        </w:trPr>
        <w:tc>
          <w:tcPr>
            <w:tcW w:w="2709" w:type="dxa"/>
            <w:tcBorders>
              <w:top w:val="single" w:sz="4" w:space="0" w:color="17365D"/>
              <w:bottom w:val="single" w:sz="4" w:space="0" w:color="17365D"/>
            </w:tcBorders>
            <w:shd w:val="clear" w:color="auto" w:fill="auto"/>
            <w:vAlign w:val="center"/>
          </w:tcPr>
          <w:p w14:paraId="26672A91" w14:textId="77777777" w:rsidR="00EC4A68" w:rsidRPr="00A27896" w:rsidRDefault="00EC4A68" w:rsidP="00EC4A68">
            <w:pPr>
              <w:spacing w:after="0" w:line="240" w:lineRule="auto"/>
              <w:rPr>
                <w:rFonts w:eastAsia="Times New Roman" w:cs="Times New Roman"/>
                <w:color w:val="17365D"/>
                <w:sz w:val="18"/>
                <w:szCs w:val="18"/>
              </w:rPr>
            </w:pPr>
            <w:r w:rsidRPr="00A27896">
              <w:rPr>
                <w:rFonts w:eastAsia="Times New Roman" w:cs="Times New Roman"/>
                <w:color w:val="17365D"/>
                <w:sz w:val="18"/>
                <w:szCs w:val="18"/>
              </w:rPr>
              <w:t>Pakalpojumi</w:t>
            </w:r>
          </w:p>
        </w:tc>
        <w:tc>
          <w:tcPr>
            <w:tcW w:w="992" w:type="dxa"/>
            <w:tcBorders>
              <w:top w:val="single" w:sz="4" w:space="0" w:color="17365D"/>
              <w:bottom w:val="single" w:sz="4" w:space="0" w:color="17365D"/>
            </w:tcBorders>
            <w:shd w:val="clear" w:color="auto" w:fill="auto"/>
            <w:vAlign w:val="center"/>
          </w:tcPr>
          <w:p w14:paraId="5ED8D2FE" w14:textId="70F829E0" w:rsidR="00EC4A68" w:rsidRPr="00A27896" w:rsidRDefault="00EC4A68" w:rsidP="00EC4A68">
            <w:pPr>
              <w:spacing w:after="0" w:line="240" w:lineRule="auto"/>
              <w:jc w:val="center"/>
              <w:rPr>
                <w:rFonts w:eastAsia="Times New Roman" w:cs="Times New Roman"/>
                <w:color w:val="17365D"/>
                <w:sz w:val="18"/>
                <w:szCs w:val="18"/>
              </w:rPr>
            </w:pPr>
            <w:r w:rsidRPr="00A27896">
              <w:rPr>
                <w:rFonts w:eastAsia="Times New Roman" w:cs="Times New Roman"/>
                <w:color w:val="17365D"/>
                <w:sz w:val="18"/>
                <w:szCs w:val="18"/>
              </w:rPr>
              <w:t>FD.A24.</w:t>
            </w:r>
          </w:p>
        </w:tc>
        <w:tc>
          <w:tcPr>
            <w:tcW w:w="1275" w:type="dxa"/>
            <w:tcBorders>
              <w:top w:val="single" w:sz="4" w:space="0" w:color="17365D"/>
              <w:left w:val="nil"/>
              <w:bottom w:val="single" w:sz="4" w:space="0" w:color="17365D"/>
              <w:right w:val="nil"/>
            </w:tcBorders>
            <w:shd w:val="clear" w:color="F2F2F2" w:fill="FFFFFF"/>
            <w:vAlign w:val="center"/>
          </w:tcPr>
          <w:p w14:paraId="3F233DB4" w14:textId="0036E1A8"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1 161 402 105</w:t>
            </w:r>
          </w:p>
        </w:tc>
        <w:tc>
          <w:tcPr>
            <w:tcW w:w="1594" w:type="dxa"/>
            <w:gridSpan w:val="2"/>
            <w:tcBorders>
              <w:top w:val="single" w:sz="4" w:space="0" w:color="17365D"/>
              <w:left w:val="nil"/>
              <w:bottom w:val="single" w:sz="4" w:space="0" w:color="17365D"/>
              <w:right w:val="nil"/>
            </w:tcBorders>
            <w:shd w:val="clear" w:color="F2F2F2" w:fill="FFFFFF"/>
            <w:vAlign w:val="center"/>
          </w:tcPr>
          <w:p w14:paraId="4602FDA7" w14:textId="2353CD0D"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957 019 234</w:t>
            </w:r>
          </w:p>
        </w:tc>
        <w:tc>
          <w:tcPr>
            <w:tcW w:w="1559" w:type="dxa"/>
            <w:tcBorders>
              <w:top w:val="single" w:sz="4" w:space="0" w:color="17365D"/>
              <w:left w:val="nil"/>
              <w:bottom w:val="single" w:sz="4" w:space="0" w:color="17365D"/>
              <w:right w:val="nil"/>
            </w:tcBorders>
            <w:shd w:val="clear" w:color="auto" w:fill="auto"/>
            <w:vAlign w:val="center"/>
          </w:tcPr>
          <w:p w14:paraId="7BC9D2A5" w14:textId="2D96B204"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204 382 871</w:t>
            </w:r>
          </w:p>
        </w:tc>
        <w:tc>
          <w:tcPr>
            <w:tcW w:w="1134" w:type="dxa"/>
            <w:tcBorders>
              <w:top w:val="single" w:sz="4" w:space="0" w:color="17365D"/>
              <w:left w:val="nil"/>
              <w:bottom w:val="single" w:sz="4" w:space="0" w:color="17365D"/>
              <w:right w:val="nil"/>
            </w:tcBorders>
            <w:shd w:val="clear" w:color="auto" w:fill="auto"/>
            <w:vAlign w:val="center"/>
          </w:tcPr>
          <w:p w14:paraId="08A30220" w14:textId="6FBDDD89" w:rsidR="00EC4A68" w:rsidRPr="00A27896" w:rsidRDefault="00EC4A68" w:rsidP="00EC4A68">
            <w:pPr>
              <w:spacing w:after="0" w:line="240" w:lineRule="auto"/>
              <w:jc w:val="right"/>
              <w:rPr>
                <w:rFonts w:eastAsia="Arial Unicode MS" w:cs="Times New Roman"/>
                <w:color w:val="17365D"/>
                <w:sz w:val="18"/>
                <w:szCs w:val="18"/>
              </w:rPr>
            </w:pPr>
            <w:r w:rsidRPr="00EC4A68">
              <w:rPr>
                <w:rFonts w:eastAsia="Arial Unicode MS" w:cs="Times New Roman"/>
                <w:color w:val="17365D"/>
                <w:sz w:val="18"/>
                <w:szCs w:val="18"/>
              </w:rPr>
              <w:t>21.36</w:t>
            </w:r>
          </w:p>
        </w:tc>
      </w:tr>
      <w:tr w:rsidR="00EC4A68" w:rsidRPr="00A27896" w14:paraId="52ECF7F8" w14:textId="77777777" w:rsidTr="009A106E">
        <w:trPr>
          <w:trHeight w:val="650"/>
        </w:trPr>
        <w:tc>
          <w:tcPr>
            <w:tcW w:w="2709" w:type="dxa"/>
            <w:tcBorders>
              <w:top w:val="single" w:sz="4" w:space="0" w:color="17365D"/>
              <w:bottom w:val="single" w:sz="4" w:space="0" w:color="17365D"/>
            </w:tcBorders>
            <w:shd w:val="clear" w:color="auto" w:fill="auto"/>
            <w:vAlign w:val="center"/>
          </w:tcPr>
          <w:p w14:paraId="270FF3E1" w14:textId="77777777" w:rsidR="00EC4A68" w:rsidRPr="00A27896" w:rsidRDefault="00EC4A68" w:rsidP="00EC4A68">
            <w:pPr>
              <w:spacing w:after="0" w:line="240" w:lineRule="auto"/>
              <w:rPr>
                <w:rFonts w:eastAsia="Times New Roman" w:cs="Times New Roman"/>
                <w:color w:val="17365D"/>
                <w:sz w:val="18"/>
                <w:szCs w:val="18"/>
              </w:rPr>
            </w:pPr>
            <w:r w:rsidRPr="00A27896">
              <w:rPr>
                <w:rFonts w:eastAsia="Times New Roman" w:cs="Times New Roman"/>
                <w:color w:val="17365D"/>
                <w:sz w:val="18"/>
                <w:szCs w:val="18"/>
              </w:rPr>
              <w:t>Krājumi, materiāli, energoresursi, preces, biroja preces un inventārs, periodika</w:t>
            </w:r>
          </w:p>
        </w:tc>
        <w:tc>
          <w:tcPr>
            <w:tcW w:w="992" w:type="dxa"/>
            <w:tcBorders>
              <w:top w:val="single" w:sz="4" w:space="0" w:color="17365D"/>
              <w:bottom w:val="single" w:sz="4" w:space="0" w:color="17365D"/>
            </w:tcBorders>
            <w:shd w:val="clear" w:color="auto" w:fill="auto"/>
            <w:vAlign w:val="center"/>
          </w:tcPr>
          <w:p w14:paraId="2A0BC300" w14:textId="2E4E5764" w:rsidR="00EC4A68" w:rsidRPr="00A27896" w:rsidRDefault="00EC4A68" w:rsidP="00EC4A68">
            <w:pPr>
              <w:spacing w:after="0" w:line="240" w:lineRule="auto"/>
              <w:jc w:val="center"/>
              <w:rPr>
                <w:rFonts w:eastAsia="Times New Roman" w:cs="Times New Roman"/>
                <w:color w:val="17365D"/>
                <w:sz w:val="18"/>
                <w:szCs w:val="18"/>
              </w:rPr>
            </w:pPr>
            <w:r w:rsidRPr="00A27896">
              <w:rPr>
                <w:rFonts w:eastAsia="Times New Roman" w:cs="Times New Roman"/>
                <w:color w:val="17365D"/>
                <w:sz w:val="18"/>
                <w:szCs w:val="18"/>
              </w:rPr>
              <w:t>FD.A25.</w:t>
            </w:r>
          </w:p>
        </w:tc>
        <w:tc>
          <w:tcPr>
            <w:tcW w:w="1275" w:type="dxa"/>
            <w:tcBorders>
              <w:top w:val="single" w:sz="4" w:space="0" w:color="17365D"/>
              <w:left w:val="nil"/>
              <w:bottom w:val="single" w:sz="4" w:space="0" w:color="17365D"/>
              <w:right w:val="nil"/>
            </w:tcBorders>
            <w:shd w:val="clear" w:color="F2F2F2" w:fill="FFFFFF"/>
            <w:vAlign w:val="center"/>
          </w:tcPr>
          <w:p w14:paraId="20449CB0" w14:textId="516B7BDF"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570 626 196</w:t>
            </w:r>
          </w:p>
        </w:tc>
        <w:tc>
          <w:tcPr>
            <w:tcW w:w="1594" w:type="dxa"/>
            <w:gridSpan w:val="2"/>
            <w:tcBorders>
              <w:top w:val="single" w:sz="4" w:space="0" w:color="17365D"/>
              <w:left w:val="nil"/>
              <w:bottom w:val="single" w:sz="4" w:space="0" w:color="17365D"/>
              <w:right w:val="nil"/>
            </w:tcBorders>
            <w:shd w:val="clear" w:color="F2F2F2" w:fill="FFFFFF"/>
            <w:vAlign w:val="center"/>
          </w:tcPr>
          <w:p w14:paraId="033BBC92" w14:textId="6527254A"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425 229 836</w:t>
            </w:r>
          </w:p>
        </w:tc>
        <w:tc>
          <w:tcPr>
            <w:tcW w:w="1559" w:type="dxa"/>
            <w:tcBorders>
              <w:top w:val="single" w:sz="4" w:space="0" w:color="17365D"/>
              <w:left w:val="nil"/>
              <w:bottom w:val="single" w:sz="4" w:space="0" w:color="17365D"/>
              <w:right w:val="nil"/>
            </w:tcBorders>
            <w:shd w:val="clear" w:color="auto" w:fill="auto"/>
            <w:vAlign w:val="center"/>
          </w:tcPr>
          <w:p w14:paraId="25BDDC19" w14:textId="6E81DCA0"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145 396 360</w:t>
            </w:r>
          </w:p>
        </w:tc>
        <w:tc>
          <w:tcPr>
            <w:tcW w:w="1134" w:type="dxa"/>
            <w:tcBorders>
              <w:top w:val="single" w:sz="4" w:space="0" w:color="17365D"/>
              <w:left w:val="nil"/>
              <w:bottom w:val="single" w:sz="4" w:space="0" w:color="17365D"/>
              <w:right w:val="nil"/>
            </w:tcBorders>
            <w:shd w:val="clear" w:color="auto" w:fill="auto"/>
            <w:vAlign w:val="center"/>
          </w:tcPr>
          <w:p w14:paraId="7FB16141" w14:textId="38A9149B" w:rsidR="00EC4A68" w:rsidRPr="00A27896" w:rsidRDefault="00EC4A68" w:rsidP="00EC4A68">
            <w:pPr>
              <w:spacing w:after="0" w:line="240" w:lineRule="auto"/>
              <w:jc w:val="right"/>
              <w:rPr>
                <w:rFonts w:eastAsia="Arial Unicode MS" w:cs="Times New Roman"/>
                <w:color w:val="17365D"/>
                <w:sz w:val="18"/>
                <w:szCs w:val="18"/>
              </w:rPr>
            </w:pPr>
            <w:r w:rsidRPr="00EC4A68">
              <w:rPr>
                <w:rFonts w:eastAsia="Arial Unicode MS" w:cs="Times New Roman"/>
                <w:color w:val="17365D"/>
                <w:sz w:val="18"/>
                <w:szCs w:val="18"/>
              </w:rPr>
              <w:t>34.19</w:t>
            </w:r>
          </w:p>
        </w:tc>
      </w:tr>
      <w:tr w:rsidR="00EC4A68" w:rsidRPr="00A27896" w14:paraId="010854A2" w14:textId="77777777" w:rsidTr="009A106E">
        <w:trPr>
          <w:trHeight w:val="433"/>
        </w:trPr>
        <w:tc>
          <w:tcPr>
            <w:tcW w:w="2709" w:type="dxa"/>
            <w:tcBorders>
              <w:top w:val="single" w:sz="4" w:space="0" w:color="17365D"/>
              <w:bottom w:val="single" w:sz="4" w:space="0" w:color="17365D"/>
            </w:tcBorders>
            <w:shd w:val="clear" w:color="auto" w:fill="auto"/>
            <w:vAlign w:val="center"/>
          </w:tcPr>
          <w:p w14:paraId="67F1BA96" w14:textId="77777777" w:rsidR="00EC4A68" w:rsidRPr="00A27896" w:rsidRDefault="00EC4A68" w:rsidP="00EC4A68">
            <w:pPr>
              <w:spacing w:after="0" w:line="240" w:lineRule="auto"/>
              <w:rPr>
                <w:rFonts w:eastAsia="Times New Roman" w:cs="Times New Roman"/>
                <w:color w:val="17365D"/>
                <w:sz w:val="18"/>
                <w:szCs w:val="18"/>
              </w:rPr>
            </w:pPr>
            <w:r w:rsidRPr="00A27896">
              <w:rPr>
                <w:rFonts w:eastAsia="Times New Roman" w:cs="Times New Roman"/>
                <w:color w:val="17365D"/>
                <w:sz w:val="18"/>
                <w:szCs w:val="18"/>
              </w:rPr>
              <w:t>Nodokļu, nodevu un naudas sodu maksājumi</w:t>
            </w:r>
          </w:p>
        </w:tc>
        <w:tc>
          <w:tcPr>
            <w:tcW w:w="992" w:type="dxa"/>
            <w:tcBorders>
              <w:top w:val="single" w:sz="4" w:space="0" w:color="17365D"/>
              <w:bottom w:val="single" w:sz="4" w:space="0" w:color="17365D"/>
            </w:tcBorders>
            <w:shd w:val="clear" w:color="auto" w:fill="auto"/>
            <w:vAlign w:val="center"/>
          </w:tcPr>
          <w:p w14:paraId="3F8FEFFF" w14:textId="77777777" w:rsidR="00EC4A68" w:rsidRPr="00A27896" w:rsidRDefault="00EC4A68" w:rsidP="00EC4A68">
            <w:pPr>
              <w:spacing w:after="0" w:line="240" w:lineRule="auto"/>
              <w:jc w:val="center"/>
              <w:rPr>
                <w:rFonts w:eastAsia="Times New Roman" w:cs="Times New Roman"/>
                <w:color w:val="17365D"/>
                <w:sz w:val="18"/>
                <w:szCs w:val="18"/>
              </w:rPr>
            </w:pPr>
          </w:p>
        </w:tc>
        <w:tc>
          <w:tcPr>
            <w:tcW w:w="1275" w:type="dxa"/>
            <w:tcBorders>
              <w:top w:val="single" w:sz="4" w:space="0" w:color="17365D"/>
              <w:left w:val="nil"/>
              <w:bottom w:val="single" w:sz="4" w:space="0" w:color="17365D"/>
              <w:right w:val="nil"/>
            </w:tcBorders>
            <w:shd w:val="clear" w:color="F2F2F2" w:fill="FFFFFF"/>
            <w:vAlign w:val="center"/>
          </w:tcPr>
          <w:p w14:paraId="0FF6EBDF" w14:textId="20AF0623"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31 027 002</w:t>
            </w:r>
          </w:p>
        </w:tc>
        <w:tc>
          <w:tcPr>
            <w:tcW w:w="1594" w:type="dxa"/>
            <w:gridSpan w:val="2"/>
            <w:tcBorders>
              <w:top w:val="single" w:sz="4" w:space="0" w:color="17365D"/>
              <w:left w:val="nil"/>
              <w:bottom w:val="single" w:sz="4" w:space="0" w:color="17365D"/>
              <w:right w:val="nil"/>
            </w:tcBorders>
            <w:shd w:val="clear" w:color="F2F2F2" w:fill="FFFFFF"/>
            <w:vAlign w:val="center"/>
          </w:tcPr>
          <w:p w14:paraId="0EC38283" w14:textId="77DCECC2"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23 974 069</w:t>
            </w:r>
          </w:p>
        </w:tc>
        <w:tc>
          <w:tcPr>
            <w:tcW w:w="1559" w:type="dxa"/>
            <w:tcBorders>
              <w:top w:val="single" w:sz="4" w:space="0" w:color="17365D"/>
              <w:left w:val="nil"/>
              <w:bottom w:val="single" w:sz="4" w:space="0" w:color="17365D"/>
              <w:right w:val="nil"/>
            </w:tcBorders>
            <w:shd w:val="clear" w:color="auto" w:fill="auto"/>
            <w:vAlign w:val="center"/>
          </w:tcPr>
          <w:p w14:paraId="7D728D6A" w14:textId="039BB1A6"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7 052 933</w:t>
            </w:r>
          </w:p>
        </w:tc>
        <w:tc>
          <w:tcPr>
            <w:tcW w:w="1134" w:type="dxa"/>
            <w:tcBorders>
              <w:top w:val="single" w:sz="4" w:space="0" w:color="17365D"/>
              <w:left w:val="nil"/>
              <w:bottom w:val="single" w:sz="4" w:space="0" w:color="17365D"/>
              <w:right w:val="nil"/>
            </w:tcBorders>
            <w:shd w:val="clear" w:color="auto" w:fill="auto"/>
            <w:vAlign w:val="center"/>
          </w:tcPr>
          <w:p w14:paraId="2EA813B2" w14:textId="0D31EC6C" w:rsidR="00EC4A68" w:rsidRPr="00A27896" w:rsidRDefault="00EC4A68" w:rsidP="00EC4A68">
            <w:pPr>
              <w:spacing w:after="0" w:line="240" w:lineRule="auto"/>
              <w:jc w:val="right"/>
              <w:rPr>
                <w:rFonts w:eastAsia="Arial Unicode MS" w:cs="Times New Roman"/>
                <w:color w:val="17365D"/>
                <w:sz w:val="18"/>
                <w:szCs w:val="18"/>
              </w:rPr>
            </w:pPr>
            <w:r w:rsidRPr="00EC4A68">
              <w:rPr>
                <w:rFonts w:eastAsia="Arial Unicode MS" w:cs="Times New Roman"/>
                <w:color w:val="17365D"/>
                <w:sz w:val="18"/>
                <w:szCs w:val="18"/>
              </w:rPr>
              <w:t>29.42</w:t>
            </w:r>
          </w:p>
        </w:tc>
      </w:tr>
      <w:tr w:rsidR="00EC4A68" w:rsidRPr="00A27896" w14:paraId="10B86CFA" w14:textId="77777777" w:rsidTr="009A106E">
        <w:trPr>
          <w:trHeight w:val="850"/>
        </w:trPr>
        <w:tc>
          <w:tcPr>
            <w:tcW w:w="2709" w:type="dxa"/>
            <w:tcBorders>
              <w:top w:val="single" w:sz="4" w:space="0" w:color="17365D"/>
              <w:bottom w:val="single" w:sz="4" w:space="0" w:color="17365D"/>
            </w:tcBorders>
            <w:shd w:val="clear" w:color="auto" w:fill="auto"/>
            <w:vAlign w:val="center"/>
          </w:tcPr>
          <w:p w14:paraId="37A36A79" w14:textId="77777777" w:rsidR="00EC4A68" w:rsidRPr="00A27896" w:rsidRDefault="00EC4A68" w:rsidP="00EC4A68">
            <w:pPr>
              <w:spacing w:after="0" w:line="240" w:lineRule="auto"/>
              <w:rPr>
                <w:rFonts w:eastAsia="Times New Roman" w:cs="Times New Roman"/>
                <w:color w:val="17365D"/>
                <w:sz w:val="18"/>
                <w:szCs w:val="18"/>
              </w:rPr>
            </w:pPr>
            <w:r w:rsidRPr="00A27896">
              <w:rPr>
                <w:rFonts w:eastAsia="Times New Roman" w:cs="Times New Roman"/>
                <w:color w:val="17365D"/>
                <w:sz w:val="18"/>
                <w:szCs w:val="18"/>
              </w:rPr>
              <w:t>Subsīdijas, dotācijas un sociālie pabalsti, kārtējie maksājumi Eiropas Savienības budžetā un starptautiskā sadarbība</w:t>
            </w:r>
          </w:p>
        </w:tc>
        <w:tc>
          <w:tcPr>
            <w:tcW w:w="992" w:type="dxa"/>
            <w:tcBorders>
              <w:top w:val="single" w:sz="4" w:space="0" w:color="17365D"/>
              <w:bottom w:val="single" w:sz="4" w:space="0" w:color="17365D"/>
            </w:tcBorders>
            <w:shd w:val="clear" w:color="auto" w:fill="auto"/>
            <w:vAlign w:val="center"/>
          </w:tcPr>
          <w:p w14:paraId="13387077" w14:textId="3DFB9A48" w:rsidR="00EC4A68" w:rsidRPr="00A27896" w:rsidRDefault="00EC4A68" w:rsidP="00EC4A68">
            <w:pPr>
              <w:spacing w:after="0" w:line="240" w:lineRule="auto"/>
              <w:jc w:val="center"/>
              <w:rPr>
                <w:rFonts w:eastAsia="Times New Roman" w:cs="Times New Roman"/>
                <w:color w:val="17365D"/>
                <w:sz w:val="18"/>
                <w:szCs w:val="18"/>
              </w:rPr>
            </w:pPr>
          </w:p>
        </w:tc>
        <w:tc>
          <w:tcPr>
            <w:tcW w:w="1275" w:type="dxa"/>
            <w:tcBorders>
              <w:top w:val="single" w:sz="4" w:space="0" w:color="17365D"/>
              <w:left w:val="nil"/>
              <w:bottom w:val="single" w:sz="4" w:space="0" w:color="17365D"/>
              <w:right w:val="nil"/>
            </w:tcBorders>
            <w:shd w:val="clear" w:color="F2F2F2" w:fill="FFFFFF"/>
            <w:vAlign w:val="center"/>
          </w:tcPr>
          <w:p w14:paraId="773F2F43" w14:textId="004E0CEE"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8 469 657 651</w:t>
            </w:r>
          </w:p>
        </w:tc>
        <w:tc>
          <w:tcPr>
            <w:tcW w:w="1594" w:type="dxa"/>
            <w:gridSpan w:val="2"/>
            <w:tcBorders>
              <w:top w:val="single" w:sz="4" w:space="0" w:color="17365D"/>
              <w:left w:val="nil"/>
              <w:bottom w:val="single" w:sz="4" w:space="0" w:color="17365D"/>
              <w:right w:val="nil"/>
            </w:tcBorders>
            <w:shd w:val="clear" w:color="F2F2F2" w:fill="FFFFFF"/>
            <w:vAlign w:val="center"/>
          </w:tcPr>
          <w:p w14:paraId="4E0519B8" w14:textId="7A1B7934"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8 305 779 876</w:t>
            </w:r>
          </w:p>
        </w:tc>
        <w:tc>
          <w:tcPr>
            <w:tcW w:w="1559" w:type="dxa"/>
            <w:tcBorders>
              <w:top w:val="single" w:sz="4" w:space="0" w:color="17365D"/>
              <w:left w:val="nil"/>
              <w:bottom w:val="single" w:sz="4" w:space="0" w:color="17365D"/>
              <w:right w:val="nil"/>
            </w:tcBorders>
            <w:shd w:val="clear" w:color="auto" w:fill="auto"/>
            <w:vAlign w:val="center"/>
          </w:tcPr>
          <w:p w14:paraId="34B895C4" w14:textId="73C18BD4"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163 877 775</w:t>
            </w:r>
          </w:p>
        </w:tc>
        <w:tc>
          <w:tcPr>
            <w:tcW w:w="1134" w:type="dxa"/>
            <w:tcBorders>
              <w:top w:val="single" w:sz="4" w:space="0" w:color="17365D"/>
              <w:left w:val="nil"/>
              <w:bottom w:val="single" w:sz="4" w:space="0" w:color="17365D"/>
              <w:right w:val="nil"/>
            </w:tcBorders>
            <w:shd w:val="clear" w:color="auto" w:fill="auto"/>
            <w:vAlign w:val="center"/>
          </w:tcPr>
          <w:p w14:paraId="28564597" w14:textId="09F999C9" w:rsidR="00EC4A68" w:rsidRPr="00A27896" w:rsidRDefault="00EC4A68" w:rsidP="00EC4A68">
            <w:pPr>
              <w:spacing w:after="0" w:line="240" w:lineRule="auto"/>
              <w:jc w:val="right"/>
              <w:rPr>
                <w:rFonts w:eastAsia="Arial Unicode MS" w:cs="Times New Roman"/>
                <w:color w:val="17365D"/>
                <w:sz w:val="18"/>
                <w:szCs w:val="18"/>
              </w:rPr>
            </w:pPr>
            <w:r w:rsidRPr="00EC4A68">
              <w:rPr>
                <w:rFonts w:eastAsia="Arial Unicode MS" w:cs="Times New Roman"/>
                <w:color w:val="17365D"/>
                <w:sz w:val="18"/>
                <w:szCs w:val="18"/>
              </w:rPr>
              <w:t>1.97</w:t>
            </w:r>
          </w:p>
        </w:tc>
      </w:tr>
      <w:tr w:rsidR="00EC4A68" w:rsidRPr="00A27896" w14:paraId="50149E89" w14:textId="77777777" w:rsidTr="00607373">
        <w:trPr>
          <w:trHeight w:val="319"/>
        </w:trPr>
        <w:tc>
          <w:tcPr>
            <w:tcW w:w="2709" w:type="dxa"/>
            <w:tcBorders>
              <w:top w:val="single" w:sz="4" w:space="0" w:color="17365D"/>
              <w:bottom w:val="single" w:sz="4" w:space="0" w:color="17365D"/>
            </w:tcBorders>
            <w:shd w:val="clear" w:color="auto" w:fill="auto"/>
            <w:vAlign w:val="center"/>
          </w:tcPr>
          <w:p w14:paraId="0E39725D" w14:textId="77777777" w:rsidR="00EC4A68" w:rsidRPr="00A27896" w:rsidRDefault="00EC4A68" w:rsidP="00EC4A68">
            <w:pPr>
              <w:spacing w:after="0" w:line="240" w:lineRule="auto"/>
              <w:rPr>
                <w:rFonts w:eastAsia="Times New Roman" w:cs="Times New Roman"/>
                <w:color w:val="17365D"/>
                <w:sz w:val="18"/>
                <w:szCs w:val="18"/>
              </w:rPr>
            </w:pPr>
            <w:r w:rsidRPr="00A27896">
              <w:rPr>
                <w:rFonts w:eastAsia="Times New Roman" w:cs="Times New Roman"/>
                <w:color w:val="17365D"/>
                <w:sz w:val="18"/>
                <w:szCs w:val="18"/>
              </w:rPr>
              <w:t>Procentu izdevumi</w:t>
            </w:r>
          </w:p>
        </w:tc>
        <w:tc>
          <w:tcPr>
            <w:tcW w:w="992" w:type="dxa"/>
            <w:tcBorders>
              <w:top w:val="single" w:sz="4" w:space="0" w:color="17365D"/>
              <w:bottom w:val="single" w:sz="4" w:space="0" w:color="17365D"/>
            </w:tcBorders>
            <w:shd w:val="clear" w:color="auto" w:fill="auto"/>
            <w:vAlign w:val="center"/>
          </w:tcPr>
          <w:p w14:paraId="4CE50E76" w14:textId="695F83D8" w:rsidR="00EC4A68" w:rsidRPr="00A27896" w:rsidRDefault="00EC4A68" w:rsidP="00EC4A68">
            <w:pPr>
              <w:spacing w:after="0" w:line="240" w:lineRule="auto"/>
              <w:jc w:val="center"/>
              <w:rPr>
                <w:rFonts w:eastAsia="Times New Roman" w:cs="Times New Roman"/>
                <w:color w:val="17365D"/>
                <w:sz w:val="18"/>
                <w:szCs w:val="18"/>
              </w:rPr>
            </w:pPr>
            <w:r w:rsidRPr="00A27896">
              <w:rPr>
                <w:rFonts w:eastAsia="Times New Roman" w:cs="Times New Roman"/>
                <w:color w:val="17365D"/>
                <w:sz w:val="18"/>
                <w:szCs w:val="18"/>
              </w:rPr>
              <w:t>FD.A28.</w:t>
            </w:r>
          </w:p>
        </w:tc>
        <w:tc>
          <w:tcPr>
            <w:tcW w:w="1275" w:type="dxa"/>
            <w:tcBorders>
              <w:top w:val="single" w:sz="4" w:space="0" w:color="17365D"/>
              <w:left w:val="nil"/>
              <w:bottom w:val="single" w:sz="4" w:space="0" w:color="17365D"/>
              <w:right w:val="nil"/>
            </w:tcBorders>
            <w:shd w:val="clear" w:color="F2F2F2" w:fill="FFFFFF"/>
            <w:vAlign w:val="center"/>
          </w:tcPr>
          <w:p w14:paraId="0A6892F2" w14:textId="02A1D4BC"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206 176 935</w:t>
            </w:r>
          </w:p>
        </w:tc>
        <w:tc>
          <w:tcPr>
            <w:tcW w:w="1594" w:type="dxa"/>
            <w:gridSpan w:val="2"/>
            <w:tcBorders>
              <w:top w:val="single" w:sz="4" w:space="0" w:color="17365D"/>
              <w:left w:val="nil"/>
              <w:bottom w:val="single" w:sz="4" w:space="0" w:color="17365D"/>
              <w:right w:val="nil"/>
            </w:tcBorders>
            <w:shd w:val="clear" w:color="F2F2F2" w:fill="FFFFFF"/>
            <w:vAlign w:val="center"/>
          </w:tcPr>
          <w:p w14:paraId="68DA0BBA" w14:textId="40F8D15F"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234 874 511</w:t>
            </w:r>
          </w:p>
        </w:tc>
        <w:tc>
          <w:tcPr>
            <w:tcW w:w="1559" w:type="dxa"/>
            <w:tcBorders>
              <w:top w:val="single" w:sz="4" w:space="0" w:color="17365D"/>
              <w:left w:val="nil"/>
              <w:bottom w:val="single" w:sz="4" w:space="0" w:color="17365D"/>
              <w:right w:val="nil"/>
            </w:tcBorders>
            <w:shd w:val="clear" w:color="auto" w:fill="auto"/>
            <w:vAlign w:val="center"/>
          </w:tcPr>
          <w:p w14:paraId="1000D928" w14:textId="1D4EABD6"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-28 697 576</w:t>
            </w:r>
          </w:p>
        </w:tc>
        <w:tc>
          <w:tcPr>
            <w:tcW w:w="1134" w:type="dxa"/>
            <w:tcBorders>
              <w:top w:val="single" w:sz="4" w:space="0" w:color="17365D"/>
              <w:left w:val="nil"/>
              <w:bottom w:val="single" w:sz="4" w:space="0" w:color="17365D"/>
              <w:right w:val="nil"/>
            </w:tcBorders>
            <w:shd w:val="clear" w:color="auto" w:fill="auto"/>
            <w:vAlign w:val="center"/>
          </w:tcPr>
          <w:p w14:paraId="0B978D4E" w14:textId="14D13B72" w:rsidR="00EC4A68" w:rsidRPr="00A27896" w:rsidRDefault="00EC4A68" w:rsidP="00EC4A68">
            <w:pPr>
              <w:spacing w:after="0" w:line="240" w:lineRule="auto"/>
              <w:jc w:val="right"/>
              <w:rPr>
                <w:rFonts w:eastAsia="Arial Unicode MS" w:cs="Times New Roman"/>
                <w:color w:val="17365D"/>
                <w:sz w:val="18"/>
                <w:szCs w:val="18"/>
              </w:rPr>
            </w:pPr>
            <w:r w:rsidRPr="00EC4A68">
              <w:rPr>
                <w:rFonts w:eastAsia="Arial Unicode MS" w:cs="Times New Roman"/>
                <w:color w:val="17365D"/>
                <w:sz w:val="18"/>
                <w:szCs w:val="18"/>
              </w:rPr>
              <w:t>-12.22</w:t>
            </w:r>
          </w:p>
        </w:tc>
      </w:tr>
      <w:tr w:rsidR="00EC4A68" w:rsidRPr="00A27896" w14:paraId="0EC692A9" w14:textId="77777777" w:rsidTr="00607373">
        <w:trPr>
          <w:trHeight w:val="471"/>
        </w:trPr>
        <w:tc>
          <w:tcPr>
            <w:tcW w:w="2709" w:type="dxa"/>
            <w:tcBorders>
              <w:top w:val="single" w:sz="4" w:space="0" w:color="17365D"/>
              <w:bottom w:val="single" w:sz="4" w:space="0" w:color="17365D"/>
            </w:tcBorders>
            <w:shd w:val="clear" w:color="auto" w:fill="auto"/>
            <w:vAlign w:val="center"/>
          </w:tcPr>
          <w:p w14:paraId="13F98897" w14:textId="77777777" w:rsidR="00EC4A68" w:rsidRPr="00A27896" w:rsidRDefault="00EC4A68" w:rsidP="00EC4A68">
            <w:pPr>
              <w:spacing w:after="0" w:line="240" w:lineRule="auto"/>
              <w:rPr>
                <w:rFonts w:eastAsia="Times New Roman" w:cs="Times New Roman"/>
                <w:color w:val="17365D"/>
                <w:sz w:val="18"/>
                <w:szCs w:val="18"/>
              </w:rPr>
            </w:pPr>
            <w:r w:rsidRPr="00A27896">
              <w:rPr>
                <w:rFonts w:eastAsia="Times New Roman" w:cs="Times New Roman"/>
                <w:color w:val="17365D"/>
                <w:sz w:val="18"/>
                <w:szCs w:val="18"/>
              </w:rPr>
              <w:t xml:space="preserve">Nolietojuma un amortizācijas izmaksas </w:t>
            </w:r>
          </w:p>
        </w:tc>
        <w:tc>
          <w:tcPr>
            <w:tcW w:w="992" w:type="dxa"/>
            <w:tcBorders>
              <w:top w:val="single" w:sz="4" w:space="0" w:color="17365D"/>
              <w:bottom w:val="single" w:sz="4" w:space="0" w:color="17365D"/>
            </w:tcBorders>
            <w:shd w:val="clear" w:color="auto" w:fill="auto"/>
            <w:vAlign w:val="center"/>
          </w:tcPr>
          <w:p w14:paraId="66F9C52C" w14:textId="77777777" w:rsidR="00EC4A68" w:rsidRPr="00A27896" w:rsidRDefault="00EC4A68" w:rsidP="00EC4A68">
            <w:pPr>
              <w:spacing w:after="0" w:line="240" w:lineRule="auto"/>
              <w:jc w:val="center"/>
              <w:rPr>
                <w:rFonts w:eastAsia="Times New Roman" w:cs="Times New Roman"/>
                <w:color w:val="17365D"/>
                <w:sz w:val="18"/>
                <w:szCs w:val="18"/>
              </w:rPr>
            </w:pPr>
          </w:p>
        </w:tc>
        <w:tc>
          <w:tcPr>
            <w:tcW w:w="1275" w:type="dxa"/>
            <w:tcBorders>
              <w:top w:val="single" w:sz="4" w:space="0" w:color="17365D"/>
              <w:left w:val="nil"/>
              <w:bottom w:val="single" w:sz="4" w:space="0" w:color="auto"/>
              <w:right w:val="nil"/>
            </w:tcBorders>
            <w:shd w:val="clear" w:color="F2F2F2" w:fill="FFFFFF"/>
            <w:vAlign w:val="center"/>
          </w:tcPr>
          <w:p w14:paraId="170E0B4B" w14:textId="5FB32340"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782 891 079</w:t>
            </w:r>
          </w:p>
        </w:tc>
        <w:tc>
          <w:tcPr>
            <w:tcW w:w="1594" w:type="dxa"/>
            <w:gridSpan w:val="2"/>
            <w:tcBorders>
              <w:top w:val="single" w:sz="4" w:space="0" w:color="17365D"/>
              <w:left w:val="nil"/>
              <w:bottom w:val="single" w:sz="4" w:space="0" w:color="auto"/>
              <w:right w:val="nil"/>
            </w:tcBorders>
            <w:shd w:val="clear" w:color="F2F2F2" w:fill="FFFFFF"/>
            <w:vAlign w:val="center"/>
          </w:tcPr>
          <w:p w14:paraId="10D3FBB7" w14:textId="4D09D785"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753 742 495</w:t>
            </w:r>
          </w:p>
        </w:tc>
        <w:tc>
          <w:tcPr>
            <w:tcW w:w="1559" w:type="dxa"/>
            <w:tcBorders>
              <w:top w:val="single" w:sz="4" w:space="0" w:color="17365D"/>
              <w:left w:val="nil"/>
              <w:bottom w:val="single" w:sz="4" w:space="0" w:color="auto"/>
              <w:right w:val="nil"/>
            </w:tcBorders>
            <w:shd w:val="clear" w:color="auto" w:fill="auto"/>
            <w:vAlign w:val="center"/>
          </w:tcPr>
          <w:p w14:paraId="2F6C4930" w14:textId="7F482E5E" w:rsidR="00EC4A68" w:rsidRPr="00A27896" w:rsidRDefault="00EC4A68" w:rsidP="00EC4A6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29 148 584</w:t>
            </w:r>
          </w:p>
        </w:tc>
        <w:tc>
          <w:tcPr>
            <w:tcW w:w="1134" w:type="dxa"/>
            <w:tcBorders>
              <w:top w:val="single" w:sz="4" w:space="0" w:color="17365D"/>
              <w:left w:val="nil"/>
              <w:bottom w:val="single" w:sz="4" w:space="0" w:color="auto"/>
              <w:right w:val="nil"/>
            </w:tcBorders>
            <w:shd w:val="clear" w:color="auto" w:fill="auto"/>
            <w:vAlign w:val="center"/>
          </w:tcPr>
          <w:p w14:paraId="684088A2" w14:textId="0CB04CF5" w:rsidR="00EC4A68" w:rsidRPr="00A27896" w:rsidRDefault="00EC4A68" w:rsidP="00EC4A68">
            <w:pPr>
              <w:spacing w:after="0" w:line="240" w:lineRule="auto"/>
              <w:jc w:val="right"/>
              <w:rPr>
                <w:rFonts w:eastAsia="Arial Unicode MS" w:cs="Times New Roman"/>
                <w:color w:val="17365D"/>
                <w:sz w:val="18"/>
                <w:szCs w:val="18"/>
              </w:rPr>
            </w:pPr>
            <w:r w:rsidRPr="00EC4A68">
              <w:rPr>
                <w:rFonts w:eastAsia="Arial Unicode MS" w:cs="Times New Roman"/>
                <w:color w:val="17365D"/>
                <w:sz w:val="18"/>
                <w:szCs w:val="18"/>
              </w:rPr>
              <w:t>3.87</w:t>
            </w:r>
          </w:p>
        </w:tc>
      </w:tr>
      <w:tr w:rsidR="00607373" w:rsidRPr="00A27896" w14:paraId="124E8870" w14:textId="77777777" w:rsidTr="00607373">
        <w:trPr>
          <w:trHeight w:val="421"/>
        </w:trPr>
        <w:tc>
          <w:tcPr>
            <w:tcW w:w="2709" w:type="dxa"/>
            <w:tcBorders>
              <w:top w:val="single" w:sz="4" w:space="0" w:color="17365D"/>
              <w:bottom w:val="single" w:sz="4" w:space="0" w:color="17365D"/>
            </w:tcBorders>
            <w:shd w:val="clear" w:color="auto" w:fill="auto"/>
            <w:vAlign w:val="center"/>
          </w:tcPr>
          <w:p w14:paraId="72F50EC5" w14:textId="77777777" w:rsidR="00607373" w:rsidRPr="00A27896" w:rsidRDefault="00607373" w:rsidP="00607373">
            <w:pPr>
              <w:spacing w:after="0" w:line="240" w:lineRule="auto"/>
              <w:rPr>
                <w:rFonts w:eastAsia="Times New Roman" w:cs="Times New Roman"/>
                <w:color w:val="17365D"/>
                <w:sz w:val="18"/>
                <w:szCs w:val="18"/>
              </w:rPr>
            </w:pPr>
            <w:r w:rsidRPr="00A27896">
              <w:rPr>
                <w:rFonts w:eastAsia="Times New Roman" w:cs="Times New Roman"/>
                <w:color w:val="17365D"/>
                <w:sz w:val="18"/>
                <w:szCs w:val="18"/>
              </w:rPr>
              <w:t>Pārējie izdevumi, kas nav klasificēti A21 līdz A30 rindā</w:t>
            </w:r>
          </w:p>
        </w:tc>
        <w:tc>
          <w:tcPr>
            <w:tcW w:w="992" w:type="dxa"/>
            <w:tcBorders>
              <w:top w:val="single" w:sz="4" w:space="0" w:color="17365D"/>
              <w:bottom w:val="single" w:sz="4" w:space="0" w:color="17365D"/>
            </w:tcBorders>
            <w:shd w:val="clear" w:color="auto" w:fill="auto"/>
            <w:vAlign w:val="center"/>
          </w:tcPr>
          <w:p w14:paraId="3E44904E" w14:textId="2F704675" w:rsidR="00607373" w:rsidRPr="00A27896" w:rsidRDefault="00607373" w:rsidP="00607373">
            <w:pPr>
              <w:spacing w:after="0" w:line="240" w:lineRule="auto"/>
              <w:jc w:val="center"/>
              <w:rPr>
                <w:rFonts w:eastAsia="Times New Roman" w:cs="Times New Roman"/>
                <w:color w:val="17365D"/>
                <w:sz w:val="18"/>
                <w:szCs w:val="18"/>
              </w:rPr>
            </w:pPr>
            <w:r w:rsidRPr="00A27896">
              <w:rPr>
                <w:rFonts w:eastAsia="Times New Roman" w:cs="Times New Roman"/>
                <w:color w:val="17365D"/>
                <w:sz w:val="18"/>
                <w:szCs w:val="18"/>
              </w:rPr>
              <w:t>FD.A31.</w:t>
            </w:r>
          </w:p>
        </w:tc>
        <w:tc>
          <w:tcPr>
            <w:tcW w:w="1275" w:type="dxa"/>
            <w:tcBorders>
              <w:top w:val="single" w:sz="4" w:space="0" w:color="auto"/>
              <w:bottom w:val="single" w:sz="4" w:space="0" w:color="auto"/>
            </w:tcBorders>
            <w:shd w:val="clear" w:color="F2F2F2" w:fill="FFFFFF"/>
            <w:vAlign w:val="center"/>
          </w:tcPr>
          <w:p w14:paraId="6760DA2C" w14:textId="3C0E83DD" w:rsidR="00607373" w:rsidRPr="00607373" w:rsidRDefault="00607373" w:rsidP="00607373">
            <w:pPr>
              <w:spacing w:after="0" w:line="240" w:lineRule="auto"/>
              <w:jc w:val="right"/>
              <w:rPr>
                <w:rFonts w:eastAsia="Arial Unicode MS" w:cs="Times New Roman"/>
                <w:color w:val="17365D"/>
                <w:sz w:val="18"/>
                <w:szCs w:val="18"/>
              </w:rPr>
            </w:pPr>
            <w:r w:rsidRPr="00607373">
              <w:rPr>
                <w:rFonts w:eastAsia="Arial Unicode MS" w:cs="Times New Roman"/>
                <w:color w:val="17365D"/>
                <w:sz w:val="18"/>
                <w:szCs w:val="18"/>
              </w:rPr>
              <w:t>1 893 915 871</w:t>
            </w:r>
          </w:p>
        </w:tc>
        <w:tc>
          <w:tcPr>
            <w:tcW w:w="1594" w:type="dxa"/>
            <w:gridSpan w:val="2"/>
            <w:tcBorders>
              <w:top w:val="single" w:sz="4" w:space="0" w:color="auto"/>
              <w:bottom w:val="single" w:sz="4" w:space="0" w:color="auto"/>
            </w:tcBorders>
            <w:shd w:val="clear" w:color="F2F2F2" w:fill="FFFFFF"/>
            <w:vAlign w:val="center"/>
          </w:tcPr>
          <w:p w14:paraId="099EC206" w14:textId="68D02EDF" w:rsidR="00607373" w:rsidRPr="00607373" w:rsidRDefault="00607373" w:rsidP="00607373">
            <w:pPr>
              <w:spacing w:after="0" w:line="240" w:lineRule="auto"/>
              <w:jc w:val="right"/>
              <w:rPr>
                <w:rFonts w:eastAsia="Arial Unicode MS" w:cs="Times New Roman"/>
                <w:color w:val="17365D"/>
                <w:sz w:val="18"/>
                <w:szCs w:val="18"/>
              </w:rPr>
            </w:pPr>
            <w:r w:rsidRPr="00607373">
              <w:rPr>
                <w:rFonts w:eastAsia="Arial Unicode MS" w:cs="Times New Roman"/>
                <w:color w:val="17365D"/>
                <w:sz w:val="18"/>
                <w:szCs w:val="18"/>
              </w:rPr>
              <w:t>1 367 949 458</w:t>
            </w:r>
          </w:p>
        </w:tc>
        <w:tc>
          <w:tcPr>
            <w:tcW w:w="1559" w:type="dxa"/>
            <w:tcBorders>
              <w:top w:val="single" w:sz="4" w:space="0" w:color="auto"/>
              <w:bottom w:val="single" w:sz="4" w:space="0" w:color="auto"/>
            </w:tcBorders>
            <w:shd w:val="clear" w:color="auto" w:fill="auto"/>
            <w:vAlign w:val="center"/>
          </w:tcPr>
          <w:p w14:paraId="2A861335" w14:textId="2D217975" w:rsidR="00607373" w:rsidRPr="00607373" w:rsidRDefault="00607373" w:rsidP="00607373">
            <w:pPr>
              <w:spacing w:after="0" w:line="240" w:lineRule="auto"/>
              <w:jc w:val="right"/>
              <w:rPr>
                <w:rFonts w:eastAsia="Arial Unicode MS" w:cs="Times New Roman"/>
                <w:color w:val="17365D"/>
                <w:sz w:val="18"/>
                <w:szCs w:val="18"/>
              </w:rPr>
            </w:pPr>
            <w:r w:rsidRPr="00607373">
              <w:rPr>
                <w:rFonts w:eastAsia="Arial Unicode MS" w:cs="Times New Roman"/>
                <w:color w:val="17365D"/>
                <w:sz w:val="18"/>
                <w:szCs w:val="18"/>
              </w:rPr>
              <w:t>525 966 413</w:t>
            </w:r>
          </w:p>
        </w:tc>
        <w:tc>
          <w:tcPr>
            <w:tcW w:w="1134" w:type="dxa"/>
            <w:tcBorders>
              <w:top w:val="single" w:sz="4" w:space="0" w:color="auto"/>
              <w:bottom w:val="single" w:sz="4" w:space="0" w:color="auto"/>
            </w:tcBorders>
            <w:shd w:val="clear" w:color="auto" w:fill="auto"/>
            <w:vAlign w:val="center"/>
          </w:tcPr>
          <w:p w14:paraId="749BA67A" w14:textId="6221D599" w:rsidR="00607373" w:rsidRPr="00A27896" w:rsidRDefault="00607373" w:rsidP="00607373">
            <w:pPr>
              <w:spacing w:after="0" w:line="240" w:lineRule="auto"/>
              <w:jc w:val="right"/>
              <w:rPr>
                <w:rFonts w:eastAsia="Arial Unicode MS" w:cs="Times New Roman"/>
                <w:color w:val="17365D"/>
                <w:sz w:val="18"/>
                <w:szCs w:val="18"/>
              </w:rPr>
            </w:pPr>
            <w:r w:rsidRPr="00607373">
              <w:rPr>
                <w:rFonts w:eastAsia="Arial Unicode MS" w:cs="Times New Roman"/>
                <w:color w:val="17365D"/>
                <w:sz w:val="18"/>
                <w:szCs w:val="18"/>
              </w:rPr>
              <w:t>38.45</w:t>
            </w:r>
          </w:p>
        </w:tc>
      </w:tr>
      <w:tr w:rsidR="000C1009" w:rsidRPr="00A27896" w14:paraId="073394DD" w14:textId="77777777" w:rsidTr="00607373">
        <w:trPr>
          <w:trHeight w:val="183"/>
        </w:trPr>
        <w:tc>
          <w:tcPr>
            <w:tcW w:w="2709" w:type="dxa"/>
            <w:tcBorders>
              <w:top w:val="single" w:sz="4" w:space="0" w:color="17365D"/>
            </w:tcBorders>
            <w:shd w:val="clear" w:color="auto" w:fill="B8CCE4" w:themeFill="accent1" w:themeFillTint="66"/>
            <w:vAlign w:val="center"/>
          </w:tcPr>
          <w:p w14:paraId="101E8F40" w14:textId="77777777" w:rsidR="00DB5C38" w:rsidRPr="00A27896" w:rsidRDefault="00DB5C38" w:rsidP="00612D4C">
            <w:pPr>
              <w:spacing w:after="0" w:line="240" w:lineRule="auto"/>
              <w:rPr>
                <w:rFonts w:eastAsia="Times New Roman" w:cs="Times New Roman"/>
                <w:color w:val="17365D"/>
                <w:sz w:val="18"/>
                <w:szCs w:val="18"/>
              </w:rPr>
            </w:pPr>
          </w:p>
        </w:tc>
        <w:tc>
          <w:tcPr>
            <w:tcW w:w="992" w:type="dxa"/>
            <w:tcBorders>
              <w:top w:val="single" w:sz="4" w:space="0" w:color="17365D"/>
            </w:tcBorders>
            <w:shd w:val="clear" w:color="auto" w:fill="B8CCE4" w:themeFill="accent1" w:themeFillTint="66"/>
            <w:vAlign w:val="center"/>
          </w:tcPr>
          <w:p w14:paraId="7F6A46DD" w14:textId="77777777" w:rsidR="00DB5C38" w:rsidRPr="00A27896" w:rsidRDefault="00DB5C38" w:rsidP="00612D4C">
            <w:pPr>
              <w:spacing w:after="0" w:line="240" w:lineRule="auto"/>
              <w:jc w:val="center"/>
              <w:rPr>
                <w:rFonts w:eastAsia="Times New Roman" w:cs="Times New Roman"/>
                <w:color w:val="17365D"/>
                <w:sz w:val="18"/>
                <w:szCs w:val="18"/>
              </w:rPr>
            </w:pPr>
          </w:p>
        </w:tc>
        <w:tc>
          <w:tcPr>
            <w:tcW w:w="1275" w:type="dxa"/>
            <w:tcBorders>
              <w:top w:val="single" w:sz="4" w:space="0" w:color="auto"/>
              <w:left w:val="nil"/>
              <w:right w:val="nil"/>
            </w:tcBorders>
            <w:shd w:val="clear" w:color="auto" w:fill="B8CCE4" w:themeFill="accent1" w:themeFillTint="66"/>
            <w:vAlign w:val="center"/>
          </w:tcPr>
          <w:p w14:paraId="2B2D8A77" w14:textId="77777777" w:rsidR="00DB5C38" w:rsidRPr="00A27896" w:rsidRDefault="00DB5C38" w:rsidP="00612D4C">
            <w:pPr>
              <w:spacing w:after="0" w:line="240" w:lineRule="auto"/>
              <w:jc w:val="right"/>
              <w:rPr>
                <w:rFonts w:eastAsia="Arial Unicode MS" w:cs="Times New Roman"/>
                <w:color w:val="17365D"/>
                <w:sz w:val="18"/>
                <w:szCs w:val="18"/>
              </w:rPr>
            </w:pPr>
          </w:p>
        </w:tc>
        <w:tc>
          <w:tcPr>
            <w:tcW w:w="1594" w:type="dxa"/>
            <w:gridSpan w:val="2"/>
            <w:tcBorders>
              <w:top w:val="single" w:sz="4" w:space="0" w:color="auto"/>
              <w:left w:val="nil"/>
              <w:right w:val="nil"/>
            </w:tcBorders>
            <w:shd w:val="clear" w:color="auto" w:fill="B8CCE4" w:themeFill="accent1" w:themeFillTint="66"/>
            <w:vAlign w:val="center"/>
          </w:tcPr>
          <w:p w14:paraId="0D25CC94" w14:textId="77777777" w:rsidR="00DB5C38" w:rsidRPr="00A27896" w:rsidRDefault="00DB5C38" w:rsidP="00612D4C">
            <w:pPr>
              <w:spacing w:after="0" w:line="240" w:lineRule="auto"/>
              <w:jc w:val="right"/>
              <w:rPr>
                <w:rFonts w:eastAsia="Arial Unicode MS" w:cs="Times New Roman"/>
                <w:color w:val="17365D"/>
                <w:sz w:val="18"/>
                <w:szCs w:val="18"/>
              </w:rPr>
            </w:pPr>
          </w:p>
        </w:tc>
        <w:tc>
          <w:tcPr>
            <w:tcW w:w="1559" w:type="dxa"/>
            <w:tcBorders>
              <w:top w:val="single" w:sz="4" w:space="0" w:color="auto"/>
              <w:left w:val="nil"/>
              <w:right w:val="nil"/>
            </w:tcBorders>
            <w:shd w:val="clear" w:color="auto" w:fill="B8CCE4" w:themeFill="accent1" w:themeFillTint="66"/>
            <w:vAlign w:val="center"/>
          </w:tcPr>
          <w:p w14:paraId="7E25F8F8" w14:textId="77777777" w:rsidR="00DB5C38" w:rsidRPr="00A27896" w:rsidRDefault="00DB5C38" w:rsidP="00DB5C38">
            <w:pPr>
              <w:spacing w:after="0" w:line="240" w:lineRule="auto"/>
              <w:jc w:val="right"/>
              <w:rPr>
                <w:rFonts w:eastAsia="Arial Unicode MS" w:cs="Times New Roman"/>
                <w:color w:val="17365D"/>
                <w:sz w:val="18"/>
                <w:szCs w:val="18"/>
              </w:rPr>
            </w:pPr>
          </w:p>
        </w:tc>
        <w:tc>
          <w:tcPr>
            <w:tcW w:w="1134" w:type="dxa"/>
            <w:tcBorders>
              <w:top w:val="single" w:sz="4" w:space="0" w:color="auto"/>
              <w:left w:val="nil"/>
              <w:right w:val="nil"/>
            </w:tcBorders>
            <w:shd w:val="clear" w:color="auto" w:fill="B8CCE4" w:themeFill="accent1" w:themeFillTint="66"/>
            <w:vAlign w:val="center"/>
          </w:tcPr>
          <w:p w14:paraId="11CD2C92" w14:textId="77777777" w:rsidR="00DB5C38" w:rsidRPr="00A27896" w:rsidRDefault="00DB5C38" w:rsidP="00DB5C38">
            <w:pPr>
              <w:spacing w:after="0" w:line="240" w:lineRule="auto"/>
              <w:jc w:val="right"/>
              <w:rPr>
                <w:rFonts w:eastAsia="Arial Unicode MS" w:cs="Times New Roman"/>
                <w:color w:val="17365D"/>
                <w:sz w:val="18"/>
                <w:szCs w:val="18"/>
              </w:rPr>
            </w:pPr>
          </w:p>
        </w:tc>
      </w:tr>
    </w:tbl>
    <w:p w14:paraId="53D69583" w14:textId="7C8ACFF0" w:rsidR="00DB5C38" w:rsidRPr="00A27896" w:rsidRDefault="008911F1" w:rsidP="009A106E">
      <w:pPr>
        <w:spacing w:before="240" w:after="120" w:line="240" w:lineRule="auto"/>
        <w:ind w:firstLine="284"/>
        <w:jc w:val="both"/>
        <w:rPr>
          <w:rFonts w:eastAsia="Times New Roman" w:cs="Times New Roman"/>
          <w:color w:val="17365D"/>
          <w:szCs w:val="24"/>
        </w:rPr>
      </w:pPr>
      <w:r w:rsidRPr="00A27896">
        <w:rPr>
          <w:rFonts w:eastAsia="Arial Unicode MS" w:cs="Times New Roman"/>
          <w:color w:val="17365D"/>
          <w:szCs w:val="24"/>
          <w:u w:val="single"/>
        </w:rPr>
        <w:t>Izdevumi</w:t>
      </w:r>
      <w:r w:rsidRPr="00A27896">
        <w:rPr>
          <w:rFonts w:eastAsia="Arial Unicode MS" w:cs="Times New Roman"/>
          <w:color w:val="17365D"/>
          <w:szCs w:val="24"/>
        </w:rPr>
        <w:t xml:space="preserve"> </w:t>
      </w:r>
      <w:r w:rsidR="006B6731" w:rsidRPr="00A27896">
        <w:rPr>
          <w:rFonts w:eastAsia="Arial Unicode MS" w:cs="Times New Roman"/>
          <w:color w:val="17365D"/>
          <w:szCs w:val="24"/>
          <w:lang w:eastAsia="lv-LV"/>
        </w:rPr>
        <w:t>salīdzinājumā ar 2021</w:t>
      </w:r>
      <w:r w:rsidR="00722F2A" w:rsidRPr="00A27896">
        <w:rPr>
          <w:rFonts w:eastAsia="Arial Unicode MS" w:cs="Times New Roman"/>
          <w:color w:val="17365D"/>
          <w:szCs w:val="24"/>
          <w:lang w:eastAsia="lv-LV"/>
        </w:rPr>
        <w:t xml:space="preserve">. gadu </w:t>
      </w:r>
      <w:r w:rsidR="006B6731" w:rsidRPr="00A27896">
        <w:rPr>
          <w:rFonts w:eastAsia="Arial Unicode MS" w:cs="Times New Roman"/>
          <w:color w:val="17365D"/>
          <w:szCs w:val="24"/>
          <w:lang w:eastAsia="lv-LV"/>
        </w:rPr>
        <w:t xml:space="preserve">palielinājušies par </w:t>
      </w:r>
      <w:r w:rsidR="000B3DE5" w:rsidRPr="000B3DE5">
        <w:rPr>
          <w:rFonts w:eastAsia="Arial Unicode MS" w:cs="Times New Roman"/>
          <w:color w:val="17365D"/>
          <w:szCs w:val="24"/>
          <w:lang w:eastAsia="lv-LV"/>
        </w:rPr>
        <w:t xml:space="preserve">1 249 457 085 </w:t>
      </w:r>
      <w:proofErr w:type="spellStart"/>
      <w:r w:rsidR="006B6731" w:rsidRPr="00A27896">
        <w:rPr>
          <w:rFonts w:eastAsia="Arial Unicode MS" w:cs="Times New Roman"/>
          <w:i/>
          <w:color w:val="17365D"/>
          <w:szCs w:val="24"/>
          <w:lang w:eastAsia="lv-LV"/>
        </w:rPr>
        <w:t>euro</w:t>
      </w:r>
      <w:proofErr w:type="spellEnd"/>
      <w:r w:rsidR="00DB5C38" w:rsidRPr="00A27896">
        <w:rPr>
          <w:rFonts w:eastAsia="Arial Unicode MS" w:cs="Times New Roman"/>
          <w:color w:val="17365D"/>
          <w:szCs w:val="24"/>
          <w:lang w:eastAsia="lv-LV"/>
        </w:rPr>
        <w:t>.</w:t>
      </w:r>
      <w:r w:rsidR="00DB5C38" w:rsidRPr="00A27896">
        <w:rPr>
          <w:rFonts w:eastAsia="Times New Roman" w:cs="Times New Roman"/>
          <w:color w:val="17365D"/>
          <w:szCs w:val="24"/>
        </w:rPr>
        <w:t xml:space="preserve"> </w:t>
      </w:r>
    </w:p>
    <w:p w14:paraId="206106AC" w14:textId="245CF58E" w:rsidR="006B6731" w:rsidRPr="00A27896" w:rsidRDefault="00EF6AA8" w:rsidP="006B6731">
      <w:pPr>
        <w:pStyle w:val="Pamatteksts"/>
        <w:ind w:firstLine="284"/>
        <w:rPr>
          <w:noProof w:val="0"/>
          <w:color w:val="17365D"/>
          <w:lang w:eastAsia="en-US"/>
        </w:rPr>
      </w:pPr>
      <w:r w:rsidRPr="00A27896">
        <w:rPr>
          <w:noProof w:val="0"/>
          <w:color w:val="17365D"/>
          <w:lang w:eastAsia="en-US"/>
        </w:rPr>
        <w:t>FD.</w:t>
      </w:r>
      <w:r w:rsidR="006B6731" w:rsidRPr="00A27896">
        <w:rPr>
          <w:noProof w:val="0"/>
          <w:color w:val="17365D"/>
          <w:lang w:eastAsia="en-US"/>
        </w:rPr>
        <w:t>A24</w:t>
      </w:r>
      <w:r w:rsidRPr="00A27896">
        <w:rPr>
          <w:noProof w:val="0"/>
          <w:color w:val="17365D"/>
          <w:lang w:eastAsia="en-US"/>
        </w:rPr>
        <w:t>.</w:t>
      </w:r>
      <w:r w:rsidR="006B6731" w:rsidRPr="00A27896">
        <w:rPr>
          <w:noProof w:val="0"/>
          <w:color w:val="17365D"/>
          <w:lang w:eastAsia="en-US"/>
        </w:rPr>
        <w:t xml:space="preserve"> Pakalpojumi:</w:t>
      </w:r>
    </w:p>
    <w:p w14:paraId="4549ADCE" w14:textId="05299AE4" w:rsidR="006B6731" w:rsidRPr="00A27896" w:rsidRDefault="006B6731" w:rsidP="0057470D">
      <w:pPr>
        <w:pStyle w:val="Pamatteksts"/>
        <w:numPr>
          <w:ilvl w:val="0"/>
          <w:numId w:val="39"/>
        </w:numPr>
        <w:spacing w:before="120"/>
        <w:ind w:left="851" w:hanging="357"/>
        <w:rPr>
          <w:rFonts w:eastAsia="Arial Unicode MS"/>
          <w:color w:val="17365D"/>
        </w:rPr>
      </w:pPr>
      <w:r w:rsidRPr="00A27896">
        <w:rPr>
          <w:rFonts w:eastAsia="Arial Unicode MS"/>
          <w:color w:val="17365D"/>
        </w:rPr>
        <w:t xml:space="preserve">Lielākais šī posteņa palielinājums Satiksmes ministrijai 82 236 831 </w:t>
      </w:r>
      <w:r w:rsidRPr="00A27896">
        <w:rPr>
          <w:rFonts w:eastAsia="Arial Unicode MS"/>
          <w:i/>
          <w:color w:val="17365D"/>
        </w:rPr>
        <w:t>euro</w:t>
      </w:r>
      <w:r w:rsidRPr="00A27896">
        <w:rPr>
          <w:rFonts w:eastAsia="Arial Unicode MS"/>
          <w:color w:val="17365D"/>
        </w:rPr>
        <w:t xml:space="preserve"> vērtībā, izmaiņas saistītas ar valsts pārvaldes uzdevumu deleģēto līgumu izpildi;</w:t>
      </w:r>
    </w:p>
    <w:p w14:paraId="369D8FF4" w14:textId="324C1F73" w:rsidR="006B6731" w:rsidRPr="00A27896" w:rsidRDefault="006B6731" w:rsidP="0057470D">
      <w:pPr>
        <w:pStyle w:val="Pamatteksts"/>
        <w:numPr>
          <w:ilvl w:val="0"/>
          <w:numId w:val="39"/>
        </w:numPr>
        <w:spacing w:before="120"/>
        <w:ind w:left="851" w:hanging="357"/>
        <w:rPr>
          <w:rFonts w:eastAsia="Arial Unicode MS"/>
          <w:color w:val="17365D"/>
        </w:rPr>
      </w:pPr>
      <w:r w:rsidRPr="00A27896">
        <w:rPr>
          <w:rFonts w:eastAsia="Arial Unicode MS"/>
          <w:color w:val="17365D"/>
        </w:rPr>
        <w:t xml:space="preserve">palielinājums Izglītības un zinātnes ministrijai 14 431 510 </w:t>
      </w:r>
      <w:r w:rsidRPr="00304946">
        <w:rPr>
          <w:rFonts w:eastAsia="Arial Unicode MS"/>
          <w:i/>
          <w:color w:val="17365D"/>
        </w:rPr>
        <w:t>euro</w:t>
      </w:r>
      <w:r w:rsidRPr="00A27896">
        <w:rPr>
          <w:rFonts w:eastAsia="Arial Unicode MS"/>
          <w:color w:val="17365D"/>
        </w:rPr>
        <w:t xml:space="preserve"> vērtībā, izmaiņas saistītas ar izdevumu pieaugumu par komunālajiem pakalpojumiem sakarā ar energoresursu tarifu būtisko pieaugumu;</w:t>
      </w:r>
    </w:p>
    <w:p w14:paraId="55A84E7E" w14:textId="1ABEAB06" w:rsidR="006B6731" w:rsidRPr="00A27896" w:rsidRDefault="006B6731" w:rsidP="0057470D">
      <w:pPr>
        <w:pStyle w:val="Pamatteksts"/>
        <w:numPr>
          <w:ilvl w:val="0"/>
          <w:numId w:val="39"/>
        </w:numPr>
        <w:spacing w:before="120"/>
        <w:ind w:left="851" w:hanging="357"/>
        <w:rPr>
          <w:rFonts w:eastAsia="Arial Unicode MS"/>
          <w:color w:val="17365D"/>
        </w:rPr>
      </w:pPr>
      <w:r w:rsidRPr="00A27896">
        <w:rPr>
          <w:rFonts w:eastAsia="Arial Unicode MS"/>
          <w:color w:val="17365D"/>
        </w:rPr>
        <w:t xml:space="preserve">Aizsardzības ministrijai palielinājums 14 360 062 </w:t>
      </w:r>
      <w:r w:rsidRPr="00304946">
        <w:rPr>
          <w:rFonts w:eastAsia="Arial Unicode MS"/>
          <w:i/>
          <w:color w:val="17365D"/>
        </w:rPr>
        <w:t>euro</w:t>
      </w:r>
      <w:r w:rsidRPr="00A27896">
        <w:rPr>
          <w:rFonts w:eastAsia="Arial Unicode MS"/>
          <w:color w:val="17365D"/>
        </w:rPr>
        <w:t xml:space="preserve"> vērtībā saistībā ar izdevumu pieaugumu par NATO dalībvalstu sabiedroto karavīru ēdināšanas un transporta pakalpojumiem, par mācību pakalpojumiem personālam, individuālā ekipējuma apkopes pakalpojumiem, veselības aprūpi, iekārtu nomu un transportlīdzekļu uzturēšanu un remontu un 11 629 155 </w:t>
      </w:r>
      <w:r w:rsidRPr="00304946">
        <w:rPr>
          <w:rFonts w:eastAsia="Arial Unicode MS"/>
          <w:i/>
          <w:color w:val="17365D"/>
        </w:rPr>
        <w:t>euro</w:t>
      </w:r>
      <w:r w:rsidRPr="00A27896">
        <w:rPr>
          <w:rFonts w:eastAsia="Arial Unicode MS"/>
          <w:color w:val="17365D"/>
        </w:rPr>
        <w:t xml:space="preserve"> vērtībā par izdevumu pieaugumu par apkuri, elektroenerģiju un komunāliem pakalpojumiem sakarā ar enerģētisko krīzi un ģeopolitisko situāciju pasaulē;</w:t>
      </w:r>
    </w:p>
    <w:p w14:paraId="34D82339" w14:textId="4B4351A4" w:rsidR="006B6731" w:rsidRPr="00A27896" w:rsidRDefault="006B6731" w:rsidP="0057470D">
      <w:pPr>
        <w:pStyle w:val="Pamatteksts"/>
        <w:numPr>
          <w:ilvl w:val="0"/>
          <w:numId w:val="39"/>
        </w:numPr>
        <w:spacing w:before="120"/>
        <w:ind w:left="851" w:hanging="357"/>
        <w:rPr>
          <w:rFonts w:eastAsia="Arial Unicode MS"/>
          <w:color w:val="17365D"/>
        </w:rPr>
      </w:pPr>
      <w:r w:rsidRPr="00A27896">
        <w:rPr>
          <w:rFonts w:eastAsia="Arial Unicode MS"/>
          <w:color w:val="17365D"/>
        </w:rPr>
        <w:t xml:space="preserve">palielinājums Rīgas valstspilsētas pašvaldībai 13 793 520 </w:t>
      </w:r>
      <w:r w:rsidRPr="00304946">
        <w:rPr>
          <w:rFonts w:eastAsia="Arial Unicode MS"/>
          <w:i/>
          <w:color w:val="17365D"/>
        </w:rPr>
        <w:t>euro</w:t>
      </w:r>
      <w:r w:rsidRPr="00A27896">
        <w:rPr>
          <w:rFonts w:eastAsia="Arial Unicode MS"/>
          <w:color w:val="17365D"/>
        </w:rPr>
        <w:t xml:space="preserve"> vērtībā, izmaiņas saistītas ar izdevumu pieaugumu par komunālajiem pakalpojumiem sakarā ar energoresursu tarifu būtisku pieaugumu.</w:t>
      </w:r>
    </w:p>
    <w:p w14:paraId="48417E73" w14:textId="77777777" w:rsidR="006B6731" w:rsidRPr="00A27896" w:rsidRDefault="006B6731" w:rsidP="00B55F13">
      <w:pPr>
        <w:pStyle w:val="ListParagraph"/>
        <w:spacing w:before="120" w:after="120" w:line="240" w:lineRule="auto"/>
        <w:ind w:left="709"/>
        <w:rPr>
          <w:rFonts w:eastAsia="Arial Unicode MS" w:cs="Times New Roman"/>
          <w:color w:val="17365D"/>
          <w:szCs w:val="24"/>
        </w:rPr>
      </w:pPr>
    </w:p>
    <w:p w14:paraId="139CDB52" w14:textId="0EBA3249" w:rsidR="006B6731" w:rsidRPr="00A27896" w:rsidRDefault="00EF6AA8" w:rsidP="00B55F13">
      <w:pPr>
        <w:pStyle w:val="Pamatteksts"/>
        <w:spacing w:before="120"/>
        <w:ind w:firstLine="284"/>
        <w:rPr>
          <w:rFonts w:eastAsia="Arial Unicode MS"/>
          <w:noProof w:val="0"/>
          <w:color w:val="17365D"/>
          <w:lang w:eastAsia="en-US"/>
        </w:rPr>
      </w:pPr>
      <w:r w:rsidRPr="00A27896">
        <w:rPr>
          <w:rFonts w:eastAsia="Arial Unicode MS"/>
          <w:noProof w:val="0"/>
          <w:color w:val="17365D"/>
          <w:lang w:eastAsia="en-US"/>
        </w:rPr>
        <w:t>FD.</w:t>
      </w:r>
      <w:r w:rsidR="006B6731" w:rsidRPr="00A27896">
        <w:rPr>
          <w:rFonts w:eastAsia="Arial Unicode MS"/>
          <w:noProof w:val="0"/>
          <w:color w:val="17365D"/>
          <w:lang w:eastAsia="en-US"/>
        </w:rPr>
        <w:t>A25. Krājumi, materiāli, energoresursi, preces, biroja preces un inventārs, periodika</w:t>
      </w:r>
      <w:r w:rsidR="002D50E3" w:rsidRPr="00A27896">
        <w:rPr>
          <w:rFonts w:eastAsia="Arial Unicode MS"/>
          <w:noProof w:val="0"/>
          <w:color w:val="17365D"/>
          <w:lang w:eastAsia="en-US"/>
        </w:rPr>
        <w:t>:</w:t>
      </w:r>
    </w:p>
    <w:p w14:paraId="03968E97" w14:textId="60675E20" w:rsidR="006B6731" w:rsidRPr="00A27896" w:rsidRDefault="006B6731" w:rsidP="0057470D">
      <w:pPr>
        <w:pStyle w:val="Pamatteksts"/>
        <w:numPr>
          <w:ilvl w:val="0"/>
          <w:numId w:val="39"/>
        </w:numPr>
        <w:spacing w:before="120"/>
        <w:ind w:left="851" w:hanging="357"/>
        <w:rPr>
          <w:rFonts w:eastAsia="Arial Unicode MS"/>
          <w:color w:val="17365D"/>
        </w:rPr>
      </w:pPr>
      <w:r w:rsidRPr="00A27896">
        <w:rPr>
          <w:rFonts w:eastAsia="Arial Unicode MS"/>
          <w:color w:val="17365D"/>
        </w:rPr>
        <w:t xml:space="preserve">Lielākais šī posteņa palielinājums Aizsardzības ministrijai 48 709 656 </w:t>
      </w:r>
      <w:r w:rsidRPr="00304946">
        <w:rPr>
          <w:rFonts w:eastAsia="Arial Unicode MS"/>
          <w:i/>
          <w:color w:val="17365D"/>
        </w:rPr>
        <w:t>euro</w:t>
      </w:r>
      <w:r w:rsidRPr="00A27896">
        <w:rPr>
          <w:rFonts w:eastAsia="Arial Unicode MS"/>
          <w:color w:val="17365D"/>
        </w:rPr>
        <w:t xml:space="preserve"> vērtībā </w:t>
      </w:r>
      <w:r w:rsidR="002D50E3" w:rsidRPr="00A27896">
        <w:rPr>
          <w:rFonts w:eastAsia="Arial Unicode MS"/>
          <w:color w:val="17365D"/>
        </w:rPr>
        <w:t>par</w:t>
      </w:r>
      <w:r w:rsidRPr="00A27896">
        <w:rPr>
          <w:rFonts w:eastAsia="Arial Unicode MS"/>
          <w:color w:val="17365D"/>
        </w:rPr>
        <w:t xml:space="preserve"> izdevumiem no materiālu norakstīšanas, inventāra izsniegšanas lietošanā, degvielas un ēdināšanas izdevumiem;</w:t>
      </w:r>
    </w:p>
    <w:p w14:paraId="41E8FA5E" w14:textId="34755780" w:rsidR="006B6731" w:rsidRPr="00A27896" w:rsidRDefault="006B6731" w:rsidP="0057470D">
      <w:pPr>
        <w:pStyle w:val="Pamatteksts"/>
        <w:numPr>
          <w:ilvl w:val="0"/>
          <w:numId w:val="39"/>
        </w:numPr>
        <w:spacing w:before="120"/>
        <w:ind w:left="851" w:hanging="357"/>
        <w:rPr>
          <w:rFonts w:eastAsia="Arial Unicode MS"/>
          <w:color w:val="17365D"/>
        </w:rPr>
      </w:pPr>
      <w:r w:rsidRPr="00A27896">
        <w:rPr>
          <w:rFonts w:eastAsia="Arial Unicode MS"/>
          <w:color w:val="17365D"/>
        </w:rPr>
        <w:t xml:space="preserve">palielinājums Vides aizsardzības un reģionālās attīstības ministrijai 24 994 108 </w:t>
      </w:r>
      <w:r w:rsidRPr="00304946">
        <w:rPr>
          <w:rFonts w:eastAsia="Arial Unicode MS"/>
          <w:i/>
          <w:color w:val="17365D"/>
        </w:rPr>
        <w:t>euro</w:t>
      </w:r>
      <w:r w:rsidRPr="00A27896">
        <w:rPr>
          <w:rFonts w:eastAsia="Arial Unicode MS"/>
          <w:color w:val="17365D"/>
        </w:rPr>
        <w:t xml:space="preserve"> vērtībā </w:t>
      </w:r>
      <w:r w:rsidR="002D50E3" w:rsidRPr="00A27896">
        <w:rPr>
          <w:rFonts w:eastAsia="Arial Unicode MS"/>
          <w:color w:val="17365D"/>
        </w:rPr>
        <w:t>par</w:t>
      </w:r>
      <w:r w:rsidRPr="00A27896">
        <w:rPr>
          <w:rFonts w:eastAsia="Arial Unicode MS"/>
          <w:color w:val="17365D"/>
        </w:rPr>
        <w:t xml:space="preserve"> izdevumiem no emisijas kvotu norakstīšanas;</w:t>
      </w:r>
    </w:p>
    <w:p w14:paraId="21D9B4E1" w14:textId="08B51A0E" w:rsidR="006B6731" w:rsidRPr="00A27896" w:rsidRDefault="006B6731" w:rsidP="0057470D">
      <w:pPr>
        <w:pStyle w:val="Pamatteksts"/>
        <w:numPr>
          <w:ilvl w:val="0"/>
          <w:numId w:val="39"/>
        </w:numPr>
        <w:spacing w:before="120"/>
        <w:ind w:left="851" w:hanging="357"/>
        <w:rPr>
          <w:rFonts w:eastAsia="Arial Unicode MS"/>
          <w:color w:val="17365D"/>
        </w:rPr>
      </w:pPr>
      <w:r w:rsidRPr="00A27896">
        <w:rPr>
          <w:rFonts w:eastAsia="Arial Unicode MS"/>
          <w:color w:val="17365D"/>
        </w:rPr>
        <w:lastRenderedPageBreak/>
        <w:t xml:space="preserve">palielinājums Veselības ministrijai 16 563 690 </w:t>
      </w:r>
      <w:r w:rsidRPr="00304946">
        <w:rPr>
          <w:rFonts w:eastAsia="Arial Unicode MS"/>
          <w:i/>
          <w:color w:val="17365D"/>
        </w:rPr>
        <w:t>euro</w:t>
      </w:r>
      <w:r w:rsidRPr="00A27896">
        <w:rPr>
          <w:rFonts w:eastAsia="Arial Unicode MS"/>
          <w:color w:val="17365D"/>
        </w:rPr>
        <w:t xml:space="preserve"> vērtībā </w:t>
      </w:r>
      <w:r w:rsidR="002D50E3" w:rsidRPr="00A27896">
        <w:rPr>
          <w:rFonts w:eastAsia="Arial Unicode MS"/>
          <w:color w:val="17365D"/>
        </w:rPr>
        <w:t>par</w:t>
      </w:r>
      <w:r w:rsidRPr="00A27896">
        <w:rPr>
          <w:rFonts w:eastAsia="Arial Unicode MS"/>
          <w:color w:val="17365D"/>
        </w:rPr>
        <w:t xml:space="preserve"> izdevumiem par Covid-19 vakcīnu nodošanu Nikaragv</w:t>
      </w:r>
      <w:r w:rsidR="007F4FE1" w:rsidRPr="00A27896">
        <w:rPr>
          <w:rFonts w:eastAsia="Arial Unicode MS"/>
          <w:color w:val="17365D"/>
        </w:rPr>
        <w:t>as Veselības ministrijai;</w:t>
      </w:r>
    </w:p>
    <w:p w14:paraId="37FCCF37" w14:textId="4896D9C5" w:rsidR="006B6731" w:rsidRPr="00A27896" w:rsidRDefault="006B6731" w:rsidP="0057470D">
      <w:pPr>
        <w:pStyle w:val="Pamatteksts"/>
        <w:numPr>
          <w:ilvl w:val="0"/>
          <w:numId w:val="39"/>
        </w:numPr>
        <w:spacing w:before="120"/>
        <w:ind w:left="851" w:hanging="357"/>
        <w:rPr>
          <w:rFonts w:eastAsia="Arial Unicode MS"/>
          <w:color w:val="17365D"/>
        </w:rPr>
      </w:pPr>
      <w:r w:rsidRPr="00A27896">
        <w:rPr>
          <w:rFonts w:eastAsia="Arial Unicode MS"/>
          <w:color w:val="17365D"/>
        </w:rPr>
        <w:t xml:space="preserve">palielinājums Rīgas valstspilsētas pašvaldībai 3 837 251 </w:t>
      </w:r>
      <w:r w:rsidRPr="00304946">
        <w:rPr>
          <w:rFonts w:eastAsia="Arial Unicode MS"/>
          <w:i/>
          <w:color w:val="17365D"/>
        </w:rPr>
        <w:t>euro</w:t>
      </w:r>
      <w:r w:rsidRPr="00A27896">
        <w:rPr>
          <w:rFonts w:eastAsia="Arial Unicode MS"/>
          <w:color w:val="17365D"/>
        </w:rPr>
        <w:t xml:space="preserve"> vērtībā </w:t>
      </w:r>
      <w:r w:rsidR="002D50E3" w:rsidRPr="00A27896">
        <w:rPr>
          <w:rFonts w:eastAsia="Arial Unicode MS"/>
          <w:color w:val="17365D"/>
        </w:rPr>
        <w:t>par</w:t>
      </w:r>
      <w:r w:rsidRPr="00A27896">
        <w:rPr>
          <w:rFonts w:eastAsia="Arial Unicode MS"/>
          <w:color w:val="17365D"/>
        </w:rPr>
        <w:t xml:space="preserve"> izdevumiem ēdināšana</w:t>
      </w:r>
      <w:r w:rsidR="002D50E3" w:rsidRPr="00A27896">
        <w:rPr>
          <w:rFonts w:eastAsia="Arial Unicode MS"/>
          <w:color w:val="17365D"/>
        </w:rPr>
        <w:t>i</w:t>
      </w:r>
      <w:r w:rsidRPr="00A27896">
        <w:rPr>
          <w:rFonts w:eastAsia="Arial Unicode MS"/>
          <w:color w:val="17365D"/>
        </w:rPr>
        <w:t xml:space="preserve"> izglītības iestādēs, pamatojoties uz noteikto ierobežojumu atcelšanu saistībā ar Covid-19 un mācību atsākšanu klātienē;</w:t>
      </w:r>
    </w:p>
    <w:p w14:paraId="78A642A6" w14:textId="5A32DED9" w:rsidR="006B6731" w:rsidRPr="00A27896" w:rsidRDefault="006B6731" w:rsidP="0057470D">
      <w:pPr>
        <w:pStyle w:val="Pamatteksts"/>
        <w:numPr>
          <w:ilvl w:val="0"/>
          <w:numId w:val="39"/>
        </w:numPr>
        <w:spacing w:before="120"/>
        <w:ind w:left="851" w:hanging="357"/>
        <w:rPr>
          <w:rFonts w:eastAsia="Arial Unicode MS"/>
          <w:color w:val="17365D"/>
        </w:rPr>
      </w:pPr>
      <w:r w:rsidRPr="00A27896">
        <w:rPr>
          <w:rFonts w:eastAsia="Arial Unicode MS"/>
          <w:color w:val="17365D"/>
        </w:rPr>
        <w:t xml:space="preserve">šajā postenī samazinājums Zemkopības ministrijai </w:t>
      </w:r>
      <w:r w:rsidR="002D50E3" w:rsidRPr="00A27896">
        <w:rPr>
          <w:rFonts w:eastAsia="Arial Unicode MS"/>
          <w:color w:val="17365D"/>
        </w:rPr>
        <w:t>(</w:t>
      </w:r>
      <w:r w:rsidRPr="00A27896">
        <w:rPr>
          <w:rFonts w:eastAsia="Arial Unicode MS"/>
          <w:color w:val="17365D"/>
        </w:rPr>
        <w:t>4 623</w:t>
      </w:r>
      <w:r w:rsidR="002D50E3" w:rsidRPr="00A27896">
        <w:rPr>
          <w:rFonts w:eastAsia="Arial Unicode MS"/>
          <w:color w:val="17365D"/>
        </w:rPr>
        <w:t> </w:t>
      </w:r>
      <w:r w:rsidRPr="00A27896">
        <w:rPr>
          <w:rFonts w:eastAsia="Arial Unicode MS"/>
          <w:color w:val="17365D"/>
        </w:rPr>
        <w:t>288</w:t>
      </w:r>
      <w:r w:rsidR="002D50E3" w:rsidRPr="00A27896">
        <w:rPr>
          <w:rFonts w:eastAsia="Arial Unicode MS"/>
          <w:color w:val="17365D"/>
        </w:rPr>
        <w:t>)</w:t>
      </w:r>
      <w:r w:rsidRPr="00A27896">
        <w:rPr>
          <w:rFonts w:eastAsia="Arial Unicode MS"/>
          <w:color w:val="17365D"/>
        </w:rPr>
        <w:t xml:space="preserve"> </w:t>
      </w:r>
      <w:r w:rsidRPr="00304946">
        <w:rPr>
          <w:rFonts w:eastAsia="Arial Unicode MS"/>
          <w:i/>
          <w:color w:val="17365D"/>
        </w:rPr>
        <w:t>euro</w:t>
      </w:r>
      <w:r w:rsidRPr="00A27896">
        <w:rPr>
          <w:rFonts w:eastAsia="Arial Unicode MS"/>
          <w:color w:val="17365D"/>
        </w:rPr>
        <w:t xml:space="preserve"> vērtībā</w:t>
      </w:r>
      <w:r w:rsidR="002D50E3" w:rsidRPr="00A27896">
        <w:rPr>
          <w:rFonts w:eastAsia="Arial Unicode MS"/>
          <w:color w:val="17365D"/>
        </w:rPr>
        <w:t>, samazinoties</w:t>
      </w:r>
      <w:r w:rsidRPr="00A27896">
        <w:rPr>
          <w:rFonts w:eastAsia="Arial Unicode MS"/>
          <w:color w:val="17365D"/>
        </w:rPr>
        <w:t xml:space="preserve"> </w:t>
      </w:r>
      <w:r w:rsidR="002D50E3" w:rsidRPr="00A27896">
        <w:rPr>
          <w:rFonts w:eastAsia="Arial Unicode MS"/>
          <w:color w:val="17365D"/>
        </w:rPr>
        <w:t>izdevumiem</w:t>
      </w:r>
      <w:r w:rsidRPr="00A27896">
        <w:rPr>
          <w:rFonts w:eastAsia="Arial Unicode MS"/>
          <w:color w:val="17365D"/>
        </w:rPr>
        <w:t xml:space="preserve"> par ķimikālijām, reaģentiem un laboratorijas precēm saistībā ar Covid</w:t>
      </w:r>
      <w:r w:rsidR="002D50E3" w:rsidRPr="00A27896">
        <w:rPr>
          <w:rFonts w:eastAsia="Arial Unicode MS"/>
          <w:color w:val="17365D"/>
        </w:rPr>
        <w:t>-</w:t>
      </w:r>
      <w:r w:rsidRPr="00A27896">
        <w:rPr>
          <w:rFonts w:eastAsia="Arial Unicode MS"/>
          <w:color w:val="17365D"/>
        </w:rPr>
        <w:t>19 izmeklējumiem.</w:t>
      </w:r>
    </w:p>
    <w:p w14:paraId="27667E99" w14:textId="1C26895F" w:rsidR="00DB5C38" w:rsidRPr="00A27896" w:rsidRDefault="00DB5C38" w:rsidP="004140AC">
      <w:pPr>
        <w:spacing w:after="120" w:line="240" w:lineRule="auto"/>
        <w:ind w:firstLine="284"/>
        <w:jc w:val="both"/>
        <w:rPr>
          <w:rFonts w:eastAsia="Arial Unicode MS" w:cs="Times New Roman"/>
          <w:color w:val="17365D"/>
          <w:szCs w:val="24"/>
        </w:rPr>
      </w:pPr>
      <w:r w:rsidRPr="00A27896">
        <w:rPr>
          <w:rFonts w:eastAsia="Arial Unicode MS" w:cs="Times New Roman"/>
          <w:color w:val="17365D"/>
          <w:szCs w:val="24"/>
        </w:rPr>
        <w:t>FD.A28</w:t>
      </w:r>
      <w:r w:rsidR="001864B0" w:rsidRPr="00A27896">
        <w:rPr>
          <w:rFonts w:eastAsia="Arial Unicode MS" w:cs="Times New Roman"/>
          <w:color w:val="17365D"/>
          <w:szCs w:val="24"/>
        </w:rPr>
        <w:t>.</w:t>
      </w:r>
      <w:r w:rsidRPr="00A27896">
        <w:rPr>
          <w:rFonts w:eastAsia="Arial Unicode MS" w:cs="Times New Roman"/>
          <w:color w:val="17365D"/>
          <w:szCs w:val="24"/>
        </w:rPr>
        <w:t xml:space="preserve"> Procentu izdevumi</w:t>
      </w:r>
      <w:r w:rsidR="004140AC" w:rsidRPr="00A27896">
        <w:rPr>
          <w:rFonts w:eastAsia="Arial Unicode MS" w:cs="Times New Roman"/>
          <w:color w:val="17365D"/>
          <w:szCs w:val="24"/>
        </w:rPr>
        <w:t>.</w:t>
      </w:r>
    </w:p>
    <w:p w14:paraId="1B542B3E" w14:textId="0E0F9D75" w:rsidR="00D90FEB" w:rsidRPr="00A27896" w:rsidRDefault="00D90FEB" w:rsidP="004140AC">
      <w:pPr>
        <w:spacing w:after="120" w:line="240" w:lineRule="auto"/>
        <w:ind w:firstLine="284"/>
        <w:jc w:val="both"/>
        <w:rPr>
          <w:rFonts w:eastAsia="Arial Unicode MS" w:cs="Times New Roman"/>
          <w:color w:val="17365D"/>
          <w:szCs w:val="24"/>
        </w:rPr>
      </w:pPr>
      <w:r w:rsidRPr="00A27896">
        <w:rPr>
          <w:rFonts w:eastAsia="Arial Unicode MS" w:cs="Times New Roman"/>
          <w:color w:val="17365D"/>
          <w:szCs w:val="24"/>
        </w:rPr>
        <w:t xml:space="preserve">Informācija par procentu izdevumiem uzrādīta </w:t>
      </w:r>
      <w:r w:rsidR="00F9248E" w:rsidRPr="00A27896">
        <w:rPr>
          <w:rFonts w:eastAsia="Arial Unicode MS" w:cs="Times New Roman"/>
          <w:color w:val="17365D"/>
          <w:szCs w:val="24"/>
        </w:rPr>
        <w:t>4</w:t>
      </w:r>
      <w:r w:rsidR="006C1AA7" w:rsidRPr="00A27896">
        <w:rPr>
          <w:rFonts w:eastAsia="Arial Unicode MS" w:cs="Times New Roman"/>
          <w:color w:val="17365D"/>
          <w:szCs w:val="24"/>
        </w:rPr>
        <w:t>7</w:t>
      </w:r>
      <w:r w:rsidRPr="00A27896">
        <w:rPr>
          <w:rFonts w:eastAsia="Arial Unicode MS" w:cs="Times New Roman"/>
          <w:color w:val="17365D"/>
          <w:szCs w:val="24"/>
        </w:rPr>
        <w:t>. tabulā.</w:t>
      </w:r>
    </w:p>
    <w:p w14:paraId="070B9C54" w14:textId="72AB6A59" w:rsidR="00D90FEB" w:rsidRPr="00A27896" w:rsidRDefault="00F9248E" w:rsidP="00422A9E">
      <w:pPr>
        <w:pStyle w:val="ListParagraph"/>
        <w:spacing w:after="0" w:line="240" w:lineRule="auto"/>
        <w:ind w:left="1080"/>
        <w:jc w:val="right"/>
        <w:rPr>
          <w:rFonts w:eastAsia="Arial Unicode MS" w:cs="Times New Roman"/>
          <w:i/>
          <w:color w:val="17365D"/>
          <w:sz w:val="20"/>
          <w:szCs w:val="24"/>
        </w:rPr>
      </w:pPr>
      <w:r w:rsidRPr="00A27896">
        <w:rPr>
          <w:rFonts w:eastAsia="Arial Unicode MS" w:cs="Times New Roman"/>
          <w:i/>
          <w:color w:val="17365D"/>
          <w:sz w:val="20"/>
          <w:szCs w:val="24"/>
        </w:rPr>
        <w:t>4</w:t>
      </w:r>
      <w:r w:rsidR="006C1AA7" w:rsidRPr="00A27896">
        <w:rPr>
          <w:rFonts w:eastAsia="Arial Unicode MS" w:cs="Times New Roman"/>
          <w:i/>
          <w:color w:val="17365D"/>
          <w:sz w:val="20"/>
          <w:szCs w:val="24"/>
        </w:rPr>
        <w:t>7</w:t>
      </w:r>
      <w:r w:rsidR="00D90FEB" w:rsidRPr="00A27896">
        <w:rPr>
          <w:rFonts w:eastAsia="Arial Unicode MS" w:cs="Times New Roman"/>
          <w:i/>
          <w:color w:val="17365D"/>
          <w:sz w:val="20"/>
          <w:szCs w:val="24"/>
        </w:rPr>
        <w:t>. tabula. Procentu izdevumi (</w:t>
      </w:r>
      <w:proofErr w:type="spellStart"/>
      <w:r w:rsidR="00D90FEB" w:rsidRPr="00A27896">
        <w:rPr>
          <w:rFonts w:eastAsia="Arial Unicode MS" w:cs="Times New Roman"/>
          <w:i/>
          <w:color w:val="17365D"/>
          <w:sz w:val="20"/>
          <w:szCs w:val="24"/>
        </w:rPr>
        <w:t>euro</w:t>
      </w:r>
      <w:proofErr w:type="spellEnd"/>
      <w:r w:rsidR="00D90FEB" w:rsidRPr="00A27896">
        <w:rPr>
          <w:rFonts w:eastAsia="Arial Unicode MS" w:cs="Times New Roman"/>
          <w:i/>
          <w:color w:val="17365D"/>
          <w:sz w:val="20"/>
          <w:szCs w:val="24"/>
        </w:rPr>
        <w:t>)</w:t>
      </w:r>
    </w:p>
    <w:tbl>
      <w:tblPr>
        <w:tblW w:w="9356" w:type="dxa"/>
        <w:tblBorders>
          <w:top w:val="single" w:sz="4" w:space="0" w:color="000000"/>
          <w:insideH w:val="single" w:sz="4" w:space="0" w:color="000000"/>
        </w:tblBorders>
        <w:tblLook w:val="04A0" w:firstRow="1" w:lastRow="0" w:firstColumn="1" w:lastColumn="0" w:noHBand="0" w:noVBand="1"/>
      </w:tblPr>
      <w:tblGrid>
        <w:gridCol w:w="5245"/>
        <w:gridCol w:w="2055"/>
        <w:gridCol w:w="2056"/>
      </w:tblGrid>
      <w:tr w:rsidR="000C1009" w:rsidRPr="00A27896" w14:paraId="55607AC6" w14:textId="0DD265E0" w:rsidTr="00281697">
        <w:trPr>
          <w:trHeight w:val="359"/>
        </w:trPr>
        <w:tc>
          <w:tcPr>
            <w:tcW w:w="5245" w:type="dxa"/>
            <w:tcBorders>
              <w:top w:val="nil"/>
              <w:bottom w:val="single" w:sz="4" w:space="0" w:color="17365D"/>
            </w:tcBorders>
            <w:shd w:val="clear" w:color="auto" w:fill="B8CCE4" w:themeFill="accent1" w:themeFillTint="66"/>
            <w:vAlign w:val="center"/>
            <w:hideMark/>
          </w:tcPr>
          <w:p w14:paraId="6378FBD5" w14:textId="77777777" w:rsidR="00422A9E" w:rsidRPr="00A27896" w:rsidRDefault="00422A9E" w:rsidP="00422A9E">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Darījuma apraksts</w:t>
            </w:r>
          </w:p>
        </w:tc>
        <w:tc>
          <w:tcPr>
            <w:tcW w:w="2055" w:type="dxa"/>
            <w:tcBorders>
              <w:top w:val="nil"/>
              <w:bottom w:val="single" w:sz="4" w:space="0" w:color="17365D"/>
            </w:tcBorders>
            <w:shd w:val="clear" w:color="auto" w:fill="B8CCE4" w:themeFill="accent1" w:themeFillTint="66"/>
            <w:vAlign w:val="center"/>
            <w:hideMark/>
          </w:tcPr>
          <w:p w14:paraId="336218DC" w14:textId="77777777" w:rsidR="00422A9E" w:rsidRPr="00A27896" w:rsidRDefault="00422A9E" w:rsidP="00422A9E">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Pārskata periodā</w:t>
            </w:r>
          </w:p>
        </w:tc>
        <w:tc>
          <w:tcPr>
            <w:tcW w:w="2056" w:type="dxa"/>
            <w:tcBorders>
              <w:top w:val="nil"/>
              <w:bottom w:val="single" w:sz="4" w:space="0" w:color="17365D"/>
            </w:tcBorders>
            <w:shd w:val="clear" w:color="auto" w:fill="B8CCE4" w:themeFill="accent1" w:themeFillTint="66"/>
            <w:vAlign w:val="center"/>
          </w:tcPr>
          <w:p w14:paraId="5B9AF759" w14:textId="23968D53" w:rsidR="00422A9E" w:rsidRPr="00A27896" w:rsidRDefault="00422A9E" w:rsidP="00422A9E">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Iepriekšējā pārskata periodā</w:t>
            </w:r>
          </w:p>
        </w:tc>
      </w:tr>
      <w:tr w:rsidR="000C1009" w:rsidRPr="00A27896" w14:paraId="08CA9BEF" w14:textId="630FFB47" w:rsidTr="007B6F15">
        <w:trPr>
          <w:trHeight w:val="255"/>
        </w:trPr>
        <w:tc>
          <w:tcPr>
            <w:tcW w:w="5245" w:type="dxa"/>
            <w:tcBorders>
              <w:top w:val="single" w:sz="4" w:space="0" w:color="17365D"/>
              <w:bottom w:val="single" w:sz="4" w:space="0" w:color="17365D"/>
            </w:tcBorders>
            <w:shd w:val="clear" w:color="auto" w:fill="auto"/>
            <w:vAlign w:val="center"/>
            <w:hideMark/>
          </w:tcPr>
          <w:p w14:paraId="7152E960" w14:textId="77777777" w:rsidR="00422A9E" w:rsidRPr="00A27896" w:rsidRDefault="00422A9E" w:rsidP="00422A9E">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A</w:t>
            </w:r>
          </w:p>
        </w:tc>
        <w:tc>
          <w:tcPr>
            <w:tcW w:w="2055" w:type="dxa"/>
            <w:tcBorders>
              <w:top w:val="single" w:sz="4" w:space="0" w:color="17365D"/>
              <w:bottom w:val="single" w:sz="4" w:space="0" w:color="17365D"/>
            </w:tcBorders>
            <w:shd w:val="clear" w:color="auto" w:fill="auto"/>
            <w:vAlign w:val="center"/>
            <w:hideMark/>
          </w:tcPr>
          <w:p w14:paraId="14CFF3DA" w14:textId="77777777" w:rsidR="00422A9E" w:rsidRPr="00A27896" w:rsidRDefault="00422A9E" w:rsidP="00422A9E">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1</w:t>
            </w:r>
          </w:p>
        </w:tc>
        <w:tc>
          <w:tcPr>
            <w:tcW w:w="2056" w:type="dxa"/>
            <w:tcBorders>
              <w:top w:val="single" w:sz="4" w:space="0" w:color="17365D"/>
              <w:bottom w:val="single" w:sz="4" w:space="0" w:color="17365D"/>
            </w:tcBorders>
            <w:vAlign w:val="center"/>
          </w:tcPr>
          <w:p w14:paraId="7727CCD9" w14:textId="61B88144" w:rsidR="00422A9E" w:rsidRPr="00A27896" w:rsidRDefault="00422A9E" w:rsidP="007B6F15">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2</w:t>
            </w:r>
          </w:p>
        </w:tc>
      </w:tr>
      <w:tr w:rsidR="002D50E3" w:rsidRPr="00A27896" w14:paraId="43941D9A" w14:textId="4CEA9CEA" w:rsidTr="002D50E3">
        <w:trPr>
          <w:trHeight w:val="230"/>
        </w:trPr>
        <w:tc>
          <w:tcPr>
            <w:tcW w:w="5245" w:type="dxa"/>
            <w:tcBorders>
              <w:top w:val="single" w:sz="4" w:space="0" w:color="17365D"/>
              <w:bottom w:val="single" w:sz="4" w:space="0" w:color="17365D"/>
              <w:right w:val="nil"/>
            </w:tcBorders>
            <w:shd w:val="clear" w:color="auto" w:fill="auto"/>
            <w:vAlign w:val="center"/>
            <w:hideMark/>
          </w:tcPr>
          <w:p w14:paraId="5FCCD9F8" w14:textId="77777777" w:rsidR="002D50E3" w:rsidRPr="00A27896" w:rsidRDefault="002D50E3" w:rsidP="002D50E3">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Procentu izdevumi par kontu atlikumiem un naudas līdzekļu ekvivalentiem</w:t>
            </w:r>
          </w:p>
        </w:tc>
        <w:tc>
          <w:tcPr>
            <w:tcW w:w="2055" w:type="dxa"/>
            <w:tcBorders>
              <w:top w:val="single" w:sz="4" w:space="0" w:color="17365D"/>
              <w:left w:val="nil"/>
              <w:bottom w:val="single" w:sz="4" w:space="0" w:color="17365D"/>
              <w:right w:val="nil"/>
            </w:tcBorders>
            <w:shd w:val="clear" w:color="auto" w:fill="auto"/>
            <w:vAlign w:val="center"/>
            <w:hideMark/>
          </w:tcPr>
          <w:p w14:paraId="50D2D722" w14:textId="7A16236B" w:rsidR="002D50E3" w:rsidRPr="00A27896" w:rsidRDefault="002D50E3" w:rsidP="002D50E3">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7 605 791</w:t>
            </w:r>
          </w:p>
        </w:tc>
        <w:tc>
          <w:tcPr>
            <w:tcW w:w="2056" w:type="dxa"/>
            <w:tcBorders>
              <w:top w:val="single" w:sz="4" w:space="0" w:color="17365D"/>
              <w:left w:val="nil"/>
              <w:bottom w:val="single" w:sz="4" w:space="0" w:color="17365D"/>
              <w:right w:val="nil"/>
            </w:tcBorders>
            <w:shd w:val="clear" w:color="auto" w:fill="auto"/>
            <w:vAlign w:val="center"/>
          </w:tcPr>
          <w:p w14:paraId="5F928F0D" w14:textId="13D9EE46" w:rsidR="002D50E3" w:rsidRPr="00A27896" w:rsidRDefault="002D50E3" w:rsidP="002D50E3">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13 921 374</w:t>
            </w:r>
          </w:p>
        </w:tc>
      </w:tr>
      <w:tr w:rsidR="002D50E3" w:rsidRPr="00A27896" w14:paraId="500B61F6" w14:textId="1486E1F5" w:rsidTr="002D50E3">
        <w:trPr>
          <w:trHeight w:val="290"/>
        </w:trPr>
        <w:tc>
          <w:tcPr>
            <w:tcW w:w="5245" w:type="dxa"/>
            <w:tcBorders>
              <w:top w:val="single" w:sz="4" w:space="0" w:color="17365D"/>
              <w:bottom w:val="single" w:sz="4" w:space="0" w:color="17365D"/>
              <w:right w:val="nil"/>
            </w:tcBorders>
            <w:shd w:val="clear" w:color="auto" w:fill="auto"/>
            <w:vAlign w:val="center"/>
            <w:hideMark/>
          </w:tcPr>
          <w:p w14:paraId="24406627" w14:textId="77777777" w:rsidR="002D50E3" w:rsidRPr="00A27896" w:rsidRDefault="002D50E3" w:rsidP="002D50E3">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Procentu izdevumi par finanšu instrumentiem, izņemot PVFA un PVFS</w:t>
            </w:r>
          </w:p>
        </w:tc>
        <w:tc>
          <w:tcPr>
            <w:tcW w:w="2055" w:type="dxa"/>
            <w:tcBorders>
              <w:top w:val="single" w:sz="4" w:space="0" w:color="17365D"/>
              <w:left w:val="nil"/>
              <w:bottom w:val="single" w:sz="4" w:space="0" w:color="17365D"/>
              <w:right w:val="nil"/>
            </w:tcBorders>
            <w:shd w:val="clear" w:color="auto" w:fill="auto"/>
            <w:vAlign w:val="center"/>
            <w:hideMark/>
          </w:tcPr>
          <w:p w14:paraId="559BAB67" w14:textId="2A0911D3" w:rsidR="002D50E3" w:rsidRPr="00A27896" w:rsidRDefault="002D50E3" w:rsidP="002D50E3">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193 189 775</w:t>
            </w:r>
          </w:p>
        </w:tc>
        <w:tc>
          <w:tcPr>
            <w:tcW w:w="2056" w:type="dxa"/>
            <w:tcBorders>
              <w:top w:val="single" w:sz="4" w:space="0" w:color="17365D"/>
              <w:left w:val="nil"/>
              <w:bottom w:val="single" w:sz="4" w:space="0" w:color="17365D"/>
              <w:right w:val="nil"/>
            </w:tcBorders>
            <w:shd w:val="clear" w:color="auto" w:fill="auto"/>
            <w:vAlign w:val="center"/>
          </w:tcPr>
          <w:p w14:paraId="15972DA0" w14:textId="73FC78E0" w:rsidR="002D50E3" w:rsidRPr="00A27896" w:rsidRDefault="002D50E3" w:rsidP="002D50E3">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204 042 593</w:t>
            </w:r>
          </w:p>
        </w:tc>
      </w:tr>
      <w:tr w:rsidR="002D50E3" w:rsidRPr="00A27896" w14:paraId="6E3D8FF3" w14:textId="77777777" w:rsidTr="002D50E3">
        <w:trPr>
          <w:trHeight w:val="290"/>
        </w:trPr>
        <w:tc>
          <w:tcPr>
            <w:tcW w:w="5245" w:type="dxa"/>
            <w:tcBorders>
              <w:top w:val="single" w:sz="4" w:space="0" w:color="17365D"/>
              <w:bottom w:val="single" w:sz="4" w:space="0" w:color="17365D"/>
              <w:right w:val="nil"/>
            </w:tcBorders>
            <w:shd w:val="clear" w:color="auto" w:fill="auto"/>
            <w:vAlign w:val="center"/>
          </w:tcPr>
          <w:p w14:paraId="13F6C9EA" w14:textId="4900E0E0" w:rsidR="002D50E3" w:rsidRPr="00A27896" w:rsidRDefault="002D50E3" w:rsidP="002D50E3">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t.sk., </w:t>
            </w:r>
            <w:r w:rsidR="009A106E">
              <w:rPr>
                <w:rFonts w:eastAsia="Arial Unicode MS" w:cs="Times New Roman"/>
                <w:color w:val="17365D"/>
                <w:sz w:val="18"/>
                <w:szCs w:val="18"/>
              </w:rPr>
              <w:t xml:space="preserve">  </w:t>
            </w:r>
            <w:r w:rsidRPr="00A27896">
              <w:rPr>
                <w:rFonts w:eastAsia="Arial Unicode MS" w:cs="Times New Roman"/>
                <w:color w:val="17365D"/>
                <w:sz w:val="18"/>
                <w:szCs w:val="18"/>
              </w:rPr>
              <w:t>Aizdevumi un prasības</w:t>
            </w:r>
          </w:p>
        </w:tc>
        <w:tc>
          <w:tcPr>
            <w:tcW w:w="2055" w:type="dxa"/>
            <w:tcBorders>
              <w:top w:val="single" w:sz="4" w:space="0" w:color="17365D"/>
              <w:left w:val="nil"/>
              <w:bottom w:val="single" w:sz="4" w:space="0" w:color="17365D"/>
              <w:right w:val="nil"/>
            </w:tcBorders>
            <w:shd w:val="clear" w:color="auto" w:fill="auto"/>
            <w:vAlign w:val="center"/>
          </w:tcPr>
          <w:p w14:paraId="7DACCD27" w14:textId="182A09DF" w:rsidR="002D50E3" w:rsidRPr="00A27896" w:rsidRDefault="002D50E3" w:rsidP="002D50E3">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94 331</w:t>
            </w:r>
          </w:p>
        </w:tc>
        <w:tc>
          <w:tcPr>
            <w:tcW w:w="2056" w:type="dxa"/>
            <w:tcBorders>
              <w:top w:val="single" w:sz="4" w:space="0" w:color="17365D"/>
              <w:left w:val="nil"/>
              <w:bottom w:val="single" w:sz="4" w:space="0" w:color="17365D"/>
              <w:right w:val="nil"/>
            </w:tcBorders>
            <w:shd w:val="clear" w:color="auto" w:fill="auto"/>
            <w:vAlign w:val="center"/>
          </w:tcPr>
          <w:p w14:paraId="69474561" w14:textId="0C11830D" w:rsidR="002D50E3" w:rsidRPr="00A27896" w:rsidRDefault="002D50E3" w:rsidP="002D50E3">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142 638</w:t>
            </w:r>
          </w:p>
        </w:tc>
      </w:tr>
      <w:tr w:rsidR="002D50E3" w:rsidRPr="00A27896" w14:paraId="2120C9B8" w14:textId="35CBC9A1" w:rsidTr="002D50E3">
        <w:trPr>
          <w:trHeight w:val="270"/>
        </w:trPr>
        <w:tc>
          <w:tcPr>
            <w:tcW w:w="5245" w:type="dxa"/>
            <w:tcBorders>
              <w:top w:val="single" w:sz="4" w:space="0" w:color="17365D"/>
              <w:bottom w:val="single" w:sz="4" w:space="0" w:color="17365D"/>
              <w:right w:val="nil"/>
            </w:tcBorders>
            <w:shd w:val="clear" w:color="auto" w:fill="auto"/>
            <w:vAlign w:val="center"/>
            <w:hideMark/>
          </w:tcPr>
          <w:p w14:paraId="3D104F96" w14:textId="7A76ED64" w:rsidR="002D50E3" w:rsidRPr="00A27896" w:rsidRDefault="002D50E3" w:rsidP="009A106E">
            <w:pPr>
              <w:spacing w:after="0" w:line="240" w:lineRule="auto"/>
              <w:ind w:left="463"/>
              <w:rPr>
                <w:rFonts w:eastAsia="Arial Unicode MS" w:cs="Times New Roman"/>
                <w:color w:val="17365D"/>
                <w:sz w:val="18"/>
                <w:szCs w:val="18"/>
              </w:rPr>
            </w:pPr>
            <w:r w:rsidRPr="00A27896">
              <w:rPr>
                <w:rFonts w:eastAsia="Arial Unicode MS" w:cs="Times New Roman"/>
                <w:color w:val="17365D"/>
                <w:sz w:val="18"/>
                <w:szCs w:val="18"/>
              </w:rPr>
              <w:t>Finanšu saistības, kas novērtētas amortizētajā vērtībā, un citas finanšu saistības</w:t>
            </w:r>
          </w:p>
        </w:tc>
        <w:tc>
          <w:tcPr>
            <w:tcW w:w="2055" w:type="dxa"/>
            <w:tcBorders>
              <w:top w:val="single" w:sz="4" w:space="0" w:color="17365D"/>
              <w:left w:val="nil"/>
              <w:bottom w:val="single" w:sz="4" w:space="0" w:color="17365D"/>
              <w:right w:val="nil"/>
            </w:tcBorders>
            <w:shd w:val="clear" w:color="auto" w:fill="auto"/>
            <w:vAlign w:val="center"/>
            <w:hideMark/>
          </w:tcPr>
          <w:p w14:paraId="35C9FDF7" w14:textId="52463781" w:rsidR="002D50E3" w:rsidRPr="00A27896" w:rsidRDefault="002D50E3" w:rsidP="002D50E3">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193 095 444</w:t>
            </w:r>
          </w:p>
        </w:tc>
        <w:tc>
          <w:tcPr>
            <w:tcW w:w="2056" w:type="dxa"/>
            <w:tcBorders>
              <w:top w:val="single" w:sz="4" w:space="0" w:color="17365D"/>
              <w:left w:val="nil"/>
              <w:bottom w:val="single" w:sz="4" w:space="0" w:color="17365D"/>
              <w:right w:val="nil"/>
            </w:tcBorders>
            <w:shd w:val="clear" w:color="auto" w:fill="auto"/>
            <w:vAlign w:val="center"/>
          </w:tcPr>
          <w:p w14:paraId="6603035F" w14:textId="36FB1DF5" w:rsidR="002D50E3" w:rsidRPr="00A27896" w:rsidRDefault="002D50E3" w:rsidP="002D50E3">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203 899 955</w:t>
            </w:r>
          </w:p>
        </w:tc>
      </w:tr>
      <w:tr w:rsidR="002D50E3" w:rsidRPr="00A27896" w14:paraId="23CE54F9" w14:textId="1CA54435" w:rsidTr="002D50E3">
        <w:trPr>
          <w:trHeight w:val="300"/>
        </w:trPr>
        <w:tc>
          <w:tcPr>
            <w:tcW w:w="5245" w:type="dxa"/>
            <w:tcBorders>
              <w:top w:val="single" w:sz="4" w:space="0" w:color="17365D"/>
              <w:bottom w:val="single" w:sz="4" w:space="0" w:color="17365D"/>
              <w:right w:val="nil"/>
            </w:tcBorders>
            <w:shd w:val="clear" w:color="auto" w:fill="auto"/>
            <w:vAlign w:val="center"/>
            <w:hideMark/>
          </w:tcPr>
          <w:p w14:paraId="01E75B49" w14:textId="77777777" w:rsidR="002D50E3" w:rsidRPr="00A27896" w:rsidRDefault="002D50E3" w:rsidP="002D50E3">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Pārējie procentu izdevumi</w:t>
            </w:r>
          </w:p>
        </w:tc>
        <w:tc>
          <w:tcPr>
            <w:tcW w:w="2055" w:type="dxa"/>
            <w:tcBorders>
              <w:top w:val="single" w:sz="4" w:space="0" w:color="17365D"/>
              <w:left w:val="nil"/>
              <w:bottom w:val="single" w:sz="4" w:space="0" w:color="17365D"/>
              <w:right w:val="nil"/>
            </w:tcBorders>
            <w:shd w:val="clear" w:color="auto" w:fill="auto"/>
            <w:vAlign w:val="center"/>
            <w:hideMark/>
          </w:tcPr>
          <w:p w14:paraId="23A59EEB" w14:textId="340360D4" w:rsidR="002D50E3" w:rsidRPr="00A27896" w:rsidRDefault="002D50E3" w:rsidP="002D50E3">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5 381 369</w:t>
            </w:r>
          </w:p>
        </w:tc>
        <w:tc>
          <w:tcPr>
            <w:tcW w:w="2056" w:type="dxa"/>
            <w:tcBorders>
              <w:top w:val="single" w:sz="4" w:space="0" w:color="17365D"/>
              <w:left w:val="nil"/>
              <w:bottom w:val="single" w:sz="4" w:space="0" w:color="17365D"/>
              <w:right w:val="nil"/>
            </w:tcBorders>
            <w:shd w:val="clear" w:color="auto" w:fill="auto"/>
            <w:vAlign w:val="center"/>
          </w:tcPr>
          <w:p w14:paraId="0B365FED" w14:textId="0BFC04A7" w:rsidR="002D50E3" w:rsidRPr="00A27896" w:rsidRDefault="002D50E3" w:rsidP="002D50E3">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16 910 544</w:t>
            </w:r>
          </w:p>
        </w:tc>
      </w:tr>
      <w:tr w:rsidR="002D50E3" w:rsidRPr="00A27896" w14:paraId="7B0F8F6C" w14:textId="400AC331" w:rsidTr="002D50E3">
        <w:trPr>
          <w:trHeight w:val="58"/>
        </w:trPr>
        <w:tc>
          <w:tcPr>
            <w:tcW w:w="5245" w:type="dxa"/>
            <w:tcBorders>
              <w:top w:val="single" w:sz="4" w:space="0" w:color="17365D"/>
              <w:right w:val="nil"/>
            </w:tcBorders>
            <w:shd w:val="clear" w:color="auto" w:fill="B8CCE4" w:themeFill="accent1" w:themeFillTint="66"/>
            <w:vAlign w:val="center"/>
            <w:hideMark/>
          </w:tcPr>
          <w:p w14:paraId="3D9E9665" w14:textId="3503F4B6" w:rsidR="002D50E3" w:rsidRPr="00A27896" w:rsidRDefault="002D50E3" w:rsidP="002D50E3">
            <w:pPr>
              <w:spacing w:after="0" w:line="240" w:lineRule="auto"/>
              <w:rPr>
                <w:rFonts w:eastAsia="Arial Unicode MS" w:cs="Times New Roman"/>
                <w:b/>
                <w:color w:val="17365D"/>
                <w:sz w:val="18"/>
                <w:szCs w:val="18"/>
              </w:rPr>
            </w:pPr>
            <w:r w:rsidRPr="00A27896">
              <w:rPr>
                <w:rFonts w:eastAsia="Arial Unicode MS" w:cs="Times New Roman"/>
                <w:b/>
                <w:color w:val="17365D"/>
                <w:sz w:val="18"/>
                <w:szCs w:val="18"/>
              </w:rPr>
              <w:t>Kopā</w:t>
            </w:r>
          </w:p>
        </w:tc>
        <w:tc>
          <w:tcPr>
            <w:tcW w:w="2055" w:type="dxa"/>
            <w:tcBorders>
              <w:top w:val="single" w:sz="4" w:space="0" w:color="17365D"/>
              <w:left w:val="nil"/>
              <w:bottom w:val="nil"/>
              <w:right w:val="nil"/>
            </w:tcBorders>
            <w:shd w:val="clear" w:color="auto" w:fill="B8CCE4" w:themeFill="accent1" w:themeFillTint="66"/>
            <w:vAlign w:val="center"/>
            <w:hideMark/>
          </w:tcPr>
          <w:p w14:paraId="07FC748A" w14:textId="03D76E66" w:rsidR="002D50E3" w:rsidRPr="00A27896" w:rsidRDefault="002D50E3" w:rsidP="002D50E3">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206 176 935</w:t>
            </w:r>
          </w:p>
        </w:tc>
        <w:tc>
          <w:tcPr>
            <w:tcW w:w="2056" w:type="dxa"/>
            <w:tcBorders>
              <w:top w:val="single" w:sz="4" w:space="0" w:color="17365D"/>
              <w:left w:val="nil"/>
              <w:bottom w:val="nil"/>
              <w:right w:val="nil"/>
            </w:tcBorders>
            <w:shd w:val="clear" w:color="auto" w:fill="B8CCE4" w:themeFill="accent1" w:themeFillTint="66"/>
            <w:vAlign w:val="center"/>
          </w:tcPr>
          <w:p w14:paraId="77EEFC33" w14:textId="3B09DFDE" w:rsidR="002D50E3" w:rsidRPr="00A27896" w:rsidRDefault="002D50E3" w:rsidP="002D50E3">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234 874 511</w:t>
            </w:r>
          </w:p>
        </w:tc>
      </w:tr>
    </w:tbl>
    <w:p w14:paraId="0E917670" w14:textId="77777777" w:rsidR="00ED06E9" w:rsidRPr="00A27896" w:rsidRDefault="00ED06E9" w:rsidP="002D50E3">
      <w:pPr>
        <w:spacing w:after="120" w:line="240" w:lineRule="auto"/>
        <w:ind w:firstLine="284"/>
        <w:jc w:val="both"/>
        <w:rPr>
          <w:rFonts w:eastAsia="Arial Unicode MS" w:cs="Times New Roman"/>
          <w:color w:val="17365D"/>
          <w:szCs w:val="24"/>
        </w:rPr>
      </w:pPr>
    </w:p>
    <w:p w14:paraId="213F4DAE" w14:textId="3EE5BD06" w:rsidR="002D50E3" w:rsidRPr="00A27896" w:rsidRDefault="002D50E3" w:rsidP="002D50E3">
      <w:pPr>
        <w:spacing w:after="120" w:line="240" w:lineRule="auto"/>
        <w:ind w:firstLine="284"/>
        <w:jc w:val="both"/>
        <w:rPr>
          <w:rFonts w:eastAsia="Arial Unicode MS" w:cs="Times New Roman"/>
          <w:color w:val="17365D"/>
          <w:szCs w:val="24"/>
        </w:rPr>
      </w:pPr>
      <w:r w:rsidRPr="00A27896">
        <w:rPr>
          <w:rFonts w:eastAsia="Arial Unicode MS" w:cs="Times New Roman"/>
          <w:color w:val="17365D"/>
          <w:szCs w:val="24"/>
        </w:rPr>
        <w:t>FD.A31. Pārējie izdevumi, kas nav klasificēti A21 līdz A30 rindā:</w:t>
      </w:r>
    </w:p>
    <w:p w14:paraId="1493DF02" w14:textId="722AE42E" w:rsidR="002D50E3" w:rsidRPr="00A27896" w:rsidRDefault="00922A26" w:rsidP="00A904E2">
      <w:pPr>
        <w:pStyle w:val="Pamatteksts"/>
        <w:numPr>
          <w:ilvl w:val="0"/>
          <w:numId w:val="39"/>
        </w:numPr>
        <w:spacing w:before="120"/>
        <w:ind w:left="709" w:hanging="215"/>
        <w:rPr>
          <w:rFonts w:eastAsia="Arial Unicode MS"/>
          <w:color w:val="17365D"/>
        </w:rPr>
      </w:pPr>
      <w:r w:rsidRPr="00A27896">
        <w:rPr>
          <w:rFonts w:eastAsia="Arial Unicode MS"/>
          <w:color w:val="17365D"/>
        </w:rPr>
        <w:t>l</w:t>
      </w:r>
      <w:r w:rsidR="002D50E3" w:rsidRPr="00A27896">
        <w:rPr>
          <w:rFonts w:eastAsia="Arial Unicode MS"/>
          <w:color w:val="17365D"/>
        </w:rPr>
        <w:t xml:space="preserve">ielākais šī posteņa palielinājums Satiksmes ministrijai 445 538 441 </w:t>
      </w:r>
      <w:r w:rsidR="002D50E3" w:rsidRPr="00304946">
        <w:rPr>
          <w:rFonts w:eastAsia="Arial Unicode MS"/>
          <w:i/>
          <w:color w:val="17365D"/>
        </w:rPr>
        <w:t>euro</w:t>
      </w:r>
      <w:r w:rsidR="002D50E3" w:rsidRPr="00A27896">
        <w:rPr>
          <w:rFonts w:eastAsia="Arial Unicode MS"/>
          <w:color w:val="17365D"/>
        </w:rPr>
        <w:t xml:space="preserve"> vērtībā par izdevumiem no ilgtermiņa finanšu ieguldījumu pārvērtēšanas un Rail Baltica projekta īstenošanu;</w:t>
      </w:r>
    </w:p>
    <w:p w14:paraId="07DF1E8E" w14:textId="46262373" w:rsidR="002D50E3" w:rsidRPr="000B3DE5" w:rsidRDefault="002D50E3" w:rsidP="00A904E2">
      <w:pPr>
        <w:pStyle w:val="Pamatteksts"/>
        <w:numPr>
          <w:ilvl w:val="0"/>
          <w:numId w:val="39"/>
        </w:numPr>
        <w:spacing w:before="120"/>
        <w:ind w:left="709" w:hanging="215"/>
        <w:rPr>
          <w:rFonts w:eastAsia="Arial Unicode MS"/>
          <w:color w:val="17365D"/>
        </w:rPr>
      </w:pPr>
      <w:r w:rsidRPr="000B3DE5">
        <w:rPr>
          <w:rFonts w:eastAsia="Arial Unicode MS"/>
          <w:color w:val="17365D"/>
        </w:rPr>
        <w:t xml:space="preserve">palielinājums </w:t>
      </w:r>
      <w:r w:rsidR="00922A26" w:rsidRPr="000B3DE5">
        <w:rPr>
          <w:rFonts w:eastAsia="Arial Unicode MS"/>
          <w:color w:val="17365D"/>
        </w:rPr>
        <w:t xml:space="preserve">VID administrēto valsts budžeta ieņēmumu uzskaitē </w:t>
      </w:r>
      <w:r w:rsidR="000B3DE5" w:rsidRPr="000B3DE5">
        <w:rPr>
          <w:rFonts w:eastAsia="Arial Unicode MS"/>
          <w:color w:val="17365D"/>
        </w:rPr>
        <w:t xml:space="preserve">124 331 468 </w:t>
      </w:r>
      <w:r w:rsidRPr="000B3DE5">
        <w:rPr>
          <w:rFonts w:eastAsia="Arial Unicode MS"/>
          <w:i/>
          <w:color w:val="17365D"/>
        </w:rPr>
        <w:t>euro</w:t>
      </w:r>
      <w:r w:rsidRPr="000B3DE5">
        <w:rPr>
          <w:rFonts w:eastAsia="Arial Unicode MS"/>
          <w:color w:val="17365D"/>
        </w:rPr>
        <w:t xml:space="preserve"> vērtībā</w:t>
      </w:r>
      <w:r w:rsidR="00922A26" w:rsidRPr="000B3DE5">
        <w:rPr>
          <w:rFonts w:eastAsia="Arial Unicode MS"/>
          <w:color w:val="17365D"/>
        </w:rPr>
        <w:t xml:space="preserve"> par atzītiem izdevumiem </w:t>
      </w:r>
      <w:r w:rsidRPr="000B3DE5">
        <w:rPr>
          <w:rFonts w:eastAsia="Arial Unicode MS"/>
          <w:color w:val="17365D"/>
        </w:rPr>
        <w:t>no prasību dzēšanas par nodokļiem, nodevām un citiem maksājumiem budžetos;</w:t>
      </w:r>
    </w:p>
    <w:p w14:paraId="15A3E45D" w14:textId="369434AF" w:rsidR="002D50E3" w:rsidRPr="00A27896" w:rsidRDefault="002D50E3" w:rsidP="00A904E2">
      <w:pPr>
        <w:pStyle w:val="Pamatteksts"/>
        <w:numPr>
          <w:ilvl w:val="0"/>
          <w:numId w:val="39"/>
        </w:numPr>
        <w:spacing w:before="120"/>
        <w:ind w:left="709" w:hanging="215"/>
        <w:rPr>
          <w:rFonts w:eastAsia="Arial Unicode MS"/>
          <w:color w:val="17365D"/>
        </w:rPr>
      </w:pPr>
      <w:r w:rsidRPr="00A27896">
        <w:rPr>
          <w:rFonts w:eastAsia="Arial Unicode MS"/>
          <w:color w:val="17365D"/>
        </w:rPr>
        <w:t xml:space="preserve">palielinājums Izglītības un zinātnes ministrijai 45 532 384 </w:t>
      </w:r>
      <w:r w:rsidRPr="00304946">
        <w:rPr>
          <w:rFonts w:eastAsia="Arial Unicode MS"/>
          <w:i/>
          <w:color w:val="17365D"/>
        </w:rPr>
        <w:t>euro</w:t>
      </w:r>
      <w:r w:rsidRPr="00A27896">
        <w:rPr>
          <w:rFonts w:eastAsia="Arial Unicode MS"/>
          <w:color w:val="17365D"/>
        </w:rPr>
        <w:t xml:space="preserve"> vērtībā </w:t>
      </w:r>
      <w:r w:rsidR="00922A26" w:rsidRPr="00A27896">
        <w:rPr>
          <w:rFonts w:eastAsia="Arial Unicode MS"/>
          <w:color w:val="17365D"/>
        </w:rPr>
        <w:t>p</w:t>
      </w:r>
      <w:r w:rsidRPr="00A27896">
        <w:rPr>
          <w:rFonts w:eastAsia="Arial Unicode MS"/>
          <w:color w:val="17365D"/>
        </w:rPr>
        <w:t>ar atzītiem izdevumiem no nefinanšu aktīvu n</w:t>
      </w:r>
      <w:r w:rsidR="00922A26" w:rsidRPr="00A27896">
        <w:rPr>
          <w:rFonts w:eastAsia="Arial Unicode MS"/>
          <w:color w:val="17365D"/>
        </w:rPr>
        <w:t>orakstīšanas;</w:t>
      </w:r>
    </w:p>
    <w:p w14:paraId="4B7C6ECB" w14:textId="6C9644AC" w:rsidR="002D50E3" w:rsidRPr="00A27896" w:rsidRDefault="002D50E3" w:rsidP="00A904E2">
      <w:pPr>
        <w:pStyle w:val="Pamatteksts"/>
        <w:numPr>
          <w:ilvl w:val="0"/>
          <w:numId w:val="39"/>
        </w:numPr>
        <w:spacing w:before="120"/>
        <w:ind w:left="709" w:hanging="215"/>
        <w:rPr>
          <w:rFonts w:eastAsia="Arial Unicode MS"/>
          <w:color w:val="17365D"/>
        </w:rPr>
      </w:pPr>
      <w:r w:rsidRPr="00A27896">
        <w:rPr>
          <w:rFonts w:eastAsia="Arial Unicode MS"/>
          <w:color w:val="17365D"/>
        </w:rPr>
        <w:t xml:space="preserve">šī posteņa samazinājums Rīgas valstspilsētas pašvaldībai </w:t>
      </w:r>
      <w:r w:rsidR="00922A26" w:rsidRPr="00A27896">
        <w:rPr>
          <w:rFonts w:eastAsia="Arial Unicode MS"/>
          <w:color w:val="17365D"/>
        </w:rPr>
        <w:t>(</w:t>
      </w:r>
      <w:r w:rsidRPr="00A27896">
        <w:rPr>
          <w:rFonts w:eastAsia="Arial Unicode MS"/>
          <w:color w:val="17365D"/>
        </w:rPr>
        <w:t>174 065</w:t>
      </w:r>
      <w:r w:rsidR="00922A26" w:rsidRPr="00A27896">
        <w:rPr>
          <w:rFonts w:eastAsia="Arial Unicode MS"/>
          <w:color w:val="17365D"/>
        </w:rPr>
        <w:t> </w:t>
      </w:r>
      <w:r w:rsidRPr="00A27896">
        <w:rPr>
          <w:rFonts w:eastAsia="Arial Unicode MS"/>
          <w:color w:val="17365D"/>
        </w:rPr>
        <w:t>251</w:t>
      </w:r>
      <w:r w:rsidR="00922A26" w:rsidRPr="00A27896">
        <w:rPr>
          <w:rFonts w:eastAsia="Arial Unicode MS"/>
          <w:color w:val="17365D"/>
        </w:rPr>
        <w:t>)</w:t>
      </w:r>
      <w:r w:rsidRPr="00A27896">
        <w:rPr>
          <w:rFonts w:eastAsia="Arial Unicode MS"/>
          <w:color w:val="17365D"/>
        </w:rPr>
        <w:t xml:space="preserve"> </w:t>
      </w:r>
      <w:r w:rsidRPr="00304946">
        <w:rPr>
          <w:rFonts w:eastAsia="Arial Unicode MS"/>
          <w:i/>
          <w:color w:val="17365D"/>
        </w:rPr>
        <w:t>euro</w:t>
      </w:r>
      <w:r w:rsidRPr="00A27896">
        <w:rPr>
          <w:rFonts w:eastAsia="Arial Unicode MS"/>
          <w:color w:val="17365D"/>
        </w:rPr>
        <w:t xml:space="preserve"> vērtībā, </w:t>
      </w:r>
      <w:r w:rsidR="00922A26" w:rsidRPr="00A27896">
        <w:rPr>
          <w:rFonts w:eastAsia="Arial Unicode MS"/>
          <w:color w:val="17365D"/>
        </w:rPr>
        <w:t>samazinoties izdevumiem</w:t>
      </w:r>
      <w:r w:rsidRPr="00A27896">
        <w:rPr>
          <w:rFonts w:eastAsia="Arial Unicode MS"/>
          <w:color w:val="17365D"/>
        </w:rPr>
        <w:t xml:space="preserve"> no zemes vienību </w:t>
      </w:r>
      <w:r w:rsidR="00922A26" w:rsidRPr="00A27896">
        <w:rPr>
          <w:rFonts w:eastAsia="Arial Unicode MS"/>
          <w:color w:val="17365D"/>
        </w:rPr>
        <w:t>uzskaites vērtības</w:t>
      </w:r>
      <w:r w:rsidRPr="00A27896">
        <w:rPr>
          <w:rFonts w:eastAsia="Arial Unicode MS"/>
          <w:color w:val="17365D"/>
        </w:rPr>
        <w:t xml:space="preserve">, kas pārskatā </w:t>
      </w:r>
      <w:r w:rsidR="00922A26" w:rsidRPr="00A27896">
        <w:rPr>
          <w:rFonts w:eastAsia="Arial Unicode MS"/>
          <w:color w:val="17365D"/>
        </w:rPr>
        <w:t>uzrādīta kadastrāla</w:t>
      </w:r>
      <w:r w:rsidRPr="00A27896">
        <w:rPr>
          <w:rFonts w:eastAsia="Arial Unicode MS"/>
          <w:color w:val="17365D"/>
        </w:rPr>
        <w:t>jā vērtībā</w:t>
      </w:r>
      <w:r w:rsidR="00AE2343" w:rsidRPr="00A27896">
        <w:rPr>
          <w:rFonts w:eastAsia="Arial Unicode MS"/>
          <w:color w:val="17365D"/>
        </w:rPr>
        <w:t>, korekcijas</w:t>
      </w:r>
      <w:r w:rsidRPr="00A27896">
        <w:rPr>
          <w:rFonts w:eastAsia="Arial Unicode MS"/>
          <w:color w:val="17365D"/>
        </w:rPr>
        <w:t>;</w:t>
      </w:r>
    </w:p>
    <w:p w14:paraId="7FB3459F" w14:textId="5BD55C57" w:rsidR="002D50E3" w:rsidRPr="00A27896" w:rsidRDefault="002D50E3" w:rsidP="00A904E2">
      <w:pPr>
        <w:pStyle w:val="Pamatteksts"/>
        <w:numPr>
          <w:ilvl w:val="0"/>
          <w:numId w:val="39"/>
        </w:numPr>
        <w:spacing w:before="120"/>
        <w:ind w:left="709" w:hanging="215"/>
        <w:rPr>
          <w:rFonts w:eastAsia="Arial Unicode MS"/>
          <w:color w:val="17365D"/>
        </w:rPr>
      </w:pPr>
      <w:r w:rsidRPr="00A27896">
        <w:rPr>
          <w:rFonts w:eastAsia="Arial Unicode MS"/>
          <w:color w:val="17365D"/>
        </w:rPr>
        <w:t xml:space="preserve">samazinājums Liepājas valstspilsētas pašvaldībai </w:t>
      </w:r>
      <w:r w:rsidR="00922A26" w:rsidRPr="00A27896">
        <w:rPr>
          <w:rFonts w:eastAsia="Arial Unicode MS"/>
          <w:color w:val="17365D"/>
        </w:rPr>
        <w:t>(</w:t>
      </w:r>
      <w:r w:rsidRPr="00A27896">
        <w:rPr>
          <w:rFonts w:eastAsia="Arial Unicode MS"/>
          <w:color w:val="17365D"/>
        </w:rPr>
        <w:t>40 370</w:t>
      </w:r>
      <w:r w:rsidR="00922A26" w:rsidRPr="00A27896">
        <w:rPr>
          <w:rFonts w:eastAsia="Arial Unicode MS"/>
          <w:color w:val="17365D"/>
        </w:rPr>
        <w:t> </w:t>
      </w:r>
      <w:r w:rsidRPr="00A27896">
        <w:rPr>
          <w:rFonts w:eastAsia="Arial Unicode MS"/>
          <w:color w:val="17365D"/>
        </w:rPr>
        <w:t>959</w:t>
      </w:r>
      <w:r w:rsidR="00922A26" w:rsidRPr="00A27896">
        <w:rPr>
          <w:rFonts w:eastAsia="Arial Unicode MS"/>
          <w:color w:val="17365D"/>
        </w:rPr>
        <w:t>)</w:t>
      </w:r>
      <w:r w:rsidRPr="00A27896">
        <w:rPr>
          <w:rFonts w:eastAsia="Arial Unicode MS"/>
          <w:color w:val="17365D"/>
        </w:rPr>
        <w:t xml:space="preserve"> </w:t>
      </w:r>
      <w:r w:rsidRPr="00304946">
        <w:rPr>
          <w:rFonts w:eastAsia="Arial Unicode MS"/>
          <w:i/>
          <w:color w:val="17365D"/>
        </w:rPr>
        <w:t>euro</w:t>
      </w:r>
      <w:r w:rsidRPr="00A27896">
        <w:rPr>
          <w:rFonts w:eastAsia="Arial Unicode MS"/>
          <w:color w:val="17365D"/>
        </w:rPr>
        <w:t xml:space="preserve"> vērtībā</w:t>
      </w:r>
      <w:r w:rsidR="00922A26" w:rsidRPr="00A27896">
        <w:rPr>
          <w:rFonts w:eastAsia="Arial Unicode MS"/>
          <w:color w:val="17365D"/>
        </w:rPr>
        <w:t>,</w:t>
      </w:r>
      <w:r w:rsidRPr="00A27896">
        <w:rPr>
          <w:rFonts w:eastAsia="Arial Unicode MS"/>
          <w:color w:val="17365D"/>
        </w:rPr>
        <w:t xml:space="preserve"> </w:t>
      </w:r>
      <w:r w:rsidR="00922A26" w:rsidRPr="00A27896">
        <w:rPr>
          <w:rFonts w:eastAsia="Arial Unicode MS"/>
          <w:color w:val="17365D"/>
        </w:rPr>
        <w:t xml:space="preserve">samazinoties izdevumiem </w:t>
      </w:r>
      <w:r w:rsidRPr="00A27896">
        <w:rPr>
          <w:rFonts w:eastAsia="Arial Unicode MS"/>
          <w:color w:val="17365D"/>
        </w:rPr>
        <w:t>no zemes vienību uzskaites vērtības, kas pārskatā uzrādīta kadastrāl</w:t>
      </w:r>
      <w:r w:rsidR="00922A26" w:rsidRPr="00A27896">
        <w:rPr>
          <w:rFonts w:eastAsia="Arial Unicode MS"/>
          <w:color w:val="17365D"/>
        </w:rPr>
        <w:t>a</w:t>
      </w:r>
      <w:r w:rsidRPr="00A27896">
        <w:rPr>
          <w:rFonts w:eastAsia="Arial Unicode MS"/>
          <w:color w:val="17365D"/>
        </w:rPr>
        <w:t>jā vērtībā</w:t>
      </w:r>
      <w:r w:rsidR="00AE2343" w:rsidRPr="00A27896">
        <w:rPr>
          <w:rFonts w:eastAsia="Arial Unicode MS"/>
          <w:color w:val="17365D"/>
        </w:rPr>
        <w:t>, korekcijas</w:t>
      </w:r>
      <w:r w:rsidRPr="00A27896">
        <w:rPr>
          <w:rFonts w:eastAsia="Arial Unicode MS"/>
          <w:color w:val="17365D"/>
        </w:rPr>
        <w:t xml:space="preserve">. </w:t>
      </w:r>
    </w:p>
    <w:p w14:paraId="00F6BE7F" w14:textId="7EBEA1AE" w:rsidR="00DE2AAC" w:rsidRPr="00A27896" w:rsidRDefault="008911F1" w:rsidP="004140AC">
      <w:pPr>
        <w:pStyle w:val="Pamatteksts"/>
        <w:spacing w:before="120"/>
        <w:ind w:firstLine="284"/>
        <w:rPr>
          <w:rFonts w:eastAsia="Arial Unicode MS"/>
          <w:noProof w:val="0"/>
          <w:color w:val="17365D"/>
          <w:lang w:eastAsia="en-US"/>
        </w:rPr>
      </w:pPr>
      <w:r w:rsidRPr="00A27896">
        <w:rPr>
          <w:rFonts w:eastAsia="Arial Unicode MS"/>
          <w:noProof w:val="0"/>
          <w:color w:val="17365D"/>
          <w:lang w:eastAsia="en-US"/>
        </w:rPr>
        <w:t>Informācija par ministriju</w:t>
      </w:r>
      <w:r w:rsidR="00952345" w:rsidRPr="00A27896">
        <w:rPr>
          <w:rFonts w:eastAsia="Arial Unicode MS"/>
          <w:noProof w:val="0"/>
          <w:color w:val="17365D"/>
          <w:lang w:eastAsia="en-US"/>
        </w:rPr>
        <w:t>,</w:t>
      </w:r>
      <w:r w:rsidRPr="00A27896">
        <w:rPr>
          <w:rFonts w:eastAsia="Arial Unicode MS"/>
          <w:noProof w:val="0"/>
          <w:color w:val="17365D"/>
          <w:lang w:eastAsia="en-US"/>
        </w:rPr>
        <w:t xml:space="preserve"> centrālo valsts iestāžu un pašvaldību </w:t>
      </w:r>
      <w:r w:rsidR="00BF3742" w:rsidRPr="00A27896">
        <w:rPr>
          <w:rFonts w:eastAsia="Arial Unicode MS"/>
          <w:noProof w:val="0"/>
          <w:color w:val="17365D"/>
          <w:lang w:eastAsia="en-US"/>
        </w:rPr>
        <w:t xml:space="preserve">un valsts budžeta finanšu uzskaitē atzītiem </w:t>
      </w:r>
      <w:r w:rsidRPr="00A27896">
        <w:rPr>
          <w:color w:val="17365D"/>
        </w:rPr>
        <w:t>izdevumiem no aktīvu vērtības samazinājuma</w:t>
      </w:r>
      <w:r w:rsidR="00952345" w:rsidRPr="00A27896">
        <w:rPr>
          <w:rFonts w:eastAsia="Arial Unicode MS"/>
          <w:noProof w:val="0"/>
          <w:color w:val="17365D"/>
          <w:lang w:eastAsia="en-US"/>
        </w:rPr>
        <w:t xml:space="preserve"> uzrādīta</w:t>
      </w:r>
      <w:r w:rsidRPr="00A27896">
        <w:rPr>
          <w:rFonts w:eastAsia="Arial Unicode MS"/>
          <w:noProof w:val="0"/>
          <w:color w:val="17365D"/>
          <w:lang w:eastAsia="en-US"/>
        </w:rPr>
        <w:t xml:space="preserve"> </w:t>
      </w:r>
      <w:r w:rsidR="006C1AA7" w:rsidRPr="00A27896">
        <w:rPr>
          <w:rFonts w:eastAsia="Arial Unicode MS"/>
          <w:noProof w:val="0"/>
          <w:color w:val="17365D"/>
          <w:lang w:eastAsia="en-US"/>
        </w:rPr>
        <w:t>48</w:t>
      </w:r>
      <w:r w:rsidRPr="00A27896">
        <w:rPr>
          <w:color w:val="17365D"/>
        </w:rPr>
        <w:t>. tabul</w:t>
      </w:r>
      <w:r w:rsidR="00952345" w:rsidRPr="00A27896">
        <w:rPr>
          <w:color w:val="17365D"/>
        </w:rPr>
        <w:t>ā</w:t>
      </w:r>
      <w:r w:rsidR="002E5E35">
        <w:rPr>
          <w:rFonts w:eastAsia="Arial Unicode MS"/>
          <w:noProof w:val="0"/>
          <w:color w:val="17365D"/>
          <w:lang w:eastAsia="en-US"/>
        </w:rPr>
        <w:t>.</w:t>
      </w:r>
    </w:p>
    <w:p w14:paraId="0E00092E" w14:textId="02209128" w:rsidR="00DC2666" w:rsidRPr="00A27896" w:rsidRDefault="00DC2666" w:rsidP="004140AC">
      <w:pPr>
        <w:pStyle w:val="Pamatteksts"/>
        <w:spacing w:before="120"/>
        <w:ind w:firstLine="284"/>
        <w:rPr>
          <w:rFonts w:eastAsia="Arial Unicode MS"/>
          <w:noProof w:val="0"/>
          <w:color w:val="17365D"/>
          <w:lang w:eastAsia="en-US"/>
        </w:rPr>
      </w:pPr>
    </w:p>
    <w:p w14:paraId="366D538B" w14:textId="2E0FD1D9" w:rsidR="00DC2666" w:rsidRPr="00A27896" w:rsidRDefault="00DC2666" w:rsidP="004140AC">
      <w:pPr>
        <w:pStyle w:val="Pamatteksts"/>
        <w:spacing w:before="120"/>
        <w:ind w:firstLine="284"/>
        <w:rPr>
          <w:rFonts w:eastAsia="Arial Unicode MS"/>
          <w:noProof w:val="0"/>
          <w:color w:val="17365D"/>
          <w:lang w:eastAsia="en-US"/>
        </w:rPr>
      </w:pPr>
    </w:p>
    <w:p w14:paraId="2FF23E56" w14:textId="622E08AB" w:rsidR="00DC2666" w:rsidRPr="00A27896" w:rsidRDefault="00DC2666" w:rsidP="004140AC">
      <w:pPr>
        <w:pStyle w:val="Pamatteksts"/>
        <w:spacing w:before="120"/>
        <w:ind w:firstLine="284"/>
        <w:rPr>
          <w:rFonts w:eastAsia="Arial Unicode MS"/>
          <w:noProof w:val="0"/>
          <w:color w:val="17365D"/>
          <w:lang w:eastAsia="en-US"/>
        </w:rPr>
      </w:pPr>
    </w:p>
    <w:p w14:paraId="1B0F761E" w14:textId="15748341" w:rsidR="00DC2666" w:rsidRPr="00A27896" w:rsidRDefault="00DC2666" w:rsidP="004140AC">
      <w:pPr>
        <w:pStyle w:val="Pamatteksts"/>
        <w:spacing w:before="120"/>
        <w:ind w:firstLine="284"/>
        <w:rPr>
          <w:rFonts w:eastAsia="Arial Unicode MS"/>
          <w:noProof w:val="0"/>
          <w:color w:val="17365D"/>
          <w:lang w:eastAsia="en-US"/>
        </w:rPr>
      </w:pPr>
    </w:p>
    <w:p w14:paraId="31DBFF2C" w14:textId="635ED134" w:rsidR="00DC2666" w:rsidRPr="00A27896" w:rsidRDefault="00DC2666" w:rsidP="004140AC">
      <w:pPr>
        <w:pStyle w:val="Pamatteksts"/>
        <w:spacing w:before="120"/>
        <w:ind w:firstLine="284"/>
        <w:rPr>
          <w:rFonts w:eastAsia="Arial Unicode MS"/>
          <w:noProof w:val="0"/>
          <w:color w:val="17365D"/>
          <w:lang w:eastAsia="en-US"/>
        </w:rPr>
      </w:pPr>
    </w:p>
    <w:p w14:paraId="747E9906" w14:textId="2151CE73" w:rsidR="00A22571" w:rsidRPr="00A27896" w:rsidRDefault="006C1AA7" w:rsidP="00A22571">
      <w:pPr>
        <w:pStyle w:val="Tabulasnosaukums1"/>
        <w:spacing w:before="0"/>
        <w:rPr>
          <w:rFonts w:eastAsia="Arial Unicode MS" w:cs="Times New Roman"/>
          <w:color w:val="17365D"/>
        </w:rPr>
      </w:pPr>
      <w:r w:rsidRPr="00A27896">
        <w:rPr>
          <w:rFonts w:eastAsia="Arial Unicode MS" w:cs="Times New Roman"/>
          <w:i/>
          <w:color w:val="17365D"/>
        </w:rPr>
        <w:lastRenderedPageBreak/>
        <w:t>48</w:t>
      </w:r>
      <w:r w:rsidR="00A22571" w:rsidRPr="00A27896">
        <w:rPr>
          <w:rFonts w:eastAsia="Arial Unicode MS" w:cs="Times New Roman"/>
          <w:i/>
          <w:color w:val="17365D"/>
        </w:rPr>
        <w:t xml:space="preserve">. tabula. </w:t>
      </w:r>
      <w:r w:rsidR="00952345" w:rsidRPr="00A27896">
        <w:rPr>
          <w:rFonts w:eastAsia="Arial Unicode MS" w:cs="Times New Roman"/>
          <w:i/>
          <w:color w:val="17365D"/>
        </w:rPr>
        <w:t xml:space="preserve">Izdevumiem no aktīvu vērtības samazinājuma </w:t>
      </w:r>
      <w:r w:rsidR="00A22571" w:rsidRPr="00A27896">
        <w:rPr>
          <w:rFonts w:eastAsia="Arial Unicode MS" w:cs="Times New Roman"/>
          <w:i/>
          <w:color w:val="17365D"/>
        </w:rPr>
        <w:t>(</w:t>
      </w:r>
      <w:proofErr w:type="spellStart"/>
      <w:r w:rsidR="00A22571" w:rsidRPr="00A27896">
        <w:rPr>
          <w:rFonts w:eastAsia="Arial Unicode MS" w:cs="Times New Roman"/>
          <w:i/>
          <w:color w:val="17365D"/>
        </w:rPr>
        <w:t>euro</w:t>
      </w:r>
      <w:proofErr w:type="spellEnd"/>
      <w:r w:rsidR="00A22571" w:rsidRPr="00A27896">
        <w:rPr>
          <w:rFonts w:eastAsia="Arial Unicode MS" w:cs="Times New Roman"/>
          <w:i/>
          <w:color w:val="17365D"/>
        </w:rPr>
        <w:t>)</w:t>
      </w:r>
    </w:p>
    <w:tbl>
      <w:tblPr>
        <w:tblW w:w="9496" w:type="dxa"/>
        <w:tblBorders>
          <w:insideH w:val="single" w:sz="4" w:space="0" w:color="000000"/>
        </w:tblBorders>
        <w:tblLook w:val="04A0" w:firstRow="1" w:lastRow="0" w:firstColumn="1" w:lastColumn="0" w:noHBand="0" w:noVBand="1"/>
      </w:tblPr>
      <w:tblGrid>
        <w:gridCol w:w="4820"/>
        <w:gridCol w:w="2556"/>
        <w:gridCol w:w="2120"/>
      </w:tblGrid>
      <w:tr w:rsidR="000C1009" w:rsidRPr="00A27896" w14:paraId="0711F0EF" w14:textId="246F3AD3" w:rsidTr="00281697">
        <w:trPr>
          <w:trHeight w:val="363"/>
          <w:tblHeader/>
        </w:trPr>
        <w:tc>
          <w:tcPr>
            <w:tcW w:w="4820" w:type="dxa"/>
            <w:tcBorders>
              <w:bottom w:val="single" w:sz="4" w:space="0" w:color="17365D"/>
            </w:tcBorders>
            <w:shd w:val="clear" w:color="auto" w:fill="B8CCE4" w:themeFill="accent1" w:themeFillTint="66"/>
            <w:vAlign w:val="center"/>
            <w:hideMark/>
          </w:tcPr>
          <w:p w14:paraId="32580AE8" w14:textId="77777777" w:rsidR="002A649E" w:rsidRPr="00A27896" w:rsidRDefault="002A649E" w:rsidP="002A649E">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Darījuma apraksts</w:t>
            </w:r>
          </w:p>
        </w:tc>
        <w:tc>
          <w:tcPr>
            <w:tcW w:w="2556" w:type="dxa"/>
            <w:tcBorders>
              <w:bottom w:val="single" w:sz="4" w:space="0" w:color="17365D"/>
            </w:tcBorders>
            <w:shd w:val="clear" w:color="auto" w:fill="B8CCE4" w:themeFill="accent1" w:themeFillTint="66"/>
            <w:vAlign w:val="center"/>
            <w:hideMark/>
          </w:tcPr>
          <w:p w14:paraId="76A7310F" w14:textId="77777777" w:rsidR="002A649E" w:rsidRPr="00A27896" w:rsidRDefault="002A649E" w:rsidP="003C37C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Pārskata periodā</w:t>
            </w:r>
          </w:p>
        </w:tc>
        <w:tc>
          <w:tcPr>
            <w:tcW w:w="2120" w:type="dxa"/>
            <w:tcBorders>
              <w:bottom w:val="single" w:sz="4" w:space="0" w:color="17365D"/>
            </w:tcBorders>
            <w:shd w:val="clear" w:color="auto" w:fill="B8CCE4" w:themeFill="accent1" w:themeFillTint="66"/>
            <w:vAlign w:val="center"/>
          </w:tcPr>
          <w:p w14:paraId="5A307D3B" w14:textId="402961B8" w:rsidR="002A649E" w:rsidRPr="00A27896" w:rsidRDefault="002A649E" w:rsidP="003C37C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Iepriekšējā pārskata periodā</w:t>
            </w:r>
          </w:p>
        </w:tc>
      </w:tr>
      <w:tr w:rsidR="000C1009" w:rsidRPr="00A27896" w14:paraId="7F0971BA" w14:textId="11412358" w:rsidTr="003137D2">
        <w:trPr>
          <w:trHeight w:val="255"/>
        </w:trPr>
        <w:tc>
          <w:tcPr>
            <w:tcW w:w="4820" w:type="dxa"/>
            <w:tcBorders>
              <w:top w:val="single" w:sz="4" w:space="0" w:color="17365D"/>
              <w:bottom w:val="single" w:sz="4" w:space="0" w:color="17365D"/>
            </w:tcBorders>
            <w:shd w:val="clear" w:color="auto" w:fill="auto"/>
            <w:vAlign w:val="center"/>
            <w:hideMark/>
          </w:tcPr>
          <w:p w14:paraId="5654A444" w14:textId="77777777" w:rsidR="002A649E" w:rsidRPr="00A27896" w:rsidRDefault="002A649E" w:rsidP="002A649E">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A</w:t>
            </w:r>
          </w:p>
        </w:tc>
        <w:tc>
          <w:tcPr>
            <w:tcW w:w="2556" w:type="dxa"/>
            <w:tcBorders>
              <w:top w:val="single" w:sz="4" w:space="0" w:color="17365D"/>
              <w:bottom w:val="single" w:sz="4" w:space="0" w:color="17365D"/>
            </w:tcBorders>
            <w:shd w:val="clear" w:color="auto" w:fill="auto"/>
            <w:vAlign w:val="center"/>
            <w:hideMark/>
          </w:tcPr>
          <w:p w14:paraId="082E9B53" w14:textId="77777777" w:rsidR="002A649E" w:rsidRPr="00A27896" w:rsidRDefault="002A649E" w:rsidP="003C37C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1</w:t>
            </w:r>
          </w:p>
        </w:tc>
        <w:tc>
          <w:tcPr>
            <w:tcW w:w="2120" w:type="dxa"/>
            <w:tcBorders>
              <w:top w:val="single" w:sz="4" w:space="0" w:color="17365D"/>
              <w:bottom w:val="single" w:sz="4" w:space="0" w:color="17365D"/>
            </w:tcBorders>
            <w:vAlign w:val="center"/>
          </w:tcPr>
          <w:p w14:paraId="0AF59175" w14:textId="0E96B813" w:rsidR="002A649E" w:rsidRPr="00A27896" w:rsidRDefault="002A649E" w:rsidP="003C37C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2</w:t>
            </w:r>
          </w:p>
        </w:tc>
      </w:tr>
      <w:tr w:rsidR="00922A26" w:rsidRPr="00A27896" w14:paraId="120F3E0E" w14:textId="09D9E89C" w:rsidTr="00922A26">
        <w:trPr>
          <w:trHeight w:val="183"/>
        </w:trPr>
        <w:tc>
          <w:tcPr>
            <w:tcW w:w="4820" w:type="dxa"/>
            <w:tcBorders>
              <w:top w:val="single" w:sz="4" w:space="0" w:color="17365D"/>
              <w:bottom w:val="single" w:sz="4" w:space="0" w:color="17365D"/>
              <w:right w:val="nil"/>
            </w:tcBorders>
            <w:shd w:val="clear" w:color="auto" w:fill="auto"/>
            <w:vAlign w:val="center"/>
            <w:hideMark/>
          </w:tcPr>
          <w:p w14:paraId="285CDDB7" w14:textId="77777777" w:rsidR="00922A26" w:rsidRPr="00A27896" w:rsidRDefault="00922A26" w:rsidP="00922A2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Izdevumi no vērtības samazinājuma avansa maksājumiem par </w:t>
            </w:r>
            <w:proofErr w:type="spellStart"/>
            <w:r w:rsidRPr="00A27896">
              <w:rPr>
                <w:rFonts w:eastAsia="Arial Unicode MS" w:cs="Times New Roman"/>
                <w:color w:val="17365D"/>
                <w:sz w:val="18"/>
                <w:szCs w:val="18"/>
              </w:rPr>
              <w:t>nefinanšu</w:t>
            </w:r>
            <w:proofErr w:type="spellEnd"/>
            <w:r w:rsidRPr="00A27896">
              <w:rPr>
                <w:rFonts w:eastAsia="Arial Unicode MS" w:cs="Times New Roman"/>
                <w:color w:val="17365D"/>
                <w:sz w:val="18"/>
                <w:szCs w:val="18"/>
              </w:rPr>
              <w:t xml:space="preserve"> aktīviem</w:t>
            </w:r>
          </w:p>
        </w:tc>
        <w:tc>
          <w:tcPr>
            <w:tcW w:w="2556" w:type="dxa"/>
            <w:tcBorders>
              <w:top w:val="single" w:sz="4" w:space="0" w:color="17365D"/>
              <w:left w:val="nil"/>
              <w:bottom w:val="single" w:sz="4" w:space="0" w:color="17365D"/>
              <w:right w:val="nil"/>
            </w:tcBorders>
            <w:shd w:val="clear" w:color="auto" w:fill="auto"/>
            <w:vAlign w:val="center"/>
            <w:hideMark/>
          </w:tcPr>
          <w:p w14:paraId="0DB273C0" w14:textId="06229A1E" w:rsidR="00922A26" w:rsidRPr="00A27896" w:rsidRDefault="00922A26" w:rsidP="00922A2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1 097 965</w:t>
            </w:r>
          </w:p>
        </w:tc>
        <w:tc>
          <w:tcPr>
            <w:tcW w:w="2120" w:type="dxa"/>
            <w:tcBorders>
              <w:top w:val="single" w:sz="4" w:space="0" w:color="17365D"/>
              <w:left w:val="nil"/>
              <w:bottom w:val="single" w:sz="4" w:space="0" w:color="17365D"/>
              <w:right w:val="nil"/>
            </w:tcBorders>
            <w:vAlign w:val="center"/>
          </w:tcPr>
          <w:p w14:paraId="07BD5781" w14:textId="3EBD7E67" w:rsidR="00922A26" w:rsidRPr="00A27896" w:rsidRDefault="00922A26" w:rsidP="00922A2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75 904</w:t>
            </w:r>
          </w:p>
        </w:tc>
      </w:tr>
      <w:tr w:rsidR="00922A26" w:rsidRPr="00A27896" w14:paraId="62CFB6DA" w14:textId="05D2B780" w:rsidTr="00922A26">
        <w:trPr>
          <w:trHeight w:val="255"/>
        </w:trPr>
        <w:tc>
          <w:tcPr>
            <w:tcW w:w="4820" w:type="dxa"/>
            <w:tcBorders>
              <w:top w:val="single" w:sz="4" w:space="0" w:color="17365D"/>
              <w:bottom w:val="single" w:sz="4" w:space="0" w:color="17365D"/>
              <w:right w:val="nil"/>
            </w:tcBorders>
            <w:shd w:val="clear" w:color="auto" w:fill="auto"/>
            <w:vAlign w:val="center"/>
            <w:hideMark/>
          </w:tcPr>
          <w:p w14:paraId="6DCC667D" w14:textId="77777777" w:rsidR="00922A26" w:rsidRPr="00A27896" w:rsidRDefault="00922A26" w:rsidP="00922A2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Izdevumi no vērtības samazinājuma </w:t>
            </w:r>
            <w:proofErr w:type="spellStart"/>
            <w:r w:rsidRPr="00A27896">
              <w:rPr>
                <w:rFonts w:eastAsia="Arial Unicode MS" w:cs="Times New Roman"/>
                <w:color w:val="17365D"/>
                <w:sz w:val="18"/>
                <w:szCs w:val="18"/>
              </w:rPr>
              <w:t>nefinanšu</w:t>
            </w:r>
            <w:proofErr w:type="spellEnd"/>
            <w:r w:rsidRPr="00A27896">
              <w:rPr>
                <w:rFonts w:eastAsia="Arial Unicode MS" w:cs="Times New Roman"/>
                <w:color w:val="17365D"/>
                <w:sz w:val="18"/>
                <w:szCs w:val="18"/>
              </w:rPr>
              <w:t xml:space="preserve"> aktīviem</w:t>
            </w:r>
          </w:p>
        </w:tc>
        <w:tc>
          <w:tcPr>
            <w:tcW w:w="2556" w:type="dxa"/>
            <w:tcBorders>
              <w:top w:val="single" w:sz="4" w:space="0" w:color="17365D"/>
              <w:left w:val="nil"/>
              <w:bottom w:val="single" w:sz="4" w:space="0" w:color="17365D"/>
              <w:right w:val="nil"/>
            </w:tcBorders>
            <w:shd w:val="clear" w:color="auto" w:fill="auto"/>
            <w:vAlign w:val="center"/>
            <w:hideMark/>
          </w:tcPr>
          <w:p w14:paraId="5584CD95" w14:textId="52D5DF14" w:rsidR="00922A26" w:rsidRPr="00A27896" w:rsidRDefault="00922A26" w:rsidP="00922A2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601 008</w:t>
            </w:r>
          </w:p>
        </w:tc>
        <w:tc>
          <w:tcPr>
            <w:tcW w:w="2120" w:type="dxa"/>
            <w:tcBorders>
              <w:top w:val="single" w:sz="4" w:space="0" w:color="17365D"/>
              <w:left w:val="nil"/>
              <w:bottom w:val="single" w:sz="4" w:space="0" w:color="17365D"/>
              <w:right w:val="nil"/>
            </w:tcBorders>
            <w:vAlign w:val="center"/>
          </w:tcPr>
          <w:p w14:paraId="7FD64F7C" w14:textId="1AD146E6" w:rsidR="00922A26" w:rsidRPr="00A27896" w:rsidRDefault="00922A26" w:rsidP="00922A2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4 585 532</w:t>
            </w:r>
          </w:p>
        </w:tc>
      </w:tr>
      <w:tr w:rsidR="00922A26" w:rsidRPr="00A27896" w14:paraId="7847A96D" w14:textId="5BB44BC5" w:rsidTr="00922A26">
        <w:trPr>
          <w:trHeight w:val="275"/>
        </w:trPr>
        <w:tc>
          <w:tcPr>
            <w:tcW w:w="4820" w:type="dxa"/>
            <w:tcBorders>
              <w:top w:val="single" w:sz="4" w:space="0" w:color="17365D"/>
              <w:bottom w:val="single" w:sz="4" w:space="0" w:color="17365D"/>
              <w:right w:val="nil"/>
            </w:tcBorders>
            <w:shd w:val="clear" w:color="auto" w:fill="auto"/>
            <w:vAlign w:val="center"/>
            <w:hideMark/>
          </w:tcPr>
          <w:p w14:paraId="55A6AE59" w14:textId="77777777" w:rsidR="00922A26" w:rsidRPr="00A27896" w:rsidRDefault="00922A26" w:rsidP="00922A2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Izdevumi no vērtības samazinājuma prasībām un avansiem par pakalpojumiem</w:t>
            </w:r>
          </w:p>
        </w:tc>
        <w:tc>
          <w:tcPr>
            <w:tcW w:w="2556" w:type="dxa"/>
            <w:tcBorders>
              <w:top w:val="single" w:sz="4" w:space="0" w:color="17365D"/>
              <w:left w:val="nil"/>
              <w:bottom w:val="single" w:sz="4" w:space="0" w:color="17365D"/>
              <w:right w:val="nil"/>
            </w:tcBorders>
            <w:shd w:val="clear" w:color="auto" w:fill="auto"/>
            <w:vAlign w:val="center"/>
            <w:hideMark/>
          </w:tcPr>
          <w:p w14:paraId="767B6E69" w14:textId="43AAA3ED" w:rsidR="00922A26" w:rsidRPr="00A27896" w:rsidRDefault="00922A26" w:rsidP="00922A2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80 062 583</w:t>
            </w:r>
          </w:p>
        </w:tc>
        <w:tc>
          <w:tcPr>
            <w:tcW w:w="2120" w:type="dxa"/>
            <w:tcBorders>
              <w:top w:val="single" w:sz="4" w:space="0" w:color="17365D"/>
              <w:left w:val="nil"/>
              <w:bottom w:val="single" w:sz="4" w:space="0" w:color="17365D"/>
              <w:right w:val="nil"/>
            </w:tcBorders>
            <w:vAlign w:val="center"/>
          </w:tcPr>
          <w:p w14:paraId="2ECBAAFF" w14:textId="5F7A6889" w:rsidR="00922A26" w:rsidRPr="00A27896" w:rsidRDefault="00922A26" w:rsidP="00922A2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216 115 074</w:t>
            </w:r>
          </w:p>
        </w:tc>
      </w:tr>
      <w:tr w:rsidR="00922A26" w:rsidRPr="00A27896" w14:paraId="55CDD727" w14:textId="566BB7BA" w:rsidTr="00922A26">
        <w:trPr>
          <w:trHeight w:val="363"/>
        </w:trPr>
        <w:tc>
          <w:tcPr>
            <w:tcW w:w="4820" w:type="dxa"/>
            <w:tcBorders>
              <w:top w:val="single" w:sz="4" w:space="0" w:color="17365D"/>
              <w:bottom w:val="single" w:sz="4" w:space="0" w:color="17365D"/>
              <w:right w:val="nil"/>
            </w:tcBorders>
            <w:shd w:val="clear" w:color="auto" w:fill="auto"/>
            <w:vAlign w:val="center"/>
            <w:hideMark/>
          </w:tcPr>
          <w:p w14:paraId="703BC164" w14:textId="4A9967ED" w:rsidR="00922A26" w:rsidRPr="00A27896" w:rsidRDefault="00922A26" w:rsidP="00922A2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Izdevumi no vērtības samazinājuma prasībām par nodokļiem, nodevām un citiem maksājumiem budžetos</w:t>
            </w:r>
          </w:p>
        </w:tc>
        <w:tc>
          <w:tcPr>
            <w:tcW w:w="2556" w:type="dxa"/>
            <w:tcBorders>
              <w:top w:val="single" w:sz="4" w:space="0" w:color="17365D"/>
              <w:left w:val="nil"/>
              <w:bottom w:val="single" w:sz="4" w:space="0" w:color="17365D"/>
              <w:right w:val="nil"/>
            </w:tcBorders>
            <w:shd w:val="clear" w:color="auto" w:fill="auto"/>
            <w:vAlign w:val="center"/>
            <w:hideMark/>
          </w:tcPr>
          <w:p w14:paraId="3F7710D7" w14:textId="586B98E5" w:rsidR="00922A26" w:rsidRPr="00A27896" w:rsidRDefault="00922A26" w:rsidP="00922A2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321 699 606</w:t>
            </w:r>
          </w:p>
        </w:tc>
        <w:tc>
          <w:tcPr>
            <w:tcW w:w="2120" w:type="dxa"/>
            <w:tcBorders>
              <w:top w:val="single" w:sz="4" w:space="0" w:color="17365D"/>
              <w:left w:val="nil"/>
              <w:bottom w:val="single" w:sz="4" w:space="0" w:color="17365D"/>
              <w:right w:val="nil"/>
            </w:tcBorders>
            <w:vAlign w:val="center"/>
          </w:tcPr>
          <w:p w14:paraId="7D743228" w14:textId="40E2E8F5" w:rsidR="00922A26" w:rsidRPr="00A27896" w:rsidRDefault="00922A26" w:rsidP="00922A2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1 104 479</w:t>
            </w:r>
          </w:p>
        </w:tc>
      </w:tr>
      <w:tr w:rsidR="00922A26" w:rsidRPr="00A27896" w14:paraId="13409822" w14:textId="6DB535B2" w:rsidTr="00922A26">
        <w:trPr>
          <w:trHeight w:val="255"/>
        </w:trPr>
        <w:tc>
          <w:tcPr>
            <w:tcW w:w="4820" w:type="dxa"/>
            <w:tcBorders>
              <w:top w:val="single" w:sz="4" w:space="0" w:color="17365D"/>
              <w:bottom w:val="single" w:sz="4" w:space="0" w:color="17365D"/>
              <w:right w:val="nil"/>
            </w:tcBorders>
            <w:shd w:val="clear" w:color="auto" w:fill="auto"/>
            <w:noWrap/>
            <w:vAlign w:val="center"/>
            <w:hideMark/>
          </w:tcPr>
          <w:p w14:paraId="54C3E535" w14:textId="014BB55B" w:rsidR="00922A26" w:rsidRPr="00A27896" w:rsidRDefault="00922A26" w:rsidP="00922A2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Izdevumi no vērtības samazinājuma finanšu instrumentiem:</w:t>
            </w:r>
          </w:p>
        </w:tc>
        <w:tc>
          <w:tcPr>
            <w:tcW w:w="2556" w:type="dxa"/>
            <w:tcBorders>
              <w:top w:val="single" w:sz="4" w:space="0" w:color="17365D"/>
              <w:left w:val="nil"/>
              <w:bottom w:val="single" w:sz="4" w:space="0" w:color="17365D"/>
              <w:right w:val="nil"/>
            </w:tcBorders>
            <w:shd w:val="clear" w:color="auto" w:fill="auto"/>
            <w:vAlign w:val="center"/>
            <w:hideMark/>
          </w:tcPr>
          <w:p w14:paraId="7A3D0D9F" w14:textId="643B87F4" w:rsidR="00922A26" w:rsidRPr="00A27896" w:rsidRDefault="00922A26" w:rsidP="00922A2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140 798</w:t>
            </w:r>
          </w:p>
        </w:tc>
        <w:tc>
          <w:tcPr>
            <w:tcW w:w="2120" w:type="dxa"/>
            <w:tcBorders>
              <w:top w:val="single" w:sz="4" w:space="0" w:color="17365D"/>
              <w:left w:val="nil"/>
              <w:bottom w:val="single" w:sz="4" w:space="0" w:color="17365D"/>
              <w:right w:val="nil"/>
            </w:tcBorders>
            <w:vAlign w:val="center"/>
          </w:tcPr>
          <w:p w14:paraId="5BD9CF98" w14:textId="329825F1" w:rsidR="00922A26" w:rsidRPr="00A27896" w:rsidRDefault="00922A26" w:rsidP="00922A2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189 802</w:t>
            </w:r>
          </w:p>
        </w:tc>
      </w:tr>
      <w:tr w:rsidR="000C1009" w:rsidRPr="00A27896" w14:paraId="7E68A3EF" w14:textId="77777777" w:rsidTr="00922A26">
        <w:trPr>
          <w:trHeight w:val="255"/>
        </w:trPr>
        <w:tc>
          <w:tcPr>
            <w:tcW w:w="4820" w:type="dxa"/>
            <w:tcBorders>
              <w:top w:val="single" w:sz="4" w:space="0" w:color="17365D"/>
              <w:bottom w:val="single" w:sz="4" w:space="0" w:color="17365D"/>
              <w:right w:val="nil"/>
            </w:tcBorders>
            <w:shd w:val="clear" w:color="auto" w:fill="auto"/>
            <w:noWrap/>
            <w:vAlign w:val="center"/>
          </w:tcPr>
          <w:p w14:paraId="46ED3984" w14:textId="4AD4CE32" w:rsidR="00612D4C" w:rsidRPr="00A27896" w:rsidRDefault="00612D4C" w:rsidP="00612D4C">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t.sk., līdz termiņa beigām turē</w:t>
            </w:r>
            <w:r w:rsidR="00844306" w:rsidRPr="00A27896">
              <w:rPr>
                <w:rFonts w:eastAsia="Arial Unicode MS" w:cs="Times New Roman"/>
                <w:color w:val="17365D"/>
                <w:sz w:val="18"/>
                <w:szCs w:val="18"/>
              </w:rPr>
              <w:t>tie ieguldījumi</w:t>
            </w:r>
          </w:p>
        </w:tc>
        <w:tc>
          <w:tcPr>
            <w:tcW w:w="2556" w:type="dxa"/>
            <w:tcBorders>
              <w:top w:val="single" w:sz="4" w:space="0" w:color="17365D"/>
              <w:left w:val="nil"/>
              <w:bottom w:val="single" w:sz="4" w:space="0" w:color="17365D"/>
              <w:right w:val="nil"/>
            </w:tcBorders>
            <w:shd w:val="clear" w:color="auto" w:fill="auto"/>
            <w:vAlign w:val="center"/>
          </w:tcPr>
          <w:p w14:paraId="15C44483" w14:textId="08F0681F" w:rsidR="00612D4C" w:rsidRPr="00A27896" w:rsidRDefault="00922A26" w:rsidP="00922A2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2120" w:type="dxa"/>
            <w:tcBorders>
              <w:top w:val="single" w:sz="4" w:space="0" w:color="17365D"/>
              <w:left w:val="nil"/>
              <w:bottom w:val="single" w:sz="4" w:space="0" w:color="17365D"/>
              <w:right w:val="nil"/>
            </w:tcBorders>
            <w:vAlign w:val="center"/>
          </w:tcPr>
          <w:p w14:paraId="25851AFA" w14:textId="7DD9F812" w:rsidR="00612D4C" w:rsidRPr="00A27896" w:rsidRDefault="00922A26" w:rsidP="00922A2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273</w:t>
            </w:r>
          </w:p>
        </w:tc>
      </w:tr>
      <w:tr w:rsidR="00922A26" w:rsidRPr="00A27896" w14:paraId="5390A2A3" w14:textId="4DFDE3A4" w:rsidTr="00922A26">
        <w:trPr>
          <w:trHeight w:val="255"/>
        </w:trPr>
        <w:tc>
          <w:tcPr>
            <w:tcW w:w="4820" w:type="dxa"/>
            <w:tcBorders>
              <w:top w:val="single" w:sz="4" w:space="0" w:color="17365D"/>
              <w:bottom w:val="single" w:sz="4" w:space="0" w:color="17365D"/>
            </w:tcBorders>
            <w:shd w:val="clear" w:color="auto" w:fill="auto"/>
            <w:vAlign w:val="center"/>
            <w:hideMark/>
          </w:tcPr>
          <w:p w14:paraId="3018FE22" w14:textId="384358F1" w:rsidR="00922A26" w:rsidRPr="00A27896" w:rsidRDefault="00922A26" w:rsidP="00922A2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         Aizdevumi un prasības</w:t>
            </w:r>
          </w:p>
        </w:tc>
        <w:tc>
          <w:tcPr>
            <w:tcW w:w="2556" w:type="dxa"/>
            <w:tcBorders>
              <w:top w:val="single" w:sz="4" w:space="0" w:color="17365D"/>
              <w:left w:val="nil"/>
              <w:bottom w:val="single" w:sz="4" w:space="0" w:color="17365D"/>
              <w:right w:val="nil"/>
            </w:tcBorders>
            <w:shd w:val="clear" w:color="auto" w:fill="auto"/>
            <w:vAlign w:val="center"/>
          </w:tcPr>
          <w:p w14:paraId="49DA3784" w14:textId="38526904" w:rsidR="00922A26" w:rsidRPr="00A27896" w:rsidRDefault="00922A26" w:rsidP="00922A2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139 638</w:t>
            </w:r>
          </w:p>
        </w:tc>
        <w:tc>
          <w:tcPr>
            <w:tcW w:w="2120" w:type="dxa"/>
            <w:tcBorders>
              <w:top w:val="single" w:sz="4" w:space="0" w:color="17365D"/>
              <w:left w:val="nil"/>
              <w:bottom w:val="single" w:sz="4" w:space="0" w:color="17365D"/>
              <w:right w:val="nil"/>
            </w:tcBorders>
            <w:vAlign w:val="center"/>
          </w:tcPr>
          <w:p w14:paraId="2012FA39" w14:textId="51413537" w:rsidR="00922A26" w:rsidRPr="00A27896" w:rsidRDefault="00922A26" w:rsidP="00922A2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175 508</w:t>
            </w:r>
          </w:p>
        </w:tc>
      </w:tr>
      <w:tr w:rsidR="00922A26" w:rsidRPr="00A27896" w14:paraId="48D97908" w14:textId="26900DD7" w:rsidTr="00922A26">
        <w:trPr>
          <w:trHeight w:val="76"/>
        </w:trPr>
        <w:tc>
          <w:tcPr>
            <w:tcW w:w="4820" w:type="dxa"/>
            <w:tcBorders>
              <w:top w:val="single" w:sz="4" w:space="0" w:color="17365D"/>
              <w:bottom w:val="single" w:sz="4" w:space="0" w:color="17365D"/>
            </w:tcBorders>
            <w:shd w:val="clear" w:color="auto" w:fill="auto"/>
            <w:vAlign w:val="center"/>
            <w:hideMark/>
          </w:tcPr>
          <w:p w14:paraId="2317366E" w14:textId="7C05FEA3" w:rsidR="00922A26" w:rsidRPr="00A27896" w:rsidRDefault="00922A26" w:rsidP="0084430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         Pārdošanai pieejamie finanšu aktīvi </w:t>
            </w:r>
          </w:p>
        </w:tc>
        <w:tc>
          <w:tcPr>
            <w:tcW w:w="2556" w:type="dxa"/>
            <w:tcBorders>
              <w:top w:val="single" w:sz="4" w:space="0" w:color="17365D"/>
              <w:bottom w:val="single" w:sz="4" w:space="0" w:color="17365D"/>
            </w:tcBorders>
            <w:shd w:val="clear" w:color="auto" w:fill="auto"/>
            <w:vAlign w:val="center"/>
          </w:tcPr>
          <w:p w14:paraId="4C8FEF3B" w14:textId="51ACC56A" w:rsidR="00922A26" w:rsidRPr="00A27896" w:rsidRDefault="00922A26" w:rsidP="00922A2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1 160</w:t>
            </w:r>
          </w:p>
        </w:tc>
        <w:tc>
          <w:tcPr>
            <w:tcW w:w="2120" w:type="dxa"/>
            <w:tcBorders>
              <w:top w:val="single" w:sz="4" w:space="0" w:color="17365D"/>
              <w:bottom w:val="single" w:sz="4" w:space="0" w:color="17365D"/>
            </w:tcBorders>
            <w:vAlign w:val="center"/>
          </w:tcPr>
          <w:p w14:paraId="7F6FB3A3" w14:textId="63280E61" w:rsidR="00922A26" w:rsidRPr="00A27896" w:rsidRDefault="00922A26" w:rsidP="00922A2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14 021</w:t>
            </w:r>
          </w:p>
        </w:tc>
      </w:tr>
      <w:tr w:rsidR="00922A26" w:rsidRPr="00A27896" w14:paraId="66BF3BE9" w14:textId="45ACB336" w:rsidTr="00922A26">
        <w:trPr>
          <w:trHeight w:val="255"/>
        </w:trPr>
        <w:tc>
          <w:tcPr>
            <w:tcW w:w="4820" w:type="dxa"/>
            <w:tcBorders>
              <w:top w:val="single" w:sz="4" w:space="0" w:color="17365D"/>
              <w:bottom w:val="single" w:sz="4" w:space="0" w:color="17365D"/>
            </w:tcBorders>
            <w:shd w:val="clear" w:color="auto" w:fill="auto"/>
            <w:noWrap/>
            <w:vAlign w:val="center"/>
            <w:hideMark/>
          </w:tcPr>
          <w:p w14:paraId="77A3447E" w14:textId="674DC2B3" w:rsidR="00922A26" w:rsidRPr="00A27896" w:rsidRDefault="00922A26" w:rsidP="00922A2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Izdevumi no vērtības samazinājuma aktīviem, kas nav minēti citur</w:t>
            </w:r>
          </w:p>
        </w:tc>
        <w:tc>
          <w:tcPr>
            <w:tcW w:w="2556" w:type="dxa"/>
            <w:tcBorders>
              <w:top w:val="single" w:sz="4" w:space="0" w:color="17365D"/>
              <w:left w:val="nil"/>
              <w:bottom w:val="single" w:sz="4" w:space="0" w:color="17365D"/>
              <w:right w:val="nil"/>
            </w:tcBorders>
            <w:shd w:val="clear" w:color="auto" w:fill="auto"/>
            <w:noWrap/>
            <w:vAlign w:val="center"/>
          </w:tcPr>
          <w:p w14:paraId="4D879DD8" w14:textId="2255CF0B" w:rsidR="00922A26" w:rsidRPr="00A27896" w:rsidRDefault="00922A26" w:rsidP="00922A2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853 852</w:t>
            </w:r>
          </w:p>
        </w:tc>
        <w:tc>
          <w:tcPr>
            <w:tcW w:w="2120" w:type="dxa"/>
            <w:tcBorders>
              <w:top w:val="single" w:sz="4" w:space="0" w:color="17365D"/>
              <w:left w:val="nil"/>
              <w:bottom w:val="single" w:sz="4" w:space="0" w:color="17365D"/>
              <w:right w:val="nil"/>
            </w:tcBorders>
            <w:vAlign w:val="center"/>
          </w:tcPr>
          <w:p w14:paraId="0D640246" w14:textId="52F13648" w:rsidR="00922A26" w:rsidRPr="00A27896" w:rsidRDefault="00922A26" w:rsidP="00922A2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2 700 575</w:t>
            </w:r>
          </w:p>
        </w:tc>
      </w:tr>
      <w:tr w:rsidR="00922A26" w:rsidRPr="00A27896" w14:paraId="5D95AB8B" w14:textId="50B8013C" w:rsidTr="00922A26">
        <w:trPr>
          <w:trHeight w:val="235"/>
        </w:trPr>
        <w:tc>
          <w:tcPr>
            <w:tcW w:w="4820" w:type="dxa"/>
            <w:tcBorders>
              <w:top w:val="single" w:sz="4" w:space="0" w:color="17365D"/>
            </w:tcBorders>
            <w:shd w:val="clear" w:color="auto" w:fill="B8CCE4" w:themeFill="accent1" w:themeFillTint="66"/>
            <w:vAlign w:val="center"/>
            <w:hideMark/>
          </w:tcPr>
          <w:p w14:paraId="516A4EAF" w14:textId="38EAC59F" w:rsidR="00922A26" w:rsidRPr="00A27896" w:rsidRDefault="00922A26" w:rsidP="00922A26">
            <w:pPr>
              <w:spacing w:after="0" w:line="240" w:lineRule="auto"/>
              <w:rPr>
                <w:rFonts w:eastAsia="Arial Unicode MS" w:cs="Times New Roman"/>
                <w:b/>
                <w:color w:val="17365D"/>
                <w:sz w:val="18"/>
                <w:szCs w:val="18"/>
              </w:rPr>
            </w:pPr>
            <w:r w:rsidRPr="00A27896">
              <w:rPr>
                <w:rFonts w:eastAsia="Arial Unicode MS" w:cs="Times New Roman"/>
                <w:b/>
                <w:color w:val="17365D"/>
                <w:sz w:val="18"/>
                <w:szCs w:val="18"/>
              </w:rPr>
              <w:t>Kopā </w:t>
            </w:r>
          </w:p>
        </w:tc>
        <w:tc>
          <w:tcPr>
            <w:tcW w:w="2556" w:type="dxa"/>
            <w:tcBorders>
              <w:top w:val="single" w:sz="4" w:space="0" w:color="17365D"/>
            </w:tcBorders>
            <w:shd w:val="clear" w:color="auto" w:fill="B8CCE4" w:themeFill="accent1" w:themeFillTint="66"/>
            <w:vAlign w:val="center"/>
          </w:tcPr>
          <w:p w14:paraId="76595EC5" w14:textId="72DAE9B4" w:rsidR="00922A26" w:rsidRPr="00A27896" w:rsidRDefault="00922A26" w:rsidP="00922A26">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404 455 812</w:t>
            </w:r>
          </w:p>
        </w:tc>
        <w:tc>
          <w:tcPr>
            <w:tcW w:w="2120" w:type="dxa"/>
            <w:tcBorders>
              <w:top w:val="single" w:sz="4" w:space="0" w:color="17365D"/>
            </w:tcBorders>
            <w:shd w:val="clear" w:color="auto" w:fill="B8CCE4" w:themeFill="accent1" w:themeFillTint="66"/>
            <w:vAlign w:val="center"/>
          </w:tcPr>
          <w:p w14:paraId="3E14316A" w14:textId="087416C4" w:rsidR="00922A26" w:rsidRPr="00A27896" w:rsidRDefault="00922A26" w:rsidP="00922A26">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224 771 366</w:t>
            </w:r>
          </w:p>
        </w:tc>
      </w:tr>
    </w:tbl>
    <w:p w14:paraId="0FCD193D" w14:textId="22BB2EE4" w:rsidR="00FA2D8F" w:rsidRPr="00A27896" w:rsidRDefault="00FA2D8F" w:rsidP="002E5E35">
      <w:pPr>
        <w:pStyle w:val="Pamatteksts"/>
        <w:spacing w:before="240"/>
        <w:ind w:left="284" w:firstLine="0"/>
        <w:rPr>
          <w:rFonts w:eastAsia="Arial Unicode MS"/>
          <w:noProof w:val="0"/>
          <w:color w:val="17365D"/>
          <w:lang w:eastAsia="en-US"/>
        </w:rPr>
      </w:pPr>
      <w:r w:rsidRPr="00A27896">
        <w:rPr>
          <w:rFonts w:eastAsia="Arial Unicode MS"/>
          <w:noProof w:val="0"/>
          <w:color w:val="17365D"/>
          <w:lang w:eastAsia="en-US"/>
        </w:rPr>
        <w:t xml:space="preserve">Informācija par citiem izdevumiem, kas iekļauti FD.A31. postenī, uzrādīta </w:t>
      </w:r>
      <w:r w:rsidR="006C1AA7" w:rsidRPr="00A27896">
        <w:rPr>
          <w:rFonts w:eastAsia="Arial Unicode MS"/>
          <w:noProof w:val="0"/>
          <w:color w:val="17365D"/>
          <w:lang w:eastAsia="en-US"/>
        </w:rPr>
        <w:t>49</w:t>
      </w:r>
      <w:r w:rsidRPr="00A27896">
        <w:rPr>
          <w:rFonts w:eastAsia="Arial Unicode MS"/>
          <w:noProof w:val="0"/>
          <w:color w:val="17365D"/>
          <w:lang w:eastAsia="en-US"/>
        </w:rPr>
        <w:t>. tabulā:</w:t>
      </w:r>
    </w:p>
    <w:p w14:paraId="4A4E019E" w14:textId="5ED0E9A7" w:rsidR="00FA2D8F" w:rsidRPr="00A27896" w:rsidRDefault="006C1AA7" w:rsidP="00FA2D8F">
      <w:pPr>
        <w:pStyle w:val="Tabulasnosaukums1"/>
        <w:spacing w:before="0"/>
        <w:rPr>
          <w:rFonts w:eastAsia="Arial Unicode MS" w:cs="Times New Roman"/>
          <w:color w:val="17365D"/>
        </w:rPr>
      </w:pPr>
      <w:r w:rsidRPr="00A27896">
        <w:rPr>
          <w:rFonts w:eastAsia="Arial Unicode MS" w:cs="Times New Roman"/>
          <w:i/>
          <w:color w:val="17365D"/>
        </w:rPr>
        <w:t>49</w:t>
      </w:r>
      <w:r w:rsidR="00FA2D8F" w:rsidRPr="00A27896">
        <w:rPr>
          <w:rFonts w:eastAsia="Arial Unicode MS" w:cs="Times New Roman"/>
          <w:i/>
          <w:color w:val="17365D"/>
        </w:rPr>
        <w:t>. tabula. Citi izdevumi (</w:t>
      </w:r>
      <w:proofErr w:type="spellStart"/>
      <w:r w:rsidR="00FA2D8F" w:rsidRPr="00A27896">
        <w:rPr>
          <w:rFonts w:eastAsia="Arial Unicode MS" w:cs="Times New Roman"/>
          <w:i/>
          <w:color w:val="17365D"/>
        </w:rPr>
        <w:t>euro</w:t>
      </w:r>
      <w:proofErr w:type="spellEnd"/>
      <w:r w:rsidR="00FA2D8F" w:rsidRPr="00A27896">
        <w:rPr>
          <w:rFonts w:eastAsia="Arial Unicode MS" w:cs="Times New Roman"/>
          <w:i/>
          <w:color w:val="17365D"/>
        </w:rPr>
        <w:t>)</w:t>
      </w:r>
    </w:p>
    <w:tbl>
      <w:tblPr>
        <w:tblW w:w="9493" w:type="dxa"/>
        <w:tblBorders>
          <w:top w:val="single" w:sz="4" w:space="0" w:color="000000"/>
          <w:insideH w:val="single" w:sz="4" w:space="0" w:color="000000"/>
        </w:tblBorders>
        <w:tblLook w:val="04A0" w:firstRow="1" w:lastRow="0" w:firstColumn="1" w:lastColumn="0" w:noHBand="0" w:noVBand="1"/>
      </w:tblPr>
      <w:tblGrid>
        <w:gridCol w:w="4678"/>
        <w:gridCol w:w="2556"/>
        <w:gridCol w:w="2259"/>
      </w:tblGrid>
      <w:tr w:rsidR="000C1009" w:rsidRPr="00A27896" w14:paraId="11F3A418" w14:textId="77777777" w:rsidTr="003137D2">
        <w:trPr>
          <w:trHeight w:val="276"/>
          <w:tblHeader/>
        </w:trPr>
        <w:tc>
          <w:tcPr>
            <w:tcW w:w="4678" w:type="dxa"/>
            <w:tcBorders>
              <w:top w:val="nil"/>
              <w:bottom w:val="single" w:sz="4" w:space="0" w:color="17365D"/>
            </w:tcBorders>
            <w:shd w:val="clear" w:color="auto" w:fill="B8CCE4" w:themeFill="accent1" w:themeFillTint="66"/>
            <w:vAlign w:val="center"/>
            <w:hideMark/>
          </w:tcPr>
          <w:p w14:paraId="2DA0D6AD" w14:textId="77777777" w:rsidR="00FA2D8F" w:rsidRPr="00A27896" w:rsidRDefault="00FA2D8F" w:rsidP="00FC0E4A">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Darījuma apraksts</w:t>
            </w:r>
          </w:p>
        </w:tc>
        <w:tc>
          <w:tcPr>
            <w:tcW w:w="2556" w:type="dxa"/>
            <w:tcBorders>
              <w:top w:val="nil"/>
              <w:bottom w:val="single" w:sz="4" w:space="0" w:color="17365D"/>
            </w:tcBorders>
            <w:shd w:val="clear" w:color="auto" w:fill="B8CCE4" w:themeFill="accent1" w:themeFillTint="66"/>
            <w:vAlign w:val="center"/>
            <w:hideMark/>
          </w:tcPr>
          <w:p w14:paraId="0E58813E" w14:textId="77777777" w:rsidR="00FA2D8F" w:rsidRPr="00A27896" w:rsidRDefault="00FA2D8F" w:rsidP="00FC0E4A">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Pārskata periodā</w:t>
            </w:r>
          </w:p>
        </w:tc>
        <w:tc>
          <w:tcPr>
            <w:tcW w:w="2259" w:type="dxa"/>
            <w:tcBorders>
              <w:top w:val="nil"/>
              <w:bottom w:val="single" w:sz="4" w:space="0" w:color="17365D"/>
            </w:tcBorders>
            <w:shd w:val="clear" w:color="auto" w:fill="B8CCE4" w:themeFill="accent1" w:themeFillTint="66"/>
            <w:vAlign w:val="center"/>
          </w:tcPr>
          <w:p w14:paraId="7462EB8E" w14:textId="77777777" w:rsidR="00FA2D8F" w:rsidRPr="00A27896" w:rsidRDefault="00FA2D8F" w:rsidP="00FC0E4A">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Iepriekšējā pārskata periodā</w:t>
            </w:r>
          </w:p>
        </w:tc>
      </w:tr>
      <w:tr w:rsidR="000C1009" w:rsidRPr="00A27896" w14:paraId="1348C689" w14:textId="77777777" w:rsidTr="003137D2">
        <w:trPr>
          <w:trHeight w:val="255"/>
          <w:tblHeader/>
        </w:trPr>
        <w:tc>
          <w:tcPr>
            <w:tcW w:w="4678" w:type="dxa"/>
            <w:tcBorders>
              <w:top w:val="single" w:sz="4" w:space="0" w:color="17365D"/>
              <w:bottom w:val="single" w:sz="4" w:space="0" w:color="17365D"/>
            </w:tcBorders>
            <w:shd w:val="clear" w:color="auto" w:fill="auto"/>
            <w:vAlign w:val="center"/>
            <w:hideMark/>
          </w:tcPr>
          <w:p w14:paraId="4AEAE9C9" w14:textId="77777777" w:rsidR="00FA2D8F" w:rsidRPr="00A27896" w:rsidRDefault="00FA2D8F" w:rsidP="00FC0E4A">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A</w:t>
            </w:r>
          </w:p>
        </w:tc>
        <w:tc>
          <w:tcPr>
            <w:tcW w:w="2556" w:type="dxa"/>
            <w:tcBorders>
              <w:top w:val="single" w:sz="4" w:space="0" w:color="17365D"/>
              <w:bottom w:val="single" w:sz="4" w:space="0" w:color="17365D"/>
            </w:tcBorders>
            <w:shd w:val="clear" w:color="auto" w:fill="auto"/>
            <w:vAlign w:val="center"/>
            <w:hideMark/>
          </w:tcPr>
          <w:p w14:paraId="31179F49" w14:textId="77777777" w:rsidR="00FA2D8F" w:rsidRPr="00A27896" w:rsidRDefault="00FA2D8F" w:rsidP="00FC0E4A">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1</w:t>
            </w:r>
          </w:p>
        </w:tc>
        <w:tc>
          <w:tcPr>
            <w:tcW w:w="2259" w:type="dxa"/>
            <w:tcBorders>
              <w:top w:val="single" w:sz="4" w:space="0" w:color="17365D"/>
              <w:bottom w:val="single" w:sz="4" w:space="0" w:color="17365D"/>
            </w:tcBorders>
          </w:tcPr>
          <w:p w14:paraId="72467022" w14:textId="77777777" w:rsidR="00FA2D8F" w:rsidRPr="00A27896" w:rsidRDefault="00FA2D8F" w:rsidP="00FC0E4A">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2</w:t>
            </w:r>
          </w:p>
        </w:tc>
      </w:tr>
      <w:tr w:rsidR="00844306" w:rsidRPr="00A27896" w14:paraId="1D3A75BE" w14:textId="77777777" w:rsidTr="00844306">
        <w:trPr>
          <w:trHeight w:val="255"/>
        </w:trPr>
        <w:tc>
          <w:tcPr>
            <w:tcW w:w="4678" w:type="dxa"/>
            <w:tcBorders>
              <w:top w:val="single" w:sz="4" w:space="0" w:color="17365D"/>
              <w:bottom w:val="single" w:sz="4" w:space="0" w:color="17365D"/>
            </w:tcBorders>
            <w:shd w:val="clear" w:color="auto" w:fill="auto"/>
            <w:vAlign w:val="center"/>
            <w:hideMark/>
          </w:tcPr>
          <w:p w14:paraId="69F524BF" w14:textId="77777777" w:rsidR="00844306" w:rsidRPr="00A27896" w:rsidRDefault="00844306" w:rsidP="0084430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Izdevumi no prasību, kas nav finanšu instrumenti, norakstīšanas</w:t>
            </w:r>
          </w:p>
        </w:tc>
        <w:tc>
          <w:tcPr>
            <w:tcW w:w="2556" w:type="dxa"/>
            <w:tcBorders>
              <w:top w:val="single" w:sz="4" w:space="0" w:color="17365D"/>
              <w:left w:val="nil"/>
              <w:bottom w:val="single" w:sz="4" w:space="0" w:color="17365D"/>
              <w:right w:val="nil"/>
            </w:tcBorders>
            <w:shd w:val="clear" w:color="auto" w:fill="auto"/>
            <w:vAlign w:val="center"/>
            <w:hideMark/>
          </w:tcPr>
          <w:p w14:paraId="7C8FAF51" w14:textId="24D62BAF" w:rsidR="00844306" w:rsidRPr="00A27896" w:rsidRDefault="00844306" w:rsidP="0084430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19 616 970</w:t>
            </w:r>
          </w:p>
        </w:tc>
        <w:tc>
          <w:tcPr>
            <w:tcW w:w="2259" w:type="dxa"/>
            <w:tcBorders>
              <w:top w:val="single" w:sz="4" w:space="0" w:color="17365D"/>
              <w:left w:val="nil"/>
              <w:bottom w:val="single" w:sz="4" w:space="0" w:color="17365D"/>
              <w:right w:val="nil"/>
            </w:tcBorders>
            <w:vAlign w:val="center"/>
          </w:tcPr>
          <w:p w14:paraId="2F45A0E6" w14:textId="6371E4E7" w:rsidR="00844306" w:rsidRPr="00A27896" w:rsidRDefault="00844306" w:rsidP="0084430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11 690 309</w:t>
            </w:r>
          </w:p>
        </w:tc>
      </w:tr>
      <w:tr w:rsidR="00844306" w:rsidRPr="00A27896" w14:paraId="583B50B5" w14:textId="77777777" w:rsidTr="00844306">
        <w:trPr>
          <w:trHeight w:val="255"/>
        </w:trPr>
        <w:tc>
          <w:tcPr>
            <w:tcW w:w="4678" w:type="dxa"/>
            <w:tcBorders>
              <w:top w:val="single" w:sz="4" w:space="0" w:color="17365D"/>
              <w:bottom w:val="single" w:sz="4" w:space="0" w:color="17365D"/>
            </w:tcBorders>
            <w:shd w:val="clear" w:color="auto" w:fill="auto"/>
            <w:vAlign w:val="center"/>
            <w:hideMark/>
          </w:tcPr>
          <w:p w14:paraId="66C3B9DC" w14:textId="77777777" w:rsidR="00844306" w:rsidRPr="00A27896" w:rsidRDefault="00844306" w:rsidP="0084430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Izdevumi no </w:t>
            </w:r>
            <w:proofErr w:type="spellStart"/>
            <w:r w:rsidRPr="00A27896">
              <w:rPr>
                <w:rFonts w:eastAsia="Arial Unicode MS" w:cs="Times New Roman"/>
                <w:color w:val="17365D"/>
                <w:sz w:val="18"/>
                <w:szCs w:val="18"/>
              </w:rPr>
              <w:t>nefinanšu</w:t>
            </w:r>
            <w:proofErr w:type="spellEnd"/>
            <w:r w:rsidRPr="00A27896">
              <w:rPr>
                <w:rFonts w:eastAsia="Arial Unicode MS" w:cs="Times New Roman"/>
                <w:color w:val="17365D"/>
                <w:sz w:val="18"/>
                <w:szCs w:val="18"/>
              </w:rPr>
              <w:t xml:space="preserve"> aktīvu norakstīšanas un likvidēšanas</w:t>
            </w:r>
          </w:p>
        </w:tc>
        <w:tc>
          <w:tcPr>
            <w:tcW w:w="2556" w:type="dxa"/>
            <w:tcBorders>
              <w:top w:val="single" w:sz="4" w:space="0" w:color="17365D"/>
              <w:left w:val="nil"/>
              <w:bottom w:val="single" w:sz="4" w:space="0" w:color="17365D"/>
              <w:right w:val="nil"/>
            </w:tcBorders>
            <w:shd w:val="clear" w:color="auto" w:fill="auto"/>
            <w:vAlign w:val="center"/>
            <w:hideMark/>
          </w:tcPr>
          <w:p w14:paraId="7DBE23D4" w14:textId="501F3D20" w:rsidR="00844306" w:rsidRPr="00A27896" w:rsidRDefault="00844306" w:rsidP="0084430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271 649 486</w:t>
            </w:r>
          </w:p>
        </w:tc>
        <w:tc>
          <w:tcPr>
            <w:tcW w:w="2259" w:type="dxa"/>
            <w:tcBorders>
              <w:top w:val="single" w:sz="4" w:space="0" w:color="17365D"/>
              <w:left w:val="nil"/>
              <w:bottom w:val="single" w:sz="4" w:space="0" w:color="17365D"/>
              <w:right w:val="nil"/>
            </w:tcBorders>
            <w:vAlign w:val="center"/>
          </w:tcPr>
          <w:p w14:paraId="02718656" w14:textId="0CEB6202" w:rsidR="00844306" w:rsidRPr="00A27896" w:rsidRDefault="00844306" w:rsidP="0084430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179 868 650</w:t>
            </w:r>
          </w:p>
        </w:tc>
      </w:tr>
      <w:tr w:rsidR="00844306" w:rsidRPr="00A27896" w14:paraId="17550864" w14:textId="77777777" w:rsidTr="00844306">
        <w:trPr>
          <w:trHeight w:val="255"/>
        </w:trPr>
        <w:tc>
          <w:tcPr>
            <w:tcW w:w="4678" w:type="dxa"/>
            <w:tcBorders>
              <w:top w:val="single" w:sz="4" w:space="0" w:color="17365D"/>
              <w:bottom w:val="single" w:sz="4" w:space="0" w:color="17365D"/>
            </w:tcBorders>
            <w:shd w:val="clear" w:color="auto" w:fill="auto"/>
            <w:vAlign w:val="center"/>
            <w:hideMark/>
          </w:tcPr>
          <w:p w14:paraId="769403D3" w14:textId="77777777" w:rsidR="00844306" w:rsidRPr="00A27896" w:rsidRDefault="00844306" w:rsidP="0084430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Izdevumi no naudas līdzekļu vai to ekvivalentu iztrūkuma</w:t>
            </w:r>
          </w:p>
        </w:tc>
        <w:tc>
          <w:tcPr>
            <w:tcW w:w="2556" w:type="dxa"/>
            <w:tcBorders>
              <w:top w:val="single" w:sz="4" w:space="0" w:color="17365D"/>
              <w:left w:val="nil"/>
              <w:bottom w:val="single" w:sz="4" w:space="0" w:color="17365D"/>
              <w:right w:val="nil"/>
            </w:tcBorders>
            <w:shd w:val="clear" w:color="auto" w:fill="auto"/>
            <w:vAlign w:val="center"/>
            <w:hideMark/>
          </w:tcPr>
          <w:p w14:paraId="27639EDA" w14:textId="64EC6619" w:rsidR="00844306" w:rsidRPr="00A27896" w:rsidRDefault="00844306" w:rsidP="0084430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w:t>
            </w:r>
          </w:p>
        </w:tc>
        <w:tc>
          <w:tcPr>
            <w:tcW w:w="2259" w:type="dxa"/>
            <w:tcBorders>
              <w:top w:val="single" w:sz="4" w:space="0" w:color="17365D"/>
              <w:left w:val="nil"/>
              <w:bottom w:val="single" w:sz="4" w:space="0" w:color="17365D"/>
              <w:right w:val="nil"/>
            </w:tcBorders>
            <w:vAlign w:val="center"/>
          </w:tcPr>
          <w:p w14:paraId="33D1EBEF" w14:textId="48CAD9B6" w:rsidR="00844306" w:rsidRPr="00A27896" w:rsidRDefault="00844306" w:rsidP="0084430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w:t>
            </w:r>
          </w:p>
        </w:tc>
      </w:tr>
      <w:tr w:rsidR="00844306" w:rsidRPr="00A27896" w14:paraId="6D364B36" w14:textId="77777777" w:rsidTr="00844306">
        <w:trPr>
          <w:trHeight w:val="284"/>
        </w:trPr>
        <w:tc>
          <w:tcPr>
            <w:tcW w:w="4678" w:type="dxa"/>
            <w:tcBorders>
              <w:top w:val="single" w:sz="4" w:space="0" w:color="17365D"/>
              <w:bottom w:val="single" w:sz="4" w:space="0" w:color="17365D"/>
            </w:tcBorders>
            <w:shd w:val="clear" w:color="auto" w:fill="auto"/>
            <w:vAlign w:val="center"/>
            <w:hideMark/>
          </w:tcPr>
          <w:p w14:paraId="342FB2A1" w14:textId="77777777" w:rsidR="00844306" w:rsidRPr="00A27896" w:rsidRDefault="00844306" w:rsidP="0084430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Izdevumi no prasību dzēšanas par nodokļiem, nodevām un citiem maksājumiem budžetos</w:t>
            </w:r>
          </w:p>
        </w:tc>
        <w:tc>
          <w:tcPr>
            <w:tcW w:w="2556" w:type="dxa"/>
            <w:tcBorders>
              <w:top w:val="single" w:sz="4" w:space="0" w:color="17365D"/>
              <w:left w:val="nil"/>
              <w:bottom w:val="single" w:sz="4" w:space="0" w:color="17365D"/>
              <w:right w:val="nil"/>
            </w:tcBorders>
            <w:shd w:val="clear" w:color="auto" w:fill="auto"/>
            <w:vAlign w:val="center"/>
            <w:hideMark/>
          </w:tcPr>
          <w:p w14:paraId="24E49D36" w14:textId="138594E7" w:rsidR="00844306" w:rsidRPr="00A27896" w:rsidRDefault="003475FA" w:rsidP="00844306">
            <w:pPr>
              <w:spacing w:after="0" w:line="240" w:lineRule="auto"/>
              <w:jc w:val="right"/>
              <w:rPr>
                <w:rFonts w:eastAsia="Arial Unicode MS" w:cs="Times New Roman"/>
                <w:color w:val="17365D"/>
                <w:sz w:val="18"/>
                <w:szCs w:val="18"/>
              </w:rPr>
            </w:pPr>
            <w:r w:rsidRPr="003475FA">
              <w:rPr>
                <w:rFonts w:eastAsia="Arial Unicode MS" w:cs="Times New Roman"/>
                <w:color w:val="17365D"/>
                <w:sz w:val="18"/>
                <w:szCs w:val="18"/>
              </w:rPr>
              <w:t>124</w:t>
            </w:r>
            <w:r>
              <w:rPr>
                <w:rFonts w:eastAsia="Arial Unicode MS" w:cs="Times New Roman"/>
                <w:color w:val="17365D"/>
                <w:sz w:val="18"/>
                <w:szCs w:val="18"/>
              </w:rPr>
              <w:t xml:space="preserve"> </w:t>
            </w:r>
            <w:r w:rsidRPr="003475FA">
              <w:rPr>
                <w:rFonts w:eastAsia="Arial Unicode MS" w:cs="Times New Roman"/>
                <w:color w:val="17365D"/>
                <w:sz w:val="18"/>
                <w:szCs w:val="18"/>
              </w:rPr>
              <w:t>508</w:t>
            </w:r>
            <w:r>
              <w:rPr>
                <w:rFonts w:eastAsia="Arial Unicode MS" w:cs="Times New Roman"/>
                <w:color w:val="17365D"/>
                <w:sz w:val="18"/>
                <w:szCs w:val="18"/>
              </w:rPr>
              <w:t xml:space="preserve"> </w:t>
            </w:r>
            <w:r w:rsidRPr="003475FA">
              <w:rPr>
                <w:rFonts w:eastAsia="Arial Unicode MS" w:cs="Times New Roman"/>
                <w:color w:val="17365D"/>
                <w:sz w:val="18"/>
                <w:szCs w:val="18"/>
              </w:rPr>
              <w:t>334</w:t>
            </w:r>
          </w:p>
        </w:tc>
        <w:tc>
          <w:tcPr>
            <w:tcW w:w="2259" w:type="dxa"/>
            <w:tcBorders>
              <w:top w:val="single" w:sz="4" w:space="0" w:color="17365D"/>
              <w:left w:val="nil"/>
              <w:bottom w:val="single" w:sz="4" w:space="0" w:color="17365D"/>
              <w:right w:val="nil"/>
            </w:tcBorders>
            <w:vAlign w:val="center"/>
          </w:tcPr>
          <w:p w14:paraId="716FE879" w14:textId="72A4EFAA" w:rsidR="00844306" w:rsidRPr="00A27896" w:rsidRDefault="00844306" w:rsidP="0084430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33 848 231</w:t>
            </w:r>
          </w:p>
        </w:tc>
      </w:tr>
      <w:tr w:rsidR="00844306" w:rsidRPr="00A27896" w14:paraId="237B1013" w14:textId="77777777" w:rsidTr="00844306">
        <w:trPr>
          <w:trHeight w:val="255"/>
        </w:trPr>
        <w:tc>
          <w:tcPr>
            <w:tcW w:w="4678" w:type="dxa"/>
            <w:tcBorders>
              <w:top w:val="single" w:sz="4" w:space="0" w:color="17365D"/>
              <w:bottom w:val="single" w:sz="4" w:space="0" w:color="17365D"/>
            </w:tcBorders>
            <w:shd w:val="clear" w:color="auto" w:fill="auto"/>
            <w:vAlign w:val="center"/>
            <w:hideMark/>
          </w:tcPr>
          <w:p w14:paraId="56F04E20" w14:textId="77777777" w:rsidR="00844306" w:rsidRPr="00A27896" w:rsidRDefault="00844306" w:rsidP="0084430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Izdevumi uzkrājumu veidošanai</w:t>
            </w:r>
          </w:p>
        </w:tc>
        <w:tc>
          <w:tcPr>
            <w:tcW w:w="2556" w:type="dxa"/>
            <w:tcBorders>
              <w:top w:val="single" w:sz="4" w:space="0" w:color="17365D"/>
              <w:left w:val="nil"/>
              <w:bottom w:val="single" w:sz="4" w:space="0" w:color="17365D"/>
              <w:right w:val="nil"/>
            </w:tcBorders>
            <w:shd w:val="clear" w:color="auto" w:fill="auto"/>
            <w:vAlign w:val="center"/>
            <w:hideMark/>
          </w:tcPr>
          <w:p w14:paraId="5BF21709" w14:textId="59929BB7" w:rsidR="00844306" w:rsidRPr="00A27896" w:rsidRDefault="009E53DA" w:rsidP="00844306">
            <w:pPr>
              <w:spacing w:after="0" w:line="240" w:lineRule="auto"/>
              <w:jc w:val="right"/>
              <w:rPr>
                <w:rFonts w:eastAsia="Arial Unicode MS" w:cs="Times New Roman"/>
                <w:color w:val="17365D"/>
                <w:sz w:val="18"/>
                <w:szCs w:val="18"/>
              </w:rPr>
            </w:pPr>
            <w:r w:rsidRPr="009E53DA">
              <w:rPr>
                <w:rFonts w:eastAsia="Arial Unicode MS" w:cs="Times New Roman"/>
                <w:color w:val="17365D"/>
                <w:sz w:val="18"/>
                <w:szCs w:val="18"/>
              </w:rPr>
              <w:t>188</w:t>
            </w:r>
            <w:r>
              <w:rPr>
                <w:rFonts w:eastAsia="Arial Unicode MS" w:cs="Times New Roman"/>
                <w:color w:val="17365D"/>
                <w:sz w:val="18"/>
                <w:szCs w:val="18"/>
              </w:rPr>
              <w:t xml:space="preserve"> </w:t>
            </w:r>
            <w:r w:rsidRPr="009E53DA">
              <w:rPr>
                <w:rFonts w:eastAsia="Arial Unicode MS" w:cs="Times New Roman"/>
                <w:color w:val="17365D"/>
                <w:sz w:val="18"/>
                <w:szCs w:val="18"/>
              </w:rPr>
              <w:t>198</w:t>
            </w:r>
            <w:r>
              <w:rPr>
                <w:rFonts w:eastAsia="Arial Unicode MS" w:cs="Times New Roman"/>
                <w:color w:val="17365D"/>
                <w:sz w:val="18"/>
                <w:szCs w:val="18"/>
              </w:rPr>
              <w:t xml:space="preserve"> </w:t>
            </w:r>
            <w:r w:rsidRPr="009E53DA">
              <w:rPr>
                <w:rFonts w:eastAsia="Arial Unicode MS" w:cs="Times New Roman"/>
                <w:color w:val="17365D"/>
                <w:sz w:val="18"/>
                <w:szCs w:val="18"/>
              </w:rPr>
              <w:t>955</w:t>
            </w:r>
          </w:p>
        </w:tc>
        <w:tc>
          <w:tcPr>
            <w:tcW w:w="2259" w:type="dxa"/>
            <w:tcBorders>
              <w:top w:val="single" w:sz="4" w:space="0" w:color="17365D"/>
              <w:left w:val="nil"/>
              <w:bottom w:val="single" w:sz="4" w:space="0" w:color="17365D"/>
              <w:right w:val="nil"/>
            </w:tcBorders>
            <w:vAlign w:val="center"/>
          </w:tcPr>
          <w:p w14:paraId="716AA64F" w14:textId="002FD305" w:rsidR="00844306" w:rsidRPr="00A27896" w:rsidRDefault="00844306" w:rsidP="0084430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212 627 406</w:t>
            </w:r>
          </w:p>
        </w:tc>
      </w:tr>
      <w:tr w:rsidR="00844306" w:rsidRPr="00A27896" w14:paraId="2CB8CFE9" w14:textId="77777777" w:rsidTr="00844306">
        <w:trPr>
          <w:trHeight w:val="398"/>
        </w:trPr>
        <w:tc>
          <w:tcPr>
            <w:tcW w:w="4678" w:type="dxa"/>
            <w:tcBorders>
              <w:top w:val="single" w:sz="4" w:space="0" w:color="17365D"/>
              <w:bottom w:val="single" w:sz="4" w:space="0" w:color="17365D"/>
            </w:tcBorders>
            <w:shd w:val="clear" w:color="auto" w:fill="auto"/>
            <w:vAlign w:val="center"/>
            <w:hideMark/>
          </w:tcPr>
          <w:p w14:paraId="4324679E" w14:textId="77777777" w:rsidR="00844306" w:rsidRPr="00A27896" w:rsidRDefault="00844306" w:rsidP="0084430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Izdevumi no bioloģisko aktīvu lauksaimnieciskajai darbībai un lauksaimniecības produktu sākotnējās atzīšanas un uzskaites vērtības izmaiņām pārskata perioda beigās</w:t>
            </w:r>
          </w:p>
        </w:tc>
        <w:tc>
          <w:tcPr>
            <w:tcW w:w="2556" w:type="dxa"/>
            <w:tcBorders>
              <w:top w:val="single" w:sz="4" w:space="0" w:color="17365D"/>
              <w:left w:val="nil"/>
              <w:bottom w:val="single" w:sz="4" w:space="0" w:color="17365D"/>
              <w:right w:val="nil"/>
            </w:tcBorders>
            <w:shd w:val="clear" w:color="auto" w:fill="auto"/>
            <w:vAlign w:val="center"/>
            <w:hideMark/>
          </w:tcPr>
          <w:p w14:paraId="66A7F382" w14:textId="4D2D1A44" w:rsidR="00844306" w:rsidRPr="00A27896" w:rsidRDefault="00844306" w:rsidP="0084430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22 167 784</w:t>
            </w:r>
          </w:p>
        </w:tc>
        <w:tc>
          <w:tcPr>
            <w:tcW w:w="2259" w:type="dxa"/>
            <w:tcBorders>
              <w:top w:val="single" w:sz="4" w:space="0" w:color="17365D"/>
              <w:left w:val="nil"/>
              <w:bottom w:val="single" w:sz="4" w:space="0" w:color="17365D"/>
              <w:right w:val="nil"/>
            </w:tcBorders>
            <w:vAlign w:val="center"/>
          </w:tcPr>
          <w:p w14:paraId="5435BDA2" w14:textId="2AFED67E" w:rsidR="00844306" w:rsidRPr="00A27896" w:rsidRDefault="00844306" w:rsidP="0084430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23 170 840</w:t>
            </w:r>
          </w:p>
        </w:tc>
      </w:tr>
      <w:tr w:rsidR="00844306" w:rsidRPr="00A27896" w14:paraId="491D02D4" w14:textId="77777777" w:rsidTr="00844306">
        <w:trPr>
          <w:trHeight w:val="255"/>
        </w:trPr>
        <w:tc>
          <w:tcPr>
            <w:tcW w:w="4678" w:type="dxa"/>
            <w:tcBorders>
              <w:top w:val="single" w:sz="4" w:space="0" w:color="17365D"/>
              <w:bottom w:val="single" w:sz="4" w:space="0" w:color="17365D"/>
            </w:tcBorders>
            <w:shd w:val="clear" w:color="auto" w:fill="auto"/>
            <w:vAlign w:val="center"/>
            <w:hideMark/>
          </w:tcPr>
          <w:p w14:paraId="490CF23D" w14:textId="77777777" w:rsidR="00844306" w:rsidRPr="00A27896" w:rsidRDefault="00844306" w:rsidP="0084430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Izdevumi no ilgtermiņa finanšu ieguldījumu pārvērtēšanas </w:t>
            </w:r>
          </w:p>
        </w:tc>
        <w:tc>
          <w:tcPr>
            <w:tcW w:w="2556" w:type="dxa"/>
            <w:tcBorders>
              <w:top w:val="single" w:sz="4" w:space="0" w:color="17365D"/>
              <w:left w:val="nil"/>
              <w:bottom w:val="single" w:sz="4" w:space="0" w:color="17365D"/>
              <w:right w:val="nil"/>
            </w:tcBorders>
            <w:shd w:val="clear" w:color="auto" w:fill="auto"/>
            <w:vAlign w:val="center"/>
            <w:hideMark/>
          </w:tcPr>
          <w:p w14:paraId="10B5EAC6" w14:textId="5120468B" w:rsidR="00844306" w:rsidRPr="00A27896" w:rsidRDefault="00BD4094" w:rsidP="00844306">
            <w:pPr>
              <w:spacing w:after="0" w:line="240" w:lineRule="auto"/>
              <w:jc w:val="right"/>
              <w:rPr>
                <w:rFonts w:eastAsia="Arial Unicode MS" w:cs="Times New Roman"/>
                <w:color w:val="17365D"/>
                <w:sz w:val="18"/>
                <w:szCs w:val="18"/>
              </w:rPr>
            </w:pPr>
            <w:r w:rsidRPr="00BD4094">
              <w:rPr>
                <w:rFonts w:eastAsia="Arial Unicode MS" w:cs="Times New Roman"/>
                <w:color w:val="17365D"/>
                <w:sz w:val="18"/>
                <w:szCs w:val="18"/>
              </w:rPr>
              <w:t>167</w:t>
            </w:r>
            <w:r>
              <w:rPr>
                <w:rFonts w:eastAsia="Arial Unicode MS" w:cs="Times New Roman"/>
                <w:color w:val="17365D"/>
                <w:sz w:val="18"/>
                <w:szCs w:val="18"/>
              </w:rPr>
              <w:t xml:space="preserve"> </w:t>
            </w:r>
            <w:r w:rsidRPr="00BD4094">
              <w:rPr>
                <w:rFonts w:eastAsia="Arial Unicode MS" w:cs="Times New Roman"/>
                <w:color w:val="17365D"/>
                <w:sz w:val="18"/>
                <w:szCs w:val="18"/>
              </w:rPr>
              <w:t>828</w:t>
            </w:r>
            <w:r>
              <w:rPr>
                <w:rFonts w:eastAsia="Arial Unicode MS" w:cs="Times New Roman"/>
                <w:color w:val="17365D"/>
                <w:sz w:val="18"/>
                <w:szCs w:val="18"/>
              </w:rPr>
              <w:t xml:space="preserve"> </w:t>
            </w:r>
            <w:r w:rsidRPr="00BD4094">
              <w:rPr>
                <w:rFonts w:eastAsia="Arial Unicode MS" w:cs="Times New Roman"/>
                <w:color w:val="17365D"/>
                <w:sz w:val="18"/>
                <w:szCs w:val="18"/>
              </w:rPr>
              <w:t>549</w:t>
            </w:r>
          </w:p>
        </w:tc>
        <w:tc>
          <w:tcPr>
            <w:tcW w:w="2259" w:type="dxa"/>
            <w:tcBorders>
              <w:top w:val="single" w:sz="4" w:space="0" w:color="17365D"/>
              <w:left w:val="nil"/>
              <w:bottom w:val="single" w:sz="4" w:space="0" w:color="17365D"/>
              <w:right w:val="nil"/>
            </w:tcBorders>
            <w:vAlign w:val="center"/>
          </w:tcPr>
          <w:p w14:paraId="2DFC74E3" w14:textId="08EC43AC" w:rsidR="00844306" w:rsidRPr="00A27896" w:rsidRDefault="00844306" w:rsidP="0084430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70 907 761</w:t>
            </w:r>
          </w:p>
        </w:tc>
      </w:tr>
      <w:tr w:rsidR="00844306" w:rsidRPr="00A27896" w14:paraId="6C1675F5" w14:textId="77777777" w:rsidTr="00844306">
        <w:trPr>
          <w:trHeight w:val="279"/>
        </w:trPr>
        <w:tc>
          <w:tcPr>
            <w:tcW w:w="4678" w:type="dxa"/>
            <w:tcBorders>
              <w:top w:val="single" w:sz="4" w:space="0" w:color="17365D"/>
              <w:bottom w:val="single" w:sz="4" w:space="0" w:color="17365D"/>
            </w:tcBorders>
            <w:shd w:val="clear" w:color="auto" w:fill="auto"/>
            <w:vAlign w:val="center"/>
            <w:hideMark/>
          </w:tcPr>
          <w:p w14:paraId="79025B19" w14:textId="77777777" w:rsidR="00844306" w:rsidRPr="00A27896" w:rsidRDefault="00844306" w:rsidP="0084430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Izdevumi no asociētu un radniecīgo kapitālsabiedrību kapitāla daļu pārdošanas un izslēgšanas no uzskaites</w:t>
            </w:r>
          </w:p>
        </w:tc>
        <w:tc>
          <w:tcPr>
            <w:tcW w:w="2556" w:type="dxa"/>
            <w:tcBorders>
              <w:top w:val="single" w:sz="4" w:space="0" w:color="17365D"/>
              <w:left w:val="nil"/>
              <w:bottom w:val="single" w:sz="4" w:space="0" w:color="17365D"/>
              <w:right w:val="nil"/>
            </w:tcBorders>
            <w:shd w:val="clear" w:color="auto" w:fill="auto"/>
            <w:vAlign w:val="center"/>
            <w:hideMark/>
          </w:tcPr>
          <w:p w14:paraId="6A6DD759" w14:textId="17FCD75B" w:rsidR="00844306" w:rsidRPr="00A27896" w:rsidRDefault="00844306" w:rsidP="0084430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1 555 370</w:t>
            </w:r>
          </w:p>
        </w:tc>
        <w:tc>
          <w:tcPr>
            <w:tcW w:w="2259" w:type="dxa"/>
            <w:tcBorders>
              <w:top w:val="single" w:sz="4" w:space="0" w:color="17365D"/>
              <w:left w:val="nil"/>
              <w:bottom w:val="single" w:sz="4" w:space="0" w:color="17365D"/>
              <w:right w:val="nil"/>
            </w:tcBorders>
            <w:vAlign w:val="center"/>
          </w:tcPr>
          <w:p w14:paraId="12EB688C" w14:textId="46CA5A07" w:rsidR="00844306" w:rsidRPr="00A27896" w:rsidRDefault="00844306" w:rsidP="0084430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511 116</w:t>
            </w:r>
          </w:p>
        </w:tc>
      </w:tr>
      <w:tr w:rsidR="00844306" w:rsidRPr="00A27896" w14:paraId="3B29B9F4" w14:textId="77777777" w:rsidTr="00844306">
        <w:trPr>
          <w:trHeight w:val="144"/>
        </w:trPr>
        <w:tc>
          <w:tcPr>
            <w:tcW w:w="4678" w:type="dxa"/>
            <w:tcBorders>
              <w:top w:val="single" w:sz="4" w:space="0" w:color="17365D"/>
              <w:bottom w:val="single" w:sz="4" w:space="0" w:color="17365D"/>
            </w:tcBorders>
            <w:shd w:val="clear" w:color="auto" w:fill="auto"/>
            <w:vAlign w:val="center"/>
            <w:hideMark/>
          </w:tcPr>
          <w:p w14:paraId="34B83390" w14:textId="77777777" w:rsidR="00844306" w:rsidRPr="00A27896" w:rsidRDefault="00844306" w:rsidP="0084430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Izdevumi no valūtas kursu svārstībām, kas neattiecas uz finanšu instrumentiem</w:t>
            </w:r>
          </w:p>
        </w:tc>
        <w:tc>
          <w:tcPr>
            <w:tcW w:w="2556" w:type="dxa"/>
            <w:tcBorders>
              <w:top w:val="single" w:sz="4" w:space="0" w:color="17365D"/>
              <w:left w:val="nil"/>
              <w:bottom w:val="single" w:sz="4" w:space="0" w:color="17365D"/>
              <w:right w:val="nil"/>
            </w:tcBorders>
            <w:shd w:val="clear" w:color="auto" w:fill="auto"/>
            <w:vAlign w:val="center"/>
            <w:hideMark/>
          </w:tcPr>
          <w:p w14:paraId="199EE306" w14:textId="1CC18EBE" w:rsidR="00844306" w:rsidRPr="00A27896" w:rsidRDefault="00844306" w:rsidP="0084430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8 698 239</w:t>
            </w:r>
          </w:p>
        </w:tc>
        <w:tc>
          <w:tcPr>
            <w:tcW w:w="2259" w:type="dxa"/>
            <w:tcBorders>
              <w:top w:val="single" w:sz="4" w:space="0" w:color="17365D"/>
              <w:left w:val="nil"/>
              <w:bottom w:val="single" w:sz="4" w:space="0" w:color="17365D"/>
              <w:right w:val="nil"/>
            </w:tcBorders>
            <w:vAlign w:val="center"/>
          </w:tcPr>
          <w:p w14:paraId="7F780A22" w14:textId="0622C3DC" w:rsidR="00844306" w:rsidRPr="00A27896" w:rsidRDefault="00844306" w:rsidP="0084430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6 150 420</w:t>
            </w:r>
          </w:p>
        </w:tc>
      </w:tr>
      <w:tr w:rsidR="00844306" w:rsidRPr="00A27896" w14:paraId="6E7A53E0" w14:textId="77777777" w:rsidTr="00844306">
        <w:trPr>
          <w:trHeight w:val="204"/>
        </w:trPr>
        <w:tc>
          <w:tcPr>
            <w:tcW w:w="4678" w:type="dxa"/>
            <w:tcBorders>
              <w:top w:val="single" w:sz="4" w:space="0" w:color="17365D"/>
              <w:bottom w:val="single" w:sz="4" w:space="0" w:color="17365D"/>
            </w:tcBorders>
            <w:shd w:val="clear" w:color="auto" w:fill="auto"/>
            <w:vAlign w:val="center"/>
            <w:hideMark/>
          </w:tcPr>
          <w:p w14:paraId="4ACFAC5E" w14:textId="77777777" w:rsidR="00844306" w:rsidRPr="00A27896" w:rsidRDefault="00844306" w:rsidP="00844306">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Pārējie darījumi </w:t>
            </w:r>
          </w:p>
        </w:tc>
        <w:tc>
          <w:tcPr>
            <w:tcW w:w="2556" w:type="dxa"/>
            <w:tcBorders>
              <w:top w:val="single" w:sz="4" w:space="0" w:color="17365D"/>
              <w:left w:val="nil"/>
              <w:bottom w:val="single" w:sz="4" w:space="0" w:color="17365D"/>
              <w:right w:val="nil"/>
            </w:tcBorders>
            <w:shd w:val="clear" w:color="auto" w:fill="auto"/>
            <w:vAlign w:val="center"/>
            <w:hideMark/>
          </w:tcPr>
          <w:p w14:paraId="1C146D1D" w14:textId="10B7D312" w:rsidR="00844306" w:rsidRPr="00A27896" w:rsidRDefault="00BD4094" w:rsidP="00844306">
            <w:pPr>
              <w:spacing w:after="0" w:line="240" w:lineRule="auto"/>
              <w:jc w:val="right"/>
              <w:rPr>
                <w:rFonts w:eastAsia="Arial Unicode MS" w:cs="Times New Roman"/>
                <w:color w:val="17365D"/>
                <w:sz w:val="18"/>
                <w:szCs w:val="18"/>
              </w:rPr>
            </w:pPr>
            <w:r w:rsidRPr="00BD4094">
              <w:rPr>
                <w:rFonts w:eastAsia="Arial Unicode MS" w:cs="Times New Roman"/>
                <w:color w:val="17365D"/>
                <w:sz w:val="18"/>
                <w:szCs w:val="18"/>
              </w:rPr>
              <w:t>685</w:t>
            </w:r>
            <w:r>
              <w:rPr>
                <w:rFonts w:eastAsia="Arial Unicode MS" w:cs="Times New Roman"/>
                <w:color w:val="17365D"/>
                <w:sz w:val="18"/>
                <w:szCs w:val="18"/>
              </w:rPr>
              <w:t xml:space="preserve"> </w:t>
            </w:r>
            <w:r w:rsidRPr="00BD4094">
              <w:rPr>
                <w:rFonts w:eastAsia="Arial Unicode MS" w:cs="Times New Roman"/>
                <w:color w:val="17365D"/>
                <w:sz w:val="18"/>
                <w:szCs w:val="18"/>
              </w:rPr>
              <w:t>236</w:t>
            </w:r>
            <w:r>
              <w:rPr>
                <w:rFonts w:eastAsia="Arial Unicode MS" w:cs="Times New Roman"/>
                <w:color w:val="17365D"/>
                <w:sz w:val="18"/>
                <w:szCs w:val="18"/>
              </w:rPr>
              <w:t xml:space="preserve"> </w:t>
            </w:r>
            <w:r w:rsidRPr="00BD4094">
              <w:rPr>
                <w:rFonts w:eastAsia="Arial Unicode MS" w:cs="Times New Roman"/>
                <w:color w:val="17365D"/>
                <w:sz w:val="18"/>
                <w:szCs w:val="18"/>
              </w:rPr>
              <w:t>370</w:t>
            </w:r>
          </w:p>
        </w:tc>
        <w:tc>
          <w:tcPr>
            <w:tcW w:w="2259" w:type="dxa"/>
            <w:tcBorders>
              <w:top w:val="single" w:sz="4" w:space="0" w:color="17365D"/>
              <w:left w:val="nil"/>
              <w:bottom w:val="single" w:sz="4" w:space="0" w:color="17365D"/>
              <w:right w:val="nil"/>
            </w:tcBorders>
            <w:vAlign w:val="center"/>
          </w:tcPr>
          <w:p w14:paraId="56AAB8A4" w14:textId="141764B9" w:rsidR="00844306" w:rsidRPr="00A27896" w:rsidRDefault="00BD4094" w:rsidP="00844306">
            <w:pPr>
              <w:spacing w:after="0" w:line="240" w:lineRule="auto"/>
              <w:jc w:val="right"/>
              <w:rPr>
                <w:rFonts w:eastAsia="Arial Unicode MS" w:cs="Times New Roman"/>
                <w:color w:val="17365D"/>
                <w:sz w:val="18"/>
                <w:szCs w:val="18"/>
              </w:rPr>
            </w:pPr>
            <w:r w:rsidRPr="00BD4094">
              <w:rPr>
                <w:rFonts w:eastAsia="Arial Unicode MS" w:cs="Times New Roman"/>
                <w:color w:val="17365D"/>
                <w:sz w:val="18"/>
                <w:szCs w:val="18"/>
              </w:rPr>
              <w:t>604</w:t>
            </w:r>
            <w:r>
              <w:rPr>
                <w:rFonts w:eastAsia="Arial Unicode MS" w:cs="Times New Roman"/>
                <w:color w:val="17365D"/>
                <w:sz w:val="18"/>
                <w:szCs w:val="18"/>
              </w:rPr>
              <w:t xml:space="preserve"> </w:t>
            </w:r>
            <w:r w:rsidRPr="00BD4094">
              <w:rPr>
                <w:rFonts w:eastAsia="Arial Unicode MS" w:cs="Times New Roman"/>
                <w:color w:val="17365D"/>
                <w:sz w:val="18"/>
                <w:szCs w:val="18"/>
              </w:rPr>
              <w:t>403</w:t>
            </w:r>
            <w:r>
              <w:rPr>
                <w:rFonts w:eastAsia="Arial Unicode MS" w:cs="Times New Roman"/>
                <w:color w:val="17365D"/>
                <w:sz w:val="18"/>
                <w:szCs w:val="18"/>
              </w:rPr>
              <w:t xml:space="preserve"> </w:t>
            </w:r>
            <w:r w:rsidRPr="00BD4094">
              <w:rPr>
                <w:rFonts w:eastAsia="Arial Unicode MS" w:cs="Times New Roman"/>
                <w:color w:val="17365D"/>
                <w:sz w:val="18"/>
                <w:szCs w:val="18"/>
              </w:rPr>
              <w:t>357</w:t>
            </w:r>
          </w:p>
        </w:tc>
      </w:tr>
      <w:tr w:rsidR="00844306" w:rsidRPr="00A27896" w14:paraId="5C7DD029" w14:textId="77777777" w:rsidTr="00844306">
        <w:trPr>
          <w:trHeight w:val="231"/>
        </w:trPr>
        <w:tc>
          <w:tcPr>
            <w:tcW w:w="4678" w:type="dxa"/>
            <w:tcBorders>
              <w:top w:val="single" w:sz="4" w:space="0" w:color="17365D"/>
            </w:tcBorders>
            <w:shd w:val="clear" w:color="auto" w:fill="B8CCE4" w:themeFill="accent1" w:themeFillTint="66"/>
            <w:vAlign w:val="center"/>
            <w:hideMark/>
          </w:tcPr>
          <w:p w14:paraId="65F0B295" w14:textId="77777777" w:rsidR="00844306" w:rsidRPr="00A27896" w:rsidRDefault="00844306" w:rsidP="00844306">
            <w:pPr>
              <w:spacing w:after="0" w:line="240" w:lineRule="auto"/>
              <w:rPr>
                <w:rFonts w:eastAsia="Arial Unicode MS" w:cs="Times New Roman"/>
                <w:b/>
                <w:color w:val="17365D"/>
                <w:sz w:val="18"/>
                <w:szCs w:val="18"/>
              </w:rPr>
            </w:pPr>
            <w:r w:rsidRPr="00A27896">
              <w:rPr>
                <w:rFonts w:eastAsia="Arial Unicode MS" w:cs="Times New Roman"/>
                <w:b/>
                <w:color w:val="17365D"/>
                <w:sz w:val="18"/>
                <w:szCs w:val="18"/>
              </w:rPr>
              <w:t>Kopā </w:t>
            </w:r>
          </w:p>
        </w:tc>
        <w:tc>
          <w:tcPr>
            <w:tcW w:w="2556" w:type="dxa"/>
            <w:tcBorders>
              <w:top w:val="single" w:sz="4" w:space="0" w:color="17365D"/>
              <w:left w:val="nil"/>
              <w:bottom w:val="nil"/>
              <w:right w:val="nil"/>
            </w:tcBorders>
            <w:shd w:val="clear" w:color="auto" w:fill="B8CCE4" w:themeFill="accent1" w:themeFillTint="66"/>
            <w:noWrap/>
            <w:vAlign w:val="center"/>
            <w:hideMark/>
          </w:tcPr>
          <w:p w14:paraId="5DFFE1DB" w14:textId="1C4B446B" w:rsidR="00844306" w:rsidRPr="00A27896" w:rsidRDefault="00586B8D" w:rsidP="00844306">
            <w:pPr>
              <w:spacing w:after="0" w:line="240" w:lineRule="auto"/>
              <w:jc w:val="right"/>
              <w:rPr>
                <w:rFonts w:eastAsia="Arial Unicode MS" w:cs="Times New Roman"/>
                <w:b/>
                <w:color w:val="17365D"/>
                <w:sz w:val="18"/>
                <w:szCs w:val="18"/>
              </w:rPr>
            </w:pPr>
            <w:r w:rsidRPr="00586B8D">
              <w:rPr>
                <w:rFonts w:eastAsia="Arial Unicode MS" w:cs="Times New Roman"/>
                <w:b/>
                <w:color w:val="17365D"/>
                <w:sz w:val="18"/>
                <w:szCs w:val="18"/>
              </w:rPr>
              <w:t>1</w:t>
            </w:r>
            <w:r>
              <w:rPr>
                <w:rFonts w:eastAsia="Arial Unicode MS" w:cs="Times New Roman"/>
                <w:b/>
                <w:color w:val="17365D"/>
                <w:sz w:val="18"/>
                <w:szCs w:val="18"/>
              </w:rPr>
              <w:t xml:space="preserve"> </w:t>
            </w:r>
            <w:r w:rsidRPr="00586B8D">
              <w:rPr>
                <w:rFonts w:eastAsia="Arial Unicode MS" w:cs="Times New Roman"/>
                <w:b/>
                <w:color w:val="17365D"/>
                <w:sz w:val="18"/>
                <w:szCs w:val="18"/>
              </w:rPr>
              <w:t>489</w:t>
            </w:r>
            <w:r>
              <w:rPr>
                <w:rFonts w:eastAsia="Arial Unicode MS" w:cs="Times New Roman"/>
                <w:b/>
                <w:color w:val="17365D"/>
                <w:sz w:val="18"/>
                <w:szCs w:val="18"/>
              </w:rPr>
              <w:t xml:space="preserve"> </w:t>
            </w:r>
            <w:r w:rsidRPr="00586B8D">
              <w:rPr>
                <w:rFonts w:eastAsia="Arial Unicode MS" w:cs="Times New Roman"/>
                <w:b/>
                <w:color w:val="17365D"/>
                <w:sz w:val="18"/>
                <w:szCs w:val="18"/>
              </w:rPr>
              <w:t>460</w:t>
            </w:r>
            <w:r>
              <w:rPr>
                <w:rFonts w:eastAsia="Arial Unicode MS" w:cs="Times New Roman"/>
                <w:b/>
                <w:color w:val="17365D"/>
                <w:sz w:val="18"/>
                <w:szCs w:val="18"/>
              </w:rPr>
              <w:t xml:space="preserve"> </w:t>
            </w:r>
            <w:r w:rsidRPr="00586B8D">
              <w:rPr>
                <w:rFonts w:eastAsia="Arial Unicode MS" w:cs="Times New Roman"/>
                <w:b/>
                <w:color w:val="17365D"/>
                <w:sz w:val="18"/>
                <w:szCs w:val="18"/>
              </w:rPr>
              <w:t>059</w:t>
            </w:r>
          </w:p>
        </w:tc>
        <w:tc>
          <w:tcPr>
            <w:tcW w:w="2259" w:type="dxa"/>
            <w:tcBorders>
              <w:top w:val="single" w:sz="4" w:space="0" w:color="17365D"/>
              <w:left w:val="nil"/>
              <w:bottom w:val="nil"/>
              <w:right w:val="nil"/>
            </w:tcBorders>
            <w:shd w:val="clear" w:color="auto" w:fill="B8CCE4" w:themeFill="accent1" w:themeFillTint="66"/>
            <w:vAlign w:val="center"/>
          </w:tcPr>
          <w:p w14:paraId="3C8885B2" w14:textId="479CCC65" w:rsidR="00844306" w:rsidRPr="00A27896" w:rsidRDefault="00586B8D" w:rsidP="00844306">
            <w:pPr>
              <w:spacing w:after="0" w:line="240" w:lineRule="auto"/>
              <w:jc w:val="right"/>
              <w:rPr>
                <w:rFonts w:eastAsia="Arial Unicode MS" w:cs="Times New Roman"/>
                <w:b/>
                <w:color w:val="17365D"/>
                <w:sz w:val="18"/>
                <w:szCs w:val="18"/>
              </w:rPr>
            </w:pPr>
            <w:r w:rsidRPr="00586B8D">
              <w:rPr>
                <w:rFonts w:eastAsia="Arial Unicode MS" w:cs="Times New Roman"/>
                <w:b/>
                <w:color w:val="17365D"/>
                <w:sz w:val="18"/>
                <w:szCs w:val="18"/>
              </w:rPr>
              <w:t>1</w:t>
            </w:r>
            <w:r>
              <w:rPr>
                <w:rFonts w:eastAsia="Arial Unicode MS" w:cs="Times New Roman"/>
                <w:b/>
                <w:color w:val="17365D"/>
                <w:sz w:val="18"/>
                <w:szCs w:val="18"/>
              </w:rPr>
              <w:t xml:space="preserve"> </w:t>
            </w:r>
            <w:r w:rsidRPr="00586B8D">
              <w:rPr>
                <w:rFonts w:eastAsia="Arial Unicode MS" w:cs="Times New Roman"/>
                <w:b/>
                <w:color w:val="17365D"/>
                <w:sz w:val="18"/>
                <w:szCs w:val="18"/>
              </w:rPr>
              <w:t>143</w:t>
            </w:r>
            <w:r>
              <w:rPr>
                <w:rFonts w:eastAsia="Arial Unicode MS" w:cs="Times New Roman"/>
                <w:b/>
                <w:color w:val="17365D"/>
                <w:sz w:val="18"/>
                <w:szCs w:val="18"/>
              </w:rPr>
              <w:t xml:space="preserve"> </w:t>
            </w:r>
            <w:r w:rsidRPr="00586B8D">
              <w:rPr>
                <w:rFonts w:eastAsia="Arial Unicode MS" w:cs="Times New Roman"/>
                <w:b/>
                <w:color w:val="17365D"/>
                <w:sz w:val="18"/>
                <w:szCs w:val="18"/>
              </w:rPr>
              <w:t>178</w:t>
            </w:r>
            <w:r>
              <w:rPr>
                <w:rFonts w:eastAsia="Arial Unicode MS" w:cs="Times New Roman"/>
                <w:b/>
                <w:color w:val="17365D"/>
                <w:sz w:val="18"/>
                <w:szCs w:val="18"/>
              </w:rPr>
              <w:t xml:space="preserve"> </w:t>
            </w:r>
            <w:r w:rsidRPr="00586B8D">
              <w:rPr>
                <w:rFonts w:eastAsia="Arial Unicode MS" w:cs="Times New Roman"/>
                <w:b/>
                <w:color w:val="17365D"/>
                <w:sz w:val="18"/>
                <w:szCs w:val="18"/>
              </w:rPr>
              <w:t>092</w:t>
            </w:r>
          </w:p>
        </w:tc>
      </w:tr>
    </w:tbl>
    <w:p w14:paraId="06509DE2" w14:textId="272F4142" w:rsidR="008911F1" w:rsidRPr="00A27896" w:rsidRDefault="008911F1" w:rsidP="004F0B4D">
      <w:pPr>
        <w:pStyle w:val="Pamatteksts"/>
        <w:spacing w:before="240"/>
        <w:ind w:firstLine="0"/>
        <w:rPr>
          <w:noProof w:val="0"/>
          <w:color w:val="17365D"/>
          <w:lang w:eastAsia="en-US"/>
        </w:rPr>
      </w:pPr>
      <w:r w:rsidRPr="00A27896">
        <w:rPr>
          <w:noProof w:val="0"/>
          <w:color w:val="17365D"/>
          <w:lang w:eastAsia="en-US"/>
        </w:rPr>
        <w:t xml:space="preserve">Ieņēmumu un izdevumu neto vērtību izmaiņas uzrādītas </w:t>
      </w:r>
      <w:r w:rsidR="006C1AA7" w:rsidRPr="00A27896">
        <w:rPr>
          <w:noProof w:val="0"/>
          <w:color w:val="17365D"/>
          <w:lang w:eastAsia="en-US"/>
        </w:rPr>
        <w:t>50</w:t>
      </w:r>
      <w:r w:rsidRPr="00A27896">
        <w:rPr>
          <w:noProof w:val="0"/>
          <w:color w:val="17365D"/>
          <w:lang w:eastAsia="en-US"/>
        </w:rPr>
        <w:t>. tabulā</w:t>
      </w:r>
      <w:r w:rsidR="00A22571" w:rsidRPr="00A27896">
        <w:rPr>
          <w:noProof w:val="0"/>
          <w:color w:val="17365D"/>
          <w:lang w:eastAsia="en-US"/>
        </w:rPr>
        <w:t>.</w:t>
      </w:r>
    </w:p>
    <w:p w14:paraId="2A108233" w14:textId="0F6E72BA" w:rsidR="00A22571" w:rsidRPr="00A27896" w:rsidRDefault="006C1AA7" w:rsidP="00A22571">
      <w:pPr>
        <w:pStyle w:val="Tabulasnosaukums1"/>
        <w:spacing w:before="0"/>
        <w:rPr>
          <w:rFonts w:eastAsia="Arial Unicode MS" w:cs="Times New Roman"/>
          <w:color w:val="17365D"/>
        </w:rPr>
      </w:pPr>
      <w:r w:rsidRPr="00A27896">
        <w:rPr>
          <w:rFonts w:eastAsia="Arial Unicode MS" w:cs="Times New Roman"/>
          <w:i/>
          <w:color w:val="17365D"/>
        </w:rPr>
        <w:t>50</w:t>
      </w:r>
      <w:r w:rsidR="00A22571" w:rsidRPr="00A27896">
        <w:rPr>
          <w:rFonts w:eastAsia="Arial Unicode MS" w:cs="Times New Roman"/>
          <w:i/>
          <w:color w:val="17365D"/>
        </w:rPr>
        <w:t>. tabula. Ieņēmumu un izdevumu neto vērtību izmaiņas (</w:t>
      </w:r>
      <w:proofErr w:type="spellStart"/>
      <w:r w:rsidR="00A22571" w:rsidRPr="00A27896">
        <w:rPr>
          <w:rFonts w:eastAsia="Arial Unicode MS" w:cs="Times New Roman"/>
          <w:i/>
          <w:color w:val="17365D"/>
        </w:rPr>
        <w:t>euro</w:t>
      </w:r>
      <w:proofErr w:type="spellEnd"/>
      <w:r w:rsidR="00A22571" w:rsidRPr="00A27896">
        <w:rPr>
          <w:rFonts w:eastAsia="Arial Unicode MS" w:cs="Times New Roman"/>
          <w:i/>
          <w:color w:val="17365D"/>
        </w:rPr>
        <w:t>)</w:t>
      </w:r>
    </w:p>
    <w:tbl>
      <w:tblPr>
        <w:tblW w:w="9498" w:type="dxa"/>
        <w:tblBorders>
          <w:insideH w:val="single" w:sz="4" w:space="0" w:color="012169"/>
        </w:tblBorders>
        <w:tblLayout w:type="fixed"/>
        <w:tblLook w:val="04A0" w:firstRow="1" w:lastRow="0" w:firstColumn="1" w:lastColumn="0" w:noHBand="0" w:noVBand="1"/>
      </w:tblPr>
      <w:tblGrid>
        <w:gridCol w:w="2835"/>
        <w:gridCol w:w="992"/>
        <w:gridCol w:w="1418"/>
        <w:gridCol w:w="1417"/>
        <w:gridCol w:w="1418"/>
        <w:gridCol w:w="1418"/>
      </w:tblGrid>
      <w:tr w:rsidR="000C1009" w:rsidRPr="00A27896" w14:paraId="682016A4" w14:textId="77777777" w:rsidTr="003137D2">
        <w:trPr>
          <w:trHeight w:val="791"/>
          <w:tblHeader/>
        </w:trPr>
        <w:tc>
          <w:tcPr>
            <w:tcW w:w="2835" w:type="dxa"/>
            <w:tcBorders>
              <w:bottom w:val="single" w:sz="4" w:space="0" w:color="17365D"/>
            </w:tcBorders>
            <w:shd w:val="clear" w:color="auto" w:fill="B9CDE5"/>
            <w:vAlign w:val="center"/>
            <w:hideMark/>
          </w:tcPr>
          <w:p w14:paraId="5DC58DD7" w14:textId="77777777" w:rsidR="008911F1" w:rsidRPr="00A27896" w:rsidRDefault="008911F1" w:rsidP="008911F1">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Rādītājs</w:t>
            </w:r>
          </w:p>
        </w:tc>
        <w:tc>
          <w:tcPr>
            <w:tcW w:w="992" w:type="dxa"/>
            <w:tcBorders>
              <w:bottom w:val="single" w:sz="4" w:space="0" w:color="17365D"/>
            </w:tcBorders>
            <w:shd w:val="clear" w:color="auto" w:fill="B9CDE5"/>
            <w:vAlign w:val="center"/>
          </w:tcPr>
          <w:p w14:paraId="7EDF476B" w14:textId="77777777" w:rsidR="008911F1" w:rsidRPr="00A27896" w:rsidRDefault="008911F1" w:rsidP="008911F1">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 Nr.</w:t>
            </w:r>
          </w:p>
        </w:tc>
        <w:tc>
          <w:tcPr>
            <w:tcW w:w="1418" w:type="dxa"/>
            <w:tcBorders>
              <w:bottom w:val="single" w:sz="4" w:space="0" w:color="17365D"/>
            </w:tcBorders>
            <w:shd w:val="clear" w:color="auto" w:fill="B9CDE5"/>
            <w:vAlign w:val="center"/>
          </w:tcPr>
          <w:p w14:paraId="56C3DDAA" w14:textId="77777777" w:rsidR="008911F1" w:rsidRPr="00A27896" w:rsidRDefault="008911F1" w:rsidP="008911F1">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periods</w:t>
            </w:r>
          </w:p>
        </w:tc>
        <w:tc>
          <w:tcPr>
            <w:tcW w:w="1417" w:type="dxa"/>
            <w:tcBorders>
              <w:bottom w:val="single" w:sz="4" w:space="0" w:color="17365D"/>
            </w:tcBorders>
            <w:shd w:val="clear" w:color="auto" w:fill="B9CDE5"/>
            <w:vAlign w:val="center"/>
          </w:tcPr>
          <w:p w14:paraId="331B9E19" w14:textId="77777777" w:rsidR="008911F1" w:rsidRPr="00A27896" w:rsidRDefault="008911F1" w:rsidP="008911F1">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Iepriekšējais pārskata periods</w:t>
            </w:r>
          </w:p>
        </w:tc>
        <w:tc>
          <w:tcPr>
            <w:tcW w:w="1418" w:type="dxa"/>
            <w:tcBorders>
              <w:bottom w:val="single" w:sz="4" w:space="0" w:color="17365D"/>
            </w:tcBorders>
            <w:shd w:val="clear" w:color="auto" w:fill="B9CDE5"/>
            <w:vAlign w:val="center"/>
          </w:tcPr>
          <w:p w14:paraId="458CE8AB" w14:textId="77777777" w:rsidR="008911F1" w:rsidRPr="00A27896" w:rsidRDefault="008911F1" w:rsidP="008911F1">
            <w:pPr>
              <w:spacing w:after="0" w:line="240" w:lineRule="auto"/>
              <w:ind w:left="-107" w:right="-109"/>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Izmaiņas (1. – 2.)</w:t>
            </w:r>
          </w:p>
        </w:tc>
        <w:tc>
          <w:tcPr>
            <w:tcW w:w="1418" w:type="dxa"/>
            <w:tcBorders>
              <w:bottom w:val="single" w:sz="4" w:space="0" w:color="17365D"/>
            </w:tcBorders>
            <w:shd w:val="clear" w:color="auto" w:fill="B9CDE5"/>
            <w:vAlign w:val="center"/>
          </w:tcPr>
          <w:p w14:paraId="49C6BBD1" w14:textId="5ACC82C3" w:rsidR="008911F1" w:rsidRPr="00A27896" w:rsidRDefault="008911F1" w:rsidP="00B42452">
            <w:pPr>
              <w:spacing w:after="0" w:line="240" w:lineRule="auto"/>
              <w:ind w:left="-107" w:right="-109"/>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Procentuālās izmaiņas </w:t>
            </w:r>
            <w:r w:rsidRPr="00A27896">
              <w:rPr>
                <w:rFonts w:eastAsia="Times New Roman" w:cs="Times New Roman"/>
                <w:b/>
                <w:color w:val="17365D"/>
                <w:sz w:val="18"/>
                <w:szCs w:val="18"/>
                <w:lang w:eastAsia="lv-LV"/>
              </w:rPr>
              <w:br/>
            </w:r>
            <w:r w:rsidR="001B6C1F" w:rsidRPr="00A27896">
              <w:rPr>
                <w:rFonts w:eastAsia="Times New Roman" w:cs="Times New Roman"/>
                <w:b/>
                <w:color w:val="17365D"/>
                <w:sz w:val="18"/>
                <w:szCs w:val="18"/>
                <w:lang w:eastAsia="lv-LV"/>
              </w:rPr>
              <w:t xml:space="preserve">(3./2. </w:t>
            </w:r>
            <w:r w:rsidR="00B42452" w:rsidRPr="00A27896">
              <w:rPr>
                <w:rFonts w:eastAsia="Times New Roman" w:cs="Times New Roman"/>
                <w:b/>
                <w:color w:val="17365D"/>
                <w:sz w:val="18"/>
                <w:szCs w:val="18"/>
                <w:lang w:eastAsia="lv-LV"/>
              </w:rPr>
              <w:t>*</w:t>
            </w:r>
            <w:r w:rsidR="001B6C1F" w:rsidRPr="00A27896">
              <w:rPr>
                <w:rFonts w:eastAsia="Times New Roman" w:cs="Times New Roman"/>
                <w:b/>
                <w:color w:val="17365D"/>
                <w:sz w:val="18"/>
                <w:szCs w:val="18"/>
                <w:lang w:eastAsia="lv-LV"/>
              </w:rPr>
              <w:t xml:space="preserve"> 100)</w:t>
            </w:r>
          </w:p>
        </w:tc>
      </w:tr>
      <w:tr w:rsidR="000C1009" w:rsidRPr="00A27896" w14:paraId="7276B4B6" w14:textId="77777777" w:rsidTr="003137D2">
        <w:trPr>
          <w:trHeight w:val="56"/>
        </w:trPr>
        <w:tc>
          <w:tcPr>
            <w:tcW w:w="2835" w:type="dxa"/>
            <w:tcBorders>
              <w:top w:val="single" w:sz="4" w:space="0" w:color="17365D"/>
              <w:bottom w:val="single" w:sz="4" w:space="0" w:color="17365D"/>
            </w:tcBorders>
            <w:shd w:val="clear" w:color="auto" w:fill="auto"/>
            <w:vAlign w:val="center"/>
          </w:tcPr>
          <w:p w14:paraId="321189FD" w14:textId="77777777" w:rsidR="008911F1" w:rsidRPr="00A27896" w:rsidRDefault="008911F1" w:rsidP="008911F1">
            <w:pPr>
              <w:spacing w:after="0" w:line="240" w:lineRule="auto"/>
              <w:jc w:val="center"/>
              <w:rPr>
                <w:rFonts w:eastAsia="Times New Roman" w:cs="Times New Roman"/>
                <w:b/>
                <w:color w:val="17365D"/>
                <w:sz w:val="18"/>
                <w:szCs w:val="18"/>
              </w:rPr>
            </w:pPr>
            <w:r w:rsidRPr="00A27896">
              <w:rPr>
                <w:rFonts w:eastAsia="Times New Roman" w:cs="Times New Roman"/>
                <w:b/>
                <w:color w:val="17365D"/>
                <w:sz w:val="18"/>
                <w:szCs w:val="18"/>
              </w:rPr>
              <w:t>A</w:t>
            </w:r>
          </w:p>
        </w:tc>
        <w:tc>
          <w:tcPr>
            <w:tcW w:w="992" w:type="dxa"/>
            <w:tcBorders>
              <w:top w:val="single" w:sz="4" w:space="0" w:color="17365D"/>
              <w:bottom w:val="single" w:sz="4" w:space="0" w:color="17365D"/>
            </w:tcBorders>
            <w:shd w:val="clear" w:color="auto" w:fill="auto"/>
            <w:vAlign w:val="center"/>
          </w:tcPr>
          <w:p w14:paraId="65E784C7" w14:textId="77777777" w:rsidR="008911F1" w:rsidRPr="00A27896" w:rsidRDefault="008911F1" w:rsidP="008911F1">
            <w:pPr>
              <w:spacing w:after="0" w:line="240" w:lineRule="auto"/>
              <w:jc w:val="center"/>
              <w:rPr>
                <w:rFonts w:eastAsia="Times New Roman" w:cs="Times New Roman"/>
                <w:b/>
                <w:color w:val="17365D"/>
                <w:sz w:val="18"/>
                <w:szCs w:val="18"/>
              </w:rPr>
            </w:pPr>
            <w:r w:rsidRPr="00A27896">
              <w:rPr>
                <w:rFonts w:eastAsia="Times New Roman" w:cs="Times New Roman"/>
                <w:b/>
                <w:color w:val="17365D"/>
                <w:sz w:val="18"/>
                <w:szCs w:val="18"/>
              </w:rPr>
              <w:t>B</w:t>
            </w:r>
          </w:p>
        </w:tc>
        <w:tc>
          <w:tcPr>
            <w:tcW w:w="1418" w:type="dxa"/>
            <w:tcBorders>
              <w:top w:val="single" w:sz="4" w:space="0" w:color="17365D"/>
              <w:bottom w:val="single" w:sz="4" w:space="0" w:color="17365D"/>
            </w:tcBorders>
            <w:shd w:val="clear" w:color="auto" w:fill="auto"/>
            <w:vAlign w:val="center"/>
          </w:tcPr>
          <w:p w14:paraId="7DDDA646" w14:textId="77777777" w:rsidR="008911F1" w:rsidRPr="00A27896" w:rsidRDefault="008911F1" w:rsidP="008911F1">
            <w:pPr>
              <w:spacing w:after="0" w:line="240" w:lineRule="auto"/>
              <w:jc w:val="center"/>
              <w:rPr>
                <w:rFonts w:eastAsia="Times New Roman" w:cs="Times New Roman"/>
                <w:b/>
                <w:color w:val="17365D"/>
                <w:sz w:val="18"/>
                <w:szCs w:val="18"/>
              </w:rPr>
            </w:pPr>
            <w:r w:rsidRPr="00A27896">
              <w:rPr>
                <w:rFonts w:eastAsia="Times New Roman" w:cs="Times New Roman"/>
                <w:b/>
                <w:color w:val="17365D"/>
                <w:sz w:val="18"/>
                <w:szCs w:val="18"/>
              </w:rPr>
              <w:t>1</w:t>
            </w:r>
          </w:p>
        </w:tc>
        <w:tc>
          <w:tcPr>
            <w:tcW w:w="1417" w:type="dxa"/>
            <w:tcBorders>
              <w:top w:val="single" w:sz="4" w:space="0" w:color="17365D"/>
              <w:bottom w:val="single" w:sz="4" w:space="0" w:color="17365D"/>
            </w:tcBorders>
            <w:shd w:val="clear" w:color="auto" w:fill="auto"/>
            <w:vAlign w:val="center"/>
          </w:tcPr>
          <w:p w14:paraId="3B40BF6B" w14:textId="77777777" w:rsidR="008911F1" w:rsidRPr="00A27896" w:rsidRDefault="008911F1" w:rsidP="008911F1">
            <w:pPr>
              <w:spacing w:after="0" w:line="240" w:lineRule="auto"/>
              <w:jc w:val="center"/>
              <w:rPr>
                <w:rFonts w:eastAsia="Times New Roman" w:cs="Times New Roman"/>
                <w:b/>
                <w:color w:val="17365D"/>
                <w:sz w:val="18"/>
                <w:szCs w:val="18"/>
              </w:rPr>
            </w:pPr>
            <w:r w:rsidRPr="00A27896">
              <w:rPr>
                <w:rFonts w:eastAsia="Times New Roman" w:cs="Times New Roman"/>
                <w:b/>
                <w:color w:val="17365D"/>
                <w:sz w:val="18"/>
                <w:szCs w:val="18"/>
              </w:rPr>
              <w:t>2</w:t>
            </w:r>
          </w:p>
        </w:tc>
        <w:tc>
          <w:tcPr>
            <w:tcW w:w="1418" w:type="dxa"/>
            <w:tcBorders>
              <w:top w:val="single" w:sz="4" w:space="0" w:color="17365D"/>
              <w:bottom w:val="single" w:sz="4" w:space="0" w:color="17365D"/>
            </w:tcBorders>
            <w:shd w:val="clear" w:color="auto" w:fill="auto"/>
            <w:vAlign w:val="center"/>
          </w:tcPr>
          <w:p w14:paraId="3DFC4C9B" w14:textId="77777777" w:rsidR="008911F1" w:rsidRPr="00A27896" w:rsidRDefault="008911F1" w:rsidP="008911F1">
            <w:pPr>
              <w:spacing w:after="0" w:line="240" w:lineRule="auto"/>
              <w:jc w:val="center"/>
              <w:rPr>
                <w:rFonts w:eastAsia="Times New Roman" w:cs="Times New Roman"/>
                <w:b/>
                <w:color w:val="17365D"/>
                <w:sz w:val="18"/>
                <w:szCs w:val="18"/>
              </w:rPr>
            </w:pPr>
            <w:r w:rsidRPr="00A27896">
              <w:rPr>
                <w:rFonts w:eastAsia="Times New Roman" w:cs="Times New Roman"/>
                <w:b/>
                <w:color w:val="17365D"/>
                <w:sz w:val="18"/>
                <w:szCs w:val="18"/>
              </w:rPr>
              <w:t>3</w:t>
            </w:r>
          </w:p>
        </w:tc>
        <w:tc>
          <w:tcPr>
            <w:tcW w:w="1418" w:type="dxa"/>
            <w:tcBorders>
              <w:top w:val="single" w:sz="4" w:space="0" w:color="17365D"/>
              <w:bottom w:val="single" w:sz="4" w:space="0" w:color="17365D"/>
            </w:tcBorders>
            <w:shd w:val="clear" w:color="auto" w:fill="auto"/>
            <w:vAlign w:val="center"/>
          </w:tcPr>
          <w:p w14:paraId="13139CE5" w14:textId="77777777" w:rsidR="008911F1" w:rsidRPr="00A27896" w:rsidRDefault="008911F1" w:rsidP="008911F1">
            <w:pPr>
              <w:spacing w:after="0" w:line="240" w:lineRule="auto"/>
              <w:jc w:val="center"/>
              <w:rPr>
                <w:rFonts w:eastAsia="Times New Roman" w:cs="Times New Roman"/>
                <w:b/>
                <w:color w:val="17365D"/>
                <w:sz w:val="18"/>
                <w:szCs w:val="18"/>
              </w:rPr>
            </w:pPr>
            <w:r w:rsidRPr="00A27896">
              <w:rPr>
                <w:rFonts w:eastAsia="Times New Roman" w:cs="Times New Roman"/>
                <w:b/>
                <w:color w:val="17365D"/>
                <w:sz w:val="18"/>
                <w:szCs w:val="18"/>
              </w:rPr>
              <w:t>4</w:t>
            </w:r>
          </w:p>
        </w:tc>
      </w:tr>
      <w:tr w:rsidR="00844306" w:rsidRPr="00A27896" w14:paraId="6BFFEA47" w14:textId="77777777" w:rsidTr="00613206">
        <w:trPr>
          <w:trHeight w:val="319"/>
        </w:trPr>
        <w:tc>
          <w:tcPr>
            <w:tcW w:w="2835" w:type="dxa"/>
            <w:tcBorders>
              <w:top w:val="single" w:sz="4" w:space="0" w:color="17365D"/>
              <w:bottom w:val="single" w:sz="4" w:space="0" w:color="17365D"/>
            </w:tcBorders>
            <w:shd w:val="clear" w:color="auto" w:fill="auto"/>
            <w:vAlign w:val="center"/>
          </w:tcPr>
          <w:p w14:paraId="4EFF9ACF" w14:textId="77777777" w:rsidR="00844306" w:rsidRPr="00A27896" w:rsidRDefault="00844306" w:rsidP="00844306">
            <w:pPr>
              <w:spacing w:after="0" w:line="240" w:lineRule="auto"/>
              <w:rPr>
                <w:rFonts w:eastAsia="Times New Roman" w:cs="Times New Roman"/>
                <w:color w:val="17365D"/>
                <w:sz w:val="18"/>
                <w:szCs w:val="18"/>
              </w:rPr>
            </w:pPr>
            <w:r w:rsidRPr="00A27896">
              <w:rPr>
                <w:rFonts w:eastAsia="Times New Roman" w:cs="Times New Roman"/>
                <w:color w:val="17365D"/>
                <w:sz w:val="18"/>
                <w:szCs w:val="18"/>
              </w:rPr>
              <w:t>Ieņēmumi (+) vai izdevumi (–) no finanšu instrumentiem</w:t>
            </w:r>
          </w:p>
        </w:tc>
        <w:tc>
          <w:tcPr>
            <w:tcW w:w="992" w:type="dxa"/>
            <w:tcBorders>
              <w:top w:val="single" w:sz="4" w:space="0" w:color="17365D"/>
              <w:bottom w:val="single" w:sz="4" w:space="0" w:color="17365D"/>
            </w:tcBorders>
            <w:shd w:val="clear" w:color="auto" w:fill="auto"/>
            <w:vAlign w:val="center"/>
          </w:tcPr>
          <w:p w14:paraId="3EE2D83B" w14:textId="2557FE8A" w:rsidR="00844306" w:rsidRPr="00A27896" w:rsidRDefault="00844306" w:rsidP="00844306">
            <w:pPr>
              <w:spacing w:after="0" w:line="240" w:lineRule="auto"/>
              <w:jc w:val="center"/>
              <w:rPr>
                <w:rFonts w:eastAsia="Times New Roman" w:cs="Times New Roman"/>
                <w:color w:val="17365D"/>
                <w:sz w:val="18"/>
                <w:szCs w:val="18"/>
              </w:rPr>
            </w:pPr>
          </w:p>
        </w:tc>
        <w:tc>
          <w:tcPr>
            <w:tcW w:w="1418" w:type="dxa"/>
            <w:tcBorders>
              <w:top w:val="single" w:sz="4" w:space="0" w:color="17365D"/>
              <w:bottom w:val="single" w:sz="4" w:space="0" w:color="17365D"/>
            </w:tcBorders>
            <w:shd w:val="clear" w:color="auto" w:fill="auto"/>
            <w:vAlign w:val="center"/>
          </w:tcPr>
          <w:p w14:paraId="1F8E31E4" w14:textId="604E1486" w:rsidR="00844306" w:rsidRPr="00A27896" w:rsidRDefault="00844306" w:rsidP="00EF6AA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-6 930 573</w:t>
            </w:r>
          </w:p>
        </w:tc>
        <w:tc>
          <w:tcPr>
            <w:tcW w:w="1417" w:type="dxa"/>
            <w:tcBorders>
              <w:top w:val="single" w:sz="4" w:space="0" w:color="17365D"/>
              <w:bottom w:val="single" w:sz="4" w:space="0" w:color="17365D"/>
            </w:tcBorders>
            <w:shd w:val="clear" w:color="auto" w:fill="auto"/>
            <w:vAlign w:val="center"/>
          </w:tcPr>
          <w:p w14:paraId="2D1CC53B" w14:textId="0A570925" w:rsidR="00844306" w:rsidRPr="00A27896" w:rsidRDefault="00844306" w:rsidP="00EF6AA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-10 532 756</w:t>
            </w:r>
          </w:p>
        </w:tc>
        <w:tc>
          <w:tcPr>
            <w:tcW w:w="1418" w:type="dxa"/>
            <w:tcBorders>
              <w:top w:val="single" w:sz="4" w:space="0" w:color="17365D"/>
              <w:bottom w:val="single" w:sz="4" w:space="0" w:color="17365D"/>
            </w:tcBorders>
            <w:shd w:val="clear" w:color="auto" w:fill="auto"/>
            <w:vAlign w:val="center"/>
          </w:tcPr>
          <w:p w14:paraId="43C73443" w14:textId="3B4AB3B3" w:rsidR="00844306" w:rsidRPr="00A27896" w:rsidRDefault="00844306" w:rsidP="00EF6AA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3 602 183</w:t>
            </w:r>
          </w:p>
        </w:tc>
        <w:tc>
          <w:tcPr>
            <w:tcW w:w="1418" w:type="dxa"/>
            <w:tcBorders>
              <w:top w:val="single" w:sz="4" w:space="0" w:color="17365D"/>
              <w:bottom w:val="single" w:sz="4" w:space="0" w:color="17365D"/>
            </w:tcBorders>
            <w:shd w:val="clear" w:color="auto" w:fill="auto"/>
            <w:vAlign w:val="center"/>
          </w:tcPr>
          <w:p w14:paraId="4C2CC149" w14:textId="0F87082B" w:rsidR="00844306" w:rsidRPr="00A27896" w:rsidRDefault="00844306" w:rsidP="00EF6AA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-34.2</w:t>
            </w:r>
            <w:r w:rsidR="00EC4A68">
              <w:rPr>
                <w:rFonts w:eastAsia="Arial Unicode MS" w:cs="Times New Roman"/>
                <w:color w:val="17365D"/>
                <w:sz w:val="18"/>
                <w:szCs w:val="18"/>
              </w:rPr>
              <w:t>0</w:t>
            </w:r>
          </w:p>
        </w:tc>
      </w:tr>
      <w:tr w:rsidR="00844306" w:rsidRPr="00A27896" w14:paraId="5022E6AD" w14:textId="77777777" w:rsidTr="00613206">
        <w:trPr>
          <w:trHeight w:val="319"/>
        </w:trPr>
        <w:tc>
          <w:tcPr>
            <w:tcW w:w="2835" w:type="dxa"/>
            <w:tcBorders>
              <w:top w:val="single" w:sz="4" w:space="0" w:color="17365D"/>
              <w:bottom w:val="single" w:sz="4" w:space="0" w:color="17365D"/>
            </w:tcBorders>
            <w:shd w:val="clear" w:color="auto" w:fill="auto"/>
            <w:vAlign w:val="center"/>
          </w:tcPr>
          <w:p w14:paraId="53CBA10D" w14:textId="77777777" w:rsidR="00844306" w:rsidRPr="00A27896" w:rsidRDefault="00844306" w:rsidP="00844306">
            <w:pPr>
              <w:spacing w:after="0" w:line="240" w:lineRule="auto"/>
              <w:rPr>
                <w:rFonts w:eastAsia="Times New Roman" w:cs="Times New Roman"/>
                <w:color w:val="17365D"/>
                <w:sz w:val="18"/>
                <w:szCs w:val="18"/>
              </w:rPr>
            </w:pPr>
            <w:r w:rsidRPr="00A27896">
              <w:rPr>
                <w:rFonts w:eastAsia="Times New Roman" w:cs="Times New Roman"/>
                <w:color w:val="17365D"/>
                <w:sz w:val="18"/>
                <w:szCs w:val="18"/>
              </w:rPr>
              <w:t xml:space="preserve">Ieņēmumi (+) vai izdevumi (–) no </w:t>
            </w:r>
            <w:proofErr w:type="spellStart"/>
            <w:r w:rsidRPr="00A27896">
              <w:rPr>
                <w:rFonts w:eastAsia="Times New Roman" w:cs="Times New Roman"/>
                <w:color w:val="17365D"/>
                <w:sz w:val="18"/>
                <w:szCs w:val="18"/>
              </w:rPr>
              <w:t>nefinanšu</w:t>
            </w:r>
            <w:proofErr w:type="spellEnd"/>
            <w:r w:rsidRPr="00A27896">
              <w:rPr>
                <w:rFonts w:eastAsia="Times New Roman" w:cs="Times New Roman"/>
                <w:color w:val="17365D"/>
                <w:sz w:val="18"/>
                <w:szCs w:val="18"/>
              </w:rPr>
              <w:t xml:space="preserve"> aktīvu atsavināšanas</w:t>
            </w:r>
          </w:p>
        </w:tc>
        <w:tc>
          <w:tcPr>
            <w:tcW w:w="992" w:type="dxa"/>
            <w:tcBorders>
              <w:top w:val="single" w:sz="4" w:space="0" w:color="17365D"/>
              <w:bottom w:val="single" w:sz="4" w:space="0" w:color="17365D"/>
            </w:tcBorders>
            <w:shd w:val="clear" w:color="auto" w:fill="auto"/>
            <w:vAlign w:val="center"/>
          </w:tcPr>
          <w:p w14:paraId="45EE41EB" w14:textId="3BCCB924" w:rsidR="00844306" w:rsidRPr="00A27896" w:rsidRDefault="00844306" w:rsidP="00844306">
            <w:pPr>
              <w:spacing w:after="0" w:line="240" w:lineRule="auto"/>
              <w:jc w:val="center"/>
              <w:rPr>
                <w:rFonts w:eastAsia="Times New Roman" w:cs="Times New Roman"/>
                <w:color w:val="17365D"/>
                <w:sz w:val="18"/>
                <w:szCs w:val="18"/>
              </w:rPr>
            </w:pPr>
          </w:p>
        </w:tc>
        <w:tc>
          <w:tcPr>
            <w:tcW w:w="1418" w:type="dxa"/>
            <w:tcBorders>
              <w:top w:val="single" w:sz="4" w:space="0" w:color="17365D"/>
              <w:bottom w:val="single" w:sz="4" w:space="0" w:color="auto"/>
            </w:tcBorders>
            <w:shd w:val="clear" w:color="auto" w:fill="auto"/>
            <w:vAlign w:val="center"/>
          </w:tcPr>
          <w:p w14:paraId="6063B82D" w14:textId="2C46EFC9" w:rsidR="00844306" w:rsidRPr="00A27896" w:rsidRDefault="00844306" w:rsidP="00EF6AA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21 168 315</w:t>
            </w:r>
          </w:p>
        </w:tc>
        <w:tc>
          <w:tcPr>
            <w:tcW w:w="1417" w:type="dxa"/>
            <w:tcBorders>
              <w:top w:val="single" w:sz="4" w:space="0" w:color="17365D"/>
              <w:bottom w:val="single" w:sz="4" w:space="0" w:color="auto"/>
            </w:tcBorders>
            <w:shd w:val="clear" w:color="auto" w:fill="auto"/>
            <w:vAlign w:val="center"/>
          </w:tcPr>
          <w:p w14:paraId="6C9D6E16" w14:textId="4C5FD85F" w:rsidR="00844306" w:rsidRPr="00A27896" w:rsidRDefault="00844306" w:rsidP="00EF6AA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21 040 835</w:t>
            </w:r>
          </w:p>
        </w:tc>
        <w:tc>
          <w:tcPr>
            <w:tcW w:w="1418" w:type="dxa"/>
            <w:tcBorders>
              <w:top w:val="single" w:sz="4" w:space="0" w:color="17365D"/>
              <w:bottom w:val="single" w:sz="4" w:space="0" w:color="auto"/>
            </w:tcBorders>
            <w:shd w:val="clear" w:color="auto" w:fill="auto"/>
            <w:vAlign w:val="center"/>
          </w:tcPr>
          <w:p w14:paraId="6E9536BA" w14:textId="276FBCCB" w:rsidR="00844306" w:rsidRPr="00A27896" w:rsidRDefault="00844306" w:rsidP="00EF6AA8">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127</w:t>
            </w:r>
            <w:r w:rsidR="00EF6AA8" w:rsidRPr="00A27896">
              <w:rPr>
                <w:rFonts w:eastAsia="Arial Unicode MS" w:cs="Times New Roman"/>
                <w:color w:val="17365D"/>
                <w:sz w:val="18"/>
                <w:szCs w:val="18"/>
              </w:rPr>
              <w:t> </w:t>
            </w:r>
            <w:r w:rsidRPr="00A27896">
              <w:rPr>
                <w:rFonts w:eastAsia="Arial Unicode MS" w:cs="Times New Roman"/>
                <w:color w:val="17365D"/>
                <w:sz w:val="18"/>
                <w:szCs w:val="18"/>
              </w:rPr>
              <w:t>480</w:t>
            </w:r>
          </w:p>
        </w:tc>
        <w:tc>
          <w:tcPr>
            <w:tcW w:w="1418" w:type="dxa"/>
            <w:tcBorders>
              <w:top w:val="single" w:sz="4" w:space="0" w:color="17365D"/>
              <w:bottom w:val="single" w:sz="4" w:space="0" w:color="auto"/>
            </w:tcBorders>
            <w:shd w:val="clear" w:color="auto" w:fill="auto"/>
            <w:vAlign w:val="center"/>
          </w:tcPr>
          <w:p w14:paraId="6D617DC5" w14:textId="78E91932" w:rsidR="00844306" w:rsidRPr="00A27896" w:rsidRDefault="00844306" w:rsidP="00613206">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0.6</w:t>
            </w:r>
            <w:r w:rsidR="00613206">
              <w:rPr>
                <w:rFonts w:eastAsia="Arial Unicode MS" w:cs="Times New Roman"/>
                <w:color w:val="17365D"/>
                <w:sz w:val="18"/>
                <w:szCs w:val="18"/>
              </w:rPr>
              <w:t>1</w:t>
            </w:r>
          </w:p>
        </w:tc>
      </w:tr>
      <w:tr w:rsidR="00613206" w:rsidRPr="00A27896" w14:paraId="74745B2C" w14:textId="77777777" w:rsidTr="00613206">
        <w:trPr>
          <w:trHeight w:val="319"/>
        </w:trPr>
        <w:tc>
          <w:tcPr>
            <w:tcW w:w="2835" w:type="dxa"/>
            <w:tcBorders>
              <w:top w:val="single" w:sz="4" w:space="0" w:color="17365D"/>
              <w:bottom w:val="single" w:sz="4" w:space="0" w:color="17365D"/>
            </w:tcBorders>
            <w:shd w:val="clear" w:color="auto" w:fill="auto"/>
            <w:vAlign w:val="center"/>
          </w:tcPr>
          <w:p w14:paraId="65F85B47" w14:textId="77777777" w:rsidR="00613206" w:rsidRPr="00A27896" w:rsidRDefault="00613206" w:rsidP="00613206">
            <w:pPr>
              <w:spacing w:after="0" w:line="240" w:lineRule="auto"/>
              <w:rPr>
                <w:rFonts w:eastAsia="Times New Roman" w:cs="Times New Roman"/>
                <w:color w:val="17365D"/>
                <w:sz w:val="18"/>
                <w:szCs w:val="18"/>
              </w:rPr>
            </w:pPr>
            <w:r w:rsidRPr="00A27896">
              <w:rPr>
                <w:rFonts w:eastAsia="Times New Roman" w:cs="Times New Roman"/>
                <w:color w:val="17365D"/>
                <w:sz w:val="18"/>
                <w:szCs w:val="18"/>
              </w:rPr>
              <w:t>Budžeta izpildes rezultāts (A + N1 + N2)</w:t>
            </w:r>
          </w:p>
        </w:tc>
        <w:tc>
          <w:tcPr>
            <w:tcW w:w="992" w:type="dxa"/>
            <w:tcBorders>
              <w:top w:val="single" w:sz="4" w:space="0" w:color="17365D"/>
              <w:bottom w:val="single" w:sz="4" w:space="0" w:color="17365D"/>
              <w:right w:val="nil"/>
            </w:tcBorders>
            <w:shd w:val="clear" w:color="auto" w:fill="auto"/>
            <w:vAlign w:val="center"/>
          </w:tcPr>
          <w:p w14:paraId="03D2AA3C" w14:textId="77777777" w:rsidR="00613206" w:rsidRPr="00A27896" w:rsidRDefault="00613206" w:rsidP="00613206">
            <w:pPr>
              <w:spacing w:after="0" w:line="240" w:lineRule="auto"/>
              <w:jc w:val="center"/>
              <w:rPr>
                <w:rFonts w:eastAsia="Times New Roman" w:cs="Times New Roman"/>
                <w:color w:val="17365D"/>
                <w:sz w:val="18"/>
                <w:szCs w:val="18"/>
              </w:rPr>
            </w:pPr>
          </w:p>
        </w:tc>
        <w:tc>
          <w:tcPr>
            <w:tcW w:w="1418" w:type="dxa"/>
            <w:tcBorders>
              <w:top w:val="single" w:sz="4" w:space="0" w:color="auto"/>
              <w:left w:val="nil"/>
              <w:bottom w:val="single" w:sz="4" w:space="0" w:color="auto"/>
              <w:right w:val="nil"/>
            </w:tcBorders>
            <w:shd w:val="clear" w:color="F2F2F2" w:fill="FFFFFF"/>
            <w:vAlign w:val="center"/>
          </w:tcPr>
          <w:p w14:paraId="43D96171" w14:textId="5864A179" w:rsidR="00613206" w:rsidRPr="00A27896" w:rsidRDefault="00613206" w:rsidP="00613206">
            <w:pPr>
              <w:spacing w:after="0" w:line="240" w:lineRule="auto"/>
              <w:jc w:val="right"/>
              <w:rPr>
                <w:rFonts w:eastAsia="Arial Unicode MS" w:cs="Times New Roman"/>
                <w:color w:val="17365D"/>
                <w:sz w:val="18"/>
                <w:szCs w:val="18"/>
              </w:rPr>
            </w:pPr>
            <w:r w:rsidRPr="00613206">
              <w:rPr>
                <w:rFonts w:eastAsia="Arial Unicode MS" w:cs="Times New Roman"/>
                <w:color w:val="17365D"/>
                <w:sz w:val="18"/>
                <w:szCs w:val="18"/>
              </w:rPr>
              <w:t>523 602 710</w:t>
            </w:r>
          </w:p>
        </w:tc>
        <w:tc>
          <w:tcPr>
            <w:tcW w:w="1417" w:type="dxa"/>
            <w:tcBorders>
              <w:top w:val="single" w:sz="4" w:space="0" w:color="auto"/>
              <w:left w:val="nil"/>
              <w:bottom w:val="single" w:sz="4" w:space="0" w:color="auto"/>
              <w:right w:val="nil"/>
            </w:tcBorders>
            <w:shd w:val="clear" w:color="F2F2F2" w:fill="FFFFFF"/>
            <w:vAlign w:val="center"/>
          </w:tcPr>
          <w:p w14:paraId="057BF4E3" w14:textId="62C416CB" w:rsidR="00613206" w:rsidRPr="00A27896" w:rsidRDefault="00613206" w:rsidP="00613206">
            <w:pPr>
              <w:spacing w:after="0" w:line="240" w:lineRule="auto"/>
              <w:jc w:val="right"/>
              <w:rPr>
                <w:rFonts w:eastAsia="Arial Unicode MS" w:cs="Times New Roman"/>
                <w:color w:val="17365D"/>
                <w:sz w:val="18"/>
                <w:szCs w:val="18"/>
              </w:rPr>
            </w:pPr>
            <w:r w:rsidRPr="00613206">
              <w:rPr>
                <w:rFonts w:eastAsia="Arial Unicode MS" w:cs="Times New Roman"/>
                <w:color w:val="17365D"/>
                <w:sz w:val="18"/>
                <w:szCs w:val="18"/>
              </w:rPr>
              <w:t>-1 291 067 840</w:t>
            </w:r>
          </w:p>
        </w:tc>
        <w:tc>
          <w:tcPr>
            <w:tcW w:w="1418" w:type="dxa"/>
            <w:tcBorders>
              <w:top w:val="single" w:sz="4" w:space="0" w:color="auto"/>
              <w:left w:val="nil"/>
              <w:bottom w:val="single" w:sz="4" w:space="0" w:color="auto"/>
              <w:right w:val="nil"/>
            </w:tcBorders>
            <w:shd w:val="clear" w:color="auto" w:fill="auto"/>
            <w:vAlign w:val="center"/>
          </w:tcPr>
          <w:p w14:paraId="7F6E4ADA" w14:textId="21D39194" w:rsidR="00613206" w:rsidRPr="00A27896" w:rsidRDefault="00613206" w:rsidP="00613206">
            <w:pPr>
              <w:spacing w:after="0" w:line="240" w:lineRule="auto"/>
              <w:jc w:val="right"/>
              <w:rPr>
                <w:rFonts w:eastAsia="Arial Unicode MS" w:cs="Times New Roman"/>
                <w:color w:val="17365D"/>
                <w:sz w:val="18"/>
                <w:szCs w:val="18"/>
              </w:rPr>
            </w:pPr>
            <w:r w:rsidRPr="00613206">
              <w:rPr>
                <w:rFonts w:eastAsia="Arial Unicode MS" w:cs="Times New Roman"/>
                <w:color w:val="17365D"/>
                <w:sz w:val="18"/>
                <w:szCs w:val="18"/>
              </w:rPr>
              <w:t>1 814 670 550</w:t>
            </w:r>
          </w:p>
        </w:tc>
        <w:tc>
          <w:tcPr>
            <w:tcW w:w="1418" w:type="dxa"/>
            <w:tcBorders>
              <w:top w:val="single" w:sz="4" w:space="0" w:color="auto"/>
              <w:left w:val="nil"/>
              <w:bottom w:val="single" w:sz="4" w:space="0" w:color="auto"/>
              <w:right w:val="nil"/>
            </w:tcBorders>
            <w:shd w:val="clear" w:color="auto" w:fill="auto"/>
            <w:vAlign w:val="center"/>
          </w:tcPr>
          <w:p w14:paraId="453A9BB5" w14:textId="167F591C" w:rsidR="00613206" w:rsidRPr="00A27896" w:rsidRDefault="00613206" w:rsidP="00613206">
            <w:pPr>
              <w:spacing w:after="0" w:line="240" w:lineRule="auto"/>
              <w:jc w:val="right"/>
              <w:rPr>
                <w:rFonts w:eastAsia="Arial Unicode MS" w:cs="Times New Roman"/>
                <w:color w:val="17365D"/>
                <w:sz w:val="18"/>
                <w:szCs w:val="18"/>
              </w:rPr>
            </w:pPr>
            <w:r w:rsidRPr="00613206">
              <w:rPr>
                <w:rFonts w:eastAsia="Arial Unicode MS" w:cs="Times New Roman"/>
                <w:color w:val="17365D"/>
                <w:sz w:val="18"/>
                <w:szCs w:val="18"/>
              </w:rPr>
              <w:t>-140.56</w:t>
            </w:r>
          </w:p>
        </w:tc>
      </w:tr>
      <w:tr w:rsidR="000C1009" w:rsidRPr="00A27896" w14:paraId="1944756F" w14:textId="77777777" w:rsidTr="00613206">
        <w:trPr>
          <w:trHeight w:val="70"/>
        </w:trPr>
        <w:tc>
          <w:tcPr>
            <w:tcW w:w="2835" w:type="dxa"/>
            <w:tcBorders>
              <w:top w:val="single" w:sz="4" w:space="0" w:color="17365D"/>
            </w:tcBorders>
            <w:shd w:val="clear" w:color="auto" w:fill="B8CCE4" w:themeFill="accent1" w:themeFillTint="66"/>
            <w:vAlign w:val="center"/>
          </w:tcPr>
          <w:p w14:paraId="0C879ED1" w14:textId="77777777" w:rsidR="00952345" w:rsidRPr="00A27896" w:rsidRDefault="00952345" w:rsidP="008911F1">
            <w:pPr>
              <w:spacing w:after="0" w:line="240" w:lineRule="auto"/>
              <w:rPr>
                <w:rFonts w:eastAsia="Times New Roman" w:cs="Times New Roman"/>
                <w:color w:val="17365D"/>
                <w:sz w:val="18"/>
                <w:szCs w:val="18"/>
              </w:rPr>
            </w:pPr>
          </w:p>
        </w:tc>
        <w:tc>
          <w:tcPr>
            <w:tcW w:w="992" w:type="dxa"/>
            <w:tcBorders>
              <w:top w:val="single" w:sz="4" w:space="0" w:color="17365D"/>
            </w:tcBorders>
            <w:shd w:val="clear" w:color="auto" w:fill="B8CCE4" w:themeFill="accent1" w:themeFillTint="66"/>
            <w:vAlign w:val="center"/>
          </w:tcPr>
          <w:p w14:paraId="49E470F2" w14:textId="77777777" w:rsidR="00952345" w:rsidRPr="00A27896" w:rsidRDefault="00952345" w:rsidP="008911F1">
            <w:pPr>
              <w:spacing w:after="0" w:line="240" w:lineRule="auto"/>
              <w:jc w:val="center"/>
              <w:rPr>
                <w:rFonts w:eastAsia="Times New Roman" w:cs="Times New Roman"/>
                <w:color w:val="17365D"/>
                <w:sz w:val="18"/>
                <w:szCs w:val="18"/>
              </w:rPr>
            </w:pPr>
          </w:p>
        </w:tc>
        <w:tc>
          <w:tcPr>
            <w:tcW w:w="1418" w:type="dxa"/>
            <w:tcBorders>
              <w:top w:val="single" w:sz="4" w:space="0" w:color="auto"/>
            </w:tcBorders>
            <w:shd w:val="clear" w:color="auto" w:fill="B8CCE4" w:themeFill="accent1" w:themeFillTint="66"/>
          </w:tcPr>
          <w:p w14:paraId="5BCDD685" w14:textId="77777777" w:rsidR="00952345" w:rsidRPr="00A27896" w:rsidRDefault="00952345" w:rsidP="008911F1">
            <w:pPr>
              <w:spacing w:after="0" w:line="240" w:lineRule="auto"/>
              <w:jc w:val="right"/>
              <w:rPr>
                <w:rFonts w:eastAsia="Times New Roman" w:cs="Times New Roman"/>
                <w:b/>
                <w:color w:val="17365D"/>
                <w:sz w:val="18"/>
                <w:szCs w:val="18"/>
              </w:rPr>
            </w:pPr>
          </w:p>
        </w:tc>
        <w:tc>
          <w:tcPr>
            <w:tcW w:w="1417" w:type="dxa"/>
            <w:tcBorders>
              <w:top w:val="single" w:sz="4" w:space="0" w:color="auto"/>
            </w:tcBorders>
            <w:shd w:val="clear" w:color="auto" w:fill="B8CCE4" w:themeFill="accent1" w:themeFillTint="66"/>
          </w:tcPr>
          <w:p w14:paraId="02AB87A8" w14:textId="77777777" w:rsidR="00952345" w:rsidRPr="00A27896" w:rsidRDefault="00952345" w:rsidP="008911F1">
            <w:pPr>
              <w:spacing w:after="0" w:line="240" w:lineRule="auto"/>
              <w:jc w:val="right"/>
              <w:rPr>
                <w:rFonts w:eastAsia="Times New Roman" w:cs="Times New Roman"/>
                <w:b/>
                <w:color w:val="17365D"/>
                <w:sz w:val="18"/>
                <w:szCs w:val="18"/>
              </w:rPr>
            </w:pPr>
          </w:p>
        </w:tc>
        <w:tc>
          <w:tcPr>
            <w:tcW w:w="1418" w:type="dxa"/>
            <w:tcBorders>
              <w:top w:val="single" w:sz="4" w:space="0" w:color="auto"/>
            </w:tcBorders>
            <w:shd w:val="clear" w:color="auto" w:fill="B8CCE4" w:themeFill="accent1" w:themeFillTint="66"/>
          </w:tcPr>
          <w:p w14:paraId="097FFB9F" w14:textId="77777777" w:rsidR="00952345" w:rsidRPr="00A27896" w:rsidRDefault="00952345" w:rsidP="008911F1">
            <w:pPr>
              <w:spacing w:after="0" w:line="240" w:lineRule="auto"/>
              <w:jc w:val="right"/>
              <w:rPr>
                <w:rFonts w:eastAsia="Times New Roman" w:cs="Times New Roman"/>
                <w:b/>
                <w:color w:val="17365D"/>
                <w:sz w:val="18"/>
                <w:szCs w:val="18"/>
              </w:rPr>
            </w:pPr>
          </w:p>
        </w:tc>
        <w:tc>
          <w:tcPr>
            <w:tcW w:w="1418" w:type="dxa"/>
            <w:tcBorders>
              <w:top w:val="single" w:sz="4" w:space="0" w:color="auto"/>
            </w:tcBorders>
            <w:shd w:val="clear" w:color="auto" w:fill="B8CCE4" w:themeFill="accent1" w:themeFillTint="66"/>
          </w:tcPr>
          <w:p w14:paraId="0DE4B019" w14:textId="77777777" w:rsidR="00952345" w:rsidRPr="00A27896" w:rsidRDefault="00952345" w:rsidP="008911F1">
            <w:pPr>
              <w:spacing w:after="0" w:line="240" w:lineRule="auto"/>
              <w:jc w:val="right"/>
              <w:rPr>
                <w:rFonts w:eastAsia="Times New Roman" w:cs="Times New Roman"/>
                <w:b/>
                <w:color w:val="17365D"/>
                <w:sz w:val="18"/>
                <w:szCs w:val="18"/>
              </w:rPr>
            </w:pPr>
          </w:p>
        </w:tc>
      </w:tr>
    </w:tbl>
    <w:p w14:paraId="6514E922" w14:textId="77777777" w:rsidR="00B55F13" w:rsidRPr="00A27896" w:rsidRDefault="00B55F13" w:rsidP="001651EB">
      <w:pPr>
        <w:pStyle w:val="Pamatteksts"/>
        <w:ind w:firstLine="284"/>
        <w:rPr>
          <w:rFonts w:eastAsia="Arial Unicode MS"/>
          <w:color w:val="17365D"/>
        </w:rPr>
      </w:pPr>
    </w:p>
    <w:p w14:paraId="782C6763" w14:textId="52D233AA" w:rsidR="002A649E" w:rsidRPr="00A27896" w:rsidRDefault="00844306" w:rsidP="001651EB">
      <w:pPr>
        <w:pStyle w:val="Pamatteksts"/>
        <w:ind w:firstLine="284"/>
        <w:rPr>
          <w:rFonts w:eastAsia="Arial Unicode MS"/>
          <w:b/>
          <w:color w:val="17365D"/>
        </w:rPr>
      </w:pPr>
      <w:r w:rsidRPr="00A27896">
        <w:rPr>
          <w:rFonts w:eastAsia="Arial Unicode MS"/>
          <w:color w:val="17365D"/>
        </w:rPr>
        <w:t>Posteņa “</w:t>
      </w:r>
      <w:r w:rsidR="002A649E" w:rsidRPr="00A27896">
        <w:rPr>
          <w:rFonts w:eastAsia="Arial Unicode MS"/>
          <w:color w:val="17365D"/>
        </w:rPr>
        <w:t>Ieņēmumi (+) vai izdevu</w:t>
      </w:r>
      <w:r w:rsidRPr="00A27896">
        <w:rPr>
          <w:rFonts w:eastAsia="Arial Unicode MS"/>
          <w:color w:val="17365D"/>
        </w:rPr>
        <w:t xml:space="preserve">mi (–) no finanšu instrumentiem” izmaiņas galvenokārt veidojās valsts budžeta finanšu uzskaitē 4 331 471 </w:t>
      </w:r>
      <w:r w:rsidRPr="00A27896">
        <w:rPr>
          <w:rFonts w:eastAsia="Arial Unicode MS"/>
          <w:i/>
          <w:color w:val="17365D"/>
        </w:rPr>
        <w:t>euro</w:t>
      </w:r>
      <w:r w:rsidRPr="00A27896">
        <w:rPr>
          <w:rFonts w:eastAsia="Arial Unicode MS"/>
          <w:color w:val="17365D"/>
        </w:rPr>
        <w:t xml:space="preserve"> vērtībā no atvasināto finanšu instrumentu un riska ierobežošanas instrumentu neto ieņēmumu vai izdevumu rezultāta.</w:t>
      </w:r>
    </w:p>
    <w:p w14:paraId="6DF55E4C" w14:textId="431A1A00" w:rsidR="008911F1" w:rsidRPr="00A27896" w:rsidRDefault="008911F1" w:rsidP="001651EB">
      <w:pPr>
        <w:pStyle w:val="Pamatteksts"/>
        <w:ind w:firstLine="284"/>
        <w:rPr>
          <w:rFonts w:eastAsia="Arial Unicode MS"/>
          <w:noProof w:val="0"/>
          <w:color w:val="17365D"/>
          <w:lang w:eastAsia="en-US"/>
        </w:rPr>
      </w:pPr>
      <w:r w:rsidRPr="00A27896">
        <w:rPr>
          <w:rFonts w:eastAsia="Arial Unicode MS"/>
          <w:noProof w:val="0"/>
          <w:color w:val="17365D"/>
          <w:lang w:eastAsia="en-US"/>
        </w:rPr>
        <w:lastRenderedPageBreak/>
        <w:t xml:space="preserve">Informācija par </w:t>
      </w:r>
      <w:r w:rsidRPr="00A27896">
        <w:rPr>
          <w:color w:val="17365D"/>
        </w:rPr>
        <w:t>finanšu instrumentu neto rezultāt</w:t>
      </w:r>
      <w:r w:rsidR="00A22571" w:rsidRPr="00A27896">
        <w:rPr>
          <w:color w:val="17365D"/>
        </w:rPr>
        <w:t>u</w:t>
      </w:r>
      <w:r w:rsidRPr="00A27896">
        <w:rPr>
          <w:color w:val="17365D"/>
        </w:rPr>
        <w:t xml:space="preserve"> sadalījumā pa finanšu instrumentu kategorijām un darījumu veidiem</w:t>
      </w:r>
      <w:r w:rsidRPr="00A27896">
        <w:rPr>
          <w:rFonts w:eastAsia="Arial Unicode MS"/>
          <w:color w:val="17365D"/>
        </w:rPr>
        <w:t xml:space="preserve"> </w:t>
      </w:r>
      <w:r w:rsidRPr="00A27896">
        <w:rPr>
          <w:rFonts w:eastAsia="Arial Unicode MS"/>
          <w:noProof w:val="0"/>
          <w:color w:val="17365D"/>
          <w:lang w:eastAsia="en-US"/>
        </w:rPr>
        <w:t>uzrādīt</w:t>
      </w:r>
      <w:r w:rsidR="00A22571" w:rsidRPr="00A27896">
        <w:rPr>
          <w:rFonts w:eastAsia="Arial Unicode MS"/>
          <w:noProof w:val="0"/>
          <w:color w:val="17365D"/>
          <w:lang w:eastAsia="en-US"/>
        </w:rPr>
        <w:t>a</w:t>
      </w:r>
      <w:r w:rsidRPr="00A27896">
        <w:rPr>
          <w:rFonts w:eastAsia="Arial Unicode MS"/>
          <w:noProof w:val="0"/>
          <w:color w:val="17365D"/>
          <w:lang w:eastAsia="en-US"/>
        </w:rPr>
        <w:t xml:space="preserve"> </w:t>
      </w:r>
      <w:r w:rsidR="00A22571" w:rsidRPr="00A27896">
        <w:rPr>
          <w:rFonts w:eastAsia="Arial Unicode MS"/>
          <w:noProof w:val="0"/>
          <w:color w:val="17365D"/>
          <w:lang w:eastAsia="en-US"/>
        </w:rPr>
        <w:t>5</w:t>
      </w:r>
      <w:r w:rsidR="006C1AA7" w:rsidRPr="00A27896">
        <w:rPr>
          <w:rFonts w:eastAsia="Arial Unicode MS"/>
          <w:noProof w:val="0"/>
          <w:color w:val="17365D"/>
          <w:lang w:eastAsia="en-US"/>
        </w:rPr>
        <w:t>1</w:t>
      </w:r>
      <w:r w:rsidR="00A22571" w:rsidRPr="00A27896">
        <w:rPr>
          <w:rFonts w:eastAsia="Arial Unicode MS"/>
          <w:noProof w:val="0"/>
          <w:color w:val="17365D"/>
          <w:lang w:eastAsia="en-US"/>
        </w:rPr>
        <w:t>.</w:t>
      </w:r>
      <w:r w:rsidR="00A95197" w:rsidRPr="00A27896">
        <w:rPr>
          <w:rFonts w:eastAsia="Arial Unicode MS"/>
          <w:noProof w:val="0"/>
          <w:color w:val="17365D"/>
          <w:lang w:eastAsia="en-US"/>
        </w:rPr>
        <w:t xml:space="preserve"> </w:t>
      </w:r>
      <w:r w:rsidR="00A22571" w:rsidRPr="00A27896">
        <w:rPr>
          <w:rFonts w:eastAsia="Arial Unicode MS"/>
          <w:noProof w:val="0"/>
          <w:color w:val="17365D"/>
          <w:lang w:eastAsia="en-US"/>
        </w:rPr>
        <w:t>tabulā</w:t>
      </w:r>
      <w:r w:rsidR="00A3093C" w:rsidRPr="00A27896">
        <w:rPr>
          <w:rFonts w:eastAsia="Arial Unicode MS"/>
          <w:noProof w:val="0"/>
          <w:color w:val="17365D"/>
          <w:lang w:eastAsia="en-US"/>
        </w:rPr>
        <w:t>.</w:t>
      </w:r>
    </w:p>
    <w:p w14:paraId="19AEA1DD" w14:textId="235D47FD" w:rsidR="00A22571" w:rsidRPr="00A27896" w:rsidRDefault="00952345" w:rsidP="00A22571">
      <w:pPr>
        <w:pStyle w:val="Tabulasnosaukums1"/>
        <w:rPr>
          <w:rFonts w:eastAsia="Arial Unicode MS" w:cs="Times New Roman"/>
          <w:i/>
          <w:color w:val="17365D"/>
        </w:rPr>
      </w:pPr>
      <w:r w:rsidRPr="00A27896">
        <w:rPr>
          <w:rFonts w:eastAsia="Arial Unicode MS" w:cs="Times New Roman"/>
          <w:i/>
          <w:color w:val="17365D"/>
        </w:rPr>
        <w:t>5</w:t>
      </w:r>
      <w:r w:rsidR="006C1AA7" w:rsidRPr="00A27896">
        <w:rPr>
          <w:rFonts w:eastAsia="Arial Unicode MS" w:cs="Times New Roman"/>
          <w:i/>
          <w:color w:val="17365D"/>
        </w:rPr>
        <w:t>1</w:t>
      </w:r>
      <w:r w:rsidR="002A649E" w:rsidRPr="00A27896">
        <w:rPr>
          <w:rFonts w:eastAsia="Arial Unicode MS" w:cs="Times New Roman"/>
          <w:i/>
          <w:color w:val="17365D"/>
        </w:rPr>
        <w:t>.</w:t>
      </w:r>
      <w:r w:rsidR="00A22571" w:rsidRPr="00A27896">
        <w:rPr>
          <w:rFonts w:eastAsia="Arial Unicode MS" w:cs="Times New Roman"/>
          <w:i/>
          <w:color w:val="17365D"/>
        </w:rPr>
        <w:t> tabula. Finanšu instrumentu neto rezultāts (</w:t>
      </w:r>
      <w:proofErr w:type="spellStart"/>
      <w:r w:rsidR="00A22571" w:rsidRPr="00A27896">
        <w:rPr>
          <w:rFonts w:eastAsia="Arial Unicode MS" w:cs="Times New Roman"/>
          <w:i/>
          <w:color w:val="17365D"/>
        </w:rPr>
        <w:t>euro</w:t>
      </w:r>
      <w:proofErr w:type="spellEnd"/>
      <w:r w:rsidR="00A22571" w:rsidRPr="00A27896">
        <w:rPr>
          <w:rFonts w:eastAsia="Arial Unicode MS" w:cs="Times New Roman"/>
          <w:i/>
          <w:color w:val="17365D"/>
        </w:rPr>
        <w:t>)</w:t>
      </w:r>
    </w:p>
    <w:tbl>
      <w:tblPr>
        <w:tblW w:w="9498" w:type="dxa"/>
        <w:tblBorders>
          <w:top w:val="single" w:sz="4" w:space="0" w:color="000000"/>
          <w:insideH w:val="single" w:sz="4" w:space="0" w:color="000000"/>
        </w:tblBorders>
        <w:tblLayout w:type="fixed"/>
        <w:tblLook w:val="04A0" w:firstRow="1" w:lastRow="0" w:firstColumn="1" w:lastColumn="0" w:noHBand="0" w:noVBand="1"/>
      </w:tblPr>
      <w:tblGrid>
        <w:gridCol w:w="2835"/>
        <w:gridCol w:w="1418"/>
        <w:gridCol w:w="850"/>
        <w:gridCol w:w="1205"/>
        <w:gridCol w:w="1063"/>
        <w:gridCol w:w="142"/>
        <w:gridCol w:w="709"/>
        <w:gridCol w:w="996"/>
        <w:gridCol w:w="280"/>
      </w:tblGrid>
      <w:tr w:rsidR="000C1009" w:rsidRPr="00A27896" w14:paraId="0B38FF9B" w14:textId="7CB6B692" w:rsidTr="007A77C2">
        <w:trPr>
          <w:trHeight w:val="263"/>
          <w:tblHeader/>
        </w:trPr>
        <w:tc>
          <w:tcPr>
            <w:tcW w:w="2835" w:type="dxa"/>
            <w:vMerge w:val="restart"/>
            <w:tcBorders>
              <w:top w:val="nil"/>
              <w:bottom w:val="single" w:sz="4" w:space="0" w:color="000000"/>
            </w:tcBorders>
            <w:shd w:val="clear" w:color="auto" w:fill="B8CCE4" w:themeFill="accent1" w:themeFillTint="66"/>
            <w:vAlign w:val="center"/>
            <w:hideMark/>
          </w:tcPr>
          <w:p w14:paraId="792F78F3" w14:textId="77777777" w:rsidR="002A649E" w:rsidRPr="00A27896" w:rsidRDefault="002A649E" w:rsidP="008911F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Finanšu instrumenta kategorijas nosaukums/darījuma apraksts</w:t>
            </w:r>
          </w:p>
        </w:tc>
        <w:tc>
          <w:tcPr>
            <w:tcW w:w="3473" w:type="dxa"/>
            <w:gridSpan w:val="3"/>
            <w:tcBorders>
              <w:top w:val="nil"/>
              <w:bottom w:val="single" w:sz="4" w:space="0" w:color="000000"/>
            </w:tcBorders>
            <w:shd w:val="clear" w:color="auto" w:fill="B8CCE4" w:themeFill="accent1" w:themeFillTint="66"/>
            <w:vAlign w:val="center"/>
            <w:hideMark/>
          </w:tcPr>
          <w:p w14:paraId="2D3FFF7C" w14:textId="77777777" w:rsidR="002A649E" w:rsidRPr="00A27896" w:rsidRDefault="002A649E" w:rsidP="008911F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Pārskata periodā</w:t>
            </w:r>
          </w:p>
        </w:tc>
        <w:tc>
          <w:tcPr>
            <w:tcW w:w="3190" w:type="dxa"/>
            <w:gridSpan w:val="5"/>
            <w:tcBorders>
              <w:top w:val="nil"/>
              <w:bottom w:val="single" w:sz="4" w:space="0" w:color="000000"/>
            </w:tcBorders>
            <w:shd w:val="clear" w:color="auto" w:fill="B8CCE4" w:themeFill="accent1" w:themeFillTint="66"/>
          </w:tcPr>
          <w:p w14:paraId="0886FC3F" w14:textId="134C5D45" w:rsidR="002A649E" w:rsidRPr="00A27896" w:rsidRDefault="002A649E" w:rsidP="008911F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Iepriekšējā pārskata periodā</w:t>
            </w:r>
          </w:p>
        </w:tc>
      </w:tr>
      <w:tr w:rsidR="000C1009" w:rsidRPr="00A27896" w14:paraId="742672FC" w14:textId="3D87C472" w:rsidTr="007A77C2">
        <w:trPr>
          <w:trHeight w:val="592"/>
          <w:tblHeader/>
        </w:trPr>
        <w:tc>
          <w:tcPr>
            <w:tcW w:w="2835" w:type="dxa"/>
            <w:vMerge/>
            <w:tcBorders>
              <w:top w:val="single" w:sz="4" w:space="0" w:color="000000"/>
              <w:bottom w:val="single" w:sz="4" w:space="0" w:color="17365D"/>
            </w:tcBorders>
            <w:shd w:val="clear" w:color="auto" w:fill="B8CCE4" w:themeFill="accent1" w:themeFillTint="66"/>
            <w:vAlign w:val="center"/>
            <w:hideMark/>
          </w:tcPr>
          <w:p w14:paraId="24B2A2B2" w14:textId="77777777" w:rsidR="002A649E" w:rsidRPr="00A27896" w:rsidRDefault="002A649E" w:rsidP="002A649E">
            <w:pPr>
              <w:spacing w:after="0" w:line="240" w:lineRule="auto"/>
              <w:jc w:val="center"/>
              <w:rPr>
                <w:rFonts w:eastAsia="Arial Unicode MS" w:cs="Times New Roman"/>
                <w:b/>
                <w:color w:val="17365D"/>
                <w:sz w:val="18"/>
                <w:szCs w:val="18"/>
              </w:rPr>
            </w:pPr>
          </w:p>
        </w:tc>
        <w:tc>
          <w:tcPr>
            <w:tcW w:w="1418" w:type="dxa"/>
            <w:tcBorders>
              <w:top w:val="single" w:sz="4" w:space="0" w:color="000000"/>
              <w:bottom w:val="single" w:sz="4" w:space="0" w:color="17365D"/>
            </w:tcBorders>
            <w:shd w:val="clear" w:color="auto" w:fill="B8CCE4" w:themeFill="accent1" w:themeFillTint="66"/>
            <w:vAlign w:val="center"/>
            <w:hideMark/>
          </w:tcPr>
          <w:p w14:paraId="741841C8" w14:textId="77777777" w:rsidR="002A649E" w:rsidRPr="00A27896" w:rsidRDefault="002A649E" w:rsidP="002A649E">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atzīts</w:t>
            </w:r>
            <w:r w:rsidRPr="00A27896">
              <w:rPr>
                <w:rFonts w:eastAsia="Arial Unicode MS" w:cs="Times New Roman"/>
                <w:b/>
                <w:color w:val="17365D"/>
                <w:sz w:val="18"/>
                <w:szCs w:val="18"/>
              </w:rPr>
              <w:br/>
              <w:t>ieņēmumos(+)/</w:t>
            </w:r>
            <w:r w:rsidRPr="00A27896">
              <w:rPr>
                <w:rFonts w:eastAsia="Arial Unicode MS" w:cs="Times New Roman"/>
                <w:b/>
                <w:color w:val="17365D"/>
                <w:sz w:val="18"/>
                <w:szCs w:val="18"/>
              </w:rPr>
              <w:br/>
              <w:t>izdevumos (-)</w:t>
            </w:r>
          </w:p>
        </w:tc>
        <w:tc>
          <w:tcPr>
            <w:tcW w:w="850" w:type="dxa"/>
            <w:tcBorders>
              <w:top w:val="single" w:sz="4" w:space="0" w:color="000000"/>
              <w:bottom w:val="single" w:sz="4" w:space="0" w:color="17365D"/>
            </w:tcBorders>
            <w:shd w:val="clear" w:color="auto" w:fill="B8CCE4" w:themeFill="accent1" w:themeFillTint="66"/>
            <w:vAlign w:val="center"/>
            <w:hideMark/>
          </w:tcPr>
          <w:p w14:paraId="61A07B8F" w14:textId="77777777" w:rsidR="002A649E" w:rsidRPr="00A27896" w:rsidRDefault="002A649E" w:rsidP="00581818">
            <w:pPr>
              <w:spacing w:after="0" w:line="240" w:lineRule="auto"/>
              <w:ind w:left="-57" w:right="-57"/>
              <w:jc w:val="center"/>
              <w:rPr>
                <w:rFonts w:eastAsia="Arial Unicode MS" w:cs="Times New Roman"/>
                <w:b/>
                <w:color w:val="17365D"/>
                <w:sz w:val="18"/>
                <w:szCs w:val="18"/>
              </w:rPr>
            </w:pPr>
            <w:r w:rsidRPr="00A27896">
              <w:rPr>
                <w:rFonts w:eastAsia="Arial Unicode MS" w:cs="Times New Roman"/>
                <w:b/>
                <w:color w:val="17365D"/>
                <w:sz w:val="18"/>
                <w:szCs w:val="18"/>
              </w:rPr>
              <w:t>atzīts rezervēs (+;-)</w:t>
            </w:r>
          </w:p>
        </w:tc>
        <w:tc>
          <w:tcPr>
            <w:tcW w:w="1205" w:type="dxa"/>
            <w:tcBorders>
              <w:top w:val="single" w:sz="4" w:space="0" w:color="000000"/>
              <w:bottom w:val="single" w:sz="4" w:space="0" w:color="17365D"/>
            </w:tcBorders>
            <w:shd w:val="clear" w:color="auto" w:fill="B8CCE4" w:themeFill="accent1" w:themeFillTint="66"/>
            <w:vAlign w:val="center"/>
            <w:hideMark/>
          </w:tcPr>
          <w:p w14:paraId="64B0F7FC" w14:textId="77777777" w:rsidR="002A649E" w:rsidRPr="00A27896" w:rsidRDefault="002A649E" w:rsidP="002A649E">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kopā</w:t>
            </w:r>
            <w:r w:rsidRPr="00A27896">
              <w:rPr>
                <w:rFonts w:eastAsia="Arial Unicode MS" w:cs="Times New Roman"/>
                <w:b/>
                <w:color w:val="17365D"/>
                <w:sz w:val="18"/>
                <w:szCs w:val="18"/>
              </w:rPr>
              <w:br/>
              <w:t>(1.+2.)</w:t>
            </w:r>
          </w:p>
        </w:tc>
        <w:tc>
          <w:tcPr>
            <w:tcW w:w="1063" w:type="dxa"/>
            <w:tcBorders>
              <w:top w:val="single" w:sz="4" w:space="0" w:color="000000"/>
              <w:bottom w:val="single" w:sz="4" w:space="0" w:color="17365D"/>
            </w:tcBorders>
            <w:shd w:val="clear" w:color="auto" w:fill="B8CCE4" w:themeFill="accent1" w:themeFillTint="66"/>
            <w:vAlign w:val="center"/>
          </w:tcPr>
          <w:p w14:paraId="15D1B153" w14:textId="7315879B" w:rsidR="002A649E" w:rsidRPr="00A27896" w:rsidRDefault="002A649E" w:rsidP="00581818">
            <w:pPr>
              <w:spacing w:after="0" w:line="240" w:lineRule="auto"/>
              <w:ind w:left="-57" w:right="-57"/>
              <w:jc w:val="center"/>
              <w:rPr>
                <w:rFonts w:eastAsia="Arial Unicode MS" w:cs="Times New Roman"/>
                <w:b/>
                <w:color w:val="17365D"/>
                <w:sz w:val="18"/>
                <w:szCs w:val="18"/>
              </w:rPr>
            </w:pPr>
            <w:r w:rsidRPr="00A27896">
              <w:rPr>
                <w:rFonts w:eastAsia="Arial Unicode MS" w:cs="Times New Roman"/>
                <w:b/>
                <w:color w:val="17365D"/>
                <w:sz w:val="18"/>
                <w:szCs w:val="18"/>
              </w:rPr>
              <w:t>atzīts</w:t>
            </w:r>
            <w:r w:rsidRPr="00A27896">
              <w:rPr>
                <w:rFonts w:eastAsia="Arial Unicode MS" w:cs="Times New Roman"/>
                <w:b/>
                <w:color w:val="17365D"/>
                <w:sz w:val="18"/>
                <w:szCs w:val="18"/>
              </w:rPr>
              <w:br/>
              <w:t>ieņēmumos</w:t>
            </w:r>
            <w:r w:rsidR="00581818" w:rsidRPr="00A27896">
              <w:rPr>
                <w:rFonts w:eastAsia="Arial Unicode MS" w:cs="Times New Roman"/>
                <w:b/>
                <w:color w:val="17365D"/>
                <w:sz w:val="18"/>
                <w:szCs w:val="18"/>
              </w:rPr>
              <w:t xml:space="preserve"> </w:t>
            </w:r>
            <w:r w:rsidRPr="00A27896">
              <w:rPr>
                <w:rFonts w:eastAsia="Arial Unicode MS" w:cs="Times New Roman"/>
                <w:b/>
                <w:color w:val="17365D"/>
                <w:sz w:val="18"/>
                <w:szCs w:val="18"/>
              </w:rPr>
              <w:t>(+)/</w:t>
            </w:r>
            <w:r w:rsidRPr="00A27896">
              <w:rPr>
                <w:rFonts w:eastAsia="Arial Unicode MS" w:cs="Times New Roman"/>
                <w:b/>
                <w:color w:val="17365D"/>
                <w:sz w:val="18"/>
                <w:szCs w:val="18"/>
              </w:rPr>
              <w:br/>
              <w:t>izdevumos (-)</w:t>
            </w:r>
          </w:p>
        </w:tc>
        <w:tc>
          <w:tcPr>
            <w:tcW w:w="851" w:type="dxa"/>
            <w:gridSpan w:val="2"/>
            <w:tcBorders>
              <w:top w:val="single" w:sz="4" w:space="0" w:color="000000"/>
              <w:bottom w:val="single" w:sz="4" w:space="0" w:color="17365D"/>
            </w:tcBorders>
            <w:shd w:val="clear" w:color="auto" w:fill="B8CCE4" w:themeFill="accent1" w:themeFillTint="66"/>
            <w:vAlign w:val="center"/>
          </w:tcPr>
          <w:p w14:paraId="11222B5F" w14:textId="62D62927" w:rsidR="002A649E" w:rsidRPr="00A27896" w:rsidRDefault="002A649E" w:rsidP="00581818">
            <w:pPr>
              <w:spacing w:after="0" w:line="240" w:lineRule="auto"/>
              <w:ind w:left="-57" w:right="-57"/>
              <w:jc w:val="center"/>
              <w:rPr>
                <w:rFonts w:eastAsia="Arial Unicode MS" w:cs="Times New Roman"/>
                <w:b/>
                <w:color w:val="17365D"/>
                <w:sz w:val="18"/>
                <w:szCs w:val="18"/>
              </w:rPr>
            </w:pPr>
            <w:r w:rsidRPr="00A27896">
              <w:rPr>
                <w:rFonts w:eastAsia="Arial Unicode MS" w:cs="Times New Roman"/>
                <w:b/>
                <w:color w:val="17365D"/>
                <w:sz w:val="18"/>
                <w:szCs w:val="18"/>
              </w:rPr>
              <w:t>atzīts rezervēs (+;-)</w:t>
            </w:r>
          </w:p>
        </w:tc>
        <w:tc>
          <w:tcPr>
            <w:tcW w:w="1276" w:type="dxa"/>
            <w:gridSpan w:val="2"/>
            <w:tcBorders>
              <w:top w:val="single" w:sz="4" w:space="0" w:color="000000"/>
              <w:bottom w:val="single" w:sz="4" w:space="0" w:color="17365D"/>
            </w:tcBorders>
            <w:shd w:val="clear" w:color="auto" w:fill="B8CCE4" w:themeFill="accent1" w:themeFillTint="66"/>
            <w:vAlign w:val="center"/>
          </w:tcPr>
          <w:p w14:paraId="1C880ECD" w14:textId="4CF5B9EC" w:rsidR="002A649E" w:rsidRPr="00A27896" w:rsidRDefault="002A649E" w:rsidP="002A649E">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kopā</w:t>
            </w:r>
            <w:r w:rsidRPr="00A27896">
              <w:rPr>
                <w:rFonts w:eastAsia="Arial Unicode MS" w:cs="Times New Roman"/>
                <w:b/>
                <w:color w:val="17365D"/>
                <w:sz w:val="18"/>
                <w:szCs w:val="18"/>
              </w:rPr>
              <w:br/>
              <w:t>(1.+2.)</w:t>
            </w:r>
          </w:p>
        </w:tc>
      </w:tr>
      <w:tr w:rsidR="000C1009" w:rsidRPr="00A27896" w14:paraId="309C0CF2" w14:textId="2AAC8998" w:rsidTr="007A77C2">
        <w:trPr>
          <w:gridAfter w:val="1"/>
          <w:wAfter w:w="280" w:type="dxa"/>
          <w:trHeight w:val="266"/>
        </w:trPr>
        <w:tc>
          <w:tcPr>
            <w:tcW w:w="2835" w:type="dxa"/>
            <w:tcBorders>
              <w:top w:val="single" w:sz="4" w:space="0" w:color="17365D"/>
              <w:bottom w:val="single" w:sz="4" w:space="0" w:color="17365D"/>
            </w:tcBorders>
            <w:shd w:val="clear" w:color="auto" w:fill="auto"/>
            <w:vAlign w:val="center"/>
            <w:hideMark/>
          </w:tcPr>
          <w:p w14:paraId="021611BB" w14:textId="77777777" w:rsidR="002A649E" w:rsidRPr="00A27896" w:rsidRDefault="002A649E" w:rsidP="008911F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A</w:t>
            </w:r>
          </w:p>
        </w:tc>
        <w:tc>
          <w:tcPr>
            <w:tcW w:w="1418" w:type="dxa"/>
            <w:tcBorders>
              <w:top w:val="single" w:sz="4" w:space="0" w:color="17365D"/>
              <w:bottom w:val="single" w:sz="4" w:space="0" w:color="17365D"/>
            </w:tcBorders>
            <w:shd w:val="clear" w:color="auto" w:fill="auto"/>
            <w:vAlign w:val="center"/>
            <w:hideMark/>
          </w:tcPr>
          <w:p w14:paraId="23B2E0DE" w14:textId="77777777" w:rsidR="002A649E" w:rsidRPr="00A27896" w:rsidRDefault="002A649E" w:rsidP="008911F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1</w:t>
            </w:r>
          </w:p>
        </w:tc>
        <w:tc>
          <w:tcPr>
            <w:tcW w:w="850" w:type="dxa"/>
            <w:tcBorders>
              <w:top w:val="single" w:sz="4" w:space="0" w:color="17365D"/>
              <w:bottom w:val="single" w:sz="4" w:space="0" w:color="17365D"/>
            </w:tcBorders>
            <w:shd w:val="clear" w:color="auto" w:fill="auto"/>
            <w:vAlign w:val="center"/>
            <w:hideMark/>
          </w:tcPr>
          <w:p w14:paraId="20696564" w14:textId="77777777" w:rsidR="002A649E" w:rsidRPr="00A27896" w:rsidRDefault="002A649E" w:rsidP="008911F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2</w:t>
            </w:r>
          </w:p>
        </w:tc>
        <w:tc>
          <w:tcPr>
            <w:tcW w:w="1205" w:type="dxa"/>
            <w:tcBorders>
              <w:top w:val="single" w:sz="4" w:space="0" w:color="17365D"/>
              <w:bottom w:val="single" w:sz="4" w:space="0" w:color="17365D"/>
            </w:tcBorders>
            <w:shd w:val="clear" w:color="auto" w:fill="auto"/>
            <w:vAlign w:val="center"/>
            <w:hideMark/>
          </w:tcPr>
          <w:p w14:paraId="0663756A" w14:textId="77777777" w:rsidR="002A649E" w:rsidRPr="00A27896" w:rsidRDefault="002A649E" w:rsidP="008911F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3</w:t>
            </w:r>
          </w:p>
        </w:tc>
        <w:tc>
          <w:tcPr>
            <w:tcW w:w="1063" w:type="dxa"/>
            <w:tcBorders>
              <w:top w:val="single" w:sz="4" w:space="0" w:color="17365D"/>
              <w:bottom w:val="single" w:sz="4" w:space="0" w:color="17365D"/>
            </w:tcBorders>
            <w:vAlign w:val="center"/>
          </w:tcPr>
          <w:p w14:paraId="3039919C" w14:textId="61337B62" w:rsidR="002A649E" w:rsidRPr="00A27896" w:rsidRDefault="007B6F15" w:rsidP="008911F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4</w:t>
            </w:r>
          </w:p>
        </w:tc>
        <w:tc>
          <w:tcPr>
            <w:tcW w:w="851" w:type="dxa"/>
            <w:gridSpan w:val="2"/>
            <w:tcBorders>
              <w:top w:val="single" w:sz="4" w:space="0" w:color="17365D"/>
              <w:bottom w:val="single" w:sz="4" w:space="0" w:color="17365D"/>
            </w:tcBorders>
            <w:vAlign w:val="center"/>
          </w:tcPr>
          <w:p w14:paraId="345C04DA" w14:textId="76369B09" w:rsidR="002A649E" w:rsidRPr="00A27896" w:rsidRDefault="007B6F15" w:rsidP="008911F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5</w:t>
            </w:r>
          </w:p>
        </w:tc>
        <w:tc>
          <w:tcPr>
            <w:tcW w:w="996" w:type="dxa"/>
            <w:tcBorders>
              <w:top w:val="single" w:sz="4" w:space="0" w:color="17365D"/>
              <w:bottom w:val="single" w:sz="4" w:space="0" w:color="17365D"/>
            </w:tcBorders>
            <w:vAlign w:val="center"/>
          </w:tcPr>
          <w:p w14:paraId="38274BC2" w14:textId="76CADF03" w:rsidR="002A649E" w:rsidRPr="00A27896" w:rsidRDefault="002A649E" w:rsidP="008911F1">
            <w:pPr>
              <w:spacing w:after="0" w:line="240" w:lineRule="auto"/>
              <w:jc w:val="center"/>
              <w:rPr>
                <w:rFonts w:eastAsia="Arial Unicode MS" w:cs="Times New Roman"/>
                <w:b/>
                <w:color w:val="17365D"/>
                <w:sz w:val="18"/>
                <w:szCs w:val="18"/>
              </w:rPr>
            </w:pPr>
            <w:r w:rsidRPr="00A27896">
              <w:rPr>
                <w:rFonts w:eastAsia="Arial Unicode MS" w:cs="Times New Roman"/>
                <w:b/>
                <w:color w:val="17365D"/>
                <w:sz w:val="18"/>
                <w:szCs w:val="18"/>
              </w:rPr>
              <w:t>6</w:t>
            </w:r>
          </w:p>
        </w:tc>
      </w:tr>
      <w:tr w:rsidR="007A77C2" w:rsidRPr="00A27896" w14:paraId="22C5B0BB" w14:textId="56922C83" w:rsidTr="007A77C2">
        <w:trPr>
          <w:trHeight w:val="266"/>
        </w:trPr>
        <w:tc>
          <w:tcPr>
            <w:tcW w:w="2835" w:type="dxa"/>
            <w:tcBorders>
              <w:top w:val="single" w:sz="4" w:space="0" w:color="17365D"/>
              <w:bottom w:val="single" w:sz="4" w:space="0" w:color="17365D"/>
              <w:right w:val="nil"/>
            </w:tcBorders>
            <w:shd w:val="clear" w:color="auto" w:fill="auto"/>
            <w:vAlign w:val="center"/>
            <w:hideMark/>
          </w:tcPr>
          <w:p w14:paraId="6DA9648C" w14:textId="368C5BE1" w:rsidR="007A77C2" w:rsidRPr="00A27896" w:rsidRDefault="007A77C2" w:rsidP="007A77C2">
            <w:pPr>
              <w:spacing w:after="0" w:line="240" w:lineRule="auto"/>
              <w:rPr>
                <w:rFonts w:eastAsia="Arial Unicode MS" w:cs="Times New Roman"/>
                <w:b/>
                <w:color w:val="17365D"/>
                <w:sz w:val="18"/>
                <w:szCs w:val="18"/>
              </w:rPr>
            </w:pPr>
            <w:r w:rsidRPr="00A27896">
              <w:rPr>
                <w:rFonts w:eastAsia="Arial Unicode MS" w:cs="Times New Roman"/>
                <w:b/>
                <w:color w:val="17365D"/>
                <w:sz w:val="18"/>
                <w:szCs w:val="18"/>
              </w:rPr>
              <w:t>Finanšu aktīvi</w:t>
            </w:r>
          </w:p>
        </w:tc>
        <w:tc>
          <w:tcPr>
            <w:tcW w:w="1418" w:type="dxa"/>
            <w:tcBorders>
              <w:top w:val="single" w:sz="4" w:space="0" w:color="17365D"/>
              <w:left w:val="nil"/>
              <w:bottom w:val="single" w:sz="4" w:space="0" w:color="17365D"/>
              <w:right w:val="nil"/>
            </w:tcBorders>
            <w:shd w:val="clear" w:color="auto" w:fill="auto"/>
            <w:vAlign w:val="center"/>
            <w:hideMark/>
          </w:tcPr>
          <w:p w14:paraId="16833763" w14:textId="525A3C05" w:rsidR="007A77C2" w:rsidRPr="00A27896" w:rsidRDefault="007A77C2" w:rsidP="007A77C2">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43 696 166</w:t>
            </w:r>
          </w:p>
        </w:tc>
        <w:tc>
          <w:tcPr>
            <w:tcW w:w="850" w:type="dxa"/>
            <w:tcBorders>
              <w:top w:val="single" w:sz="4" w:space="0" w:color="17365D"/>
              <w:left w:val="nil"/>
              <w:bottom w:val="single" w:sz="4" w:space="0" w:color="17365D"/>
              <w:right w:val="nil"/>
            </w:tcBorders>
            <w:shd w:val="clear" w:color="auto" w:fill="auto"/>
            <w:vAlign w:val="center"/>
            <w:hideMark/>
          </w:tcPr>
          <w:p w14:paraId="42F0936D" w14:textId="00927CF4" w:rsidR="007A77C2" w:rsidRPr="00A27896" w:rsidRDefault="007A77C2" w:rsidP="007A77C2">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0</w:t>
            </w:r>
          </w:p>
        </w:tc>
        <w:tc>
          <w:tcPr>
            <w:tcW w:w="1205" w:type="dxa"/>
            <w:tcBorders>
              <w:top w:val="single" w:sz="4" w:space="0" w:color="17365D"/>
              <w:left w:val="nil"/>
              <w:bottom w:val="single" w:sz="4" w:space="0" w:color="17365D"/>
              <w:right w:val="nil"/>
            </w:tcBorders>
            <w:shd w:val="clear" w:color="auto" w:fill="auto"/>
            <w:vAlign w:val="center"/>
            <w:hideMark/>
          </w:tcPr>
          <w:p w14:paraId="22549ADC" w14:textId="6AFCE548" w:rsidR="007A77C2" w:rsidRPr="00A27896" w:rsidRDefault="007A77C2" w:rsidP="007A77C2">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43 696 166</w:t>
            </w:r>
          </w:p>
        </w:tc>
        <w:tc>
          <w:tcPr>
            <w:tcW w:w="1205" w:type="dxa"/>
            <w:gridSpan w:val="2"/>
            <w:tcBorders>
              <w:top w:val="single" w:sz="4" w:space="0" w:color="17365D"/>
              <w:left w:val="nil"/>
              <w:bottom w:val="single" w:sz="4" w:space="0" w:color="17365D"/>
              <w:right w:val="nil"/>
            </w:tcBorders>
            <w:shd w:val="clear" w:color="auto" w:fill="auto"/>
            <w:vAlign w:val="center"/>
          </w:tcPr>
          <w:p w14:paraId="5FC450B2" w14:textId="092F9329" w:rsidR="007A77C2" w:rsidRPr="00A27896" w:rsidRDefault="007A77C2" w:rsidP="007A77C2">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56 501 144</w:t>
            </w:r>
          </w:p>
        </w:tc>
        <w:tc>
          <w:tcPr>
            <w:tcW w:w="709" w:type="dxa"/>
            <w:tcBorders>
              <w:top w:val="single" w:sz="4" w:space="0" w:color="17365D"/>
              <w:left w:val="nil"/>
              <w:bottom w:val="single" w:sz="4" w:space="0" w:color="17365D"/>
              <w:right w:val="nil"/>
            </w:tcBorders>
            <w:shd w:val="clear" w:color="auto" w:fill="auto"/>
            <w:vAlign w:val="center"/>
          </w:tcPr>
          <w:p w14:paraId="43800054" w14:textId="3F1EB11A" w:rsidR="007A77C2" w:rsidRPr="00A27896" w:rsidRDefault="007A77C2" w:rsidP="007A77C2">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0</w:t>
            </w:r>
          </w:p>
        </w:tc>
        <w:tc>
          <w:tcPr>
            <w:tcW w:w="1276" w:type="dxa"/>
            <w:gridSpan w:val="2"/>
            <w:tcBorders>
              <w:top w:val="single" w:sz="4" w:space="0" w:color="17365D"/>
              <w:left w:val="nil"/>
              <w:bottom w:val="single" w:sz="4" w:space="0" w:color="17365D"/>
              <w:right w:val="nil"/>
            </w:tcBorders>
            <w:shd w:val="clear" w:color="auto" w:fill="auto"/>
            <w:vAlign w:val="center"/>
          </w:tcPr>
          <w:p w14:paraId="40C29207" w14:textId="63EE890D" w:rsidR="007A77C2" w:rsidRPr="00A27896" w:rsidRDefault="007A77C2" w:rsidP="007A77C2">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56 501 144</w:t>
            </w:r>
          </w:p>
        </w:tc>
      </w:tr>
      <w:tr w:rsidR="007A77C2" w:rsidRPr="00A27896" w14:paraId="0649024D" w14:textId="0368FABA" w:rsidTr="007A77C2">
        <w:trPr>
          <w:trHeight w:val="266"/>
        </w:trPr>
        <w:tc>
          <w:tcPr>
            <w:tcW w:w="2835" w:type="dxa"/>
            <w:tcBorders>
              <w:top w:val="single" w:sz="4" w:space="0" w:color="17365D"/>
              <w:bottom w:val="single" w:sz="4" w:space="0" w:color="17365D"/>
              <w:right w:val="nil"/>
            </w:tcBorders>
            <w:shd w:val="clear" w:color="auto" w:fill="auto"/>
            <w:vAlign w:val="center"/>
            <w:hideMark/>
          </w:tcPr>
          <w:p w14:paraId="1519C25D" w14:textId="006D2C5F" w:rsidR="007A77C2" w:rsidRPr="00A27896" w:rsidRDefault="007A77C2" w:rsidP="007A77C2">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Patiesajā vērtībā novērtēti finanšu aktīvi</w:t>
            </w:r>
          </w:p>
        </w:tc>
        <w:tc>
          <w:tcPr>
            <w:tcW w:w="1418" w:type="dxa"/>
            <w:tcBorders>
              <w:top w:val="single" w:sz="4" w:space="0" w:color="17365D"/>
              <w:left w:val="nil"/>
              <w:bottom w:val="single" w:sz="4" w:space="0" w:color="17365D"/>
              <w:right w:val="nil"/>
            </w:tcBorders>
            <w:shd w:val="clear" w:color="auto" w:fill="auto"/>
            <w:vAlign w:val="center"/>
            <w:hideMark/>
          </w:tcPr>
          <w:p w14:paraId="184227C1" w14:textId="64B79D47"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43 676 607</w:t>
            </w:r>
          </w:p>
        </w:tc>
        <w:tc>
          <w:tcPr>
            <w:tcW w:w="850" w:type="dxa"/>
            <w:tcBorders>
              <w:top w:val="single" w:sz="4" w:space="0" w:color="17365D"/>
              <w:left w:val="nil"/>
              <w:bottom w:val="single" w:sz="4" w:space="0" w:color="17365D"/>
              <w:right w:val="nil"/>
            </w:tcBorders>
            <w:shd w:val="clear" w:color="auto" w:fill="auto"/>
            <w:vAlign w:val="center"/>
            <w:hideMark/>
          </w:tcPr>
          <w:p w14:paraId="3CFBD2E8" w14:textId="35EFBF48"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05" w:type="dxa"/>
            <w:tcBorders>
              <w:top w:val="single" w:sz="4" w:space="0" w:color="17365D"/>
              <w:left w:val="nil"/>
              <w:bottom w:val="single" w:sz="4" w:space="0" w:color="17365D"/>
              <w:right w:val="nil"/>
            </w:tcBorders>
            <w:shd w:val="clear" w:color="auto" w:fill="auto"/>
            <w:vAlign w:val="center"/>
            <w:hideMark/>
          </w:tcPr>
          <w:p w14:paraId="23D6E62D" w14:textId="4F18B7DC"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43 676 607</w:t>
            </w:r>
          </w:p>
        </w:tc>
        <w:tc>
          <w:tcPr>
            <w:tcW w:w="1205" w:type="dxa"/>
            <w:gridSpan w:val="2"/>
            <w:tcBorders>
              <w:top w:val="single" w:sz="4" w:space="0" w:color="17365D"/>
              <w:left w:val="nil"/>
              <w:bottom w:val="single" w:sz="4" w:space="0" w:color="17365D"/>
              <w:right w:val="nil"/>
            </w:tcBorders>
            <w:shd w:val="clear" w:color="auto" w:fill="auto"/>
            <w:vAlign w:val="center"/>
          </w:tcPr>
          <w:p w14:paraId="2BA5EA15" w14:textId="2BEFD426"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56 470 853</w:t>
            </w:r>
          </w:p>
        </w:tc>
        <w:tc>
          <w:tcPr>
            <w:tcW w:w="709" w:type="dxa"/>
            <w:tcBorders>
              <w:top w:val="single" w:sz="4" w:space="0" w:color="17365D"/>
              <w:left w:val="nil"/>
              <w:bottom w:val="single" w:sz="4" w:space="0" w:color="17365D"/>
              <w:right w:val="nil"/>
            </w:tcBorders>
            <w:shd w:val="clear" w:color="auto" w:fill="auto"/>
            <w:vAlign w:val="center"/>
          </w:tcPr>
          <w:p w14:paraId="3B41302B" w14:textId="6ACEA734"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76" w:type="dxa"/>
            <w:gridSpan w:val="2"/>
            <w:tcBorders>
              <w:top w:val="single" w:sz="4" w:space="0" w:color="17365D"/>
              <w:left w:val="nil"/>
              <w:bottom w:val="single" w:sz="4" w:space="0" w:color="17365D"/>
              <w:right w:val="nil"/>
            </w:tcBorders>
            <w:shd w:val="clear" w:color="auto" w:fill="auto"/>
            <w:vAlign w:val="center"/>
          </w:tcPr>
          <w:p w14:paraId="6D675F6D" w14:textId="6D2FF0D7"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56 470 853</w:t>
            </w:r>
          </w:p>
        </w:tc>
      </w:tr>
      <w:tr w:rsidR="007A77C2" w:rsidRPr="00A27896" w14:paraId="7A09A36D" w14:textId="77777777" w:rsidTr="007A77C2">
        <w:trPr>
          <w:trHeight w:val="266"/>
        </w:trPr>
        <w:tc>
          <w:tcPr>
            <w:tcW w:w="2835" w:type="dxa"/>
            <w:tcBorders>
              <w:top w:val="single" w:sz="4" w:space="0" w:color="17365D"/>
              <w:bottom w:val="single" w:sz="4" w:space="0" w:color="17365D"/>
              <w:right w:val="nil"/>
            </w:tcBorders>
            <w:shd w:val="clear" w:color="auto" w:fill="auto"/>
            <w:vAlign w:val="center"/>
          </w:tcPr>
          <w:p w14:paraId="052BBE65" w14:textId="145900FA" w:rsidR="007A77C2" w:rsidRPr="00A27896" w:rsidRDefault="007A77C2" w:rsidP="007A77C2">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 patiesās vērtības izmaiņas</w:t>
            </w:r>
          </w:p>
        </w:tc>
        <w:tc>
          <w:tcPr>
            <w:tcW w:w="1418" w:type="dxa"/>
            <w:tcBorders>
              <w:top w:val="single" w:sz="4" w:space="0" w:color="17365D"/>
              <w:left w:val="nil"/>
              <w:bottom w:val="single" w:sz="4" w:space="0" w:color="17365D"/>
              <w:right w:val="nil"/>
            </w:tcBorders>
            <w:shd w:val="clear" w:color="auto" w:fill="auto"/>
            <w:vAlign w:val="center"/>
          </w:tcPr>
          <w:p w14:paraId="7A33E5AE" w14:textId="2037B11E"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850" w:type="dxa"/>
            <w:tcBorders>
              <w:top w:val="single" w:sz="4" w:space="0" w:color="17365D"/>
              <w:left w:val="nil"/>
              <w:bottom w:val="single" w:sz="4" w:space="0" w:color="17365D"/>
              <w:right w:val="nil"/>
            </w:tcBorders>
            <w:shd w:val="clear" w:color="auto" w:fill="auto"/>
            <w:vAlign w:val="center"/>
          </w:tcPr>
          <w:p w14:paraId="33FF3EDF" w14:textId="13929C00"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05" w:type="dxa"/>
            <w:tcBorders>
              <w:top w:val="single" w:sz="4" w:space="0" w:color="17365D"/>
              <w:left w:val="nil"/>
              <w:bottom w:val="single" w:sz="4" w:space="0" w:color="17365D"/>
              <w:right w:val="nil"/>
            </w:tcBorders>
            <w:shd w:val="clear" w:color="auto" w:fill="auto"/>
            <w:vAlign w:val="center"/>
          </w:tcPr>
          <w:p w14:paraId="621BB1D3" w14:textId="7A776624"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05" w:type="dxa"/>
            <w:gridSpan w:val="2"/>
            <w:tcBorders>
              <w:top w:val="single" w:sz="4" w:space="0" w:color="17365D"/>
              <w:left w:val="nil"/>
              <w:bottom w:val="single" w:sz="4" w:space="0" w:color="17365D"/>
              <w:right w:val="nil"/>
            </w:tcBorders>
            <w:shd w:val="clear" w:color="auto" w:fill="auto"/>
            <w:vAlign w:val="center"/>
          </w:tcPr>
          <w:p w14:paraId="5B81CA10" w14:textId="5196717B"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-16 184 075</w:t>
            </w:r>
          </w:p>
        </w:tc>
        <w:tc>
          <w:tcPr>
            <w:tcW w:w="709" w:type="dxa"/>
            <w:tcBorders>
              <w:top w:val="single" w:sz="4" w:space="0" w:color="17365D"/>
              <w:left w:val="nil"/>
              <w:bottom w:val="single" w:sz="4" w:space="0" w:color="17365D"/>
              <w:right w:val="nil"/>
            </w:tcBorders>
            <w:shd w:val="clear" w:color="auto" w:fill="auto"/>
            <w:vAlign w:val="center"/>
          </w:tcPr>
          <w:p w14:paraId="1D319C8F" w14:textId="138C6603"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76" w:type="dxa"/>
            <w:gridSpan w:val="2"/>
            <w:tcBorders>
              <w:top w:val="single" w:sz="4" w:space="0" w:color="17365D"/>
              <w:left w:val="nil"/>
              <w:bottom w:val="single" w:sz="4" w:space="0" w:color="17365D"/>
              <w:right w:val="nil"/>
            </w:tcBorders>
            <w:shd w:val="clear" w:color="auto" w:fill="auto"/>
            <w:vAlign w:val="center"/>
          </w:tcPr>
          <w:p w14:paraId="134FDE23" w14:textId="5D874904"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-16 184 075</w:t>
            </w:r>
          </w:p>
        </w:tc>
      </w:tr>
      <w:tr w:rsidR="007A77C2" w:rsidRPr="00A27896" w14:paraId="14685F43" w14:textId="31C4B8BB" w:rsidTr="007A77C2">
        <w:trPr>
          <w:trHeight w:val="266"/>
        </w:trPr>
        <w:tc>
          <w:tcPr>
            <w:tcW w:w="2835" w:type="dxa"/>
            <w:tcBorders>
              <w:top w:val="single" w:sz="4" w:space="0" w:color="17365D"/>
              <w:bottom w:val="single" w:sz="4" w:space="0" w:color="17365D"/>
              <w:right w:val="nil"/>
            </w:tcBorders>
            <w:shd w:val="clear" w:color="auto" w:fill="auto"/>
            <w:vAlign w:val="center"/>
            <w:hideMark/>
          </w:tcPr>
          <w:p w14:paraId="39E9EF0F" w14:textId="1FE6DAD5" w:rsidR="007A77C2" w:rsidRPr="00A27896" w:rsidRDefault="007A77C2" w:rsidP="007A77C2">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 ārvalstu valūtas kursa izmaiņas</w:t>
            </w:r>
          </w:p>
        </w:tc>
        <w:tc>
          <w:tcPr>
            <w:tcW w:w="1418" w:type="dxa"/>
            <w:tcBorders>
              <w:top w:val="single" w:sz="4" w:space="0" w:color="17365D"/>
              <w:left w:val="nil"/>
              <w:bottom w:val="single" w:sz="4" w:space="0" w:color="17365D"/>
              <w:right w:val="nil"/>
            </w:tcBorders>
            <w:shd w:val="clear" w:color="auto" w:fill="auto"/>
            <w:vAlign w:val="center"/>
          </w:tcPr>
          <w:p w14:paraId="5E84D6EF" w14:textId="7BA4A107"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43 677 225</w:t>
            </w:r>
          </w:p>
        </w:tc>
        <w:tc>
          <w:tcPr>
            <w:tcW w:w="850" w:type="dxa"/>
            <w:tcBorders>
              <w:top w:val="single" w:sz="4" w:space="0" w:color="17365D"/>
              <w:left w:val="nil"/>
              <w:bottom w:val="single" w:sz="4" w:space="0" w:color="17365D"/>
              <w:right w:val="nil"/>
            </w:tcBorders>
            <w:shd w:val="clear" w:color="auto" w:fill="auto"/>
            <w:vAlign w:val="center"/>
          </w:tcPr>
          <w:p w14:paraId="2936696A" w14:textId="75C283D3"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05" w:type="dxa"/>
            <w:tcBorders>
              <w:top w:val="single" w:sz="4" w:space="0" w:color="17365D"/>
              <w:left w:val="nil"/>
              <w:bottom w:val="single" w:sz="4" w:space="0" w:color="17365D"/>
              <w:right w:val="nil"/>
            </w:tcBorders>
            <w:shd w:val="clear" w:color="auto" w:fill="auto"/>
            <w:vAlign w:val="center"/>
          </w:tcPr>
          <w:p w14:paraId="2776D223" w14:textId="42482047"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43 677 225</w:t>
            </w:r>
          </w:p>
        </w:tc>
        <w:tc>
          <w:tcPr>
            <w:tcW w:w="1205" w:type="dxa"/>
            <w:gridSpan w:val="2"/>
            <w:tcBorders>
              <w:top w:val="single" w:sz="4" w:space="0" w:color="17365D"/>
              <w:left w:val="nil"/>
              <w:bottom w:val="single" w:sz="4" w:space="0" w:color="17365D"/>
              <w:right w:val="nil"/>
            </w:tcBorders>
            <w:shd w:val="clear" w:color="auto" w:fill="auto"/>
            <w:vAlign w:val="center"/>
          </w:tcPr>
          <w:p w14:paraId="258D8FC6" w14:textId="640B098D"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19 718 179</w:t>
            </w:r>
          </w:p>
        </w:tc>
        <w:tc>
          <w:tcPr>
            <w:tcW w:w="709" w:type="dxa"/>
            <w:tcBorders>
              <w:top w:val="single" w:sz="4" w:space="0" w:color="17365D"/>
              <w:left w:val="nil"/>
              <w:bottom w:val="single" w:sz="4" w:space="0" w:color="17365D"/>
              <w:right w:val="nil"/>
            </w:tcBorders>
            <w:shd w:val="clear" w:color="auto" w:fill="auto"/>
            <w:vAlign w:val="center"/>
          </w:tcPr>
          <w:p w14:paraId="445A559E" w14:textId="167A4430"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76" w:type="dxa"/>
            <w:gridSpan w:val="2"/>
            <w:tcBorders>
              <w:top w:val="single" w:sz="4" w:space="0" w:color="17365D"/>
              <w:left w:val="nil"/>
              <w:bottom w:val="single" w:sz="4" w:space="0" w:color="17365D"/>
              <w:right w:val="nil"/>
            </w:tcBorders>
            <w:shd w:val="clear" w:color="auto" w:fill="auto"/>
            <w:vAlign w:val="center"/>
          </w:tcPr>
          <w:p w14:paraId="62EFB992" w14:textId="387FE082"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19 718 179</w:t>
            </w:r>
          </w:p>
        </w:tc>
      </w:tr>
      <w:tr w:rsidR="007A77C2" w:rsidRPr="00A27896" w14:paraId="148945E3" w14:textId="77777777" w:rsidTr="007A77C2">
        <w:trPr>
          <w:trHeight w:val="266"/>
        </w:trPr>
        <w:tc>
          <w:tcPr>
            <w:tcW w:w="2835" w:type="dxa"/>
            <w:tcBorders>
              <w:top w:val="single" w:sz="4" w:space="0" w:color="17365D"/>
              <w:bottom w:val="single" w:sz="4" w:space="0" w:color="17365D"/>
              <w:right w:val="nil"/>
            </w:tcBorders>
            <w:shd w:val="clear" w:color="auto" w:fill="auto"/>
            <w:vAlign w:val="center"/>
          </w:tcPr>
          <w:p w14:paraId="4CEF3AD1" w14:textId="3D155BB2" w:rsidR="007A77C2" w:rsidRPr="00A27896" w:rsidRDefault="007A77C2" w:rsidP="007A77C2">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 atsavināšana un izslēgšana no uzskaites</w:t>
            </w:r>
          </w:p>
        </w:tc>
        <w:tc>
          <w:tcPr>
            <w:tcW w:w="1418" w:type="dxa"/>
            <w:tcBorders>
              <w:top w:val="single" w:sz="4" w:space="0" w:color="17365D"/>
              <w:left w:val="nil"/>
              <w:bottom w:val="single" w:sz="4" w:space="0" w:color="17365D"/>
              <w:right w:val="nil"/>
            </w:tcBorders>
            <w:shd w:val="clear" w:color="auto" w:fill="auto"/>
            <w:vAlign w:val="center"/>
          </w:tcPr>
          <w:p w14:paraId="10B038AC" w14:textId="0A2D696D"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-618</w:t>
            </w:r>
          </w:p>
        </w:tc>
        <w:tc>
          <w:tcPr>
            <w:tcW w:w="850" w:type="dxa"/>
            <w:tcBorders>
              <w:top w:val="single" w:sz="4" w:space="0" w:color="17365D"/>
              <w:left w:val="nil"/>
              <w:bottom w:val="single" w:sz="4" w:space="0" w:color="17365D"/>
              <w:right w:val="nil"/>
            </w:tcBorders>
            <w:shd w:val="clear" w:color="auto" w:fill="auto"/>
            <w:vAlign w:val="center"/>
          </w:tcPr>
          <w:p w14:paraId="537AE2AB" w14:textId="0B323711"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05" w:type="dxa"/>
            <w:tcBorders>
              <w:top w:val="single" w:sz="4" w:space="0" w:color="17365D"/>
              <w:left w:val="nil"/>
              <w:bottom w:val="single" w:sz="4" w:space="0" w:color="17365D"/>
              <w:right w:val="nil"/>
            </w:tcBorders>
            <w:shd w:val="clear" w:color="auto" w:fill="auto"/>
            <w:vAlign w:val="center"/>
          </w:tcPr>
          <w:p w14:paraId="2C569F33" w14:textId="2077510F"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-618</w:t>
            </w:r>
          </w:p>
        </w:tc>
        <w:tc>
          <w:tcPr>
            <w:tcW w:w="1205" w:type="dxa"/>
            <w:gridSpan w:val="2"/>
            <w:tcBorders>
              <w:top w:val="single" w:sz="4" w:space="0" w:color="17365D"/>
              <w:left w:val="nil"/>
              <w:bottom w:val="single" w:sz="4" w:space="0" w:color="17365D"/>
              <w:right w:val="nil"/>
            </w:tcBorders>
            <w:shd w:val="clear" w:color="auto" w:fill="auto"/>
            <w:vAlign w:val="center"/>
          </w:tcPr>
          <w:p w14:paraId="122642A5" w14:textId="1C6D63AD"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52 936 749</w:t>
            </w:r>
          </w:p>
        </w:tc>
        <w:tc>
          <w:tcPr>
            <w:tcW w:w="709" w:type="dxa"/>
            <w:tcBorders>
              <w:top w:val="single" w:sz="4" w:space="0" w:color="17365D"/>
              <w:left w:val="nil"/>
              <w:bottom w:val="single" w:sz="4" w:space="0" w:color="17365D"/>
              <w:right w:val="nil"/>
            </w:tcBorders>
            <w:shd w:val="clear" w:color="auto" w:fill="auto"/>
            <w:vAlign w:val="center"/>
          </w:tcPr>
          <w:p w14:paraId="60D7629F" w14:textId="2B95924E"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76" w:type="dxa"/>
            <w:gridSpan w:val="2"/>
            <w:tcBorders>
              <w:top w:val="single" w:sz="4" w:space="0" w:color="17365D"/>
              <w:left w:val="nil"/>
              <w:bottom w:val="single" w:sz="4" w:space="0" w:color="17365D"/>
              <w:right w:val="nil"/>
            </w:tcBorders>
            <w:shd w:val="clear" w:color="auto" w:fill="auto"/>
            <w:vAlign w:val="center"/>
          </w:tcPr>
          <w:p w14:paraId="41EF4DD2" w14:textId="27AEB94A"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52 936 749</w:t>
            </w:r>
          </w:p>
        </w:tc>
      </w:tr>
      <w:tr w:rsidR="007A77C2" w:rsidRPr="00A27896" w14:paraId="6193E2A6" w14:textId="7868C510" w:rsidTr="007A77C2">
        <w:trPr>
          <w:trHeight w:val="266"/>
        </w:trPr>
        <w:tc>
          <w:tcPr>
            <w:tcW w:w="2835" w:type="dxa"/>
            <w:tcBorders>
              <w:top w:val="single" w:sz="4" w:space="0" w:color="17365D"/>
              <w:bottom w:val="single" w:sz="4" w:space="0" w:color="17365D"/>
              <w:right w:val="nil"/>
            </w:tcBorders>
            <w:shd w:val="clear" w:color="auto" w:fill="auto"/>
            <w:vAlign w:val="center"/>
            <w:hideMark/>
          </w:tcPr>
          <w:p w14:paraId="57787182" w14:textId="0DFB0220" w:rsidR="007A77C2" w:rsidRPr="00A27896" w:rsidRDefault="007A77C2" w:rsidP="007A77C2">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Aizdevumi un prasības</w:t>
            </w:r>
          </w:p>
        </w:tc>
        <w:tc>
          <w:tcPr>
            <w:tcW w:w="1418" w:type="dxa"/>
            <w:tcBorders>
              <w:top w:val="single" w:sz="4" w:space="0" w:color="17365D"/>
              <w:left w:val="nil"/>
              <w:bottom w:val="single" w:sz="4" w:space="0" w:color="17365D"/>
              <w:right w:val="nil"/>
            </w:tcBorders>
            <w:shd w:val="clear" w:color="auto" w:fill="auto"/>
            <w:vAlign w:val="center"/>
            <w:hideMark/>
          </w:tcPr>
          <w:p w14:paraId="42A7758C" w14:textId="6C73E27B"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19 559</w:t>
            </w:r>
          </w:p>
        </w:tc>
        <w:tc>
          <w:tcPr>
            <w:tcW w:w="850" w:type="dxa"/>
            <w:tcBorders>
              <w:top w:val="single" w:sz="4" w:space="0" w:color="17365D"/>
              <w:left w:val="nil"/>
              <w:bottom w:val="single" w:sz="4" w:space="0" w:color="17365D"/>
              <w:right w:val="nil"/>
            </w:tcBorders>
            <w:shd w:val="clear" w:color="auto" w:fill="auto"/>
            <w:vAlign w:val="center"/>
            <w:hideMark/>
          </w:tcPr>
          <w:p w14:paraId="2D555639" w14:textId="6EDECB03"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05" w:type="dxa"/>
            <w:tcBorders>
              <w:top w:val="single" w:sz="4" w:space="0" w:color="17365D"/>
              <w:left w:val="nil"/>
              <w:bottom w:val="single" w:sz="4" w:space="0" w:color="17365D"/>
              <w:right w:val="nil"/>
            </w:tcBorders>
            <w:shd w:val="clear" w:color="auto" w:fill="auto"/>
            <w:vAlign w:val="center"/>
            <w:hideMark/>
          </w:tcPr>
          <w:p w14:paraId="3DD9A4CB" w14:textId="679D89D2"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19 559</w:t>
            </w:r>
          </w:p>
        </w:tc>
        <w:tc>
          <w:tcPr>
            <w:tcW w:w="1205" w:type="dxa"/>
            <w:gridSpan w:val="2"/>
            <w:tcBorders>
              <w:top w:val="single" w:sz="4" w:space="0" w:color="17365D"/>
              <w:left w:val="nil"/>
              <w:bottom w:val="single" w:sz="4" w:space="0" w:color="17365D"/>
              <w:right w:val="nil"/>
            </w:tcBorders>
            <w:shd w:val="clear" w:color="auto" w:fill="auto"/>
            <w:vAlign w:val="center"/>
          </w:tcPr>
          <w:p w14:paraId="2762DA71" w14:textId="73126645"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30 291</w:t>
            </w:r>
          </w:p>
        </w:tc>
        <w:tc>
          <w:tcPr>
            <w:tcW w:w="709" w:type="dxa"/>
            <w:tcBorders>
              <w:top w:val="single" w:sz="4" w:space="0" w:color="17365D"/>
              <w:left w:val="nil"/>
              <w:bottom w:val="single" w:sz="4" w:space="0" w:color="17365D"/>
              <w:right w:val="nil"/>
            </w:tcBorders>
            <w:shd w:val="clear" w:color="auto" w:fill="auto"/>
            <w:vAlign w:val="center"/>
          </w:tcPr>
          <w:p w14:paraId="546D38B3" w14:textId="731C0FB9"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76" w:type="dxa"/>
            <w:gridSpan w:val="2"/>
            <w:tcBorders>
              <w:top w:val="single" w:sz="4" w:space="0" w:color="17365D"/>
              <w:left w:val="nil"/>
              <w:bottom w:val="single" w:sz="4" w:space="0" w:color="17365D"/>
              <w:right w:val="nil"/>
            </w:tcBorders>
            <w:shd w:val="clear" w:color="auto" w:fill="auto"/>
            <w:vAlign w:val="center"/>
          </w:tcPr>
          <w:p w14:paraId="665CDE49" w14:textId="2A9E85A7"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30 291</w:t>
            </w:r>
          </w:p>
        </w:tc>
      </w:tr>
      <w:tr w:rsidR="007A77C2" w:rsidRPr="00A27896" w14:paraId="7B0DB881" w14:textId="13C890E1" w:rsidTr="007A77C2">
        <w:trPr>
          <w:trHeight w:val="266"/>
        </w:trPr>
        <w:tc>
          <w:tcPr>
            <w:tcW w:w="2835" w:type="dxa"/>
            <w:tcBorders>
              <w:top w:val="single" w:sz="4" w:space="0" w:color="17365D"/>
              <w:bottom w:val="single" w:sz="4" w:space="0" w:color="17365D"/>
              <w:right w:val="nil"/>
            </w:tcBorders>
            <w:shd w:val="clear" w:color="auto" w:fill="auto"/>
            <w:vAlign w:val="center"/>
            <w:hideMark/>
          </w:tcPr>
          <w:p w14:paraId="016AF185" w14:textId="6550438C" w:rsidR="007A77C2" w:rsidRPr="00A27896" w:rsidRDefault="007A77C2" w:rsidP="007A77C2">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  ārvalstu valūtas kursa izmaiņas</w:t>
            </w:r>
          </w:p>
        </w:tc>
        <w:tc>
          <w:tcPr>
            <w:tcW w:w="1418" w:type="dxa"/>
            <w:tcBorders>
              <w:top w:val="single" w:sz="4" w:space="0" w:color="17365D"/>
              <w:left w:val="nil"/>
              <w:bottom w:val="single" w:sz="4" w:space="0" w:color="17365D"/>
              <w:right w:val="nil"/>
            </w:tcBorders>
            <w:shd w:val="clear" w:color="auto" w:fill="auto"/>
            <w:vAlign w:val="center"/>
          </w:tcPr>
          <w:p w14:paraId="7EC02E6A" w14:textId="74B553AF"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19 559</w:t>
            </w:r>
          </w:p>
        </w:tc>
        <w:tc>
          <w:tcPr>
            <w:tcW w:w="850" w:type="dxa"/>
            <w:tcBorders>
              <w:top w:val="single" w:sz="4" w:space="0" w:color="17365D"/>
              <w:left w:val="nil"/>
              <w:bottom w:val="single" w:sz="4" w:space="0" w:color="17365D"/>
              <w:right w:val="nil"/>
            </w:tcBorders>
            <w:shd w:val="clear" w:color="auto" w:fill="auto"/>
            <w:vAlign w:val="center"/>
          </w:tcPr>
          <w:p w14:paraId="2DC19411" w14:textId="6B585336"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05" w:type="dxa"/>
            <w:tcBorders>
              <w:top w:val="single" w:sz="4" w:space="0" w:color="17365D"/>
              <w:left w:val="nil"/>
              <w:bottom w:val="single" w:sz="4" w:space="0" w:color="17365D"/>
              <w:right w:val="nil"/>
            </w:tcBorders>
            <w:shd w:val="clear" w:color="auto" w:fill="auto"/>
            <w:vAlign w:val="center"/>
          </w:tcPr>
          <w:p w14:paraId="765A236B" w14:textId="367D3B86"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19 559</w:t>
            </w:r>
          </w:p>
        </w:tc>
        <w:tc>
          <w:tcPr>
            <w:tcW w:w="1205" w:type="dxa"/>
            <w:gridSpan w:val="2"/>
            <w:tcBorders>
              <w:top w:val="single" w:sz="4" w:space="0" w:color="17365D"/>
              <w:left w:val="nil"/>
              <w:bottom w:val="single" w:sz="4" w:space="0" w:color="17365D"/>
              <w:right w:val="nil"/>
            </w:tcBorders>
            <w:shd w:val="clear" w:color="auto" w:fill="auto"/>
            <w:vAlign w:val="center"/>
          </w:tcPr>
          <w:p w14:paraId="6C9381C4" w14:textId="7D6155B9"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30 291</w:t>
            </w:r>
          </w:p>
        </w:tc>
        <w:tc>
          <w:tcPr>
            <w:tcW w:w="709" w:type="dxa"/>
            <w:tcBorders>
              <w:top w:val="single" w:sz="4" w:space="0" w:color="17365D"/>
              <w:left w:val="nil"/>
              <w:bottom w:val="single" w:sz="4" w:space="0" w:color="17365D"/>
              <w:right w:val="nil"/>
            </w:tcBorders>
            <w:vAlign w:val="center"/>
          </w:tcPr>
          <w:p w14:paraId="10DC62F4" w14:textId="1A229671"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76" w:type="dxa"/>
            <w:gridSpan w:val="2"/>
            <w:tcBorders>
              <w:top w:val="single" w:sz="4" w:space="0" w:color="17365D"/>
              <w:left w:val="nil"/>
              <w:bottom w:val="single" w:sz="4" w:space="0" w:color="17365D"/>
              <w:right w:val="nil"/>
            </w:tcBorders>
            <w:shd w:val="clear" w:color="auto" w:fill="auto"/>
            <w:vAlign w:val="center"/>
          </w:tcPr>
          <w:p w14:paraId="106AD2F8" w14:textId="4EFE2E97"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30 291</w:t>
            </w:r>
          </w:p>
        </w:tc>
      </w:tr>
      <w:tr w:rsidR="007A77C2" w:rsidRPr="00A27896" w14:paraId="6BB37CC1" w14:textId="025A2C1B" w:rsidTr="007A77C2">
        <w:trPr>
          <w:trHeight w:val="266"/>
        </w:trPr>
        <w:tc>
          <w:tcPr>
            <w:tcW w:w="2835" w:type="dxa"/>
            <w:tcBorders>
              <w:top w:val="single" w:sz="4" w:space="0" w:color="17365D"/>
              <w:bottom w:val="single" w:sz="4" w:space="0" w:color="17365D"/>
              <w:right w:val="nil"/>
            </w:tcBorders>
            <w:shd w:val="clear" w:color="auto" w:fill="auto"/>
            <w:vAlign w:val="center"/>
            <w:hideMark/>
          </w:tcPr>
          <w:p w14:paraId="5256C7AF" w14:textId="76A76F34" w:rsidR="007A77C2" w:rsidRPr="00A27896" w:rsidRDefault="007A77C2" w:rsidP="007A77C2">
            <w:pPr>
              <w:spacing w:after="0" w:line="240" w:lineRule="auto"/>
              <w:rPr>
                <w:rFonts w:eastAsia="Arial Unicode MS" w:cs="Times New Roman"/>
                <w:b/>
                <w:color w:val="17365D"/>
                <w:sz w:val="18"/>
                <w:szCs w:val="18"/>
              </w:rPr>
            </w:pPr>
            <w:r w:rsidRPr="00A27896">
              <w:rPr>
                <w:rFonts w:eastAsia="Arial Unicode MS" w:cs="Times New Roman"/>
                <w:b/>
                <w:color w:val="17365D"/>
                <w:sz w:val="18"/>
                <w:szCs w:val="18"/>
              </w:rPr>
              <w:t>Finanšu saistības</w:t>
            </w:r>
          </w:p>
        </w:tc>
        <w:tc>
          <w:tcPr>
            <w:tcW w:w="1418" w:type="dxa"/>
            <w:tcBorders>
              <w:top w:val="single" w:sz="4" w:space="0" w:color="17365D"/>
              <w:left w:val="nil"/>
              <w:bottom w:val="single" w:sz="4" w:space="0" w:color="17365D"/>
              <w:right w:val="nil"/>
            </w:tcBorders>
            <w:shd w:val="clear" w:color="auto" w:fill="auto"/>
            <w:vAlign w:val="center"/>
            <w:hideMark/>
          </w:tcPr>
          <w:p w14:paraId="663755F2" w14:textId="7EBA4CCD" w:rsidR="007A77C2" w:rsidRPr="00A27896" w:rsidRDefault="007A77C2" w:rsidP="007A77C2">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-47 074 411</w:t>
            </w:r>
          </w:p>
        </w:tc>
        <w:tc>
          <w:tcPr>
            <w:tcW w:w="850" w:type="dxa"/>
            <w:tcBorders>
              <w:top w:val="single" w:sz="4" w:space="0" w:color="17365D"/>
              <w:left w:val="nil"/>
              <w:bottom w:val="single" w:sz="4" w:space="0" w:color="17365D"/>
              <w:right w:val="nil"/>
            </w:tcBorders>
            <w:shd w:val="clear" w:color="auto" w:fill="auto"/>
            <w:vAlign w:val="center"/>
            <w:hideMark/>
          </w:tcPr>
          <w:p w14:paraId="73E908CA" w14:textId="36FAC437" w:rsidR="007A77C2" w:rsidRPr="00A27896" w:rsidRDefault="007A77C2" w:rsidP="007A77C2">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0</w:t>
            </w:r>
          </w:p>
        </w:tc>
        <w:tc>
          <w:tcPr>
            <w:tcW w:w="1205" w:type="dxa"/>
            <w:tcBorders>
              <w:top w:val="single" w:sz="4" w:space="0" w:color="17365D"/>
              <w:left w:val="nil"/>
              <w:bottom w:val="single" w:sz="4" w:space="0" w:color="17365D"/>
              <w:right w:val="nil"/>
            </w:tcBorders>
            <w:shd w:val="clear" w:color="auto" w:fill="auto"/>
            <w:vAlign w:val="center"/>
            <w:hideMark/>
          </w:tcPr>
          <w:p w14:paraId="4E033274" w14:textId="18B8986D" w:rsidR="007A77C2" w:rsidRPr="00A27896" w:rsidRDefault="007A77C2" w:rsidP="007A77C2">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-47 074 411</w:t>
            </w:r>
          </w:p>
        </w:tc>
        <w:tc>
          <w:tcPr>
            <w:tcW w:w="1205" w:type="dxa"/>
            <w:gridSpan w:val="2"/>
            <w:tcBorders>
              <w:top w:val="single" w:sz="4" w:space="0" w:color="17365D"/>
              <w:left w:val="nil"/>
              <w:bottom w:val="single" w:sz="4" w:space="0" w:color="17365D"/>
              <w:right w:val="nil"/>
            </w:tcBorders>
            <w:shd w:val="clear" w:color="auto" w:fill="auto"/>
            <w:vAlign w:val="center"/>
          </w:tcPr>
          <w:p w14:paraId="0EB398E6" w14:textId="5F77CC49" w:rsidR="007A77C2" w:rsidRPr="00A27896" w:rsidRDefault="007A77C2" w:rsidP="007A77C2">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-63 211 870</w:t>
            </w:r>
          </w:p>
        </w:tc>
        <w:tc>
          <w:tcPr>
            <w:tcW w:w="709" w:type="dxa"/>
            <w:tcBorders>
              <w:top w:val="single" w:sz="4" w:space="0" w:color="17365D"/>
              <w:left w:val="nil"/>
              <w:bottom w:val="single" w:sz="4" w:space="0" w:color="17365D"/>
              <w:right w:val="nil"/>
            </w:tcBorders>
            <w:shd w:val="clear" w:color="auto" w:fill="auto"/>
            <w:vAlign w:val="center"/>
          </w:tcPr>
          <w:p w14:paraId="372F7424" w14:textId="174353A1" w:rsidR="007A77C2" w:rsidRPr="00A27896" w:rsidRDefault="007A77C2" w:rsidP="007A77C2">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0</w:t>
            </w:r>
          </w:p>
        </w:tc>
        <w:tc>
          <w:tcPr>
            <w:tcW w:w="1276" w:type="dxa"/>
            <w:gridSpan w:val="2"/>
            <w:tcBorders>
              <w:top w:val="single" w:sz="4" w:space="0" w:color="17365D"/>
              <w:left w:val="nil"/>
              <w:bottom w:val="single" w:sz="4" w:space="0" w:color="17365D"/>
              <w:right w:val="nil"/>
            </w:tcBorders>
            <w:shd w:val="clear" w:color="auto" w:fill="auto"/>
            <w:vAlign w:val="center"/>
          </w:tcPr>
          <w:p w14:paraId="585AB750" w14:textId="3BB1A2B2" w:rsidR="007A77C2" w:rsidRPr="00A27896" w:rsidRDefault="007A77C2" w:rsidP="007A77C2">
            <w:pPr>
              <w:spacing w:after="0" w:line="240" w:lineRule="auto"/>
              <w:jc w:val="right"/>
              <w:rPr>
                <w:rFonts w:eastAsia="Arial Unicode MS" w:cs="Times New Roman"/>
                <w:b/>
                <w:color w:val="17365D"/>
                <w:sz w:val="18"/>
                <w:szCs w:val="18"/>
              </w:rPr>
            </w:pPr>
            <w:r w:rsidRPr="00A27896">
              <w:rPr>
                <w:rFonts w:eastAsia="Arial Unicode MS" w:cs="Times New Roman"/>
                <w:b/>
                <w:color w:val="17365D"/>
                <w:sz w:val="18"/>
                <w:szCs w:val="18"/>
              </w:rPr>
              <w:t>-63 211 870</w:t>
            </w:r>
          </w:p>
        </w:tc>
      </w:tr>
      <w:tr w:rsidR="007A77C2" w:rsidRPr="00A27896" w14:paraId="5CF7C656" w14:textId="2B37580D" w:rsidTr="007A77C2">
        <w:trPr>
          <w:trHeight w:val="266"/>
        </w:trPr>
        <w:tc>
          <w:tcPr>
            <w:tcW w:w="2835" w:type="dxa"/>
            <w:tcBorders>
              <w:top w:val="single" w:sz="4" w:space="0" w:color="17365D"/>
              <w:bottom w:val="single" w:sz="4" w:space="0" w:color="17365D"/>
              <w:right w:val="nil"/>
            </w:tcBorders>
            <w:shd w:val="clear" w:color="auto" w:fill="auto"/>
            <w:vAlign w:val="center"/>
            <w:hideMark/>
          </w:tcPr>
          <w:p w14:paraId="5FC5F88A" w14:textId="63672E03" w:rsidR="007A77C2" w:rsidRPr="00A27896" w:rsidRDefault="007A77C2" w:rsidP="007A77C2">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Patiesajā vērtībā novērtētas finanšu saistības</w:t>
            </w:r>
          </w:p>
        </w:tc>
        <w:tc>
          <w:tcPr>
            <w:tcW w:w="1418" w:type="dxa"/>
            <w:tcBorders>
              <w:top w:val="single" w:sz="4" w:space="0" w:color="17365D"/>
              <w:left w:val="nil"/>
              <w:bottom w:val="single" w:sz="4" w:space="0" w:color="17365D"/>
              <w:right w:val="nil"/>
            </w:tcBorders>
            <w:shd w:val="clear" w:color="auto" w:fill="auto"/>
            <w:vAlign w:val="center"/>
            <w:hideMark/>
          </w:tcPr>
          <w:p w14:paraId="48DCACDC" w14:textId="68482AA5"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-42 135 394</w:t>
            </w:r>
          </w:p>
        </w:tc>
        <w:tc>
          <w:tcPr>
            <w:tcW w:w="850" w:type="dxa"/>
            <w:tcBorders>
              <w:top w:val="single" w:sz="4" w:space="0" w:color="17365D"/>
              <w:left w:val="nil"/>
              <w:bottom w:val="single" w:sz="4" w:space="0" w:color="17365D"/>
              <w:right w:val="nil"/>
            </w:tcBorders>
            <w:shd w:val="clear" w:color="auto" w:fill="auto"/>
            <w:vAlign w:val="center"/>
            <w:hideMark/>
          </w:tcPr>
          <w:p w14:paraId="54E04EE2" w14:textId="0AF79831"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05" w:type="dxa"/>
            <w:tcBorders>
              <w:top w:val="single" w:sz="4" w:space="0" w:color="17365D"/>
              <w:left w:val="nil"/>
              <w:bottom w:val="single" w:sz="4" w:space="0" w:color="17365D"/>
              <w:right w:val="nil"/>
            </w:tcBorders>
            <w:shd w:val="clear" w:color="auto" w:fill="auto"/>
            <w:vAlign w:val="center"/>
            <w:hideMark/>
          </w:tcPr>
          <w:p w14:paraId="3C3F2193" w14:textId="3B240684"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-42 135 394</w:t>
            </w:r>
          </w:p>
        </w:tc>
        <w:tc>
          <w:tcPr>
            <w:tcW w:w="1205" w:type="dxa"/>
            <w:gridSpan w:val="2"/>
            <w:tcBorders>
              <w:top w:val="single" w:sz="4" w:space="0" w:color="17365D"/>
              <w:left w:val="nil"/>
              <w:bottom w:val="single" w:sz="4" w:space="0" w:color="17365D"/>
              <w:right w:val="nil"/>
            </w:tcBorders>
            <w:shd w:val="clear" w:color="auto" w:fill="auto"/>
            <w:vAlign w:val="center"/>
          </w:tcPr>
          <w:p w14:paraId="04A7C8C6" w14:textId="4FE76D50"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-50 756 790</w:t>
            </w:r>
          </w:p>
        </w:tc>
        <w:tc>
          <w:tcPr>
            <w:tcW w:w="709" w:type="dxa"/>
            <w:tcBorders>
              <w:top w:val="single" w:sz="4" w:space="0" w:color="17365D"/>
              <w:left w:val="nil"/>
              <w:bottom w:val="single" w:sz="4" w:space="0" w:color="17365D"/>
              <w:right w:val="nil"/>
            </w:tcBorders>
            <w:vAlign w:val="center"/>
          </w:tcPr>
          <w:p w14:paraId="0CFC394A" w14:textId="1088272D"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76" w:type="dxa"/>
            <w:gridSpan w:val="2"/>
            <w:tcBorders>
              <w:top w:val="single" w:sz="4" w:space="0" w:color="17365D"/>
              <w:left w:val="nil"/>
              <w:bottom w:val="single" w:sz="4" w:space="0" w:color="17365D"/>
              <w:right w:val="nil"/>
            </w:tcBorders>
            <w:shd w:val="clear" w:color="auto" w:fill="auto"/>
            <w:vAlign w:val="center"/>
          </w:tcPr>
          <w:p w14:paraId="0539A8FE" w14:textId="39497154"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-50 756 790</w:t>
            </w:r>
          </w:p>
        </w:tc>
      </w:tr>
      <w:tr w:rsidR="007A77C2" w:rsidRPr="00A27896" w14:paraId="0AC3BD1F" w14:textId="1014C994" w:rsidTr="007A77C2">
        <w:trPr>
          <w:trHeight w:val="266"/>
        </w:trPr>
        <w:tc>
          <w:tcPr>
            <w:tcW w:w="2835" w:type="dxa"/>
            <w:tcBorders>
              <w:top w:val="single" w:sz="4" w:space="0" w:color="17365D"/>
              <w:bottom w:val="single" w:sz="4" w:space="0" w:color="17365D"/>
              <w:right w:val="nil"/>
            </w:tcBorders>
            <w:shd w:val="clear" w:color="auto" w:fill="auto"/>
            <w:vAlign w:val="center"/>
            <w:hideMark/>
          </w:tcPr>
          <w:p w14:paraId="2880CB74" w14:textId="758799C8" w:rsidR="007A77C2" w:rsidRPr="00A27896" w:rsidRDefault="007A77C2" w:rsidP="007A77C2">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  patiesās vērtības izmaiņas</w:t>
            </w:r>
          </w:p>
        </w:tc>
        <w:tc>
          <w:tcPr>
            <w:tcW w:w="1418" w:type="dxa"/>
            <w:tcBorders>
              <w:top w:val="single" w:sz="4" w:space="0" w:color="17365D"/>
              <w:left w:val="nil"/>
              <w:bottom w:val="single" w:sz="4" w:space="0" w:color="17365D"/>
              <w:right w:val="nil"/>
            </w:tcBorders>
            <w:shd w:val="clear" w:color="auto" w:fill="auto"/>
            <w:vAlign w:val="center"/>
          </w:tcPr>
          <w:p w14:paraId="7009DE6E" w14:textId="0B07AEF7"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850" w:type="dxa"/>
            <w:tcBorders>
              <w:top w:val="single" w:sz="4" w:space="0" w:color="17365D"/>
              <w:left w:val="nil"/>
              <w:bottom w:val="single" w:sz="4" w:space="0" w:color="17365D"/>
              <w:right w:val="nil"/>
            </w:tcBorders>
            <w:shd w:val="clear" w:color="auto" w:fill="auto"/>
            <w:vAlign w:val="center"/>
          </w:tcPr>
          <w:p w14:paraId="45A71221" w14:textId="40CFE9AF"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05" w:type="dxa"/>
            <w:tcBorders>
              <w:top w:val="single" w:sz="4" w:space="0" w:color="17365D"/>
              <w:left w:val="nil"/>
              <w:bottom w:val="single" w:sz="4" w:space="0" w:color="17365D"/>
              <w:right w:val="nil"/>
            </w:tcBorders>
            <w:shd w:val="clear" w:color="auto" w:fill="auto"/>
            <w:vAlign w:val="center"/>
          </w:tcPr>
          <w:p w14:paraId="356F52AE" w14:textId="0344C202"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05" w:type="dxa"/>
            <w:gridSpan w:val="2"/>
            <w:tcBorders>
              <w:top w:val="single" w:sz="4" w:space="0" w:color="17365D"/>
              <w:left w:val="nil"/>
              <w:bottom w:val="single" w:sz="4" w:space="0" w:color="17365D"/>
              <w:right w:val="nil"/>
            </w:tcBorders>
            <w:shd w:val="clear" w:color="auto" w:fill="auto"/>
            <w:vAlign w:val="center"/>
          </w:tcPr>
          <w:p w14:paraId="01AE7614" w14:textId="7FD37B9F"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18 681 810</w:t>
            </w:r>
          </w:p>
        </w:tc>
        <w:tc>
          <w:tcPr>
            <w:tcW w:w="709" w:type="dxa"/>
            <w:tcBorders>
              <w:top w:val="single" w:sz="4" w:space="0" w:color="17365D"/>
              <w:left w:val="nil"/>
              <w:bottom w:val="single" w:sz="4" w:space="0" w:color="17365D"/>
              <w:right w:val="nil"/>
            </w:tcBorders>
            <w:vAlign w:val="center"/>
          </w:tcPr>
          <w:p w14:paraId="6C84DF50" w14:textId="6F3A8C1B"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76" w:type="dxa"/>
            <w:gridSpan w:val="2"/>
            <w:tcBorders>
              <w:top w:val="single" w:sz="4" w:space="0" w:color="17365D"/>
              <w:left w:val="nil"/>
              <w:bottom w:val="single" w:sz="4" w:space="0" w:color="17365D"/>
              <w:right w:val="nil"/>
            </w:tcBorders>
            <w:shd w:val="clear" w:color="auto" w:fill="auto"/>
            <w:vAlign w:val="center"/>
          </w:tcPr>
          <w:p w14:paraId="0885FA2D" w14:textId="38714760"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18 681 810</w:t>
            </w:r>
          </w:p>
        </w:tc>
      </w:tr>
      <w:tr w:rsidR="007A77C2" w:rsidRPr="00A27896" w14:paraId="2F2E0369" w14:textId="16DB47CC" w:rsidTr="007A77C2">
        <w:trPr>
          <w:trHeight w:val="266"/>
        </w:trPr>
        <w:tc>
          <w:tcPr>
            <w:tcW w:w="2835" w:type="dxa"/>
            <w:tcBorders>
              <w:top w:val="single" w:sz="4" w:space="0" w:color="17365D"/>
              <w:bottom w:val="single" w:sz="4" w:space="0" w:color="17365D"/>
              <w:right w:val="nil"/>
            </w:tcBorders>
            <w:shd w:val="clear" w:color="auto" w:fill="auto"/>
            <w:vAlign w:val="center"/>
            <w:hideMark/>
          </w:tcPr>
          <w:p w14:paraId="123B14EC" w14:textId="499823E7" w:rsidR="007A77C2" w:rsidRPr="00A27896" w:rsidRDefault="007A77C2" w:rsidP="007A77C2">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  ārvalstu valūtas kursa izmaiņas</w:t>
            </w:r>
          </w:p>
        </w:tc>
        <w:tc>
          <w:tcPr>
            <w:tcW w:w="1418" w:type="dxa"/>
            <w:tcBorders>
              <w:top w:val="single" w:sz="4" w:space="0" w:color="17365D"/>
              <w:left w:val="nil"/>
              <w:bottom w:val="single" w:sz="4" w:space="0" w:color="17365D"/>
              <w:right w:val="nil"/>
            </w:tcBorders>
            <w:shd w:val="clear" w:color="auto" w:fill="auto"/>
            <w:vAlign w:val="center"/>
          </w:tcPr>
          <w:p w14:paraId="7F9E6039" w14:textId="77BFAAD6"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-42 135 394</w:t>
            </w:r>
          </w:p>
        </w:tc>
        <w:tc>
          <w:tcPr>
            <w:tcW w:w="850" w:type="dxa"/>
            <w:tcBorders>
              <w:top w:val="single" w:sz="4" w:space="0" w:color="17365D"/>
              <w:left w:val="nil"/>
              <w:bottom w:val="single" w:sz="4" w:space="0" w:color="17365D"/>
              <w:right w:val="nil"/>
            </w:tcBorders>
            <w:shd w:val="clear" w:color="auto" w:fill="auto"/>
            <w:vAlign w:val="center"/>
          </w:tcPr>
          <w:p w14:paraId="79DE5746" w14:textId="0F09D778"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05" w:type="dxa"/>
            <w:tcBorders>
              <w:top w:val="single" w:sz="4" w:space="0" w:color="17365D"/>
              <w:left w:val="nil"/>
              <w:bottom w:val="single" w:sz="4" w:space="0" w:color="17365D"/>
              <w:right w:val="nil"/>
            </w:tcBorders>
            <w:shd w:val="clear" w:color="auto" w:fill="auto"/>
            <w:vAlign w:val="center"/>
          </w:tcPr>
          <w:p w14:paraId="61C72046" w14:textId="079BD6A9"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-42 135 394</w:t>
            </w:r>
          </w:p>
        </w:tc>
        <w:tc>
          <w:tcPr>
            <w:tcW w:w="1205" w:type="dxa"/>
            <w:gridSpan w:val="2"/>
            <w:tcBorders>
              <w:top w:val="single" w:sz="4" w:space="0" w:color="17365D"/>
              <w:left w:val="nil"/>
              <w:bottom w:val="single" w:sz="4" w:space="0" w:color="17365D"/>
              <w:right w:val="nil"/>
            </w:tcBorders>
            <w:shd w:val="clear" w:color="auto" w:fill="auto"/>
            <w:vAlign w:val="center"/>
          </w:tcPr>
          <w:p w14:paraId="6D5BDAF4" w14:textId="0086D07D"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-69 438 600</w:t>
            </w:r>
          </w:p>
        </w:tc>
        <w:tc>
          <w:tcPr>
            <w:tcW w:w="709" w:type="dxa"/>
            <w:tcBorders>
              <w:top w:val="single" w:sz="4" w:space="0" w:color="17365D"/>
              <w:left w:val="nil"/>
              <w:bottom w:val="single" w:sz="4" w:space="0" w:color="17365D"/>
              <w:right w:val="nil"/>
            </w:tcBorders>
            <w:vAlign w:val="center"/>
          </w:tcPr>
          <w:p w14:paraId="535C28BB" w14:textId="4EF8FCA3"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76" w:type="dxa"/>
            <w:gridSpan w:val="2"/>
            <w:tcBorders>
              <w:top w:val="single" w:sz="4" w:space="0" w:color="17365D"/>
              <w:left w:val="nil"/>
              <w:bottom w:val="single" w:sz="4" w:space="0" w:color="17365D"/>
              <w:right w:val="nil"/>
            </w:tcBorders>
            <w:shd w:val="clear" w:color="auto" w:fill="auto"/>
            <w:vAlign w:val="center"/>
          </w:tcPr>
          <w:p w14:paraId="755E2078" w14:textId="67E3E516"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-69 438 600</w:t>
            </w:r>
          </w:p>
        </w:tc>
      </w:tr>
      <w:tr w:rsidR="007A77C2" w:rsidRPr="00A27896" w14:paraId="3322A278" w14:textId="371080BF" w:rsidTr="007A77C2">
        <w:trPr>
          <w:trHeight w:val="266"/>
        </w:trPr>
        <w:tc>
          <w:tcPr>
            <w:tcW w:w="2835" w:type="dxa"/>
            <w:tcBorders>
              <w:top w:val="single" w:sz="4" w:space="0" w:color="17365D"/>
              <w:bottom w:val="single" w:sz="4" w:space="0" w:color="17365D"/>
              <w:right w:val="nil"/>
            </w:tcBorders>
            <w:shd w:val="clear" w:color="auto" w:fill="auto"/>
            <w:vAlign w:val="center"/>
            <w:hideMark/>
          </w:tcPr>
          <w:p w14:paraId="13458ECA" w14:textId="7C640874" w:rsidR="007A77C2" w:rsidRPr="00A27896" w:rsidRDefault="007A77C2" w:rsidP="007A77C2">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Pārējās finanšu saistības</w:t>
            </w:r>
          </w:p>
        </w:tc>
        <w:tc>
          <w:tcPr>
            <w:tcW w:w="1418" w:type="dxa"/>
            <w:tcBorders>
              <w:top w:val="single" w:sz="4" w:space="0" w:color="17365D"/>
              <w:left w:val="nil"/>
              <w:bottom w:val="single" w:sz="4" w:space="0" w:color="17365D"/>
              <w:right w:val="nil"/>
            </w:tcBorders>
            <w:shd w:val="clear" w:color="auto" w:fill="auto"/>
            <w:vAlign w:val="center"/>
            <w:hideMark/>
          </w:tcPr>
          <w:p w14:paraId="6E83A556" w14:textId="5A47416E"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-4 939 017</w:t>
            </w:r>
          </w:p>
        </w:tc>
        <w:tc>
          <w:tcPr>
            <w:tcW w:w="850" w:type="dxa"/>
            <w:tcBorders>
              <w:top w:val="single" w:sz="4" w:space="0" w:color="17365D"/>
              <w:left w:val="nil"/>
              <w:bottom w:val="single" w:sz="4" w:space="0" w:color="17365D"/>
              <w:right w:val="nil"/>
            </w:tcBorders>
            <w:shd w:val="clear" w:color="auto" w:fill="auto"/>
            <w:vAlign w:val="center"/>
            <w:hideMark/>
          </w:tcPr>
          <w:p w14:paraId="4B6AB8CC" w14:textId="4CE7628E"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05" w:type="dxa"/>
            <w:tcBorders>
              <w:top w:val="single" w:sz="4" w:space="0" w:color="17365D"/>
              <w:left w:val="nil"/>
              <w:bottom w:val="single" w:sz="4" w:space="0" w:color="17365D"/>
              <w:right w:val="nil"/>
            </w:tcBorders>
            <w:shd w:val="clear" w:color="auto" w:fill="auto"/>
            <w:vAlign w:val="center"/>
            <w:hideMark/>
          </w:tcPr>
          <w:p w14:paraId="58403AF5" w14:textId="5CA27CEC"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-4 939 017</w:t>
            </w:r>
          </w:p>
        </w:tc>
        <w:tc>
          <w:tcPr>
            <w:tcW w:w="1205" w:type="dxa"/>
            <w:gridSpan w:val="2"/>
            <w:tcBorders>
              <w:top w:val="single" w:sz="4" w:space="0" w:color="17365D"/>
              <w:left w:val="nil"/>
              <w:bottom w:val="single" w:sz="4" w:space="0" w:color="17365D"/>
              <w:right w:val="nil"/>
            </w:tcBorders>
            <w:shd w:val="clear" w:color="auto" w:fill="auto"/>
            <w:vAlign w:val="center"/>
          </w:tcPr>
          <w:p w14:paraId="297C575B" w14:textId="588E7478"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-12 455 080</w:t>
            </w:r>
          </w:p>
        </w:tc>
        <w:tc>
          <w:tcPr>
            <w:tcW w:w="709" w:type="dxa"/>
            <w:tcBorders>
              <w:top w:val="single" w:sz="4" w:space="0" w:color="17365D"/>
              <w:left w:val="nil"/>
              <w:bottom w:val="single" w:sz="4" w:space="0" w:color="17365D"/>
              <w:right w:val="nil"/>
            </w:tcBorders>
            <w:vAlign w:val="center"/>
          </w:tcPr>
          <w:p w14:paraId="5ED00ACC" w14:textId="4C1ABE94"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76" w:type="dxa"/>
            <w:gridSpan w:val="2"/>
            <w:tcBorders>
              <w:top w:val="single" w:sz="4" w:space="0" w:color="17365D"/>
              <w:left w:val="nil"/>
              <w:bottom w:val="single" w:sz="4" w:space="0" w:color="17365D"/>
              <w:right w:val="nil"/>
            </w:tcBorders>
            <w:shd w:val="clear" w:color="auto" w:fill="auto"/>
            <w:vAlign w:val="center"/>
          </w:tcPr>
          <w:p w14:paraId="0F28019F" w14:textId="03A76E1F"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-12 455 080</w:t>
            </w:r>
          </w:p>
        </w:tc>
      </w:tr>
      <w:tr w:rsidR="007A77C2" w:rsidRPr="00A27896" w14:paraId="40D40871" w14:textId="0CD2E943" w:rsidTr="007A77C2">
        <w:trPr>
          <w:trHeight w:val="266"/>
        </w:trPr>
        <w:tc>
          <w:tcPr>
            <w:tcW w:w="2835" w:type="dxa"/>
            <w:tcBorders>
              <w:top w:val="single" w:sz="4" w:space="0" w:color="17365D"/>
              <w:bottom w:val="single" w:sz="4" w:space="0" w:color="17365D"/>
              <w:right w:val="nil"/>
            </w:tcBorders>
            <w:shd w:val="clear" w:color="auto" w:fill="auto"/>
            <w:vAlign w:val="center"/>
            <w:hideMark/>
          </w:tcPr>
          <w:p w14:paraId="52BFAAC9" w14:textId="0F55B70D" w:rsidR="007A77C2" w:rsidRPr="00A27896" w:rsidRDefault="007A77C2" w:rsidP="007A77C2">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  ārvalstu valūtas kursa izmaiņas</w:t>
            </w:r>
          </w:p>
        </w:tc>
        <w:tc>
          <w:tcPr>
            <w:tcW w:w="1418" w:type="dxa"/>
            <w:tcBorders>
              <w:top w:val="single" w:sz="4" w:space="0" w:color="17365D"/>
              <w:left w:val="nil"/>
              <w:bottom w:val="single" w:sz="4" w:space="0" w:color="17365D"/>
              <w:right w:val="nil"/>
            </w:tcBorders>
            <w:shd w:val="clear" w:color="auto" w:fill="auto"/>
            <w:vAlign w:val="center"/>
            <w:hideMark/>
          </w:tcPr>
          <w:p w14:paraId="1E07CF04" w14:textId="4FDEBE7C"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-4 965 905</w:t>
            </w:r>
          </w:p>
        </w:tc>
        <w:tc>
          <w:tcPr>
            <w:tcW w:w="850" w:type="dxa"/>
            <w:tcBorders>
              <w:top w:val="single" w:sz="4" w:space="0" w:color="17365D"/>
              <w:left w:val="nil"/>
              <w:bottom w:val="single" w:sz="4" w:space="0" w:color="17365D"/>
              <w:right w:val="nil"/>
            </w:tcBorders>
            <w:shd w:val="clear" w:color="auto" w:fill="auto"/>
            <w:vAlign w:val="center"/>
            <w:hideMark/>
          </w:tcPr>
          <w:p w14:paraId="2C9D98CE" w14:textId="0A2DF91B"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05" w:type="dxa"/>
            <w:tcBorders>
              <w:top w:val="single" w:sz="4" w:space="0" w:color="17365D"/>
              <w:left w:val="nil"/>
              <w:bottom w:val="single" w:sz="4" w:space="0" w:color="17365D"/>
              <w:right w:val="nil"/>
            </w:tcBorders>
            <w:shd w:val="clear" w:color="auto" w:fill="auto"/>
            <w:vAlign w:val="center"/>
            <w:hideMark/>
          </w:tcPr>
          <w:p w14:paraId="34FBF433" w14:textId="23325DA8"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-4 965 905</w:t>
            </w:r>
          </w:p>
        </w:tc>
        <w:tc>
          <w:tcPr>
            <w:tcW w:w="1205" w:type="dxa"/>
            <w:gridSpan w:val="2"/>
            <w:tcBorders>
              <w:top w:val="single" w:sz="4" w:space="0" w:color="17365D"/>
              <w:left w:val="nil"/>
              <w:bottom w:val="single" w:sz="4" w:space="0" w:color="17365D"/>
              <w:right w:val="nil"/>
            </w:tcBorders>
            <w:shd w:val="clear" w:color="auto" w:fill="auto"/>
            <w:vAlign w:val="center"/>
          </w:tcPr>
          <w:p w14:paraId="257CD8FE" w14:textId="5080F668"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-18 957 503</w:t>
            </w:r>
          </w:p>
        </w:tc>
        <w:tc>
          <w:tcPr>
            <w:tcW w:w="709" w:type="dxa"/>
            <w:tcBorders>
              <w:top w:val="single" w:sz="4" w:space="0" w:color="17365D"/>
              <w:left w:val="nil"/>
              <w:bottom w:val="single" w:sz="4" w:space="0" w:color="17365D"/>
              <w:right w:val="nil"/>
            </w:tcBorders>
            <w:vAlign w:val="center"/>
          </w:tcPr>
          <w:p w14:paraId="6F419F05" w14:textId="251F386A"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76" w:type="dxa"/>
            <w:gridSpan w:val="2"/>
            <w:tcBorders>
              <w:top w:val="single" w:sz="4" w:space="0" w:color="17365D"/>
              <w:left w:val="nil"/>
              <w:bottom w:val="single" w:sz="4" w:space="0" w:color="17365D"/>
              <w:right w:val="nil"/>
            </w:tcBorders>
            <w:shd w:val="clear" w:color="auto" w:fill="auto"/>
            <w:vAlign w:val="center"/>
          </w:tcPr>
          <w:p w14:paraId="124B612C" w14:textId="119BAA0A"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-18 957 503</w:t>
            </w:r>
          </w:p>
        </w:tc>
      </w:tr>
      <w:tr w:rsidR="007A77C2" w:rsidRPr="00A27896" w14:paraId="09C52A58" w14:textId="77777777" w:rsidTr="007A77C2">
        <w:trPr>
          <w:trHeight w:val="266"/>
        </w:trPr>
        <w:tc>
          <w:tcPr>
            <w:tcW w:w="2835" w:type="dxa"/>
            <w:tcBorders>
              <w:top w:val="single" w:sz="4" w:space="0" w:color="17365D"/>
              <w:bottom w:val="single" w:sz="4" w:space="0" w:color="17365D"/>
              <w:right w:val="nil"/>
            </w:tcBorders>
            <w:shd w:val="clear" w:color="auto" w:fill="auto"/>
            <w:vAlign w:val="center"/>
          </w:tcPr>
          <w:p w14:paraId="14AC5FB5" w14:textId="699AFF23" w:rsidR="007A77C2" w:rsidRPr="00A27896" w:rsidRDefault="007A77C2" w:rsidP="007A77C2">
            <w:pPr>
              <w:spacing w:after="0" w:line="240" w:lineRule="auto"/>
              <w:rPr>
                <w:rFonts w:eastAsia="Arial Unicode MS" w:cs="Times New Roman"/>
                <w:color w:val="17365D"/>
                <w:sz w:val="18"/>
                <w:szCs w:val="18"/>
              </w:rPr>
            </w:pPr>
            <w:r w:rsidRPr="00A27896">
              <w:rPr>
                <w:rFonts w:eastAsia="Arial Unicode MS" w:cs="Times New Roman"/>
                <w:color w:val="17365D"/>
                <w:sz w:val="18"/>
                <w:szCs w:val="18"/>
              </w:rPr>
              <w:t xml:space="preserve">  atsavināšana un izslēgšana no uzskaites</w:t>
            </w:r>
          </w:p>
        </w:tc>
        <w:tc>
          <w:tcPr>
            <w:tcW w:w="1418" w:type="dxa"/>
            <w:tcBorders>
              <w:top w:val="single" w:sz="4" w:space="0" w:color="17365D"/>
              <w:left w:val="nil"/>
              <w:bottom w:val="single" w:sz="4" w:space="0" w:color="17365D"/>
              <w:right w:val="nil"/>
            </w:tcBorders>
            <w:shd w:val="clear" w:color="auto" w:fill="auto"/>
            <w:vAlign w:val="center"/>
          </w:tcPr>
          <w:p w14:paraId="33E0594E" w14:textId="2DA2EBB3"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26 888</w:t>
            </w:r>
          </w:p>
        </w:tc>
        <w:tc>
          <w:tcPr>
            <w:tcW w:w="850" w:type="dxa"/>
            <w:tcBorders>
              <w:top w:val="single" w:sz="4" w:space="0" w:color="17365D"/>
              <w:left w:val="nil"/>
              <w:bottom w:val="single" w:sz="4" w:space="0" w:color="17365D"/>
              <w:right w:val="nil"/>
            </w:tcBorders>
            <w:shd w:val="clear" w:color="auto" w:fill="auto"/>
            <w:vAlign w:val="center"/>
          </w:tcPr>
          <w:p w14:paraId="40CEC1CE" w14:textId="4AE2B3D7"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05" w:type="dxa"/>
            <w:tcBorders>
              <w:top w:val="single" w:sz="4" w:space="0" w:color="17365D"/>
              <w:left w:val="nil"/>
              <w:bottom w:val="single" w:sz="4" w:space="0" w:color="17365D"/>
              <w:right w:val="nil"/>
            </w:tcBorders>
            <w:shd w:val="clear" w:color="auto" w:fill="auto"/>
            <w:vAlign w:val="center"/>
          </w:tcPr>
          <w:p w14:paraId="56EDC5B7" w14:textId="642FF715"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26 888</w:t>
            </w:r>
          </w:p>
        </w:tc>
        <w:tc>
          <w:tcPr>
            <w:tcW w:w="1205" w:type="dxa"/>
            <w:gridSpan w:val="2"/>
            <w:tcBorders>
              <w:top w:val="single" w:sz="4" w:space="0" w:color="17365D"/>
              <w:left w:val="nil"/>
              <w:bottom w:val="single" w:sz="4" w:space="0" w:color="17365D"/>
              <w:right w:val="nil"/>
            </w:tcBorders>
            <w:vAlign w:val="center"/>
          </w:tcPr>
          <w:p w14:paraId="7AC6DB10" w14:textId="2D814B9C"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6 502 423</w:t>
            </w:r>
          </w:p>
        </w:tc>
        <w:tc>
          <w:tcPr>
            <w:tcW w:w="709" w:type="dxa"/>
            <w:tcBorders>
              <w:top w:val="single" w:sz="4" w:space="0" w:color="17365D"/>
              <w:left w:val="nil"/>
              <w:bottom w:val="single" w:sz="4" w:space="0" w:color="17365D"/>
              <w:right w:val="nil"/>
            </w:tcBorders>
            <w:vAlign w:val="center"/>
          </w:tcPr>
          <w:p w14:paraId="39CEEFFF" w14:textId="79D43EC3"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0</w:t>
            </w:r>
          </w:p>
        </w:tc>
        <w:tc>
          <w:tcPr>
            <w:tcW w:w="1276" w:type="dxa"/>
            <w:gridSpan w:val="2"/>
            <w:tcBorders>
              <w:top w:val="single" w:sz="4" w:space="0" w:color="17365D"/>
              <w:left w:val="nil"/>
              <w:bottom w:val="single" w:sz="4" w:space="0" w:color="17365D"/>
              <w:right w:val="nil"/>
            </w:tcBorders>
            <w:shd w:val="clear" w:color="auto" w:fill="auto"/>
            <w:vAlign w:val="center"/>
          </w:tcPr>
          <w:p w14:paraId="52D9D4CA" w14:textId="2320E6D8" w:rsidR="007A77C2" w:rsidRPr="00A27896" w:rsidRDefault="007A77C2" w:rsidP="007A77C2">
            <w:pPr>
              <w:spacing w:after="0" w:line="240" w:lineRule="auto"/>
              <w:jc w:val="right"/>
              <w:rPr>
                <w:rFonts w:eastAsia="Arial Unicode MS" w:cs="Times New Roman"/>
                <w:color w:val="17365D"/>
                <w:sz w:val="18"/>
                <w:szCs w:val="18"/>
              </w:rPr>
            </w:pPr>
            <w:r w:rsidRPr="00A27896">
              <w:rPr>
                <w:rFonts w:eastAsia="Arial Unicode MS" w:cs="Times New Roman"/>
                <w:color w:val="17365D"/>
                <w:sz w:val="18"/>
                <w:szCs w:val="18"/>
              </w:rPr>
              <w:t>6 502 423</w:t>
            </w:r>
          </w:p>
        </w:tc>
      </w:tr>
      <w:tr w:rsidR="000C1009" w:rsidRPr="00A27896" w14:paraId="5C8CDCBA" w14:textId="70DB8071" w:rsidTr="007A77C2">
        <w:trPr>
          <w:trHeight w:val="255"/>
        </w:trPr>
        <w:tc>
          <w:tcPr>
            <w:tcW w:w="2835" w:type="dxa"/>
            <w:tcBorders>
              <w:top w:val="single" w:sz="4" w:space="0" w:color="17365D"/>
            </w:tcBorders>
            <w:shd w:val="clear" w:color="auto" w:fill="B8CCE4" w:themeFill="accent1" w:themeFillTint="66"/>
            <w:vAlign w:val="center"/>
          </w:tcPr>
          <w:p w14:paraId="1CA4E0C9" w14:textId="77777777" w:rsidR="00B378D1" w:rsidRPr="00A27896" w:rsidRDefault="00B378D1" w:rsidP="00B378D1">
            <w:pPr>
              <w:spacing w:after="0" w:line="240" w:lineRule="auto"/>
              <w:rPr>
                <w:rFonts w:eastAsia="Arial Unicode MS" w:cs="Times New Roman"/>
                <w:color w:val="17365D"/>
                <w:sz w:val="18"/>
                <w:szCs w:val="18"/>
              </w:rPr>
            </w:pPr>
          </w:p>
        </w:tc>
        <w:tc>
          <w:tcPr>
            <w:tcW w:w="1418" w:type="dxa"/>
            <w:tcBorders>
              <w:top w:val="single" w:sz="4" w:space="0" w:color="17365D"/>
            </w:tcBorders>
            <w:shd w:val="clear" w:color="auto" w:fill="B8CCE4" w:themeFill="accent1" w:themeFillTint="66"/>
            <w:vAlign w:val="center"/>
          </w:tcPr>
          <w:p w14:paraId="7C504ED1" w14:textId="77777777" w:rsidR="00B378D1" w:rsidRPr="00A27896" w:rsidRDefault="00B378D1" w:rsidP="00B378D1">
            <w:pPr>
              <w:spacing w:after="0" w:line="240" w:lineRule="auto"/>
              <w:jc w:val="right"/>
              <w:rPr>
                <w:rFonts w:eastAsia="Arial Unicode MS" w:cs="Times New Roman"/>
                <w:color w:val="17365D"/>
                <w:sz w:val="18"/>
                <w:szCs w:val="18"/>
              </w:rPr>
            </w:pPr>
          </w:p>
        </w:tc>
        <w:tc>
          <w:tcPr>
            <w:tcW w:w="850" w:type="dxa"/>
            <w:tcBorders>
              <w:top w:val="single" w:sz="4" w:space="0" w:color="17365D"/>
            </w:tcBorders>
            <w:shd w:val="clear" w:color="auto" w:fill="B8CCE4" w:themeFill="accent1" w:themeFillTint="66"/>
            <w:vAlign w:val="center"/>
          </w:tcPr>
          <w:p w14:paraId="2FEC92ED" w14:textId="77777777" w:rsidR="00B378D1" w:rsidRPr="00A27896" w:rsidRDefault="00B378D1" w:rsidP="00B378D1">
            <w:pPr>
              <w:spacing w:after="0" w:line="240" w:lineRule="auto"/>
              <w:jc w:val="right"/>
              <w:rPr>
                <w:rFonts w:eastAsia="Arial Unicode MS" w:cs="Times New Roman"/>
                <w:color w:val="17365D"/>
                <w:sz w:val="18"/>
                <w:szCs w:val="18"/>
              </w:rPr>
            </w:pPr>
          </w:p>
        </w:tc>
        <w:tc>
          <w:tcPr>
            <w:tcW w:w="1205" w:type="dxa"/>
            <w:tcBorders>
              <w:top w:val="single" w:sz="4" w:space="0" w:color="17365D"/>
            </w:tcBorders>
            <w:shd w:val="clear" w:color="auto" w:fill="B8CCE4" w:themeFill="accent1" w:themeFillTint="66"/>
            <w:vAlign w:val="center"/>
          </w:tcPr>
          <w:p w14:paraId="21CD5043" w14:textId="77777777" w:rsidR="00B378D1" w:rsidRPr="00A27896" w:rsidRDefault="00B378D1" w:rsidP="00B378D1">
            <w:pPr>
              <w:spacing w:after="0" w:line="240" w:lineRule="auto"/>
              <w:jc w:val="right"/>
              <w:rPr>
                <w:rFonts w:eastAsia="Arial Unicode MS" w:cs="Times New Roman"/>
                <w:color w:val="17365D"/>
                <w:sz w:val="18"/>
                <w:szCs w:val="18"/>
              </w:rPr>
            </w:pPr>
          </w:p>
        </w:tc>
        <w:tc>
          <w:tcPr>
            <w:tcW w:w="1063" w:type="dxa"/>
            <w:tcBorders>
              <w:top w:val="single" w:sz="4" w:space="0" w:color="17365D"/>
            </w:tcBorders>
            <w:shd w:val="clear" w:color="auto" w:fill="B8CCE4" w:themeFill="accent1" w:themeFillTint="66"/>
          </w:tcPr>
          <w:p w14:paraId="4CBB905D" w14:textId="77777777" w:rsidR="00B378D1" w:rsidRPr="00A27896" w:rsidRDefault="00B378D1" w:rsidP="00B378D1">
            <w:pPr>
              <w:spacing w:after="0" w:line="240" w:lineRule="auto"/>
              <w:jc w:val="right"/>
              <w:rPr>
                <w:rFonts w:eastAsia="Arial Unicode MS" w:cs="Times New Roman"/>
                <w:color w:val="17365D"/>
                <w:sz w:val="18"/>
                <w:szCs w:val="18"/>
              </w:rPr>
            </w:pPr>
          </w:p>
        </w:tc>
        <w:tc>
          <w:tcPr>
            <w:tcW w:w="851" w:type="dxa"/>
            <w:gridSpan w:val="2"/>
            <w:tcBorders>
              <w:top w:val="single" w:sz="4" w:space="0" w:color="17365D"/>
            </w:tcBorders>
            <w:shd w:val="clear" w:color="auto" w:fill="B8CCE4" w:themeFill="accent1" w:themeFillTint="66"/>
          </w:tcPr>
          <w:p w14:paraId="62D4DDD8" w14:textId="77777777" w:rsidR="00B378D1" w:rsidRPr="00A27896" w:rsidRDefault="00B378D1" w:rsidP="00B378D1">
            <w:pPr>
              <w:spacing w:after="0" w:line="240" w:lineRule="auto"/>
              <w:jc w:val="right"/>
              <w:rPr>
                <w:rFonts w:eastAsia="Arial Unicode MS" w:cs="Times New Roman"/>
                <w:color w:val="17365D"/>
                <w:sz w:val="18"/>
                <w:szCs w:val="18"/>
              </w:rPr>
            </w:pPr>
          </w:p>
        </w:tc>
        <w:tc>
          <w:tcPr>
            <w:tcW w:w="1276" w:type="dxa"/>
            <w:gridSpan w:val="2"/>
            <w:tcBorders>
              <w:top w:val="single" w:sz="4" w:space="0" w:color="17365D"/>
            </w:tcBorders>
            <w:shd w:val="clear" w:color="auto" w:fill="B8CCE4" w:themeFill="accent1" w:themeFillTint="66"/>
          </w:tcPr>
          <w:p w14:paraId="2FDB5661" w14:textId="437E6426" w:rsidR="00B378D1" w:rsidRPr="00A27896" w:rsidRDefault="00B378D1" w:rsidP="00B378D1">
            <w:pPr>
              <w:spacing w:after="0" w:line="240" w:lineRule="auto"/>
              <w:jc w:val="right"/>
              <w:rPr>
                <w:rFonts w:eastAsia="Arial Unicode MS" w:cs="Times New Roman"/>
                <w:color w:val="17365D"/>
                <w:sz w:val="18"/>
                <w:szCs w:val="18"/>
              </w:rPr>
            </w:pPr>
          </w:p>
        </w:tc>
      </w:tr>
    </w:tbl>
    <w:p w14:paraId="0DB1EE40" w14:textId="150F7F31" w:rsidR="00581818" w:rsidRPr="00A27896" w:rsidRDefault="00581818" w:rsidP="001651EB">
      <w:pPr>
        <w:pStyle w:val="Pamatteksts"/>
        <w:spacing w:before="120"/>
        <w:ind w:firstLine="284"/>
        <w:rPr>
          <w:color w:val="17365D"/>
        </w:rPr>
      </w:pPr>
      <w:r w:rsidRPr="00A27896">
        <w:rPr>
          <w:color w:val="17365D"/>
        </w:rPr>
        <w:t>Saskaņā ar ministriju</w:t>
      </w:r>
      <w:r w:rsidR="00681F00" w:rsidRPr="00A27896">
        <w:rPr>
          <w:color w:val="17365D"/>
        </w:rPr>
        <w:t>,</w:t>
      </w:r>
      <w:r w:rsidRPr="00A27896">
        <w:rPr>
          <w:color w:val="17365D"/>
        </w:rPr>
        <w:t xml:space="preserve"> centrālo valsts iestāžu</w:t>
      </w:r>
      <w:r w:rsidR="00681F00" w:rsidRPr="00A27896">
        <w:rPr>
          <w:color w:val="17365D"/>
        </w:rPr>
        <w:t>,</w:t>
      </w:r>
      <w:r w:rsidRPr="00A27896">
        <w:rPr>
          <w:color w:val="17365D"/>
        </w:rPr>
        <w:t xml:space="preserve"> pašvaldību</w:t>
      </w:r>
      <w:r w:rsidR="00681F00" w:rsidRPr="00A27896">
        <w:rPr>
          <w:color w:val="17365D"/>
        </w:rPr>
        <w:t xml:space="preserve"> un valsts budžeta finanšu uzskaites sniegto informāciju par 202</w:t>
      </w:r>
      <w:r w:rsidR="007A77C2" w:rsidRPr="00A27896">
        <w:rPr>
          <w:color w:val="17365D"/>
        </w:rPr>
        <w:t>2</w:t>
      </w:r>
      <w:r w:rsidRPr="00A27896">
        <w:rPr>
          <w:color w:val="17365D"/>
        </w:rPr>
        <w:t>.</w:t>
      </w:r>
      <w:r w:rsidR="003C37C1" w:rsidRPr="00A27896">
        <w:rPr>
          <w:color w:val="17365D"/>
        </w:rPr>
        <w:t> </w:t>
      </w:r>
      <w:r w:rsidRPr="00A27896">
        <w:rPr>
          <w:color w:val="17365D"/>
        </w:rPr>
        <w:t>gadu darījum</w:t>
      </w:r>
      <w:r w:rsidR="003C37C1" w:rsidRPr="00A27896">
        <w:rPr>
          <w:color w:val="17365D"/>
        </w:rPr>
        <w:t>u</w:t>
      </w:r>
      <w:r w:rsidRPr="00A27896">
        <w:rPr>
          <w:color w:val="17365D"/>
        </w:rPr>
        <w:t xml:space="preserve"> izmaksas, kas nav iekļautas procentu likmes noteikšanā, pa finanšu instrumentu kategorijām uzrādītas tikai finanšu instrumentu kategorijā “Pārējās finanšu saistības” </w:t>
      </w:r>
      <w:r w:rsidR="007A77C2" w:rsidRPr="00A27896">
        <w:rPr>
          <w:color w:val="17365D"/>
        </w:rPr>
        <w:t>640 328</w:t>
      </w:r>
      <w:r w:rsidR="0038592D" w:rsidRPr="00A27896">
        <w:rPr>
          <w:color w:val="17365D"/>
        </w:rPr>
        <w:t xml:space="preserve"> </w:t>
      </w:r>
      <w:r w:rsidRPr="00A27896">
        <w:rPr>
          <w:i/>
          <w:color w:val="17365D"/>
        </w:rPr>
        <w:t>euro</w:t>
      </w:r>
      <w:r w:rsidRPr="00A27896">
        <w:rPr>
          <w:color w:val="17365D"/>
        </w:rPr>
        <w:t xml:space="preserve"> vērtībā</w:t>
      </w:r>
      <w:r w:rsidR="003C37C1" w:rsidRPr="00A27896">
        <w:rPr>
          <w:color w:val="17365D"/>
        </w:rPr>
        <w:t>,</w:t>
      </w:r>
      <w:r w:rsidRPr="00A27896">
        <w:rPr>
          <w:color w:val="17365D"/>
        </w:rPr>
        <w:t xml:space="preserve"> izmaiņas </w:t>
      </w:r>
      <w:r w:rsidR="003C37C1" w:rsidRPr="00A27896">
        <w:rPr>
          <w:color w:val="17365D"/>
        </w:rPr>
        <w:t xml:space="preserve">salīdzinājumā ar </w:t>
      </w:r>
      <w:r w:rsidR="00681F00" w:rsidRPr="00A27896">
        <w:rPr>
          <w:color w:val="17365D"/>
        </w:rPr>
        <w:t xml:space="preserve">iepriekšējo pārskata periodu ir </w:t>
      </w:r>
      <w:r w:rsidR="007A77C2" w:rsidRPr="00A27896">
        <w:rPr>
          <w:color w:val="17365D"/>
        </w:rPr>
        <w:t>(644 286)</w:t>
      </w:r>
      <w:r w:rsidRPr="00A27896">
        <w:rPr>
          <w:color w:val="17365D"/>
        </w:rPr>
        <w:t xml:space="preserve"> </w:t>
      </w:r>
      <w:r w:rsidRPr="00A27896">
        <w:rPr>
          <w:i/>
          <w:color w:val="17365D"/>
        </w:rPr>
        <w:t>euro</w:t>
      </w:r>
      <w:r w:rsidRPr="00A27896">
        <w:rPr>
          <w:color w:val="17365D"/>
        </w:rPr>
        <w:t xml:space="preserve">. </w:t>
      </w:r>
    </w:p>
    <w:p w14:paraId="3F6B0CA8" w14:textId="3BF33769" w:rsidR="007A77C2" w:rsidRPr="00A27896" w:rsidRDefault="007A77C2" w:rsidP="007A77C2">
      <w:pPr>
        <w:pStyle w:val="Pamatteksts"/>
        <w:ind w:firstLine="284"/>
        <w:rPr>
          <w:rFonts w:eastAsia="Arial Unicode MS"/>
          <w:color w:val="17365D"/>
        </w:rPr>
      </w:pPr>
      <w:bookmarkStart w:id="69" w:name="p-436552"/>
      <w:bookmarkStart w:id="70" w:name="p4"/>
      <w:bookmarkEnd w:id="69"/>
      <w:bookmarkEnd w:id="70"/>
      <w:r w:rsidRPr="00A27896">
        <w:rPr>
          <w:rFonts w:eastAsia="Arial Unicode MS"/>
          <w:color w:val="17365D"/>
        </w:rPr>
        <w:t>Konsolidētajā pārskatā par darbības finansiālajiem rezultātiem 2022.</w:t>
      </w:r>
      <w:r w:rsidR="0057470D" w:rsidRPr="00A27896">
        <w:rPr>
          <w:rFonts w:eastAsia="Arial Unicode MS"/>
          <w:color w:val="17365D"/>
        </w:rPr>
        <w:t xml:space="preserve"> </w:t>
      </w:r>
      <w:r w:rsidRPr="00A27896">
        <w:rPr>
          <w:rFonts w:eastAsia="Arial Unicode MS"/>
          <w:color w:val="17365D"/>
        </w:rPr>
        <w:t xml:space="preserve">gadā budžeta izpildes rezultāts veidojas </w:t>
      </w:r>
      <w:r w:rsidR="00F306E1" w:rsidRPr="00F306E1">
        <w:rPr>
          <w:rFonts w:eastAsia="Arial Unicode MS"/>
          <w:color w:val="17365D"/>
        </w:rPr>
        <w:t>523</w:t>
      </w:r>
      <w:r w:rsidR="00F306E1">
        <w:rPr>
          <w:rFonts w:eastAsia="Arial Unicode MS"/>
          <w:color w:val="17365D"/>
        </w:rPr>
        <w:t> </w:t>
      </w:r>
      <w:r w:rsidR="00F306E1" w:rsidRPr="00F306E1">
        <w:rPr>
          <w:rFonts w:eastAsia="Arial Unicode MS"/>
          <w:color w:val="17365D"/>
        </w:rPr>
        <w:t>602</w:t>
      </w:r>
      <w:r w:rsidR="00F306E1">
        <w:rPr>
          <w:rFonts w:eastAsia="Arial Unicode MS"/>
          <w:color w:val="17365D"/>
        </w:rPr>
        <w:t> </w:t>
      </w:r>
      <w:r w:rsidR="00F306E1" w:rsidRPr="00F306E1">
        <w:rPr>
          <w:rFonts w:eastAsia="Arial Unicode MS"/>
          <w:color w:val="17365D"/>
        </w:rPr>
        <w:t xml:space="preserve">710 </w:t>
      </w:r>
      <w:r w:rsidRPr="00A27896">
        <w:rPr>
          <w:rFonts w:eastAsia="Arial Unicode MS"/>
          <w:i/>
          <w:color w:val="17365D"/>
        </w:rPr>
        <w:t>euro</w:t>
      </w:r>
      <w:r w:rsidRPr="00A27896">
        <w:rPr>
          <w:rFonts w:eastAsia="Arial Unicode MS"/>
          <w:color w:val="17365D"/>
        </w:rPr>
        <w:t xml:space="preserve">, izmaiņas pret iepriekšējo pārskata periodu ir </w:t>
      </w:r>
      <w:r w:rsidR="00F306E1" w:rsidRPr="00F306E1">
        <w:rPr>
          <w:rFonts w:eastAsia="Arial Unicode MS"/>
          <w:color w:val="17365D"/>
        </w:rPr>
        <w:t>1</w:t>
      </w:r>
      <w:r w:rsidR="00F306E1">
        <w:rPr>
          <w:rFonts w:eastAsia="Arial Unicode MS"/>
          <w:color w:val="17365D"/>
        </w:rPr>
        <w:t> </w:t>
      </w:r>
      <w:r w:rsidR="00F306E1" w:rsidRPr="00F306E1">
        <w:rPr>
          <w:rFonts w:eastAsia="Arial Unicode MS"/>
          <w:color w:val="17365D"/>
        </w:rPr>
        <w:t>814</w:t>
      </w:r>
      <w:r w:rsidR="00F306E1">
        <w:rPr>
          <w:rFonts w:eastAsia="Arial Unicode MS"/>
          <w:color w:val="17365D"/>
        </w:rPr>
        <w:t> </w:t>
      </w:r>
      <w:r w:rsidR="00F306E1" w:rsidRPr="00F306E1">
        <w:rPr>
          <w:rFonts w:eastAsia="Arial Unicode MS"/>
          <w:color w:val="17365D"/>
        </w:rPr>
        <w:t>670</w:t>
      </w:r>
      <w:r w:rsidR="00F306E1">
        <w:rPr>
          <w:rFonts w:eastAsia="Arial Unicode MS"/>
          <w:color w:val="17365D"/>
        </w:rPr>
        <w:t> </w:t>
      </w:r>
      <w:r w:rsidR="00F306E1" w:rsidRPr="00F306E1">
        <w:rPr>
          <w:rFonts w:eastAsia="Arial Unicode MS"/>
          <w:color w:val="17365D"/>
        </w:rPr>
        <w:t xml:space="preserve">550 </w:t>
      </w:r>
      <w:r w:rsidRPr="00A27896">
        <w:rPr>
          <w:rFonts w:eastAsia="Arial Unicode MS"/>
          <w:i/>
          <w:color w:val="17365D"/>
        </w:rPr>
        <w:t>euro</w:t>
      </w:r>
      <w:r w:rsidRPr="00A27896">
        <w:rPr>
          <w:rFonts w:eastAsia="Arial Unicode MS"/>
          <w:color w:val="17365D"/>
        </w:rPr>
        <w:t xml:space="preserve"> vērtībā.</w:t>
      </w:r>
    </w:p>
    <w:p w14:paraId="33148224" w14:textId="3F82379D" w:rsidR="007A77C2" w:rsidRPr="00A27896" w:rsidRDefault="007A77C2" w:rsidP="007A77C2">
      <w:pPr>
        <w:pStyle w:val="Pamatteksts"/>
        <w:ind w:firstLine="284"/>
        <w:rPr>
          <w:rFonts w:eastAsia="Arial Unicode MS"/>
          <w:color w:val="17365D"/>
        </w:rPr>
      </w:pPr>
      <w:r w:rsidRPr="00A27896">
        <w:rPr>
          <w:rFonts w:eastAsia="Arial Unicode MS"/>
          <w:color w:val="17365D"/>
        </w:rPr>
        <w:t>Pārskata periodā dati koriģēti par iepriekšējā gadā ministriju sniegto informāc</w:t>
      </w:r>
      <w:r w:rsidR="000D68E5">
        <w:rPr>
          <w:rFonts w:eastAsia="Arial Unicode MS"/>
          <w:color w:val="17365D"/>
        </w:rPr>
        <w:t>i</w:t>
      </w:r>
      <w:r w:rsidRPr="00A27896">
        <w:rPr>
          <w:rFonts w:eastAsia="Arial Unicode MS"/>
          <w:color w:val="17365D"/>
        </w:rPr>
        <w:t>ju par koriģējošiem notikumiem pēc bilances datuma par izmaiņām līdzdalībā kapitālsabiedrību kapitālā. Salīdzinošā informācija koriģēta par veiktajiem kļūdu labojumiem iepriekšējā periodā.</w:t>
      </w:r>
    </w:p>
    <w:p w14:paraId="30BE0524" w14:textId="3F6870F0" w:rsidR="00E0569D" w:rsidRPr="00A27896" w:rsidRDefault="00E0569D" w:rsidP="00B55F13">
      <w:pPr>
        <w:pStyle w:val="Pamatteksts"/>
        <w:ind w:firstLine="284"/>
        <w:rPr>
          <w:b/>
          <w:bCs/>
          <w:color w:val="17365D"/>
        </w:rPr>
      </w:pPr>
      <w:r w:rsidRPr="00A27896">
        <w:rPr>
          <w:b/>
          <w:bCs/>
          <w:color w:val="17365D"/>
        </w:rPr>
        <w:t>Konsolidētajā pārskatā veikta korekcija šādos pārskata posteņos:</w:t>
      </w:r>
    </w:p>
    <w:p w14:paraId="04D804AF" w14:textId="77777777" w:rsidR="00E0569D" w:rsidRPr="00A27896" w:rsidRDefault="00E0569D" w:rsidP="0057470D">
      <w:pPr>
        <w:pStyle w:val="Pamatteksts"/>
        <w:numPr>
          <w:ilvl w:val="0"/>
          <w:numId w:val="39"/>
        </w:numPr>
        <w:spacing w:before="120"/>
        <w:ind w:left="851" w:hanging="357"/>
        <w:rPr>
          <w:rFonts w:eastAsia="Arial Unicode MS"/>
          <w:color w:val="17365D"/>
        </w:rPr>
      </w:pPr>
      <w:r w:rsidRPr="00A27896">
        <w:rPr>
          <w:rFonts w:eastAsia="Arial Unicode MS"/>
          <w:color w:val="17365D"/>
        </w:rPr>
        <w:t xml:space="preserve">maksas pakalpojumi un citi pašu ieņēmumi 18 </w:t>
      </w:r>
      <w:r w:rsidRPr="00304946">
        <w:rPr>
          <w:rFonts w:eastAsia="Arial Unicode MS"/>
          <w:i/>
          <w:color w:val="17365D"/>
        </w:rPr>
        <w:t>euro</w:t>
      </w:r>
      <w:r w:rsidRPr="00A27896">
        <w:rPr>
          <w:rFonts w:eastAsia="Arial Unicode MS"/>
          <w:color w:val="17365D"/>
        </w:rPr>
        <w:t xml:space="preserve"> vērtībā par ministriju  ieņēmumu no debitoru un kreditoru atlikumiem korekciju;</w:t>
      </w:r>
    </w:p>
    <w:p w14:paraId="6E384F70" w14:textId="77777777" w:rsidR="00E0569D" w:rsidRPr="00A27896" w:rsidRDefault="00E0569D" w:rsidP="0057470D">
      <w:pPr>
        <w:pStyle w:val="Pamatteksts"/>
        <w:numPr>
          <w:ilvl w:val="0"/>
          <w:numId w:val="39"/>
        </w:numPr>
        <w:spacing w:before="120"/>
        <w:ind w:left="851" w:hanging="357"/>
        <w:rPr>
          <w:rFonts w:eastAsia="Arial Unicode MS"/>
          <w:color w:val="17365D"/>
        </w:rPr>
      </w:pPr>
      <w:r w:rsidRPr="00A27896">
        <w:rPr>
          <w:rFonts w:eastAsia="Arial Unicode MS"/>
          <w:color w:val="17365D"/>
        </w:rPr>
        <w:t xml:space="preserve">transferti 116 009 </w:t>
      </w:r>
      <w:r w:rsidRPr="00304946">
        <w:rPr>
          <w:rFonts w:eastAsia="Arial Unicode MS"/>
          <w:i/>
          <w:color w:val="17365D"/>
        </w:rPr>
        <w:t>euro</w:t>
      </w:r>
      <w:r w:rsidRPr="00A27896">
        <w:rPr>
          <w:rFonts w:eastAsia="Arial Unicode MS"/>
          <w:color w:val="17365D"/>
        </w:rPr>
        <w:t xml:space="preserve"> vērtībā par ministriju un pašvaldību ieņēmumiem no savstarpējo debitoru un kreditoru atlikumu korekcijas;</w:t>
      </w:r>
    </w:p>
    <w:p w14:paraId="014C7FCA" w14:textId="77777777" w:rsidR="00E0569D" w:rsidRPr="00A27896" w:rsidRDefault="00E0569D" w:rsidP="0057470D">
      <w:pPr>
        <w:pStyle w:val="Pamatteksts"/>
        <w:numPr>
          <w:ilvl w:val="0"/>
          <w:numId w:val="39"/>
        </w:numPr>
        <w:spacing w:before="120"/>
        <w:ind w:left="851" w:hanging="357"/>
        <w:rPr>
          <w:rFonts w:eastAsia="Arial Unicode MS"/>
          <w:color w:val="17365D"/>
        </w:rPr>
      </w:pPr>
      <w:r w:rsidRPr="00A27896">
        <w:rPr>
          <w:rFonts w:eastAsia="Arial Unicode MS"/>
          <w:color w:val="17365D"/>
        </w:rPr>
        <w:t xml:space="preserve">dotācija no vispārējiem ieņēmumiem (9 988 063 812) </w:t>
      </w:r>
      <w:r w:rsidRPr="00304946">
        <w:rPr>
          <w:rFonts w:eastAsia="Arial Unicode MS"/>
          <w:i/>
          <w:color w:val="17365D"/>
        </w:rPr>
        <w:t>euro</w:t>
      </w:r>
      <w:r w:rsidRPr="00A27896">
        <w:rPr>
          <w:rFonts w:eastAsia="Arial Unicode MS"/>
          <w:color w:val="17365D"/>
        </w:rPr>
        <w:t xml:space="preserve"> vērtībā par ministriju  un valsts budžeta finanšu uzskaitē atzītajiem datiem;</w:t>
      </w:r>
    </w:p>
    <w:p w14:paraId="6ECF24D9" w14:textId="2EBBA91D" w:rsidR="00E0569D" w:rsidRPr="00A27896" w:rsidRDefault="00E0569D" w:rsidP="00BE14E7">
      <w:pPr>
        <w:pStyle w:val="Pamatteksts"/>
        <w:spacing w:before="120"/>
        <w:ind w:left="494" w:firstLine="0"/>
        <w:rPr>
          <w:rFonts w:eastAsia="Arial Unicode MS"/>
          <w:color w:val="17365D"/>
        </w:rPr>
      </w:pPr>
      <w:r w:rsidRPr="00A27896">
        <w:rPr>
          <w:rFonts w:eastAsia="Arial Unicode MS"/>
          <w:color w:val="17365D"/>
        </w:rPr>
        <w:t xml:space="preserve">pārējie ieņēmumi, kas nav klasificēti A11 līdz A18 rindā (16 981 653) </w:t>
      </w:r>
      <w:r w:rsidRPr="00304946">
        <w:rPr>
          <w:rFonts w:eastAsia="Arial Unicode MS"/>
          <w:i/>
          <w:color w:val="17365D"/>
        </w:rPr>
        <w:t>euro</w:t>
      </w:r>
      <w:r w:rsidRPr="00A27896">
        <w:rPr>
          <w:rFonts w:eastAsia="Arial Unicode MS"/>
          <w:color w:val="17365D"/>
        </w:rPr>
        <w:t xml:space="preserve"> vērtībā par ieņēmumiem no kopīgo (ministriju un pašvaldību) kapitālsabiedrību reklasifikācijas uz ieguldījumu radniecīgā</w:t>
      </w:r>
      <w:r w:rsidR="007C6C15" w:rsidRPr="00A27896">
        <w:rPr>
          <w:rFonts w:eastAsia="Arial Unicode MS"/>
          <w:color w:val="17365D"/>
        </w:rPr>
        <w:t>s</w:t>
      </w:r>
      <w:r w:rsidRPr="00A27896">
        <w:rPr>
          <w:rFonts w:eastAsia="Arial Unicode MS"/>
          <w:color w:val="17365D"/>
        </w:rPr>
        <w:t xml:space="preserve"> vai asociētā</w:t>
      </w:r>
      <w:r w:rsidR="007C6C15" w:rsidRPr="00A27896">
        <w:rPr>
          <w:rFonts w:eastAsia="Arial Unicode MS"/>
          <w:color w:val="17365D"/>
        </w:rPr>
        <w:t>s</w:t>
      </w:r>
      <w:r w:rsidRPr="00A27896">
        <w:rPr>
          <w:rFonts w:eastAsia="Arial Unicode MS"/>
          <w:color w:val="17365D"/>
        </w:rPr>
        <w:t xml:space="preserve"> kapitālsabiedrībās rezultāta;</w:t>
      </w:r>
    </w:p>
    <w:p w14:paraId="1BC58914" w14:textId="4DD1E380" w:rsidR="00E0569D" w:rsidRPr="00A27896" w:rsidRDefault="007C6C15" w:rsidP="0057470D">
      <w:pPr>
        <w:pStyle w:val="Pamatteksts"/>
        <w:numPr>
          <w:ilvl w:val="0"/>
          <w:numId w:val="39"/>
        </w:numPr>
        <w:spacing w:before="120"/>
        <w:ind w:left="851" w:hanging="357"/>
        <w:rPr>
          <w:rFonts w:eastAsia="Arial Unicode MS"/>
          <w:color w:val="17365D"/>
        </w:rPr>
      </w:pPr>
      <w:r w:rsidRPr="00A27896">
        <w:rPr>
          <w:rFonts w:eastAsia="Arial Unicode MS"/>
          <w:color w:val="17365D"/>
        </w:rPr>
        <w:lastRenderedPageBreak/>
        <w:t>p</w:t>
      </w:r>
      <w:r w:rsidR="00E0569D" w:rsidRPr="00A27896">
        <w:rPr>
          <w:rFonts w:eastAsia="Arial Unicode MS"/>
          <w:color w:val="17365D"/>
        </w:rPr>
        <w:t xml:space="preserve">akalpojumi (1 176 985) </w:t>
      </w:r>
      <w:r w:rsidRPr="00A27896">
        <w:rPr>
          <w:rFonts w:eastAsia="Arial Unicode MS"/>
          <w:color w:val="17365D"/>
        </w:rPr>
        <w:t xml:space="preserve">) </w:t>
      </w:r>
      <w:r w:rsidRPr="00304946">
        <w:rPr>
          <w:rFonts w:eastAsia="Arial Unicode MS"/>
          <w:i/>
          <w:color w:val="17365D"/>
        </w:rPr>
        <w:t>euro</w:t>
      </w:r>
      <w:r w:rsidRPr="00A27896">
        <w:rPr>
          <w:rFonts w:eastAsia="Arial Unicode MS"/>
          <w:color w:val="17365D"/>
        </w:rPr>
        <w:t xml:space="preserve"> vērtībā  </w:t>
      </w:r>
      <w:r w:rsidR="00E0569D" w:rsidRPr="00A27896">
        <w:rPr>
          <w:rFonts w:eastAsia="Arial Unicode MS"/>
          <w:color w:val="17365D"/>
        </w:rPr>
        <w:t>par ministriju un valsts budžeta finanšu uzskaites</w:t>
      </w:r>
      <w:r w:rsidRPr="00A27896">
        <w:rPr>
          <w:rFonts w:eastAsia="Arial Unicode MS"/>
          <w:color w:val="17365D"/>
        </w:rPr>
        <w:t xml:space="preserve"> savstarpējo darījumu rezultātu;</w:t>
      </w:r>
    </w:p>
    <w:p w14:paraId="04288708" w14:textId="77777777" w:rsidR="00E0569D" w:rsidRPr="00A27896" w:rsidRDefault="00E0569D" w:rsidP="0057470D">
      <w:pPr>
        <w:pStyle w:val="Pamatteksts"/>
        <w:numPr>
          <w:ilvl w:val="0"/>
          <w:numId w:val="39"/>
        </w:numPr>
        <w:spacing w:before="120"/>
        <w:ind w:left="851" w:hanging="357"/>
        <w:rPr>
          <w:rFonts w:eastAsia="Arial Unicode MS"/>
          <w:color w:val="17365D"/>
        </w:rPr>
      </w:pPr>
      <w:r w:rsidRPr="00A27896">
        <w:rPr>
          <w:rFonts w:eastAsia="Arial Unicode MS"/>
          <w:color w:val="17365D"/>
        </w:rPr>
        <w:t xml:space="preserve">procentu izdevumi (164 079 122) </w:t>
      </w:r>
      <w:r w:rsidRPr="00304946">
        <w:rPr>
          <w:rFonts w:eastAsia="Arial Unicode MS"/>
          <w:i/>
          <w:color w:val="17365D"/>
        </w:rPr>
        <w:t>euro</w:t>
      </w:r>
      <w:r w:rsidRPr="00A27896">
        <w:rPr>
          <w:rFonts w:eastAsia="Arial Unicode MS"/>
          <w:color w:val="17365D"/>
        </w:rPr>
        <w:t xml:space="preserve"> vērtībā par ministriju un valsts budžeta finanšu uzskaites savstarpējo darījumu rezultātu;</w:t>
      </w:r>
    </w:p>
    <w:p w14:paraId="21D0EB51" w14:textId="77777777" w:rsidR="00E0569D" w:rsidRPr="00A27896" w:rsidRDefault="00E0569D" w:rsidP="0057470D">
      <w:pPr>
        <w:pStyle w:val="Pamatteksts"/>
        <w:numPr>
          <w:ilvl w:val="0"/>
          <w:numId w:val="39"/>
        </w:numPr>
        <w:spacing w:before="120"/>
        <w:ind w:left="851" w:hanging="357"/>
        <w:rPr>
          <w:rFonts w:eastAsia="Arial Unicode MS"/>
          <w:color w:val="17365D"/>
        </w:rPr>
      </w:pPr>
      <w:r w:rsidRPr="00A27896">
        <w:rPr>
          <w:rFonts w:eastAsia="Arial Unicode MS"/>
          <w:color w:val="17365D"/>
        </w:rPr>
        <w:t xml:space="preserve">transferti (188 123 099) </w:t>
      </w:r>
      <w:r w:rsidRPr="00304946">
        <w:rPr>
          <w:rFonts w:eastAsia="Arial Unicode MS"/>
          <w:i/>
          <w:color w:val="17365D"/>
        </w:rPr>
        <w:t>euro</w:t>
      </w:r>
      <w:r w:rsidRPr="00A27896">
        <w:rPr>
          <w:rFonts w:eastAsia="Arial Unicode MS"/>
          <w:color w:val="17365D"/>
        </w:rPr>
        <w:t xml:space="preserve"> vērtībā par ministriju, pašvaldību un valsts budžeta finanšu uzskaites savstarpējo debitoru un kreditoru atlikumu korekciju;</w:t>
      </w:r>
    </w:p>
    <w:p w14:paraId="66E038BF" w14:textId="45B27822" w:rsidR="00E0569D" w:rsidRPr="00A27896" w:rsidRDefault="00E0569D" w:rsidP="0057470D">
      <w:pPr>
        <w:pStyle w:val="Pamatteksts"/>
        <w:numPr>
          <w:ilvl w:val="0"/>
          <w:numId w:val="39"/>
        </w:numPr>
        <w:spacing w:before="120"/>
        <w:ind w:left="851" w:hanging="357"/>
        <w:rPr>
          <w:rFonts w:eastAsia="Arial Unicode MS"/>
          <w:color w:val="17365D"/>
        </w:rPr>
      </w:pPr>
      <w:r w:rsidRPr="00A27896">
        <w:rPr>
          <w:rFonts w:eastAsia="Arial Unicode MS"/>
          <w:color w:val="17365D"/>
        </w:rPr>
        <w:t>pārējie izdevumi, kas nav klasificēti A21 līdz A30 rindā</w:t>
      </w:r>
      <w:r w:rsidR="007C6C15" w:rsidRPr="00A27896">
        <w:rPr>
          <w:rFonts w:eastAsia="Arial Unicode MS"/>
          <w:color w:val="17365D"/>
        </w:rPr>
        <w:t>,</w:t>
      </w:r>
      <w:r w:rsidRPr="00A27896">
        <w:rPr>
          <w:rFonts w:eastAsia="Arial Unicode MS"/>
          <w:color w:val="17365D"/>
        </w:rPr>
        <w:t xml:space="preserve"> (9 634 795 757) </w:t>
      </w:r>
      <w:r w:rsidRPr="00304946">
        <w:rPr>
          <w:rFonts w:eastAsia="Arial Unicode MS"/>
          <w:i/>
          <w:color w:val="17365D"/>
        </w:rPr>
        <w:t>euro</w:t>
      </w:r>
      <w:r w:rsidRPr="00A27896">
        <w:rPr>
          <w:rFonts w:eastAsia="Arial Unicode MS"/>
          <w:color w:val="17365D"/>
        </w:rPr>
        <w:t xml:space="preserve"> vērtībā par ministriju un valsts budžeta finanšu </w:t>
      </w:r>
      <w:r w:rsidR="00C219F2" w:rsidRPr="00A27896">
        <w:rPr>
          <w:rFonts w:eastAsia="Arial Unicode MS"/>
          <w:color w:val="17365D"/>
        </w:rPr>
        <w:t xml:space="preserve">uzskaites savstarpējo darījumu rezultātu. Par piešķirtās dotācijas no vispārējiem ieņēmumiem apjoma samazinājumu par budžeta iestāžu veiktajiem izdevumiem (9 634 780 884) </w:t>
      </w:r>
      <w:r w:rsidR="00C219F2" w:rsidRPr="00304946">
        <w:rPr>
          <w:rFonts w:eastAsia="Arial Unicode MS"/>
          <w:i/>
          <w:color w:val="17365D"/>
        </w:rPr>
        <w:t>euro</w:t>
      </w:r>
      <w:r w:rsidR="00C219F2" w:rsidRPr="00A27896">
        <w:rPr>
          <w:rFonts w:eastAsia="Arial Unicode MS"/>
          <w:color w:val="17365D"/>
        </w:rPr>
        <w:t xml:space="preserve"> vērtībā, par pašvaldību vērtības samazinājuma izmaiņu prasībām 8 206 </w:t>
      </w:r>
      <w:r w:rsidR="00C219F2" w:rsidRPr="00304946">
        <w:rPr>
          <w:rFonts w:eastAsia="Arial Unicode MS"/>
          <w:i/>
          <w:color w:val="17365D"/>
        </w:rPr>
        <w:t>euro</w:t>
      </w:r>
      <w:r w:rsidR="00C219F2" w:rsidRPr="00A27896">
        <w:rPr>
          <w:rFonts w:eastAsia="Arial Unicode MS"/>
          <w:color w:val="17365D"/>
        </w:rPr>
        <w:t xml:space="preserve"> vērtībā, par ministriju vērtības samazinājuma izmaiņu prasībām (6 667) </w:t>
      </w:r>
      <w:r w:rsidR="00C219F2" w:rsidRPr="00304946">
        <w:rPr>
          <w:rFonts w:eastAsia="Arial Unicode MS"/>
          <w:i/>
          <w:color w:val="17365D"/>
        </w:rPr>
        <w:t>euro</w:t>
      </w:r>
      <w:r w:rsidR="00C219F2" w:rsidRPr="00A27896">
        <w:rPr>
          <w:rFonts w:eastAsia="Arial Unicode MS"/>
          <w:color w:val="17365D"/>
        </w:rPr>
        <w:t xml:space="preserve"> vērtībā.</w:t>
      </w:r>
    </w:p>
    <w:p w14:paraId="6F695D3F" w14:textId="77777777" w:rsidR="007A77C2" w:rsidRPr="00A27896" w:rsidRDefault="007A77C2" w:rsidP="007A77C2">
      <w:pPr>
        <w:spacing w:after="120" w:line="240" w:lineRule="auto"/>
        <w:ind w:firstLine="284"/>
        <w:jc w:val="both"/>
        <w:rPr>
          <w:rFonts w:eastAsia="Times New Roman" w:cs="Times New Roman"/>
          <w:b/>
          <w:bCs/>
          <w:noProof/>
          <w:color w:val="17365D"/>
          <w:szCs w:val="24"/>
          <w:lang w:eastAsia="lv-LV"/>
        </w:rPr>
      </w:pPr>
      <w:r w:rsidRPr="00A27896">
        <w:rPr>
          <w:rFonts w:eastAsia="Times New Roman" w:cs="Times New Roman"/>
          <w:b/>
          <w:bCs/>
          <w:noProof/>
          <w:color w:val="17365D"/>
          <w:szCs w:val="24"/>
          <w:lang w:eastAsia="lv-LV"/>
        </w:rPr>
        <w:t>Konsolidētajā pārskatā veikta konsolidācija šādos pārskata posteņos:</w:t>
      </w:r>
    </w:p>
    <w:p w14:paraId="382B3465" w14:textId="77777777" w:rsidR="007A77C2" w:rsidRPr="00A27896" w:rsidRDefault="007A77C2" w:rsidP="0057470D">
      <w:pPr>
        <w:pStyle w:val="Pamatteksts"/>
        <w:numPr>
          <w:ilvl w:val="0"/>
          <w:numId w:val="39"/>
        </w:numPr>
        <w:spacing w:before="120"/>
        <w:ind w:left="851" w:hanging="357"/>
        <w:rPr>
          <w:rFonts w:eastAsia="Arial Unicode MS"/>
          <w:color w:val="17365D"/>
        </w:rPr>
      </w:pPr>
      <w:r w:rsidRPr="00A27896">
        <w:rPr>
          <w:rFonts w:eastAsia="Arial Unicode MS"/>
          <w:color w:val="17365D"/>
        </w:rPr>
        <w:t>ieņēmumi konsolidēti par kopējo summu (7 699 611 435) </w:t>
      </w:r>
      <w:r w:rsidRPr="00304946">
        <w:rPr>
          <w:rFonts w:eastAsia="Arial Unicode MS"/>
          <w:i/>
          <w:color w:val="17365D"/>
        </w:rPr>
        <w:t>euro</w:t>
      </w:r>
      <w:r w:rsidRPr="00A27896">
        <w:rPr>
          <w:rFonts w:eastAsia="Arial Unicode MS"/>
          <w:color w:val="17365D"/>
        </w:rPr>
        <w:t xml:space="preserve"> par iestāžu savstarpējiem darījumiem no iestāžu darbības rezultāta;</w:t>
      </w:r>
    </w:p>
    <w:p w14:paraId="6C85DFEE" w14:textId="470FAFCC" w:rsidR="007A77C2" w:rsidRDefault="007A77C2" w:rsidP="0057470D">
      <w:pPr>
        <w:pStyle w:val="Pamatteksts"/>
        <w:numPr>
          <w:ilvl w:val="0"/>
          <w:numId w:val="39"/>
        </w:numPr>
        <w:spacing w:before="120"/>
        <w:ind w:left="851" w:hanging="357"/>
        <w:rPr>
          <w:rFonts w:eastAsia="Arial Unicode MS"/>
          <w:color w:val="17365D"/>
        </w:rPr>
      </w:pPr>
      <w:r w:rsidRPr="00A27896">
        <w:rPr>
          <w:rFonts w:eastAsia="Arial Unicode MS"/>
          <w:color w:val="17365D"/>
        </w:rPr>
        <w:t>izdevumi konsolidēti par kopējo summu (7 699 611 435) </w:t>
      </w:r>
      <w:r w:rsidRPr="00304946">
        <w:rPr>
          <w:rFonts w:eastAsia="Arial Unicode MS"/>
          <w:i/>
          <w:color w:val="17365D"/>
        </w:rPr>
        <w:t>euro</w:t>
      </w:r>
      <w:r w:rsidRPr="00A27896">
        <w:rPr>
          <w:rFonts w:eastAsia="Arial Unicode MS"/>
          <w:color w:val="17365D"/>
        </w:rPr>
        <w:t xml:space="preserve"> par iestāžu savstarpējiem darījumiem no iestāžu darbības rezultāta.</w:t>
      </w:r>
    </w:p>
    <w:p w14:paraId="3FD80744" w14:textId="665E0859" w:rsidR="00BE14E7" w:rsidRDefault="00836385" w:rsidP="00BE14E7">
      <w:pPr>
        <w:spacing w:after="120" w:line="240" w:lineRule="auto"/>
        <w:ind w:firstLine="284"/>
        <w:jc w:val="both"/>
        <w:rPr>
          <w:rFonts w:eastAsia="Times New Roman" w:cs="Times New Roman"/>
          <w:b/>
          <w:bCs/>
          <w:noProof/>
          <w:color w:val="17365D"/>
          <w:szCs w:val="24"/>
          <w:lang w:eastAsia="lv-LV"/>
        </w:rPr>
      </w:pPr>
      <w:r w:rsidRPr="00836385">
        <w:rPr>
          <w:rFonts w:eastAsia="Times New Roman" w:cs="Times New Roman"/>
          <w:b/>
          <w:bCs/>
          <w:noProof/>
          <w:color w:val="17365D"/>
          <w:szCs w:val="24"/>
          <w:lang w:eastAsia="lv-LV"/>
        </w:rPr>
        <w:t xml:space="preserve">Konsolidētajā pārskatā veikta </w:t>
      </w:r>
      <w:r w:rsidR="00BE14E7" w:rsidRPr="00BE14E7">
        <w:rPr>
          <w:rFonts w:eastAsia="Times New Roman" w:cs="Times New Roman"/>
          <w:b/>
          <w:bCs/>
          <w:noProof/>
          <w:color w:val="17365D"/>
          <w:szCs w:val="24"/>
          <w:lang w:eastAsia="lv-LV"/>
        </w:rPr>
        <w:t>veikta</w:t>
      </w:r>
      <w:r w:rsidR="00BE14E7">
        <w:rPr>
          <w:rFonts w:eastAsia="Times New Roman" w:cs="Times New Roman"/>
          <w:b/>
          <w:bCs/>
          <w:noProof/>
          <w:color w:val="17365D"/>
          <w:szCs w:val="24"/>
          <w:lang w:eastAsia="lv-LV"/>
        </w:rPr>
        <w:t>s</w:t>
      </w:r>
      <w:r w:rsidR="00BE14E7" w:rsidRPr="00BE14E7">
        <w:rPr>
          <w:rFonts w:eastAsia="Times New Roman" w:cs="Times New Roman"/>
          <w:b/>
          <w:bCs/>
          <w:noProof/>
          <w:color w:val="17365D"/>
          <w:szCs w:val="24"/>
          <w:lang w:eastAsia="lv-LV"/>
        </w:rPr>
        <w:t xml:space="preserve"> korekcija</w:t>
      </w:r>
      <w:r w:rsidR="00BE14E7">
        <w:rPr>
          <w:rFonts w:eastAsia="Times New Roman" w:cs="Times New Roman"/>
          <w:b/>
          <w:bCs/>
          <w:noProof/>
          <w:color w:val="17365D"/>
          <w:szCs w:val="24"/>
          <w:lang w:eastAsia="lv-LV"/>
        </w:rPr>
        <w:t>s</w:t>
      </w:r>
      <w:r w:rsidR="00BE14E7" w:rsidRPr="00BE14E7">
        <w:rPr>
          <w:rFonts w:eastAsia="Times New Roman" w:cs="Times New Roman"/>
          <w:b/>
          <w:bCs/>
          <w:noProof/>
          <w:color w:val="17365D"/>
          <w:szCs w:val="24"/>
          <w:lang w:eastAsia="lv-LV"/>
        </w:rPr>
        <w:t xml:space="preserve"> </w:t>
      </w:r>
      <w:r>
        <w:rPr>
          <w:rFonts w:eastAsia="Times New Roman" w:cs="Times New Roman"/>
          <w:b/>
          <w:bCs/>
          <w:noProof/>
          <w:color w:val="17365D"/>
          <w:szCs w:val="24"/>
          <w:lang w:eastAsia="lv-LV"/>
        </w:rPr>
        <w:t>par n</w:t>
      </w:r>
      <w:r w:rsidRPr="00BE14E7">
        <w:rPr>
          <w:rFonts w:eastAsia="Times New Roman" w:cs="Times New Roman"/>
          <w:b/>
          <w:bCs/>
          <w:noProof/>
          <w:color w:val="17365D"/>
          <w:szCs w:val="24"/>
          <w:lang w:eastAsia="lv-LV"/>
        </w:rPr>
        <w:t>otikum</w:t>
      </w:r>
      <w:r>
        <w:rPr>
          <w:rFonts w:eastAsia="Times New Roman" w:cs="Times New Roman"/>
          <w:b/>
          <w:bCs/>
          <w:noProof/>
          <w:color w:val="17365D"/>
          <w:szCs w:val="24"/>
          <w:lang w:eastAsia="lv-LV"/>
        </w:rPr>
        <w:t>iem</w:t>
      </w:r>
      <w:r w:rsidRPr="00BE14E7">
        <w:rPr>
          <w:rFonts w:eastAsia="Times New Roman" w:cs="Times New Roman"/>
          <w:b/>
          <w:bCs/>
          <w:noProof/>
          <w:color w:val="17365D"/>
          <w:szCs w:val="24"/>
          <w:lang w:eastAsia="lv-LV"/>
        </w:rPr>
        <w:t xml:space="preserve"> pēc bilances datuma </w:t>
      </w:r>
      <w:r w:rsidR="00BE14E7" w:rsidRPr="00BE14E7">
        <w:rPr>
          <w:rFonts w:eastAsia="Times New Roman" w:cs="Times New Roman"/>
          <w:b/>
          <w:bCs/>
          <w:noProof/>
          <w:color w:val="17365D"/>
          <w:szCs w:val="24"/>
          <w:lang w:eastAsia="lv-LV"/>
        </w:rPr>
        <w:t>šādos pārskata posteņos:</w:t>
      </w:r>
    </w:p>
    <w:p w14:paraId="0F7C8CDD" w14:textId="03CC2F48" w:rsidR="00BE14E7" w:rsidRPr="00BE14E7" w:rsidRDefault="00BE14E7" w:rsidP="001F7F83">
      <w:pPr>
        <w:pStyle w:val="ListParagraph"/>
        <w:numPr>
          <w:ilvl w:val="0"/>
          <w:numId w:val="49"/>
        </w:numPr>
        <w:spacing w:after="120" w:line="240" w:lineRule="auto"/>
        <w:jc w:val="both"/>
        <w:rPr>
          <w:rFonts w:eastAsia="Times New Roman" w:cs="Times New Roman"/>
          <w:b/>
          <w:bCs/>
          <w:noProof/>
          <w:color w:val="17365D"/>
          <w:szCs w:val="24"/>
          <w:lang w:eastAsia="lv-LV"/>
        </w:rPr>
      </w:pPr>
      <w:r w:rsidRPr="00A27896">
        <w:rPr>
          <w:rFonts w:eastAsia="Arial Unicode MS"/>
          <w:color w:val="17365D"/>
        </w:rPr>
        <w:t>pārējie ieņēmumi, kas nav klasificēti A11 līdz A18 rindā</w:t>
      </w:r>
      <w:r>
        <w:rPr>
          <w:rFonts w:eastAsia="Arial Unicode MS"/>
          <w:color w:val="17365D"/>
        </w:rPr>
        <w:t xml:space="preserve"> </w:t>
      </w:r>
      <w:r w:rsidR="008E1722">
        <w:rPr>
          <w:rFonts w:eastAsia="Arial Unicode MS"/>
          <w:color w:val="17365D"/>
        </w:rPr>
        <w:t xml:space="preserve">samazināti </w:t>
      </w:r>
      <w:r>
        <w:rPr>
          <w:rFonts w:eastAsia="Arial Unicode MS"/>
          <w:color w:val="17365D"/>
        </w:rPr>
        <w:t>(</w:t>
      </w:r>
      <w:r w:rsidR="001F7F83" w:rsidRPr="001F7F83">
        <w:rPr>
          <w:rFonts w:eastAsia="Arial Unicode MS"/>
          <w:color w:val="17365D"/>
        </w:rPr>
        <w:t>68 933 442</w:t>
      </w:r>
      <w:r>
        <w:rPr>
          <w:rFonts w:eastAsia="Arial Unicode MS"/>
          <w:color w:val="17365D"/>
        </w:rPr>
        <w:t>)</w:t>
      </w:r>
      <w:r w:rsidR="001F7F83">
        <w:rPr>
          <w:rFonts w:eastAsia="Arial Unicode MS"/>
          <w:color w:val="17365D"/>
        </w:rPr>
        <w:t xml:space="preserve"> </w:t>
      </w:r>
      <w:proofErr w:type="spellStart"/>
      <w:r w:rsidR="001F7F83" w:rsidRPr="00304946">
        <w:rPr>
          <w:rFonts w:eastAsia="Arial Unicode MS"/>
          <w:i/>
          <w:color w:val="17365D"/>
        </w:rPr>
        <w:t>euro</w:t>
      </w:r>
      <w:proofErr w:type="spellEnd"/>
      <w:r w:rsidR="001F7F83" w:rsidRPr="00A27896">
        <w:rPr>
          <w:rFonts w:eastAsia="Arial Unicode MS"/>
          <w:color w:val="17365D"/>
        </w:rPr>
        <w:t xml:space="preserve"> </w:t>
      </w:r>
      <w:r w:rsidR="008E1722">
        <w:rPr>
          <w:rFonts w:eastAsia="Arial Unicode MS"/>
          <w:color w:val="17365D"/>
        </w:rPr>
        <w:t xml:space="preserve">vērtībā </w:t>
      </w:r>
      <w:r w:rsidR="001F7F83" w:rsidRPr="001F7F83">
        <w:rPr>
          <w:rFonts w:eastAsia="Arial Unicode MS"/>
          <w:color w:val="17365D"/>
        </w:rPr>
        <w:t>par izmaiņām līdzdalībā kapitālsabiedrību kapitālā</w:t>
      </w:r>
      <w:r w:rsidR="001F7F83">
        <w:rPr>
          <w:rFonts w:eastAsia="Arial Unicode MS"/>
          <w:color w:val="17365D"/>
        </w:rPr>
        <w:t>;</w:t>
      </w:r>
    </w:p>
    <w:p w14:paraId="2C423CC0" w14:textId="767B3479" w:rsidR="00BE14E7" w:rsidRPr="00BE14E7" w:rsidRDefault="00BE14E7" w:rsidP="001F7F83">
      <w:pPr>
        <w:pStyle w:val="ListParagraph"/>
        <w:numPr>
          <w:ilvl w:val="0"/>
          <w:numId w:val="49"/>
        </w:numPr>
        <w:spacing w:after="120" w:line="240" w:lineRule="auto"/>
        <w:jc w:val="both"/>
        <w:rPr>
          <w:rFonts w:eastAsia="Times New Roman" w:cs="Times New Roman"/>
          <w:b/>
          <w:bCs/>
          <w:noProof/>
          <w:color w:val="17365D"/>
          <w:szCs w:val="24"/>
          <w:lang w:eastAsia="lv-LV"/>
        </w:rPr>
      </w:pPr>
      <w:r w:rsidRPr="00A27896">
        <w:rPr>
          <w:rFonts w:eastAsia="Arial Unicode MS"/>
          <w:color w:val="17365D"/>
        </w:rPr>
        <w:t>pārējie izdevumi, kas nav klasificēti A21 līdz A30 rindā,</w:t>
      </w:r>
      <w:r w:rsidR="001F7F83">
        <w:rPr>
          <w:rFonts w:eastAsia="Arial Unicode MS"/>
          <w:color w:val="17365D"/>
        </w:rPr>
        <w:t xml:space="preserve"> </w:t>
      </w:r>
      <w:r w:rsidR="008E1722">
        <w:rPr>
          <w:rFonts w:eastAsia="Arial Unicode MS"/>
          <w:color w:val="17365D"/>
        </w:rPr>
        <w:t xml:space="preserve">samazināti </w:t>
      </w:r>
      <w:r w:rsidR="001F7F83">
        <w:rPr>
          <w:rFonts w:eastAsia="Arial Unicode MS"/>
          <w:color w:val="17365D"/>
        </w:rPr>
        <w:t>(</w:t>
      </w:r>
      <w:r w:rsidR="001F7F83" w:rsidRPr="001F7F83">
        <w:rPr>
          <w:rFonts w:eastAsia="Arial Unicode MS"/>
          <w:color w:val="17365D"/>
        </w:rPr>
        <w:t>8</w:t>
      </w:r>
      <w:r w:rsidR="001F7F83">
        <w:rPr>
          <w:rFonts w:eastAsia="Arial Unicode MS"/>
          <w:color w:val="17365D"/>
        </w:rPr>
        <w:t> </w:t>
      </w:r>
      <w:r w:rsidR="001F7F83" w:rsidRPr="001F7F83">
        <w:rPr>
          <w:rFonts w:eastAsia="Arial Unicode MS"/>
          <w:color w:val="17365D"/>
        </w:rPr>
        <w:t>680</w:t>
      </w:r>
      <w:r w:rsidR="001F7F83">
        <w:rPr>
          <w:rFonts w:eastAsia="Arial Unicode MS"/>
          <w:color w:val="17365D"/>
        </w:rPr>
        <w:t> </w:t>
      </w:r>
      <w:r w:rsidR="001F7F83" w:rsidRPr="001F7F83">
        <w:rPr>
          <w:rFonts w:eastAsia="Arial Unicode MS"/>
          <w:color w:val="17365D"/>
        </w:rPr>
        <w:t>232</w:t>
      </w:r>
      <w:r w:rsidR="001F7F83">
        <w:rPr>
          <w:rFonts w:eastAsia="Arial Unicode MS"/>
          <w:color w:val="17365D"/>
        </w:rPr>
        <w:t xml:space="preserve">) </w:t>
      </w:r>
      <w:proofErr w:type="spellStart"/>
      <w:r w:rsidR="001F7F83" w:rsidRPr="00304946">
        <w:rPr>
          <w:rFonts w:eastAsia="Arial Unicode MS"/>
          <w:i/>
          <w:color w:val="17365D"/>
        </w:rPr>
        <w:t>euro</w:t>
      </w:r>
      <w:proofErr w:type="spellEnd"/>
      <w:r w:rsidR="001F7F83" w:rsidRPr="00A27896">
        <w:rPr>
          <w:rFonts w:eastAsia="Arial Unicode MS"/>
          <w:color w:val="17365D"/>
        </w:rPr>
        <w:t xml:space="preserve"> </w:t>
      </w:r>
      <w:r w:rsidR="008E1722">
        <w:rPr>
          <w:rFonts w:eastAsia="Arial Unicode MS"/>
          <w:color w:val="17365D"/>
        </w:rPr>
        <w:t xml:space="preserve">vērtībā </w:t>
      </w:r>
      <w:r w:rsidR="001F7F83" w:rsidRPr="00A27896">
        <w:rPr>
          <w:rFonts w:eastAsia="Arial Unicode MS"/>
          <w:color w:val="17365D"/>
        </w:rPr>
        <w:t>par izmaiņām līdzdalībā kapitālsabiedrību kapitālā</w:t>
      </w:r>
      <w:r w:rsidR="00873568">
        <w:rPr>
          <w:rFonts w:eastAsia="Arial Unicode MS"/>
          <w:color w:val="17365D"/>
        </w:rPr>
        <w:t>.</w:t>
      </w:r>
    </w:p>
    <w:p w14:paraId="07865C99" w14:textId="712FF415" w:rsidR="003B475A" w:rsidRPr="00A27896" w:rsidRDefault="003B475A" w:rsidP="007C6C15">
      <w:pPr>
        <w:pStyle w:val="Pamatteksts"/>
        <w:numPr>
          <w:ilvl w:val="0"/>
          <w:numId w:val="20"/>
        </w:numPr>
        <w:ind w:left="851" w:firstLine="284"/>
        <w:rPr>
          <w:b/>
          <w:bCs/>
          <w:iCs/>
          <w:color w:val="17365D"/>
        </w:rPr>
      </w:pPr>
      <w:r w:rsidRPr="00A27896">
        <w:rPr>
          <w:color w:val="17365D"/>
        </w:rPr>
        <w:br w:type="page"/>
      </w:r>
    </w:p>
    <w:p w14:paraId="378C5CCB" w14:textId="6E6082C9" w:rsidR="00423745" w:rsidRPr="00A27896" w:rsidRDefault="00423745" w:rsidP="00BA6550">
      <w:pPr>
        <w:pStyle w:val="Heading3"/>
        <w:spacing w:before="120" w:after="120"/>
      </w:pPr>
      <w:r w:rsidRPr="00A27896">
        <w:lastRenderedPageBreak/>
        <w:t>Paskaidrojumi konsolidētā naudas plūsmas pārskata posteņiem</w:t>
      </w:r>
    </w:p>
    <w:p w14:paraId="513FE10B" w14:textId="423FB1A7" w:rsidR="00387B53" w:rsidRPr="00A27896" w:rsidRDefault="00CD583C" w:rsidP="001651EB">
      <w:pPr>
        <w:pStyle w:val="Pamatteksts"/>
        <w:ind w:firstLine="284"/>
        <w:rPr>
          <w:color w:val="17365D"/>
        </w:rPr>
      </w:pPr>
      <w:r w:rsidRPr="00A27896">
        <w:rPr>
          <w:color w:val="17365D"/>
        </w:rPr>
        <w:t xml:space="preserve">Konsolidētajā naudas plūsmas pārskatā dati salīdzināti ar </w:t>
      </w:r>
      <w:r w:rsidR="001F0DE8" w:rsidRPr="00A27896">
        <w:rPr>
          <w:color w:val="17365D"/>
        </w:rPr>
        <w:t>2021</w:t>
      </w:r>
      <w:r w:rsidR="00387B53" w:rsidRPr="00A27896">
        <w:rPr>
          <w:color w:val="17365D"/>
        </w:rPr>
        <w:t>.</w:t>
      </w:r>
      <w:r w:rsidR="00792C29" w:rsidRPr="00A27896">
        <w:rPr>
          <w:color w:val="17365D"/>
        </w:rPr>
        <w:t> </w:t>
      </w:r>
      <w:r w:rsidRPr="00A27896">
        <w:rPr>
          <w:color w:val="17365D"/>
        </w:rPr>
        <w:t>gada datiem.</w:t>
      </w:r>
    </w:p>
    <w:p w14:paraId="1AA93233" w14:textId="040E57B2" w:rsidR="00387B53" w:rsidRPr="00A27896" w:rsidRDefault="001F0DE8" w:rsidP="001651EB">
      <w:pPr>
        <w:pStyle w:val="Pamatteksts"/>
        <w:ind w:firstLine="284"/>
        <w:rPr>
          <w:color w:val="17365D"/>
        </w:rPr>
      </w:pPr>
      <w:r w:rsidRPr="00A27896">
        <w:rPr>
          <w:color w:val="17365D"/>
        </w:rPr>
        <w:t xml:space="preserve">2022. gadā konsolidētais naudas līdzekļu ieņēmumu pārsniegums pār izdevumiem uzrādīts 140 473 869 </w:t>
      </w:r>
      <w:r w:rsidRPr="00A27896">
        <w:rPr>
          <w:i/>
          <w:color w:val="17365D"/>
        </w:rPr>
        <w:t>euro</w:t>
      </w:r>
      <w:r w:rsidRPr="00A27896">
        <w:rPr>
          <w:color w:val="17365D"/>
        </w:rPr>
        <w:t xml:space="preserve"> vērtībā.</w:t>
      </w:r>
    </w:p>
    <w:p w14:paraId="67F781C7" w14:textId="31C2E6C3" w:rsidR="00387B53" w:rsidRPr="00A27896" w:rsidRDefault="00387B53" w:rsidP="001651EB">
      <w:pPr>
        <w:pStyle w:val="Pamatteksts"/>
        <w:ind w:firstLine="284"/>
        <w:rPr>
          <w:color w:val="17365D"/>
        </w:rPr>
      </w:pPr>
      <w:r w:rsidRPr="00A27896">
        <w:rPr>
          <w:color w:val="17365D"/>
        </w:rPr>
        <w:t>Naudas plūsmas ieņēmumu un izdevumu no pamatdarbības posteņu izmaiņas uzrādītas 5</w:t>
      </w:r>
      <w:r w:rsidR="006C1AA7" w:rsidRPr="00A27896">
        <w:rPr>
          <w:color w:val="17365D"/>
        </w:rPr>
        <w:t>2</w:t>
      </w:r>
      <w:r w:rsidRPr="00A27896">
        <w:rPr>
          <w:color w:val="17365D"/>
        </w:rPr>
        <w:t>. tabulā.</w:t>
      </w:r>
    </w:p>
    <w:p w14:paraId="1D3A926D" w14:textId="0B17D154" w:rsidR="00387B53" w:rsidRPr="00A27896" w:rsidRDefault="00F9248E" w:rsidP="00387B53">
      <w:pPr>
        <w:pStyle w:val="Tabulasnosaukums"/>
        <w:spacing w:before="0"/>
        <w:rPr>
          <w:rFonts w:eastAsia="Arial Unicode MS"/>
          <w:color w:val="17365D"/>
          <w:szCs w:val="20"/>
        </w:rPr>
      </w:pPr>
      <w:r w:rsidRPr="00A27896">
        <w:rPr>
          <w:rFonts w:eastAsia="Arial Unicode MS"/>
          <w:color w:val="17365D"/>
          <w:szCs w:val="20"/>
        </w:rPr>
        <w:t>5</w:t>
      </w:r>
      <w:r w:rsidR="006C1AA7" w:rsidRPr="00A27896">
        <w:rPr>
          <w:rFonts w:eastAsia="Arial Unicode MS"/>
          <w:color w:val="17365D"/>
          <w:szCs w:val="20"/>
        </w:rPr>
        <w:t>2</w:t>
      </w:r>
      <w:r w:rsidR="00387B53" w:rsidRPr="00A27896">
        <w:rPr>
          <w:rFonts w:eastAsia="Arial Unicode MS"/>
          <w:color w:val="17365D"/>
          <w:szCs w:val="20"/>
        </w:rPr>
        <w:t>. tabula. NP.A Ieņēmumi un izdevumi no pamatdarbības (euro)</w:t>
      </w:r>
    </w:p>
    <w:tbl>
      <w:tblPr>
        <w:tblW w:w="9297" w:type="dxa"/>
        <w:tblInd w:w="93" w:type="dxa"/>
        <w:tblLayout w:type="fixed"/>
        <w:tblLook w:val="04A0" w:firstRow="1" w:lastRow="0" w:firstColumn="1" w:lastColumn="0" w:noHBand="0" w:noVBand="1"/>
      </w:tblPr>
      <w:tblGrid>
        <w:gridCol w:w="2459"/>
        <w:gridCol w:w="851"/>
        <w:gridCol w:w="1559"/>
        <w:gridCol w:w="1559"/>
        <w:gridCol w:w="1560"/>
        <w:gridCol w:w="1309"/>
      </w:tblGrid>
      <w:tr w:rsidR="001F0DE8" w:rsidRPr="00A27896" w14:paraId="5930B232" w14:textId="77777777" w:rsidTr="007E4FC6">
        <w:trPr>
          <w:trHeight w:hRule="exact" w:val="20"/>
          <w:tblHeader/>
        </w:trPr>
        <w:tc>
          <w:tcPr>
            <w:tcW w:w="2459" w:type="dxa"/>
            <w:vMerge w:val="restart"/>
            <w:shd w:val="clear" w:color="auto" w:fill="B9CDE5"/>
            <w:vAlign w:val="center"/>
            <w:hideMark/>
          </w:tcPr>
          <w:p w14:paraId="0561C94B" w14:textId="77777777" w:rsidR="001F0DE8" w:rsidRPr="00A27896" w:rsidRDefault="001F0DE8" w:rsidP="007E4FC6">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Rādītājs</w:t>
            </w:r>
          </w:p>
        </w:tc>
        <w:tc>
          <w:tcPr>
            <w:tcW w:w="851" w:type="dxa"/>
            <w:vMerge w:val="restart"/>
            <w:shd w:val="clear" w:color="auto" w:fill="B9CDE5"/>
            <w:vAlign w:val="center"/>
            <w:hideMark/>
          </w:tcPr>
          <w:p w14:paraId="1373F92C" w14:textId="77777777" w:rsidR="001F0DE8" w:rsidRPr="00A27896" w:rsidRDefault="001F0DE8" w:rsidP="007E4FC6">
            <w:pPr>
              <w:spacing w:after="0" w:line="240" w:lineRule="auto"/>
              <w:ind w:right="-109"/>
              <w:jc w:val="center"/>
              <w:rPr>
                <w:rFonts w:cs="Times New Roman"/>
                <w:b/>
                <w:color w:val="17365D"/>
                <w:sz w:val="18"/>
                <w:szCs w:val="18"/>
                <w:lang w:eastAsia="lv-LV"/>
              </w:rPr>
            </w:pPr>
            <w:r w:rsidRPr="00A27896">
              <w:rPr>
                <w:rFonts w:cs="Times New Roman"/>
                <w:b/>
                <w:color w:val="17365D"/>
                <w:sz w:val="18"/>
                <w:szCs w:val="18"/>
                <w:lang w:eastAsia="lv-LV"/>
              </w:rPr>
              <w:t>Piezīmes Nr.</w:t>
            </w:r>
          </w:p>
        </w:tc>
        <w:tc>
          <w:tcPr>
            <w:tcW w:w="1559" w:type="dxa"/>
            <w:vMerge w:val="restart"/>
            <w:shd w:val="clear" w:color="auto" w:fill="B9CDE5"/>
            <w:vAlign w:val="center"/>
            <w:hideMark/>
          </w:tcPr>
          <w:p w14:paraId="632AC5EE" w14:textId="77777777" w:rsidR="001F0DE8" w:rsidRPr="00A27896" w:rsidRDefault="001F0DE8" w:rsidP="007E4FC6">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Pārskata periods</w:t>
            </w:r>
          </w:p>
        </w:tc>
        <w:tc>
          <w:tcPr>
            <w:tcW w:w="1559" w:type="dxa"/>
            <w:vMerge w:val="restart"/>
            <w:shd w:val="clear" w:color="auto" w:fill="B9CDE5"/>
            <w:vAlign w:val="center"/>
            <w:hideMark/>
          </w:tcPr>
          <w:p w14:paraId="7AF81718" w14:textId="77777777" w:rsidR="001F0DE8" w:rsidRPr="00A27896" w:rsidRDefault="001F0DE8" w:rsidP="007E4FC6">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Iepriekšējais pārskata periods</w:t>
            </w:r>
          </w:p>
        </w:tc>
        <w:tc>
          <w:tcPr>
            <w:tcW w:w="1560" w:type="dxa"/>
            <w:vMerge w:val="restart"/>
            <w:shd w:val="clear" w:color="auto" w:fill="B9CDE5"/>
            <w:vAlign w:val="center"/>
            <w:hideMark/>
          </w:tcPr>
          <w:p w14:paraId="1A9AF98B" w14:textId="77777777" w:rsidR="001F0DE8" w:rsidRPr="00A27896" w:rsidRDefault="001F0DE8" w:rsidP="007E4FC6">
            <w:pPr>
              <w:spacing w:after="0" w:line="240" w:lineRule="auto"/>
              <w:ind w:left="-108" w:right="-108"/>
              <w:jc w:val="center"/>
              <w:rPr>
                <w:rFonts w:cs="Times New Roman"/>
                <w:b/>
                <w:color w:val="17365D"/>
                <w:sz w:val="18"/>
                <w:szCs w:val="18"/>
                <w:lang w:eastAsia="lv-LV"/>
              </w:rPr>
            </w:pPr>
            <w:r w:rsidRPr="00A27896">
              <w:rPr>
                <w:rFonts w:cs="Times New Roman"/>
                <w:b/>
                <w:color w:val="17365D"/>
                <w:sz w:val="18"/>
                <w:szCs w:val="18"/>
                <w:lang w:eastAsia="lv-LV"/>
              </w:rPr>
              <w:t>Palielinājums (+), samazinājums (-) (1. - 2.)</w:t>
            </w:r>
          </w:p>
        </w:tc>
        <w:tc>
          <w:tcPr>
            <w:tcW w:w="1309" w:type="dxa"/>
            <w:vMerge w:val="restart"/>
            <w:shd w:val="clear" w:color="auto" w:fill="B9CDE5"/>
            <w:vAlign w:val="center"/>
            <w:hideMark/>
          </w:tcPr>
          <w:p w14:paraId="46640CDB" w14:textId="77777777" w:rsidR="001F0DE8" w:rsidRPr="00A27896" w:rsidRDefault="001F0DE8" w:rsidP="007E4FC6">
            <w:pPr>
              <w:spacing w:after="0" w:line="240" w:lineRule="auto"/>
              <w:ind w:left="-107" w:right="-108"/>
              <w:jc w:val="center"/>
              <w:rPr>
                <w:rFonts w:cs="Times New Roman"/>
                <w:b/>
                <w:color w:val="17365D"/>
                <w:sz w:val="18"/>
                <w:szCs w:val="18"/>
                <w:lang w:eastAsia="lv-LV"/>
              </w:rPr>
            </w:pPr>
            <w:r w:rsidRPr="00A27896">
              <w:rPr>
                <w:rFonts w:cs="Times New Roman"/>
                <w:b/>
                <w:color w:val="17365D"/>
                <w:sz w:val="18"/>
                <w:szCs w:val="18"/>
                <w:lang w:eastAsia="lv-LV"/>
              </w:rPr>
              <w:t xml:space="preserve">Procentuālās izmaiņas </w:t>
            </w:r>
          </w:p>
          <w:p w14:paraId="074E12B7" w14:textId="5F18F3DA" w:rsidR="001F0DE8" w:rsidRPr="00A27896" w:rsidRDefault="001F0DE8" w:rsidP="00B42452">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(3</w:t>
            </w:r>
            <w:r w:rsidR="00100EA1" w:rsidRPr="00A27896">
              <w:rPr>
                <w:rFonts w:cs="Times New Roman"/>
                <w:b/>
                <w:color w:val="17365D"/>
                <w:sz w:val="18"/>
                <w:szCs w:val="18"/>
                <w:lang w:eastAsia="lv-LV"/>
              </w:rPr>
              <w:t>./</w:t>
            </w:r>
            <w:r w:rsidRPr="00A27896">
              <w:rPr>
                <w:rFonts w:cs="Times New Roman"/>
                <w:b/>
                <w:color w:val="17365D"/>
                <w:sz w:val="18"/>
                <w:szCs w:val="18"/>
                <w:lang w:eastAsia="lv-LV"/>
              </w:rPr>
              <w:t xml:space="preserve">2. </w:t>
            </w:r>
            <w:r w:rsidR="00B42452" w:rsidRPr="00A27896">
              <w:rPr>
                <w:rFonts w:cs="Times New Roman"/>
                <w:b/>
                <w:color w:val="17365D"/>
                <w:sz w:val="18"/>
                <w:szCs w:val="18"/>
                <w:lang w:eastAsia="lv-LV"/>
              </w:rPr>
              <w:t>*</w:t>
            </w:r>
            <w:r w:rsidRPr="00A27896">
              <w:rPr>
                <w:rFonts w:cs="Times New Roman"/>
                <w:b/>
                <w:color w:val="17365D"/>
                <w:sz w:val="18"/>
                <w:szCs w:val="18"/>
                <w:lang w:eastAsia="lv-LV"/>
              </w:rPr>
              <w:t xml:space="preserve"> 100)</w:t>
            </w:r>
          </w:p>
        </w:tc>
      </w:tr>
      <w:tr w:rsidR="001F0DE8" w:rsidRPr="00A27896" w14:paraId="279D070D" w14:textId="77777777" w:rsidTr="007E4FC6">
        <w:trPr>
          <w:trHeight w:val="517"/>
        </w:trPr>
        <w:tc>
          <w:tcPr>
            <w:tcW w:w="2459" w:type="dxa"/>
            <w:vMerge/>
            <w:shd w:val="clear" w:color="auto" w:fill="B9CDE5"/>
            <w:vAlign w:val="center"/>
            <w:hideMark/>
          </w:tcPr>
          <w:p w14:paraId="3C311F73" w14:textId="77777777" w:rsidR="001F0DE8" w:rsidRPr="00A27896" w:rsidRDefault="001F0DE8" w:rsidP="007E4FC6">
            <w:pPr>
              <w:spacing w:after="0" w:line="240" w:lineRule="auto"/>
              <w:rPr>
                <w:rFonts w:cs="Times New Roman"/>
                <w:b/>
                <w:color w:val="17365D"/>
                <w:sz w:val="18"/>
                <w:szCs w:val="18"/>
                <w:lang w:eastAsia="lv-LV"/>
              </w:rPr>
            </w:pPr>
          </w:p>
        </w:tc>
        <w:tc>
          <w:tcPr>
            <w:tcW w:w="851" w:type="dxa"/>
            <w:vMerge/>
            <w:shd w:val="clear" w:color="auto" w:fill="B9CDE5"/>
            <w:vAlign w:val="center"/>
            <w:hideMark/>
          </w:tcPr>
          <w:p w14:paraId="43905F36" w14:textId="77777777" w:rsidR="001F0DE8" w:rsidRPr="00A27896" w:rsidRDefault="001F0DE8" w:rsidP="007E4FC6">
            <w:pPr>
              <w:spacing w:after="0" w:line="240" w:lineRule="auto"/>
              <w:rPr>
                <w:rFonts w:cs="Times New Roman"/>
                <w:b/>
                <w:color w:val="17365D"/>
                <w:sz w:val="18"/>
                <w:szCs w:val="18"/>
                <w:lang w:eastAsia="lv-LV"/>
              </w:rPr>
            </w:pPr>
          </w:p>
        </w:tc>
        <w:tc>
          <w:tcPr>
            <w:tcW w:w="1559" w:type="dxa"/>
            <w:vMerge/>
            <w:shd w:val="clear" w:color="auto" w:fill="B9CDE5"/>
            <w:vAlign w:val="center"/>
            <w:hideMark/>
          </w:tcPr>
          <w:p w14:paraId="14A16BB1" w14:textId="77777777" w:rsidR="001F0DE8" w:rsidRPr="00A27896" w:rsidRDefault="001F0DE8" w:rsidP="007E4FC6">
            <w:pPr>
              <w:spacing w:after="0" w:line="240" w:lineRule="auto"/>
              <w:rPr>
                <w:rFonts w:cs="Times New Roman"/>
                <w:b/>
                <w:color w:val="17365D"/>
                <w:sz w:val="18"/>
                <w:szCs w:val="18"/>
                <w:lang w:eastAsia="lv-LV"/>
              </w:rPr>
            </w:pPr>
          </w:p>
        </w:tc>
        <w:tc>
          <w:tcPr>
            <w:tcW w:w="1559" w:type="dxa"/>
            <w:vMerge/>
            <w:shd w:val="clear" w:color="auto" w:fill="B9CDE5"/>
            <w:vAlign w:val="center"/>
            <w:hideMark/>
          </w:tcPr>
          <w:p w14:paraId="0FAD2D4F" w14:textId="77777777" w:rsidR="001F0DE8" w:rsidRPr="00A27896" w:rsidRDefault="001F0DE8" w:rsidP="007E4FC6">
            <w:pPr>
              <w:spacing w:after="0" w:line="240" w:lineRule="auto"/>
              <w:rPr>
                <w:rFonts w:cs="Times New Roman"/>
                <w:b/>
                <w:color w:val="17365D"/>
                <w:sz w:val="18"/>
                <w:szCs w:val="18"/>
                <w:lang w:eastAsia="lv-LV"/>
              </w:rPr>
            </w:pPr>
          </w:p>
        </w:tc>
        <w:tc>
          <w:tcPr>
            <w:tcW w:w="1560" w:type="dxa"/>
            <w:vMerge/>
            <w:shd w:val="clear" w:color="auto" w:fill="B9CDE5"/>
            <w:vAlign w:val="center"/>
            <w:hideMark/>
          </w:tcPr>
          <w:p w14:paraId="01AFF889" w14:textId="77777777" w:rsidR="001F0DE8" w:rsidRPr="00A27896" w:rsidRDefault="001F0DE8" w:rsidP="007E4FC6">
            <w:pPr>
              <w:spacing w:after="0" w:line="240" w:lineRule="auto"/>
              <w:rPr>
                <w:rFonts w:cs="Times New Roman"/>
                <w:b/>
                <w:color w:val="17365D"/>
                <w:sz w:val="18"/>
                <w:szCs w:val="18"/>
                <w:lang w:eastAsia="lv-LV"/>
              </w:rPr>
            </w:pPr>
          </w:p>
        </w:tc>
        <w:tc>
          <w:tcPr>
            <w:tcW w:w="1309" w:type="dxa"/>
            <w:vMerge/>
            <w:shd w:val="clear" w:color="auto" w:fill="B9CDE5"/>
            <w:vAlign w:val="center"/>
            <w:hideMark/>
          </w:tcPr>
          <w:p w14:paraId="56DE4229" w14:textId="77777777" w:rsidR="001F0DE8" w:rsidRPr="00A27896" w:rsidRDefault="001F0DE8" w:rsidP="007E4FC6">
            <w:pPr>
              <w:spacing w:after="0" w:line="240" w:lineRule="auto"/>
              <w:rPr>
                <w:rFonts w:cs="Times New Roman"/>
                <w:b/>
                <w:color w:val="17365D"/>
                <w:sz w:val="18"/>
                <w:szCs w:val="18"/>
                <w:lang w:eastAsia="lv-LV"/>
              </w:rPr>
            </w:pPr>
          </w:p>
        </w:tc>
      </w:tr>
      <w:tr w:rsidR="001F0DE8" w:rsidRPr="00A27896" w14:paraId="1F270C90" w14:textId="77777777" w:rsidTr="007E4FC6">
        <w:trPr>
          <w:trHeight w:val="517"/>
        </w:trPr>
        <w:tc>
          <w:tcPr>
            <w:tcW w:w="2459" w:type="dxa"/>
            <w:vMerge/>
            <w:tcBorders>
              <w:bottom w:val="single" w:sz="4" w:space="0" w:color="17365D"/>
            </w:tcBorders>
            <w:shd w:val="clear" w:color="auto" w:fill="B9CDE5"/>
            <w:vAlign w:val="center"/>
            <w:hideMark/>
          </w:tcPr>
          <w:p w14:paraId="4E243445" w14:textId="77777777" w:rsidR="001F0DE8" w:rsidRPr="00A27896" w:rsidRDefault="001F0DE8" w:rsidP="007E4FC6">
            <w:pPr>
              <w:spacing w:after="0" w:line="240" w:lineRule="auto"/>
              <w:rPr>
                <w:rFonts w:cs="Times New Roman"/>
                <w:b/>
                <w:color w:val="17365D"/>
                <w:sz w:val="18"/>
                <w:szCs w:val="18"/>
                <w:lang w:eastAsia="lv-LV"/>
              </w:rPr>
            </w:pPr>
          </w:p>
        </w:tc>
        <w:tc>
          <w:tcPr>
            <w:tcW w:w="851" w:type="dxa"/>
            <w:vMerge/>
            <w:tcBorders>
              <w:bottom w:val="single" w:sz="4" w:space="0" w:color="17365D"/>
            </w:tcBorders>
            <w:shd w:val="clear" w:color="auto" w:fill="B9CDE5"/>
            <w:vAlign w:val="center"/>
            <w:hideMark/>
          </w:tcPr>
          <w:p w14:paraId="5DF61DE5" w14:textId="77777777" w:rsidR="001F0DE8" w:rsidRPr="00A27896" w:rsidRDefault="001F0DE8" w:rsidP="007E4FC6">
            <w:pPr>
              <w:spacing w:after="0" w:line="240" w:lineRule="auto"/>
              <w:rPr>
                <w:rFonts w:cs="Times New Roman"/>
                <w:b/>
                <w:color w:val="17365D"/>
                <w:sz w:val="18"/>
                <w:szCs w:val="18"/>
                <w:lang w:eastAsia="lv-LV"/>
              </w:rPr>
            </w:pPr>
          </w:p>
        </w:tc>
        <w:tc>
          <w:tcPr>
            <w:tcW w:w="1559" w:type="dxa"/>
            <w:vMerge/>
            <w:tcBorders>
              <w:bottom w:val="single" w:sz="4" w:space="0" w:color="17365D"/>
            </w:tcBorders>
            <w:shd w:val="clear" w:color="auto" w:fill="B9CDE5"/>
            <w:vAlign w:val="center"/>
            <w:hideMark/>
          </w:tcPr>
          <w:p w14:paraId="45E5CA6F" w14:textId="77777777" w:rsidR="001F0DE8" w:rsidRPr="00A27896" w:rsidRDefault="001F0DE8" w:rsidP="007E4FC6">
            <w:pPr>
              <w:spacing w:after="0" w:line="240" w:lineRule="auto"/>
              <w:rPr>
                <w:rFonts w:cs="Times New Roman"/>
                <w:b/>
                <w:color w:val="17365D"/>
                <w:sz w:val="18"/>
                <w:szCs w:val="18"/>
                <w:lang w:eastAsia="lv-LV"/>
              </w:rPr>
            </w:pPr>
          </w:p>
        </w:tc>
        <w:tc>
          <w:tcPr>
            <w:tcW w:w="1559" w:type="dxa"/>
            <w:vMerge/>
            <w:tcBorders>
              <w:bottom w:val="single" w:sz="4" w:space="0" w:color="17365D"/>
            </w:tcBorders>
            <w:shd w:val="clear" w:color="auto" w:fill="B9CDE5"/>
            <w:vAlign w:val="center"/>
            <w:hideMark/>
          </w:tcPr>
          <w:p w14:paraId="1B93E1EA" w14:textId="77777777" w:rsidR="001F0DE8" w:rsidRPr="00A27896" w:rsidRDefault="001F0DE8" w:rsidP="007E4FC6">
            <w:pPr>
              <w:spacing w:after="0" w:line="240" w:lineRule="auto"/>
              <w:rPr>
                <w:rFonts w:cs="Times New Roman"/>
                <w:b/>
                <w:color w:val="17365D"/>
                <w:sz w:val="18"/>
                <w:szCs w:val="18"/>
                <w:lang w:eastAsia="lv-LV"/>
              </w:rPr>
            </w:pPr>
          </w:p>
        </w:tc>
        <w:tc>
          <w:tcPr>
            <w:tcW w:w="1560" w:type="dxa"/>
            <w:vMerge/>
            <w:tcBorders>
              <w:bottom w:val="single" w:sz="4" w:space="0" w:color="17365D"/>
            </w:tcBorders>
            <w:shd w:val="clear" w:color="auto" w:fill="B9CDE5"/>
            <w:vAlign w:val="center"/>
            <w:hideMark/>
          </w:tcPr>
          <w:p w14:paraId="134E7C77" w14:textId="77777777" w:rsidR="001F0DE8" w:rsidRPr="00A27896" w:rsidRDefault="001F0DE8" w:rsidP="007E4FC6">
            <w:pPr>
              <w:spacing w:after="0" w:line="240" w:lineRule="auto"/>
              <w:rPr>
                <w:rFonts w:cs="Times New Roman"/>
                <w:b/>
                <w:color w:val="17365D"/>
                <w:sz w:val="18"/>
                <w:szCs w:val="18"/>
                <w:lang w:eastAsia="lv-LV"/>
              </w:rPr>
            </w:pPr>
          </w:p>
        </w:tc>
        <w:tc>
          <w:tcPr>
            <w:tcW w:w="1309" w:type="dxa"/>
            <w:vMerge/>
            <w:tcBorders>
              <w:bottom w:val="single" w:sz="4" w:space="0" w:color="17365D"/>
            </w:tcBorders>
            <w:shd w:val="clear" w:color="auto" w:fill="B9CDE5"/>
            <w:vAlign w:val="center"/>
            <w:hideMark/>
          </w:tcPr>
          <w:p w14:paraId="4509AC62" w14:textId="77777777" w:rsidR="001F0DE8" w:rsidRPr="00A27896" w:rsidRDefault="001F0DE8" w:rsidP="007E4FC6">
            <w:pPr>
              <w:spacing w:after="0" w:line="240" w:lineRule="auto"/>
              <w:rPr>
                <w:rFonts w:cs="Times New Roman"/>
                <w:b/>
                <w:color w:val="17365D"/>
                <w:sz w:val="18"/>
                <w:szCs w:val="18"/>
                <w:lang w:eastAsia="lv-LV"/>
              </w:rPr>
            </w:pPr>
          </w:p>
        </w:tc>
      </w:tr>
      <w:tr w:rsidR="001F0DE8" w:rsidRPr="00A27896" w14:paraId="7BAF7E26" w14:textId="77777777" w:rsidTr="007E4FC6">
        <w:trPr>
          <w:trHeight w:val="60"/>
        </w:trPr>
        <w:tc>
          <w:tcPr>
            <w:tcW w:w="2459" w:type="dxa"/>
            <w:tcBorders>
              <w:top w:val="single" w:sz="4" w:space="0" w:color="17365D"/>
              <w:bottom w:val="single" w:sz="4" w:space="0" w:color="17365D"/>
            </w:tcBorders>
            <w:shd w:val="clear" w:color="auto" w:fill="auto"/>
            <w:vAlign w:val="center"/>
            <w:hideMark/>
          </w:tcPr>
          <w:p w14:paraId="3819A570" w14:textId="77777777" w:rsidR="001F0DE8" w:rsidRPr="00A27896" w:rsidRDefault="001F0DE8" w:rsidP="007E4FC6">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A</w:t>
            </w:r>
          </w:p>
        </w:tc>
        <w:tc>
          <w:tcPr>
            <w:tcW w:w="851" w:type="dxa"/>
            <w:tcBorders>
              <w:top w:val="single" w:sz="4" w:space="0" w:color="17365D"/>
              <w:bottom w:val="single" w:sz="4" w:space="0" w:color="17365D"/>
            </w:tcBorders>
            <w:shd w:val="clear" w:color="auto" w:fill="auto"/>
            <w:vAlign w:val="center"/>
            <w:hideMark/>
          </w:tcPr>
          <w:p w14:paraId="4AEC8B36" w14:textId="77777777" w:rsidR="001F0DE8" w:rsidRPr="00A27896" w:rsidRDefault="001F0DE8" w:rsidP="007E4FC6">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B</w:t>
            </w:r>
          </w:p>
        </w:tc>
        <w:tc>
          <w:tcPr>
            <w:tcW w:w="1559" w:type="dxa"/>
            <w:tcBorders>
              <w:top w:val="single" w:sz="4" w:space="0" w:color="17365D"/>
              <w:bottom w:val="single" w:sz="4" w:space="0" w:color="17365D"/>
            </w:tcBorders>
            <w:shd w:val="clear" w:color="auto" w:fill="auto"/>
            <w:vAlign w:val="center"/>
            <w:hideMark/>
          </w:tcPr>
          <w:p w14:paraId="6FA56211" w14:textId="77777777" w:rsidR="001F0DE8" w:rsidRPr="00A27896" w:rsidRDefault="001F0DE8" w:rsidP="007E4FC6">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1</w:t>
            </w:r>
          </w:p>
        </w:tc>
        <w:tc>
          <w:tcPr>
            <w:tcW w:w="1559" w:type="dxa"/>
            <w:tcBorders>
              <w:top w:val="single" w:sz="4" w:space="0" w:color="17365D"/>
              <w:bottom w:val="single" w:sz="4" w:space="0" w:color="17365D"/>
            </w:tcBorders>
            <w:shd w:val="clear" w:color="auto" w:fill="auto"/>
            <w:noWrap/>
            <w:vAlign w:val="center"/>
            <w:hideMark/>
          </w:tcPr>
          <w:p w14:paraId="36B02302" w14:textId="77777777" w:rsidR="001F0DE8" w:rsidRPr="00A27896" w:rsidRDefault="001F0DE8" w:rsidP="007E4FC6">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2</w:t>
            </w:r>
          </w:p>
        </w:tc>
        <w:tc>
          <w:tcPr>
            <w:tcW w:w="1560" w:type="dxa"/>
            <w:tcBorders>
              <w:top w:val="single" w:sz="4" w:space="0" w:color="17365D"/>
              <w:bottom w:val="single" w:sz="4" w:space="0" w:color="17365D"/>
            </w:tcBorders>
            <w:shd w:val="clear" w:color="auto" w:fill="auto"/>
            <w:vAlign w:val="center"/>
            <w:hideMark/>
          </w:tcPr>
          <w:p w14:paraId="1E3BCEE2" w14:textId="77777777" w:rsidR="001F0DE8" w:rsidRPr="00A27896" w:rsidRDefault="001F0DE8" w:rsidP="007E4FC6">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3</w:t>
            </w:r>
          </w:p>
        </w:tc>
        <w:tc>
          <w:tcPr>
            <w:tcW w:w="1309" w:type="dxa"/>
            <w:tcBorders>
              <w:top w:val="single" w:sz="4" w:space="0" w:color="17365D"/>
              <w:bottom w:val="single" w:sz="4" w:space="0" w:color="17365D"/>
            </w:tcBorders>
            <w:shd w:val="clear" w:color="auto" w:fill="auto"/>
            <w:noWrap/>
            <w:vAlign w:val="center"/>
            <w:hideMark/>
          </w:tcPr>
          <w:p w14:paraId="777C6EB1" w14:textId="77777777" w:rsidR="001F0DE8" w:rsidRPr="00A27896" w:rsidRDefault="001F0DE8" w:rsidP="007E4FC6">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4</w:t>
            </w:r>
          </w:p>
        </w:tc>
      </w:tr>
      <w:tr w:rsidR="001F0DE8" w:rsidRPr="00A27896" w14:paraId="4715125B" w14:textId="77777777" w:rsidTr="001F0DE8">
        <w:trPr>
          <w:trHeight w:val="431"/>
        </w:trPr>
        <w:tc>
          <w:tcPr>
            <w:tcW w:w="2459" w:type="dxa"/>
            <w:tcBorders>
              <w:top w:val="single" w:sz="4" w:space="0" w:color="17365D"/>
              <w:bottom w:val="single" w:sz="4" w:space="0" w:color="17365D"/>
            </w:tcBorders>
            <w:shd w:val="clear" w:color="auto" w:fill="auto"/>
            <w:vAlign w:val="center"/>
            <w:hideMark/>
          </w:tcPr>
          <w:p w14:paraId="16876FC5" w14:textId="77777777" w:rsidR="001F0DE8" w:rsidRPr="00A27896" w:rsidRDefault="001F0DE8" w:rsidP="007E4FC6">
            <w:pPr>
              <w:spacing w:after="0" w:line="240" w:lineRule="auto"/>
              <w:rPr>
                <w:rFonts w:cs="Times New Roman"/>
                <w:b/>
                <w:color w:val="17365D"/>
                <w:sz w:val="18"/>
                <w:szCs w:val="18"/>
                <w:lang w:eastAsia="lv-LV"/>
              </w:rPr>
            </w:pPr>
            <w:r w:rsidRPr="00A27896">
              <w:rPr>
                <w:rFonts w:cs="Times New Roman"/>
                <w:b/>
                <w:color w:val="17365D"/>
                <w:sz w:val="18"/>
                <w:szCs w:val="18"/>
                <w:lang w:eastAsia="lv-LV"/>
              </w:rPr>
              <w:t xml:space="preserve">Ieņēmumi no pamatdarbības </w:t>
            </w:r>
          </w:p>
        </w:tc>
        <w:tc>
          <w:tcPr>
            <w:tcW w:w="851" w:type="dxa"/>
            <w:tcBorders>
              <w:top w:val="single" w:sz="4" w:space="0" w:color="17365D"/>
              <w:bottom w:val="single" w:sz="4" w:space="0" w:color="17365D"/>
            </w:tcBorders>
            <w:shd w:val="clear" w:color="auto" w:fill="auto"/>
            <w:vAlign w:val="center"/>
            <w:hideMark/>
          </w:tcPr>
          <w:p w14:paraId="64D784B2" w14:textId="77777777" w:rsidR="001F0DE8" w:rsidRPr="00A27896" w:rsidRDefault="001F0DE8" w:rsidP="007E4FC6">
            <w:pPr>
              <w:spacing w:after="0" w:line="240" w:lineRule="auto"/>
              <w:jc w:val="center"/>
              <w:rPr>
                <w:rFonts w:cs="Times New Roman"/>
                <w:b/>
                <w:color w:val="17365D"/>
                <w:sz w:val="18"/>
                <w:szCs w:val="18"/>
                <w:lang w:eastAsia="lv-LV"/>
              </w:rPr>
            </w:pPr>
          </w:p>
        </w:tc>
        <w:tc>
          <w:tcPr>
            <w:tcW w:w="1559" w:type="dxa"/>
            <w:tcBorders>
              <w:top w:val="single" w:sz="4" w:space="0" w:color="17365D"/>
              <w:bottom w:val="single" w:sz="4" w:space="0" w:color="17365D"/>
            </w:tcBorders>
            <w:shd w:val="clear" w:color="auto" w:fill="auto"/>
            <w:noWrap/>
            <w:vAlign w:val="center"/>
            <w:hideMark/>
          </w:tcPr>
          <w:p w14:paraId="3B0AA058" w14:textId="77777777" w:rsidR="001F0DE8" w:rsidRPr="00A27896" w:rsidRDefault="001F0DE8" w:rsidP="001F0DE8">
            <w:pPr>
              <w:spacing w:after="0" w:line="240" w:lineRule="auto"/>
              <w:jc w:val="right"/>
              <w:rPr>
                <w:rFonts w:cs="Times New Roman"/>
                <w:b/>
                <w:bCs/>
                <w:color w:val="17365D"/>
                <w:sz w:val="18"/>
                <w:szCs w:val="18"/>
              </w:rPr>
            </w:pPr>
            <w:r w:rsidRPr="00A27896">
              <w:rPr>
                <w:rFonts w:cs="Times New Roman"/>
                <w:b/>
                <w:bCs/>
                <w:color w:val="17365D"/>
                <w:sz w:val="18"/>
                <w:szCs w:val="18"/>
              </w:rPr>
              <w:t>14 970 016 264</w:t>
            </w:r>
          </w:p>
        </w:tc>
        <w:tc>
          <w:tcPr>
            <w:tcW w:w="1559" w:type="dxa"/>
            <w:tcBorders>
              <w:top w:val="single" w:sz="4" w:space="0" w:color="17365D"/>
              <w:bottom w:val="single" w:sz="4" w:space="0" w:color="17365D"/>
            </w:tcBorders>
            <w:shd w:val="clear" w:color="auto" w:fill="auto"/>
            <w:noWrap/>
            <w:vAlign w:val="center"/>
            <w:hideMark/>
          </w:tcPr>
          <w:p w14:paraId="21B6173A" w14:textId="77777777" w:rsidR="001F0DE8" w:rsidRPr="00A27896" w:rsidRDefault="001F0DE8" w:rsidP="001F0DE8">
            <w:pPr>
              <w:spacing w:after="0" w:line="240" w:lineRule="auto"/>
              <w:jc w:val="right"/>
              <w:rPr>
                <w:rFonts w:cs="Times New Roman"/>
                <w:b/>
                <w:bCs/>
                <w:color w:val="17365D"/>
                <w:sz w:val="18"/>
                <w:szCs w:val="18"/>
              </w:rPr>
            </w:pPr>
            <w:r w:rsidRPr="00A27896">
              <w:rPr>
                <w:rFonts w:cs="Times New Roman"/>
                <w:b/>
                <w:bCs/>
                <w:color w:val="17365D"/>
                <w:sz w:val="18"/>
                <w:szCs w:val="18"/>
              </w:rPr>
              <w:t>13 232 269 897</w:t>
            </w:r>
          </w:p>
        </w:tc>
        <w:tc>
          <w:tcPr>
            <w:tcW w:w="1560" w:type="dxa"/>
            <w:tcBorders>
              <w:top w:val="single" w:sz="4" w:space="0" w:color="17365D"/>
              <w:bottom w:val="single" w:sz="4" w:space="0" w:color="17365D"/>
            </w:tcBorders>
            <w:shd w:val="clear" w:color="auto" w:fill="auto"/>
            <w:noWrap/>
            <w:vAlign w:val="center"/>
            <w:hideMark/>
          </w:tcPr>
          <w:p w14:paraId="61A5DBF1" w14:textId="77777777" w:rsidR="001F0DE8" w:rsidRPr="00A27896" w:rsidRDefault="001F0DE8" w:rsidP="001F0DE8">
            <w:pPr>
              <w:spacing w:after="0" w:line="240" w:lineRule="auto"/>
              <w:jc w:val="right"/>
              <w:rPr>
                <w:rFonts w:cs="Times New Roman"/>
                <w:b/>
                <w:bCs/>
                <w:color w:val="17365D"/>
                <w:sz w:val="18"/>
                <w:szCs w:val="18"/>
              </w:rPr>
            </w:pPr>
            <w:r w:rsidRPr="00A27896">
              <w:rPr>
                <w:rFonts w:cs="Times New Roman"/>
                <w:b/>
                <w:bCs/>
                <w:color w:val="17365D"/>
                <w:sz w:val="18"/>
                <w:szCs w:val="18"/>
              </w:rPr>
              <w:t>1 737 746 367</w:t>
            </w:r>
          </w:p>
        </w:tc>
        <w:tc>
          <w:tcPr>
            <w:tcW w:w="1309" w:type="dxa"/>
            <w:tcBorders>
              <w:top w:val="single" w:sz="4" w:space="0" w:color="17365D"/>
              <w:bottom w:val="single" w:sz="4" w:space="0" w:color="17365D"/>
            </w:tcBorders>
            <w:shd w:val="clear" w:color="auto" w:fill="auto"/>
            <w:noWrap/>
            <w:vAlign w:val="center"/>
            <w:hideMark/>
          </w:tcPr>
          <w:p w14:paraId="32F39E85" w14:textId="21EE4C60" w:rsidR="001F0DE8" w:rsidRPr="00A27896" w:rsidRDefault="001F0DE8" w:rsidP="001F0DE8">
            <w:pPr>
              <w:spacing w:after="0" w:line="240" w:lineRule="auto"/>
              <w:jc w:val="right"/>
              <w:rPr>
                <w:rFonts w:cs="Times New Roman"/>
                <w:b/>
                <w:bCs/>
                <w:color w:val="17365D"/>
                <w:sz w:val="18"/>
                <w:szCs w:val="18"/>
              </w:rPr>
            </w:pPr>
            <w:r w:rsidRPr="00A27896">
              <w:rPr>
                <w:rFonts w:cs="Times New Roman"/>
                <w:b/>
                <w:bCs/>
                <w:color w:val="17365D"/>
                <w:sz w:val="18"/>
                <w:szCs w:val="18"/>
              </w:rPr>
              <w:t>13.1</w:t>
            </w:r>
            <w:r w:rsidR="00C26516">
              <w:rPr>
                <w:rFonts w:cs="Times New Roman"/>
                <w:b/>
                <w:bCs/>
                <w:color w:val="17365D"/>
                <w:sz w:val="18"/>
                <w:szCs w:val="18"/>
              </w:rPr>
              <w:t>3</w:t>
            </w:r>
          </w:p>
        </w:tc>
      </w:tr>
      <w:tr w:rsidR="001F0DE8" w:rsidRPr="00A27896" w14:paraId="6C33B437" w14:textId="77777777" w:rsidTr="001F0DE8">
        <w:trPr>
          <w:trHeight w:val="255"/>
        </w:trPr>
        <w:tc>
          <w:tcPr>
            <w:tcW w:w="2459" w:type="dxa"/>
            <w:tcBorders>
              <w:top w:val="single" w:sz="4" w:space="0" w:color="17365D"/>
              <w:bottom w:val="single" w:sz="4" w:space="0" w:color="17365D"/>
            </w:tcBorders>
            <w:shd w:val="clear" w:color="auto" w:fill="auto"/>
            <w:vAlign w:val="center"/>
            <w:hideMark/>
          </w:tcPr>
          <w:p w14:paraId="0E6E1630" w14:textId="77777777" w:rsidR="001F0DE8" w:rsidRPr="00A27896" w:rsidRDefault="001F0DE8" w:rsidP="007E4FC6">
            <w:pPr>
              <w:pStyle w:val="Tabulasteksts"/>
              <w:rPr>
                <w:bCs/>
                <w:color w:val="17365D"/>
                <w:sz w:val="18"/>
                <w:szCs w:val="18"/>
                <w:lang w:eastAsia="lv-LV"/>
              </w:rPr>
            </w:pPr>
            <w:r w:rsidRPr="00A27896">
              <w:rPr>
                <w:bCs/>
                <w:color w:val="17365D"/>
                <w:sz w:val="18"/>
                <w:szCs w:val="18"/>
                <w:lang w:eastAsia="lv-LV"/>
              </w:rPr>
              <w:t>Nodokļu ieņēmumi</w:t>
            </w:r>
          </w:p>
        </w:tc>
        <w:tc>
          <w:tcPr>
            <w:tcW w:w="851" w:type="dxa"/>
            <w:tcBorders>
              <w:top w:val="single" w:sz="4" w:space="0" w:color="17365D"/>
              <w:bottom w:val="single" w:sz="4" w:space="0" w:color="17365D"/>
            </w:tcBorders>
            <w:shd w:val="clear" w:color="auto" w:fill="auto"/>
            <w:vAlign w:val="center"/>
            <w:hideMark/>
          </w:tcPr>
          <w:p w14:paraId="3055DCD8" w14:textId="77777777" w:rsidR="001F0DE8" w:rsidRPr="00A27896" w:rsidRDefault="001F0DE8" w:rsidP="00100EA1">
            <w:pPr>
              <w:pStyle w:val="Tabulasteksts"/>
              <w:jc w:val="center"/>
              <w:rPr>
                <w:color w:val="17365D"/>
                <w:sz w:val="18"/>
                <w:szCs w:val="18"/>
                <w:lang w:eastAsia="lv-LV"/>
              </w:rPr>
            </w:pPr>
            <w:r w:rsidRPr="00A27896">
              <w:rPr>
                <w:color w:val="17365D"/>
                <w:sz w:val="18"/>
                <w:szCs w:val="18"/>
                <w:lang w:eastAsia="lv-LV"/>
              </w:rPr>
              <w:t>NP.A11.</w:t>
            </w:r>
          </w:p>
        </w:tc>
        <w:tc>
          <w:tcPr>
            <w:tcW w:w="1559" w:type="dxa"/>
            <w:tcBorders>
              <w:top w:val="single" w:sz="4" w:space="0" w:color="17365D"/>
              <w:bottom w:val="single" w:sz="4" w:space="0" w:color="17365D"/>
            </w:tcBorders>
            <w:shd w:val="clear" w:color="auto" w:fill="auto"/>
            <w:noWrap/>
            <w:vAlign w:val="center"/>
            <w:hideMark/>
          </w:tcPr>
          <w:p w14:paraId="69062727"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12 246 007 438</w:t>
            </w:r>
          </w:p>
        </w:tc>
        <w:tc>
          <w:tcPr>
            <w:tcW w:w="1559" w:type="dxa"/>
            <w:tcBorders>
              <w:top w:val="single" w:sz="4" w:space="0" w:color="17365D"/>
              <w:bottom w:val="single" w:sz="4" w:space="0" w:color="17365D"/>
            </w:tcBorders>
            <w:shd w:val="clear" w:color="auto" w:fill="auto"/>
            <w:noWrap/>
            <w:vAlign w:val="center"/>
            <w:hideMark/>
          </w:tcPr>
          <w:p w14:paraId="2C18F775"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10 629 484 969</w:t>
            </w:r>
          </w:p>
        </w:tc>
        <w:tc>
          <w:tcPr>
            <w:tcW w:w="1560" w:type="dxa"/>
            <w:tcBorders>
              <w:top w:val="single" w:sz="4" w:space="0" w:color="17365D"/>
              <w:bottom w:val="single" w:sz="4" w:space="0" w:color="17365D"/>
            </w:tcBorders>
            <w:shd w:val="clear" w:color="auto" w:fill="auto"/>
            <w:noWrap/>
            <w:vAlign w:val="center"/>
            <w:hideMark/>
          </w:tcPr>
          <w:p w14:paraId="54DA19BF"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1 616 522 469</w:t>
            </w:r>
          </w:p>
        </w:tc>
        <w:tc>
          <w:tcPr>
            <w:tcW w:w="1309" w:type="dxa"/>
            <w:tcBorders>
              <w:top w:val="single" w:sz="4" w:space="0" w:color="17365D"/>
              <w:bottom w:val="single" w:sz="4" w:space="0" w:color="17365D"/>
            </w:tcBorders>
            <w:shd w:val="clear" w:color="auto" w:fill="auto"/>
            <w:noWrap/>
            <w:vAlign w:val="center"/>
            <w:hideMark/>
          </w:tcPr>
          <w:p w14:paraId="4E1A90D9" w14:textId="0EB4C371"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15.2</w:t>
            </w:r>
            <w:r w:rsidR="00C26516">
              <w:rPr>
                <w:rFonts w:cs="Times New Roman"/>
                <w:color w:val="17365D"/>
                <w:sz w:val="18"/>
                <w:szCs w:val="18"/>
              </w:rPr>
              <w:t>1</w:t>
            </w:r>
          </w:p>
        </w:tc>
      </w:tr>
      <w:tr w:rsidR="001F0DE8" w:rsidRPr="00A27896" w14:paraId="29B4BAF8" w14:textId="77777777" w:rsidTr="001F0DE8">
        <w:trPr>
          <w:trHeight w:val="255"/>
        </w:trPr>
        <w:tc>
          <w:tcPr>
            <w:tcW w:w="2459" w:type="dxa"/>
            <w:tcBorders>
              <w:top w:val="single" w:sz="4" w:space="0" w:color="17365D"/>
              <w:bottom w:val="single" w:sz="4" w:space="0" w:color="17365D"/>
            </w:tcBorders>
            <w:shd w:val="clear" w:color="auto" w:fill="auto"/>
            <w:vAlign w:val="center"/>
            <w:hideMark/>
          </w:tcPr>
          <w:p w14:paraId="16958497" w14:textId="77777777" w:rsidR="001F0DE8" w:rsidRPr="00A27896" w:rsidRDefault="001F0DE8" w:rsidP="007E4FC6">
            <w:pPr>
              <w:pStyle w:val="Tabulasteksts"/>
              <w:rPr>
                <w:bCs/>
                <w:color w:val="17365D"/>
                <w:sz w:val="18"/>
                <w:szCs w:val="18"/>
                <w:lang w:eastAsia="lv-LV"/>
              </w:rPr>
            </w:pPr>
            <w:proofErr w:type="spellStart"/>
            <w:r w:rsidRPr="00A27896">
              <w:rPr>
                <w:bCs/>
                <w:color w:val="17365D"/>
                <w:sz w:val="18"/>
                <w:szCs w:val="18"/>
                <w:lang w:eastAsia="lv-LV"/>
              </w:rPr>
              <w:t>Nenodokļu</w:t>
            </w:r>
            <w:proofErr w:type="spellEnd"/>
            <w:r w:rsidRPr="00A27896">
              <w:rPr>
                <w:bCs/>
                <w:color w:val="17365D"/>
                <w:sz w:val="18"/>
                <w:szCs w:val="18"/>
                <w:lang w:eastAsia="lv-LV"/>
              </w:rPr>
              <w:t xml:space="preserve"> ieņēmumi</w:t>
            </w:r>
          </w:p>
        </w:tc>
        <w:tc>
          <w:tcPr>
            <w:tcW w:w="851" w:type="dxa"/>
            <w:tcBorders>
              <w:top w:val="single" w:sz="4" w:space="0" w:color="17365D"/>
              <w:bottom w:val="single" w:sz="4" w:space="0" w:color="17365D"/>
            </w:tcBorders>
            <w:shd w:val="clear" w:color="auto" w:fill="auto"/>
            <w:vAlign w:val="center"/>
            <w:hideMark/>
          </w:tcPr>
          <w:p w14:paraId="010C49D5" w14:textId="77777777" w:rsidR="001F0DE8" w:rsidRPr="00A27896" w:rsidRDefault="001F0DE8" w:rsidP="00100EA1">
            <w:pPr>
              <w:pStyle w:val="Tabulasteksts"/>
              <w:jc w:val="center"/>
              <w:rPr>
                <w:color w:val="17365D"/>
                <w:sz w:val="18"/>
                <w:szCs w:val="18"/>
                <w:lang w:eastAsia="lv-LV"/>
              </w:rPr>
            </w:pPr>
          </w:p>
        </w:tc>
        <w:tc>
          <w:tcPr>
            <w:tcW w:w="1559" w:type="dxa"/>
            <w:tcBorders>
              <w:top w:val="single" w:sz="4" w:space="0" w:color="17365D"/>
              <w:bottom w:val="single" w:sz="4" w:space="0" w:color="17365D"/>
            </w:tcBorders>
            <w:shd w:val="clear" w:color="auto" w:fill="auto"/>
            <w:noWrap/>
            <w:vAlign w:val="center"/>
            <w:hideMark/>
          </w:tcPr>
          <w:p w14:paraId="4F7933F7"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738 166 696</w:t>
            </w:r>
          </w:p>
        </w:tc>
        <w:tc>
          <w:tcPr>
            <w:tcW w:w="1559" w:type="dxa"/>
            <w:tcBorders>
              <w:top w:val="single" w:sz="4" w:space="0" w:color="17365D"/>
              <w:bottom w:val="single" w:sz="4" w:space="0" w:color="17365D"/>
            </w:tcBorders>
            <w:shd w:val="clear" w:color="auto" w:fill="auto"/>
            <w:noWrap/>
            <w:vAlign w:val="center"/>
            <w:hideMark/>
          </w:tcPr>
          <w:p w14:paraId="77CB5E6C"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670 284 158</w:t>
            </w:r>
          </w:p>
        </w:tc>
        <w:tc>
          <w:tcPr>
            <w:tcW w:w="1560" w:type="dxa"/>
            <w:tcBorders>
              <w:top w:val="single" w:sz="4" w:space="0" w:color="17365D"/>
              <w:bottom w:val="single" w:sz="4" w:space="0" w:color="17365D"/>
            </w:tcBorders>
            <w:shd w:val="clear" w:color="auto" w:fill="auto"/>
            <w:noWrap/>
            <w:vAlign w:val="center"/>
            <w:hideMark/>
          </w:tcPr>
          <w:p w14:paraId="4FF25CC7"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67 882 538</w:t>
            </w:r>
          </w:p>
        </w:tc>
        <w:tc>
          <w:tcPr>
            <w:tcW w:w="1309" w:type="dxa"/>
            <w:tcBorders>
              <w:top w:val="single" w:sz="4" w:space="0" w:color="17365D"/>
              <w:bottom w:val="single" w:sz="4" w:space="0" w:color="17365D"/>
            </w:tcBorders>
            <w:shd w:val="clear" w:color="auto" w:fill="auto"/>
            <w:noWrap/>
            <w:vAlign w:val="center"/>
            <w:hideMark/>
          </w:tcPr>
          <w:p w14:paraId="1FDE2EC3" w14:textId="066DBF03"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10.1</w:t>
            </w:r>
            <w:r w:rsidR="00C26516">
              <w:rPr>
                <w:rFonts w:cs="Times New Roman"/>
                <w:color w:val="17365D"/>
                <w:sz w:val="18"/>
                <w:szCs w:val="18"/>
              </w:rPr>
              <w:t>3</w:t>
            </w:r>
          </w:p>
        </w:tc>
      </w:tr>
      <w:tr w:rsidR="001F0DE8" w:rsidRPr="00A27896" w14:paraId="1C7DB8C1" w14:textId="77777777" w:rsidTr="001F0DE8">
        <w:trPr>
          <w:trHeight w:val="255"/>
        </w:trPr>
        <w:tc>
          <w:tcPr>
            <w:tcW w:w="2459" w:type="dxa"/>
            <w:tcBorders>
              <w:top w:val="single" w:sz="4" w:space="0" w:color="17365D"/>
              <w:bottom w:val="single" w:sz="4" w:space="0" w:color="17365D"/>
            </w:tcBorders>
            <w:shd w:val="clear" w:color="auto" w:fill="auto"/>
            <w:vAlign w:val="center"/>
            <w:hideMark/>
          </w:tcPr>
          <w:p w14:paraId="1575848D" w14:textId="77777777" w:rsidR="001F0DE8" w:rsidRPr="00A27896" w:rsidRDefault="001F0DE8" w:rsidP="007E4FC6">
            <w:pPr>
              <w:pStyle w:val="Tabulasteksts"/>
              <w:rPr>
                <w:bCs/>
                <w:color w:val="17365D"/>
                <w:sz w:val="18"/>
                <w:szCs w:val="18"/>
                <w:lang w:eastAsia="lv-LV"/>
              </w:rPr>
            </w:pPr>
            <w:r w:rsidRPr="00A27896">
              <w:rPr>
                <w:color w:val="17365D"/>
                <w:sz w:val="18"/>
                <w:szCs w:val="18"/>
                <w:lang w:eastAsia="lv-LV"/>
              </w:rPr>
              <w:t>Maksas pakalpojumi un citi pašu ieņēmumi</w:t>
            </w:r>
          </w:p>
        </w:tc>
        <w:tc>
          <w:tcPr>
            <w:tcW w:w="851" w:type="dxa"/>
            <w:tcBorders>
              <w:top w:val="single" w:sz="4" w:space="0" w:color="17365D"/>
              <w:bottom w:val="single" w:sz="4" w:space="0" w:color="17365D"/>
            </w:tcBorders>
            <w:shd w:val="clear" w:color="auto" w:fill="auto"/>
            <w:vAlign w:val="center"/>
            <w:hideMark/>
          </w:tcPr>
          <w:p w14:paraId="586AE180" w14:textId="77777777" w:rsidR="001F0DE8" w:rsidRPr="00A27896" w:rsidRDefault="001F0DE8" w:rsidP="00100EA1">
            <w:pPr>
              <w:pStyle w:val="Tabulasteksts"/>
              <w:jc w:val="center"/>
              <w:rPr>
                <w:color w:val="17365D"/>
                <w:sz w:val="18"/>
                <w:szCs w:val="18"/>
                <w:lang w:eastAsia="lv-LV"/>
              </w:rPr>
            </w:pPr>
          </w:p>
        </w:tc>
        <w:tc>
          <w:tcPr>
            <w:tcW w:w="1559" w:type="dxa"/>
            <w:tcBorders>
              <w:top w:val="single" w:sz="4" w:space="0" w:color="17365D"/>
              <w:bottom w:val="single" w:sz="4" w:space="0" w:color="17365D"/>
            </w:tcBorders>
            <w:shd w:val="clear" w:color="auto" w:fill="auto"/>
            <w:noWrap/>
            <w:vAlign w:val="center"/>
            <w:hideMark/>
          </w:tcPr>
          <w:p w14:paraId="1759C1E5"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418 750 022</w:t>
            </w:r>
          </w:p>
        </w:tc>
        <w:tc>
          <w:tcPr>
            <w:tcW w:w="1559" w:type="dxa"/>
            <w:tcBorders>
              <w:top w:val="single" w:sz="4" w:space="0" w:color="17365D"/>
              <w:bottom w:val="single" w:sz="4" w:space="0" w:color="17365D"/>
            </w:tcBorders>
            <w:shd w:val="clear" w:color="auto" w:fill="auto"/>
            <w:noWrap/>
            <w:vAlign w:val="center"/>
            <w:hideMark/>
          </w:tcPr>
          <w:p w14:paraId="69703239"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363 120 760</w:t>
            </w:r>
          </w:p>
        </w:tc>
        <w:tc>
          <w:tcPr>
            <w:tcW w:w="1560" w:type="dxa"/>
            <w:tcBorders>
              <w:top w:val="single" w:sz="4" w:space="0" w:color="17365D"/>
              <w:bottom w:val="single" w:sz="4" w:space="0" w:color="17365D"/>
            </w:tcBorders>
            <w:shd w:val="clear" w:color="auto" w:fill="auto"/>
            <w:noWrap/>
            <w:vAlign w:val="center"/>
            <w:hideMark/>
          </w:tcPr>
          <w:p w14:paraId="1043B237"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55 629 262</w:t>
            </w:r>
          </w:p>
        </w:tc>
        <w:tc>
          <w:tcPr>
            <w:tcW w:w="1309" w:type="dxa"/>
            <w:tcBorders>
              <w:top w:val="single" w:sz="4" w:space="0" w:color="17365D"/>
              <w:bottom w:val="single" w:sz="4" w:space="0" w:color="17365D"/>
            </w:tcBorders>
            <w:shd w:val="clear" w:color="auto" w:fill="auto"/>
            <w:noWrap/>
            <w:vAlign w:val="center"/>
            <w:hideMark/>
          </w:tcPr>
          <w:p w14:paraId="1018A4FA" w14:textId="290322A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15.3</w:t>
            </w:r>
            <w:r w:rsidR="00C26516">
              <w:rPr>
                <w:rFonts w:cs="Times New Roman"/>
                <w:color w:val="17365D"/>
                <w:sz w:val="18"/>
                <w:szCs w:val="18"/>
              </w:rPr>
              <w:t>2</w:t>
            </w:r>
          </w:p>
        </w:tc>
      </w:tr>
      <w:tr w:rsidR="001F0DE8" w:rsidRPr="00A27896" w14:paraId="1D724155" w14:textId="77777777" w:rsidTr="001F0DE8">
        <w:trPr>
          <w:trHeight w:val="255"/>
        </w:trPr>
        <w:tc>
          <w:tcPr>
            <w:tcW w:w="2459" w:type="dxa"/>
            <w:tcBorders>
              <w:top w:val="single" w:sz="4" w:space="0" w:color="17365D"/>
              <w:bottom w:val="single" w:sz="4" w:space="0" w:color="17365D"/>
            </w:tcBorders>
            <w:shd w:val="clear" w:color="auto" w:fill="auto"/>
            <w:vAlign w:val="center"/>
            <w:hideMark/>
          </w:tcPr>
          <w:p w14:paraId="1E2584DB" w14:textId="77777777" w:rsidR="001F0DE8" w:rsidRPr="00A27896" w:rsidRDefault="001F0DE8" w:rsidP="007E4FC6">
            <w:pPr>
              <w:pStyle w:val="Tabulasteksts"/>
              <w:rPr>
                <w:color w:val="17365D"/>
                <w:sz w:val="18"/>
                <w:szCs w:val="18"/>
                <w:lang w:eastAsia="lv-LV"/>
              </w:rPr>
            </w:pPr>
            <w:r w:rsidRPr="00A27896">
              <w:rPr>
                <w:color w:val="17365D"/>
                <w:sz w:val="18"/>
                <w:szCs w:val="18"/>
                <w:lang w:eastAsia="lv-LV"/>
              </w:rPr>
              <w:t>Ārvalstu finanšu palīdzība</w:t>
            </w:r>
          </w:p>
        </w:tc>
        <w:tc>
          <w:tcPr>
            <w:tcW w:w="851" w:type="dxa"/>
            <w:tcBorders>
              <w:top w:val="single" w:sz="4" w:space="0" w:color="17365D"/>
              <w:bottom w:val="single" w:sz="4" w:space="0" w:color="17365D"/>
            </w:tcBorders>
            <w:shd w:val="clear" w:color="auto" w:fill="auto"/>
            <w:vAlign w:val="center"/>
            <w:hideMark/>
          </w:tcPr>
          <w:p w14:paraId="206676A4" w14:textId="77777777" w:rsidR="001F0DE8" w:rsidRPr="00A27896" w:rsidRDefault="001F0DE8" w:rsidP="00100EA1">
            <w:pPr>
              <w:pStyle w:val="Tabulasteksts"/>
              <w:jc w:val="center"/>
              <w:rPr>
                <w:color w:val="17365D"/>
                <w:sz w:val="18"/>
                <w:szCs w:val="18"/>
                <w:lang w:eastAsia="lv-LV"/>
              </w:rPr>
            </w:pPr>
            <w:r w:rsidRPr="00A27896">
              <w:rPr>
                <w:color w:val="17365D"/>
                <w:sz w:val="18"/>
                <w:szCs w:val="18"/>
                <w:lang w:eastAsia="lv-LV"/>
              </w:rPr>
              <w:t>NP.A14.</w:t>
            </w:r>
          </w:p>
        </w:tc>
        <w:tc>
          <w:tcPr>
            <w:tcW w:w="1559" w:type="dxa"/>
            <w:tcBorders>
              <w:top w:val="single" w:sz="4" w:space="0" w:color="17365D"/>
              <w:bottom w:val="single" w:sz="4" w:space="0" w:color="17365D"/>
            </w:tcBorders>
            <w:shd w:val="clear" w:color="auto" w:fill="auto"/>
            <w:noWrap/>
            <w:vAlign w:val="center"/>
            <w:hideMark/>
          </w:tcPr>
          <w:p w14:paraId="15E22415"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1 522 690 421</w:t>
            </w:r>
          </w:p>
        </w:tc>
        <w:tc>
          <w:tcPr>
            <w:tcW w:w="1559" w:type="dxa"/>
            <w:tcBorders>
              <w:top w:val="single" w:sz="4" w:space="0" w:color="17365D"/>
              <w:bottom w:val="single" w:sz="4" w:space="0" w:color="17365D"/>
            </w:tcBorders>
            <w:shd w:val="clear" w:color="auto" w:fill="auto"/>
            <w:noWrap/>
            <w:vAlign w:val="center"/>
            <w:hideMark/>
          </w:tcPr>
          <w:p w14:paraId="1F8EFD71"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1 370 814 622</w:t>
            </w:r>
          </w:p>
        </w:tc>
        <w:tc>
          <w:tcPr>
            <w:tcW w:w="1560" w:type="dxa"/>
            <w:tcBorders>
              <w:top w:val="single" w:sz="4" w:space="0" w:color="17365D"/>
              <w:bottom w:val="single" w:sz="4" w:space="0" w:color="17365D"/>
            </w:tcBorders>
            <w:shd w:val="clear" w:color="auto" w:fill="auto"/>
            <w:noWrap/>
            <w:vAlign w:val="center"/>
            <w:hideMark/>
          </w:tcPr>
          <w:p w14:paraId="4B9D9A49"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151 875 799</w:t>
            </w:r>
          </w:p>
        </w:tc>
        <w:tc>
          <w:tcPr>
            <w:tcW w:w="1309" w:type="dxa"/>
            <w:tcBorders>
              <w:top w:val="single" w:sz="4" w:space="0" w:color="17365D"/>
              <w:bottom w:val="single" w:sz="4" w:space="0" w:color="17365D"/>
            </w:tcBorders>
            <w:shd w:val="clear" w:color="auto" w:fill="auto"/>
            <w:noWrap/>
            <w:vAlign w:val="center"/>
            <w:hideMark/>
          </w:tcPr>
          <w:p w14:paraId="7834D23C" w14:textId="3583D8D6" w:rsidR="001F0DE8" w:rsidRPr="00A27896" w:rsidRDefault="001F0DE8" w:rsidP="00C26516">
            <w:pPr>
              <w:spacing w:after="0" w:line="240" w:lineRule="auto"/>
              <w:jc w:val="right"/>
              <w:rPr>
                <w:rFonts w:cs="Times New Roman"/>
                <w:color w:val="17365D"/>
                <w:sz w:val="18"/>
                <w:szCs w:val="18"/>
              </w:rPr>
            </w:pPr>
            <w:r w:rsidRPr="00A27896">
              <w:rPr>
                <w:rFonts w:cs="Times New Roman"/>
                <w:color w:val="17365D"/>
                <w:sz w:val="18"/>
                <w:szCs w:val="18"/>
              </w:rPr>
              <w:t>11.</w:t>
            </w:r>
            <w:r w:rsidR="00C26516">
              <w:rPr>
                <w:rFonts w:cs="Times New Roman"/>
                <w:color w:val="17365D"/>
                <w:sz w:val="18"/>
                <w:szCs w:val="18"/>
              </w:rPr>
              <w:t>08</w:t>
            </w:r>
          </w:p>
        </w:tc>
      </w:tr>
      <w:tr w:rsidR="001F0DE8" w:rsidRPr="00A27896" w14:paraId="663E778E" w14:textId="77777777" w:rsidTr="001F0DE8">
        <w:trPr>
          <w:trHeight w:val="255"/>
        </w:trPr>
        <w:tc>
          <w:tcPr>
            <w:tcW w:w="2459" w:type="dxa"/>
            <w:tcBorders>
              <w:top w:val="single" w:sz="4" w:space="0" w:color="17365D"/>
              <w:bottom w:val="single" w:sz="4" w:space="0" w:color="17365D"/>
            </w:tcBorders>
            <w:shd w:val="clear" w:color="auto" w:fill="auto"/>
            <w:vAlign w:val="center"/>
            <w:hideMark/>
          </w:tcPr>
          <w:p w14:paraId="43412555" w14:textId="77777777" w:rsidR="001F0DE8" w:rsidRPr="00A27896" w:rsidRDefault="001F0DE8" w:rsidP="007E4FC6">
            <w:pPr>
              <w:pStyle w:val="Tabulasteksts"/>
              <w:rPr>
                <w:color w:val="17365D"/>
                <w:sz w:val="18"/>
                <w:szCs w:val="18"/>
                <w:lang w:eastAsia="lv-LV"/>
              </w:rPr>
            </w:pPr>
            <w:proofErr w:type="spellStart"/>
            <w:r w:rsidRPr="00A27896">
              <w:rPr>
                <w:color w:val="17365D"/>
                <w:sz w:val="18"/>
                <w:szCs w:val="18"/>
                <w:lang w:eastAsia="lv-LV"/>
              </w:rPr>
              <w:t>Transferti</w:t>
            </w:r>
            <w:proofErr w:type="spellEnd"/>
          </w:p>
        </w:tc>
        <w:tc>
          <w:tcPr>
            <w:tcW w:w="851" w:type="dxa"/>
            <w:tcBorders>
              <w:top w:val="single" w:sz="4" w:space="0" w:color="17365D"/>
              <w:bottom w:val="single" w:sz="4" w:space="0" w:color="17365D"/>
            </w:tcBorders>
            <w:shd w:val="clear" w:color="auto" w:fill="auto"/>
            <w:vAlign w:val="center"/>
            <w:hideMark/>
          </w:tcPr>
          <w:p w14:paraId="35420459" w14:textId="77777777" w:rsidR="001F0DE8" w:rsidRPr="00A27896" w:rsidRDefault="001F0DE8" w:rsidP="00100EA1">
            <w:pPr>
              <w:pStyle w:val="Tabulasteksts"/>
              <w:jc w:val="center"/>
              <w:rPr>
                <w:color w:val="17365D"/>
                <w:sz w:val="18"/>
                <w:szCs w:val="18"/>
                <w:lang w:eastAsia="lv-LV"/>
              </w:rPr>
            </w:pPr>
          </w:p>
        </w:tc>
        <w:tc>
          <w:tcPr>
            <w:tcW w:w="1559" w:type="dxa"/>
            <w:tcBorders>
              <w:top w:val="single" w:sz="4" w:space="0" w:color="17365D"/>
              <w:bottom w:val="single" w:sz="4" w:space="0" w:color="17365D"/>
            </w:tcBorders>
            <w:shd w:val="clear" w:color="auto" w:fill="auto"/>
            <w:noWrap/>
            <w:vAlign w:val="center"/>
            <w:hideMark/>
          </w:tcPr>
          <w:p w14:paraId="40AD9556"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0</w:t>
            </w:r>
          </w:p>
        </w:tc>
        <w:tc>
          <w:tcPr>
            <w:tcW w:w="1559" w:type="dxa"/>
            <w:tcBorders>
              <w:top w:val="single" w:sz="4" w:space="0" w:color="17365D"/>
              <w:bottom w:val="single" w:sz="4" w:space="0" w:color="17365D"/>
            </w:tcBorders>
            <w:shd w:val="clear" w:color="auto" w:fill="auto"/>
            <w:noWrap/>
            <w:vAlign w:val="center"/>
            <w:hideMark/>
          </w:tcPr>
          <w:p w14:paraId="5E46D743"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398 750</w:t>
            </w:r>
          </w:p>
        </w:tc>
        <w:tc>
          <w:tcPr>
            <w:tcW w:w="1560" w:type="dxa"/>
            <w:tcBorders>
              <w:top w:val="single" w:sz="4" w:space="0" w:color="17365D"/>
              <w:bottom w:val="single" w:sz="4" w:space="0" w:color="17365D"/>
            </w:tcBorders>
            <w:shd w:val="clear" w:color="auto" w:fill="auto"/>
            <w:noWrap/>
            <w:vAlign w:val="center"/>
            <w:hideMark/>
          </w:tcPr>
          <w:p w14:paraId="5EBD0911"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-398 750</w:t>
            </w:r>
          </w:p>
        </w:tc>
        <w:tc>
          <w:tcPr>
            <w:tcW w:w="1309" w:type="dxa"/>
            <w:tcBorders>
              <w:top w:val="single" w:sz="4" w:space="0" w:color="17365D"/>
              <w:bottom w:val="single" w:sz="4" w:space="0" w:color="17365D"/>
            </w:tcBorders>
            <w:shd w:val="clear" w:color="auto" w:fill="auto"/>
            <w:noWrap/>
            <w:vAlign w:val="center"/>
            <w:hideMark/>
          </w:tcPr>
          <w:p w14:paraId="1511C851" w14:textId="54DB833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-100.0</w:t>
            </w:r>
            <w:r w:rsidR="00C26516">
              <w:rPr>
                <w:rFonts w:cs="Times New Roman"/>
                <w:color w:val="17365D"/>
                <w:sz w:val="18"/>
                <w:szCs w:val="18"/>
              </w:rPr>
              <w:t>0</w:t>
            </w:r>
          </w:p>
        </w:tc>
      </w:tr>
      <w:tr w:rsidR="001F0DE8" w:rsidRPr="00A27896" w14:paraId="3CB9ACE4" w14:textId="77777777" w:rsidTr="001F0DE8">
        <w:trPr>
          <w:trHeight w:val="255"/>
        </w:trPr>
        <w:tc>
          <w:tcPr>
            <w:tcW w:w="2459" w:type="dxa"/>
            <w:tcBorders>
              <w:top w:val="single" w:sz="4" w:space="0" w:color="17365D"/>
              <w:bottom w:val="single" w:sz="4" w:space="0" w:color="17365D"/>
            </w:tcBorders>
            <w:shd w:val="clear" w:color="auto" w:fill="auto"/>
            <w:vAlign w:val="center"/>
            <w:hideMark/>
          </w:tcPr>
          <w:p w14:paraId="057D8245" w14:textId="77777777" w:rsidR="001F0DE8" w:rsidRPr="00A27896" w:rsidRDefault="001F0DE8" w:rsidP="007E4FC6">
            <w:pPr>
              <w:pStyle w:val="Tabulasteksts"/>
              <w:rPr>
                <w:color w:val="17365D"/>
                <w:sz w:val="18"/>
                <w:szCs w:val="18"/>
                <w:lang w:eastAsia="lv-LV"/>
              </w:rPr>
            </w:pPr>
            <w:r w:rsidRPr="00A27896">
              <w:rPr>
                <w:color w:val="17365D"/>
                <w:sz w:val="18"/>
                <w:szCs w:val="18"/>
                <w:lang w:eastAsia="lv-LV"/>
              </w:rPr>
              <w:t>Ziedojumi un dāvinājumi</w:t>
            </w:r>
          </w:p>
        </w:tc>
        <w:tc>
          <w:tcPr>
            <w:tcW w:w="851" w:type="dxa"/>
            <w:tcBorders>
              <w:top w:val="single" w:sz="4" w:space="0" w:color="17365D"/>
              <w:bottom w:val="single" w:sz="4" w:space="0" w:color="17365D"/>
            </w:tcBorders>
            <w:shd w:val="clear" w:color="auto" w:fill="auto"/>
            <w:vAlign w:val="center"/>
            <w:hideMark/>
          </w:tcPr>
          <w:p w14:paraId="3AFB31F6" w14:textId="77777777" w:rsidR="001F0DE8" w:rsidRPr="00A27896" w:rsidRDefault="001F0DE8" w:rsidP="00100EA1">
            <w:pPr>
              <w:pStyle w:val="Tabulasteksts"/>
              <w:jc w:val="center"/>
              <w:rPr>
                <w:color w:val="17365D"/>
                <w:sz w:val="18"/>
                <w:szCs w:val="18"/>
                <w:lang w:eastAsia="lv-LV"/>
              </w:rPr>
            </w:pPr>
          </w:p>
        </w:tc>
        <w:tc>
          <w:tcPr>
            <w:tcW w:w="1559" w:type="dxa"/>
            <w:tcBorders>
              <w:top w:val="single" w:sz="4" w:space="0" w:color="17365D"/>
              <w:bottom w:val="single" w:sz="4" w:space="0" w:color="17365D"/>
            </w:tcBorders>
            <w:shd w:val="clear" w:color="auto" w:fill="auto"/>
            <w:noWrap/>
            <w:vAlign w:val="center"/>
            <w:hideMark/>
          </w:tcPr>
          <w:p w14:paraId="51B87A3D"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1 614 093</w:t>
            </w:r>
          </w:p>
        </w:tc>
        <w:tc>
          <w:tcPr>
            <w:tcW w:w="1559" w:type="dxa"/>
            <w:tcBorders>
              <w:top w:val="single" w:sz="4" w:space="0" w:color="17365D"/>
              <w:bottom w:val="single" w:sz="4" w:space="0" w:color="17365D"/>
            </w:tcBorders>
            <w:shd w:val="clear" w:color="auto" w:fill="auto"/>
            <w:noWrap/>
            <w:vAlign w:val="center"/>
            <w:hideMark/>
          </w:tcPr>
          <w:p w14:paraId="2D366821"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3 045 703</w:t>
            </w:r>
          </w:p>
        </w:tc>
        <w:tc>
          <w:tcPr>
            <w:tcW w:w="1560" w:type="dxa"/>
            <w:tcBorders>
              <w:top w:val="single" w:sz="4" w:space="0" w:color="17365D"/>
              <w:bottom w:val="single" w:sz="4" w:space="0" w:color="17365D"/>
            </w:tcBorders>
            <w:shd w:val="clear" w:color="auto" w:fill="auto"/>
            <w:noWrap/>
            <w:vAlign w:val="center"/>
            <w:hideMark/>
          </w:tcPr>
          <w:p w14:paraId="1B457808"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-1 431 610</w:t>
            </w:r>
          </w:p>
        </w:tc>
        <w:tc>
          <w:tcPr>
            <w:tcW w:w="1309" w:type="dxa"/>
            <w:tcBorders>
              <w:top w:val="single" w:sz="4" w:space="0" w:color="17365D"/>
              <w:bottom w:val="single" w:sz="4" w:space="0" w:color="17365D"/>
            </w:tcBorders>
            <w:shd w:val="clear" w:color="auto" w:fill="auto"/>
            <w:noWrap/>
            <w:vAlign w:val="center"/>
            <w:hideMark/>
          </w:tcPr>
          <w:p w14:paraId="531A8DAB" w14:textId="678C31DF"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-47.0</w:t>
            </w:r>
            <w:r w:rsidR="00C26516">
              <w:rPr>
                <w:rFonts w:cs="Times New Roman"/>
                <w:color w:val="17365D"/>
                <w:sz w:val="18"/>
                <w:szCs w:val="18"/>
              </w:rPr>
              <w:t>0</w:t>
            </w:r>
          </w:p>
        </w:tc>
      </w:tr>
      <w:tr w:rsidR="001F0DE8" w:rsidRPr="00A27896" w14:paraId="44700ED0" w14:textId="77777777" w:rsidTr="001F0DE8">
        <w:trPr>
          <w:trHeight w:val="255"/>
        </w:trPr>
        <w:tc>
          <w:tcPr>
            <w:tcW w:w="2459" w:type="dxa"/>
            <w:tcBorders>
              <w:top w:val="single" w:sz="4" w:space="0" w:color="17365D"/>
              <w:bottom w:val="single" w:sz="4" w:space="0" w:color="17365D"/>
            </w:tcBorders>
            <w:shd w:val="clear" w:color="auto" w:fill="auto"/>
            <w:vAlign w:val="center"/>
          </w:tcPr>
          <w:p w14:paraId="3A2A8384" w14:textId="77777777" w:rsidR="001F0DE8" w:rsidRPr="00A27896" w:rsidRDefault="001F0DE8" w:rsidP="007E4FC6">
            <w:pPr>
              <w:pStyle w:val="Tabulasteksts"/>
              <w:rPr>
                <w:color w:val="17365D"/>
                <w:sz w:val="18"/>
                <w:szCs w:val="18"/>
                <w:lang w:eastAsia="lv-LV"/>
              </w:rPr>
            </w:pPr>
            <w:r w:rsidRPr="00A27896">
              <w:rPr>
                <w:color w:val="17365D"/>
                <w:sz w:val="18"/>
                <w:szCs w:val="18"/>
                <w:lang w:eastAsia="lv-LV"/>
              </w:rPr>
              <w:t>Aizdevumu atmaksas</w:t>
            </w:r>
          </w:p>
        </w:tc>
        <w:tc>
          <w:tcPr>
            <w:tcW w:w="851" w:type="dxa"/>
            <w:tcBorders>
              <w:top w:val="single" w:sz="4" w:space="0" w:color="17365D"/>
              <w:bottom w:val="single" w:sz="4" w:space="0" w:color="17365D"/>
            </w:tcBorders>
            <w:shd w:val="clear" w:color="auto" w:fill="auto"/>
            <w:vAlign w:val="center"/>
          </w:tcPr>
          <w:p w14:paraId="0C042CE2" w14:textId="77777777" w:rsidR="001F0DE8" w:rsidRPr="00A27896" w:rsidRDefault="001F0DE8" w:rsidP="00100EA1">
            <w:pPr>
              <w:pStyle w:val="Tabulasteksts"/>
              <w:jc w:val="center"/>
              <w:rPr>
                <w:color w:val="17365D"/>
                <w:sz w:val="18"/>
                <w:szCs w:val="18"/>
                <w:lang w:eastAsia="lv-LV"/>
              </w:rPr>
            </w:pPr>
          </w:p>
        </w:tc>
        <w:tc>
          <w:tcPr>
            <w:tcW w:w="1559" w:type="dxa"/>
            <w:tcBorders>
              <w:top w:val="single" w:sz="4" w:space="0" w:color="17365D"/>
              <w:bottom w:val="single" w:sz="4" w:space="0" w:color="17365D"/>
            </w:tcBorders>
            <w:shd w:val="clear" w:color="auto" w:fill="auto"/>
            <w:noWrap/>
            <w:vAlign w:val="center"/>
          </w:tcPr>
          <w:p w14:paraId="173A89FC"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21 629 478</w:t>
            </w:r>
          </w:p>
        </w:tc>
        <w:tc>
          <w:tcPr>
            <w:tcW w:w="1559" w:type="dxa"/>
            <w:tcBorders>
              <w:top w:val="single" w:sz="4" w:space="0" w:color="17365D"/>
              <w:bottom w:val="single" w:sz="4" w:space="0" w:color="17365D"/>
            </w:tcBorders>
            <w:shd w:val="clear" w:color="auto" w:fill="auto"/>
            <w:noWrap/>
            <w:vAlign w:val="center"/>
          </w:tcPr>
          <w:p w14:paraId="3BCC3EA5"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29 029 446</w:t>
            </w:r>
          </w:p>
        </w:tc>
        <w:tc>
          <w:tcPr>
            <w:tcW w:w="1560" w:type="dxa"/>
            <w:tcBorders>
              <w:top w:val="single" w:sz="4" w:space="0" w:color="17365D"/>
              <w:bottom w:val="single" w:sz="4" w:space="0" w:color="17365D"/>
            </w:tcBorders>
            <w:shd w:val="clear" w:color="auto" w:fill="auto"/>
            <w:noWrap/>
            <w:vAlign w:val="center"/>
          </w:tcPr>
          <w:p w14:paraId="258C1F54"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-7 399 968</w:t>
            </w:r>
          </w:p>
        </w:tc>
        <w:tc>
          <w:tcPr>
            <w:tcW w:w="1309" w:type="dxa"/>
            <w:tcBorders>
              <w:top w:val="single" w:sz="4" w:space="0" w:color="17365D"/>
              <w:bottom w:val="single" w:sz="4" w:space="0" w:color="17365D"/>
            </w:tcBorders>
            <w:shd w:val="clear" w:color="auto" w:fill="auto"/>
            <w:noWrap/>
            <w:vAlign w:val="center"/>
          </w:tcPr>
          <w:p w14:paraId="0B9A95C3" w14:textId="1F75E055" w:rsidR="001F0DE8" w:rsidRPr="00A27896" w:rsidRDefault="00C26516" w:rsidP="001F0DE8">
            <w:pPr>
              <w:spacing w:after="0" w:line="240" w:lineRule="auto"/>
              <w:jc w:val="right"/>
              <w:rPr>
                <w:rFonts w:cs="Times New Roman"/>
                <w:color w:val="17365D"/>
                <w:sz w:val="18"/>
                <w:szCs w:val="18"/>
              </w:rPr>
            </w:pPr>
            <w:r>
              <w:rPr>
                <w:rFonts w:cs="Times New Roman"/>
                <w:color w:val="17365D"/>
                <w:sz w:val="18"/>
                <w:szCs w:val="18"/>
              </w:rPr>
              <w:t>-25.49</w:t>
            </w:r>
          </w:p>
        </w:tc>
      </w:tr>
      <w:tr w:rsidR="001F0DE8" w:rsidRPr="00A27896" w14:paraId="09F6C684" w14:textId="77777777" w:rsidTr="001F0DE8">
        <w:trPr>
          <w:trHeight w:val="255"/>
        </w:trPr>
        <w:tc>
          <w:tcPr>
            <w:tcW w:w="2459" w:type="dxa"/>
            <w:tcBorders>
              <w:top w:val="single" w:sz="4" w:space="0" w:color="17365D"/>
              <w:bottom w:val="single" w:sz="4" w:space="0" w:color="17365D"/>
            </w:tcBorders>
            <w:shd w:val="clear" w:color="auto" w:fill="auto"/>
            <w:vAlign w:val="center"/>
          </w:tcPr>
          <w:p w14:paraId="19F52B84" w14:textId="77777777" w:rsidR="001F0DE8" w:rsidRPr="00A27896" w:rsidRDefault="001F0DE8" w:rsidP="007E4FC6">
            <w:pPr>
              <w:pStyle w:val="Tabulasteksts"/>
              <w:rPr>
                <w:bCs/>
                <w:color w:val="17365D"/>
                <w:sz w:val="18"/>
                <w:szCs w:val="18"/>
                <w:lang w:eastAsia="lv-LV"/>
              </w:rPr>
            </w:pPr>
            <w:r w:rsidRPr="00A27896">
              <w:rPr>
                <w:bCs/>
                <w:color w:val="17365D"/>
                <w:sz w:val="18"/>
                <w:szCs w:val="18"/>
                <w:lang w:eastAsia="lv-LV"/>
              </w:rPr>
              <w:t>Procentu ieņēmumi</w:t>
            </w:r>
          </w:p>
        </w:tc>
        <w:tc>
          <w:tcPr>
            <w:tcW w:w="851" w:type="dxa"/>
            <w:tcBorders>
              <w:top w:val="single" w:sz="4" w:space="0" w:color="17365D"/>
              <w:bottom w:val="single" w:sz="4" w:space="0" w:color="17365D"/>
            </w:tcBorders>
            <w:shd w:val="clear" w:color="auto" w:fill="auto"/>
            <w:vAlign w:val="center"/>
          </w:tcPr>
          <w:p w14:paraId="6D931448" w14:textId="77777777" w:rsidR="001F0DE8" w:rsidRPr="00A27896" w:rsidRDefault="001F0DE8" w:rsidP="00100EA1">
            <w:pPr>
              <w:spacing w:after="0" w:line="240" w:lineRule="auto"/>
              <w:jc w:val="center"/>
              <w:rPr>
                <w:rFonts w:cs="Times New Roman"/>
                <w:color w:val="17365D"/>
                <w:sz w:val="18"/>
                <w:szCs w:val="18"/>
              </w:rPr>
            </w:pPr>
          </w:p>
        </w:tc>
        <w:tc>
          <w:tcPr>
            <w:tcW w:w="1559" w:type="dxa"/>
            <w:tcBorders>
              <w:top w:val="single" w:sz="4" w:space="0" w:color="17365D"/>
              <w:bottom w:val="single" w:sz="4" w:space="0" w:color="17365D"/>
            </w:tcBorders>
            <w:shd w:val="clear" w:color="auto" w:fill="auto"/>
            <w:noWrap/>
            <w:vAlign w:val="center"/>
          </w:tcPr>
          <w:p w14:paraId="3E7E0A3D"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14 809 153</w:t>
            </w:r>
          </w:p>
        </w:tc>
        <w:tc>
          <w:tcPr>
            <w:tcW w:w="1559" w:type="dxa"/>
            <w:tcBorders>
              <w:top w:val="single" w:sz="4" w:space="0" w:color="17365D"/>
              <w:bottom w:val="single" w:sz="4" w:space="0" w:color="17365D"/>
            </w:tcBorders>
            <w:shd w:val="clear" w:color="auto" w:fill="auto"/>
            <w:noWrap/>
            <w:vAlign w:val="center"/>
          </w:tcPr>
          <w:p w14:paraId="045B9836"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4 165 647</w:t>
            </w:r>
          </w:p>
        </w:tc>
        <w:tc>
          <w:tcPr>
            <w:tcW w:w="1560" w:type="dxa"/>
            <w:tcBorders>
              <w:top w:val="single" w:sz="4" w:space="0" w:color="17365D"/>
              <w:bottom w:val="single" w:sz="4" w:space="0" w:color="17365D"/>
            </w:tcBorders>
            <w:shd w:val="clear" w:color="auto" w:fill="auto"/>
            <w:noWrap/>
            <w:vAlign w:val="center"/>
          </w:tcPr>
          <w:p w14:paraId="48EAFF1F"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10 643 506</w:t>
            </w:r>
          </w:p>
        </w:tc>
        <w:tc>
          <w:tcPr>
            <w:tcW w:w="1309" w:type="dxa"/>
            <w:tcBorders>
              <w:top w:val="single" w:sz="4" w:space="0" w:color="17365D"/>
              <w:bottom w:val="single" w:sz="4" w:space="0" w:color="17365D"/>
            </w:tcBorders>
            <w:shd w:val="clear" w:color="auto" w:fill="auto"/>
            <w:noWrap/>
            <w:vAlign w:val="center"/>
          </w:tcPr>
          <w:p w14:paraId="7A4A283E" w14:textId="01202083"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255.5</w:t>
            </w:r>
            <w:r w:rsidR="00C26516">
              <w:rPr>
                <w:rFonts w:cs="Times New Roman"/>
                <w:color w:val="17365D"/>
                <w:sz w:val="18"/>
                <w:szCs w:val="18"/>
              </w:rPr>
              <w:t>1</w:t>
            </w:r>
          </w:p>
        </w:tc>
      </w:tr>
      <w:tr w:rsidR="001F0DE8" w:rsidRPr="00A27896" w14:paraId="323EA212" w14:textId="77777777" w:rsidTr="001F0DE8">
        <w:trPr>
          <w:trHeight w:val="255"/>
        </w:trPr>
        <w:tc>
          <w:tcPr>
            <w:tcW w:w="2459" w:type="dxa"/>
            <w:tcBorders>
              <w:top w:val="single" w:sz="4" w:space="0" w:color="17365D"/>
              <w:bottom w:val="single" w:sz="4" w:space="0" w:color="17365D"/>
            </w:tcBorders>
            <w:shd w:val="clear" w:color="auto" w:fill="auto"/>
            <w:vAlign w:val="center"/>
            <w:hideMark/>
          </w:tcPr>
          <w:p w14:paraId="5B2A7052" w14:textId="77777777" w:rsidR="001F0DE8" w:rsidRPr="00A27896" w:rsidRDefault="001F0DE8" w:rsidP="007E4FC6">
            <w:pPr>
              <w:pStyle w:val="Tabulasteksts"/>
              <w:rPr>
                <w:color w:val="17365D"/>
                <w:sz w:val="18"/>
                <w:szCs w:val="18"/>
                <w:lang w:eastAsia="lv-LV"/>
              </w:rPr>
            </w:pPr>
            <w:r w:rsidRPr="00A27896">
              <w:rPr>
                <w:color w:val="17365D"/>
                <w:sz w:val="18"/>
                <w:szCs w:val="18"/>
                <w:lang w:eastAsia="lv-LV"/>
              </w:rPr>
              <w:t>Citi ieņēmumi no pamatdarbības</w:t>
            </w:r>
          </w:p>
        </w:tc>
        <w:tc>
          <w:tcPr>
            <w:tcW w:w="851" w:type="dxa"/>
            <w:tcBorders>
              <w:top w:val="single" w:sz="4" w:space="0" w:color="17365D"/>
              <w:bottom w:val="single" w:sz="4" w:space="0" w:color="17365D"/>
            </w:tcBorders>
            <w:shd w:val="clear" w:color="auto" w:fill="auto"/>
            <w:vAlign w:val="center"/>
            <w:hideMark/>
          </w:tcPr>
          <w:p w14:paraId="0623E6BD" w14:textId="5370D379" w:rsidR="001F0DE8" w:rsidRPr="00A27896" w:rsidRDefault="00E52192" w:rsidP="00100EA1">
            <w:pPr>
              <w:spacing w:after="0" w:line="240" w:lineRule="auto"/>
              <w:jc w:val="center"/>
              <w:rPr>
                <w:rFonts w:cs="Times New Roman"/>
                <w:color w:val="17365D"/>
                <w:sz w:val="18"/>
                <w:szCs w:val="18"/>
              </w:rPr>
            </w:pPr>
            <w:r w:rsidRPr="00A27896">
              <w:rPr>
                <w:rFonts w:cs="Times New Roman"/>
                <w:color w:val="17365D"/>
                <w:sz w:val="18"/>
                <w:szCs w:val="18"/>
              </w:rPr>
              <w:t>NP.A.19</w:t>
            </w:r>
          </w:p>
        </w:tc>
        <w:tc>
          <w:tcPr>
            <w:tcW w:w="1559" w:type="dxa"/>
            <w:tcBorders>
              <w:top w:val="single" w:sz="4" w:space="0" w:color="17365D"/>
              <w:bottom w:val="single" w:sz="4" w:space="0" w:color="17365D"/>
            </w:tcBorders>
            <w:shd w:val="clear" w:color="auto" w:fill="auto"/>
            <w:noWrap/>
            <w:vAlign w:val="center"/>
            <w:hideMark/>
          </w:tcPr>
          <w:p w14:paraId="2A57982F"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6 348 963</w:t>
            </w:r>
          </w:p>
        </w:tc>
        <w:tc>
          <w:tcPr>
            <w:tcW w:w="1559" w:type="dxa"/>
            <w:tcBorders>
              <w:top w:val="single" w:sz="4" w:space="0" w:color="17365D"/>
              <w:bottom w:val="single" w:sz="4" w:space="0" w:color="17365D"/>
            </w:tcBorders>
            <w:shd w:val="clear" w:color="auto" w:fill="auto"/>
            <w:noWrap/>
            <w:vAlign w:val="center"/>
            <w:hideMark/>
          </w:tcPr>
          <w:p w14:paraId="7D760D66"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161 925 842</w:t>
            </w:r>
          </w:p>
        </w:tc>
        <w:tc>
          <w:tcPr>
            <w:tcW w:w="1560" w:type="dxa"/>
            <w:tcBorders>
              <w:top w:val="single" w:sz="4" w:space="0" w:color="17365D"/>
              <w:bottom w:val="single" w:sz="4" w:space="0" w:color="17365D"/>
            </w:tcBorders>
            <w:shd w:val="clear" w:color="auto" w:fill="auto"/>
            <w:noWrap/>
            <w:vAlign w:val="center"/>
            <w:hideMark/>
          </w:tcPr>
          <w:p w14:paraId="34ED0973"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-155 576 879</w:t>
            </w:r>
          </w:p>
        </w:tc>
        <w:tc>
          <w:tcPr>
            <w:tcW w:w="1309" w:type="dxa"/>
            <w:tcBorders>
              <w:top w:val="single" w:sz="4" w:space="0" w:color="17365D"/>
              <w:bottom w:val="single" w:sz="4" w:space="0" w:color="17365D"/>
            </w:tcBorders>
            <w:shd w:val="clear" w:color="auto" w:fill="auto"/>
            <w:noWrap/>
            <w:vAlign w:val="center"/>
            <w:hideMark/>
          </w:tcPr>
          <w:p w14:paraId="04906350" w14:textId="7B72899E" w:rsidR="001F0DE8" w:rsidRPr="00A27896" w:rsidRDefault="00C26516" w:rsidP="001F0DE8">
            <w:pPr>
              <w:spacing w:after="0" w:line="240" w:lineRule="auto"/>
              <w:jc w:val="right"/>
              <w:rPr>
                <w:rFonts w:cs="Times New Roman"/>
                <w:color w:val="17365D"/>
                <w:sz w:val="18"/>
                <w:szCs w:val="18"/>
              </w:rPr>
            </w:pPr>
            <w:r>
              <w:rPr>
                <w:rFonts w:cs="Times New Roman"/>
                <w:color w:val="17365D"/>
                <w:sz w:val="18"/>
                <w:szCs w:val="18"/>
              </w:rPr>
              <w:t>-96.08</w:t>
            </w:r>
          </w:p>
        </w:tc>
      </w:tr>
      <w:tr w:rsidR="001F0DE8" w:rsidRPr="00A27896" w14:paraId="464F3257" w14:textId="77777777" w:rsidTr="001F0DE8">
        <w:trPr>
          <w:trHeight w:val="255"/>
        </w:trPr>
        <w:tc>
          <w:tcPr>
            <w:tcW w:w="2459" w:type="dxa"/>
            <w:tcBorders>
              <w:top w:val="single" w:sz="4" w:space="0" w:color="17365D"/>
              <w:bottom w:val="single" w:sz="4" w:space="0" w:color="17365D"/>
            </w:tcBorders>
            <w:shd w:val="clear" w:color="auto" w:fill="auto"/>
            <w:vAlign w:val="center"/>
          </w:tcPr>
          <w:p w14:paraId="27DC543F" w14:textId="77777777" w:rsidR="001F0DE8" w:rsidRPr="00A27896" w:rsidRDefault="001F0DE8" w:rsidP="007E4FC6">
            <w:pPr>
              <w:pStyle w:val="Tabulasteksts"/>
              <w:rPr>
                <w:color w:val="17365D"/>
                <w:sz w:val="18"/>
                <w:szCs w:val="18"/>
                <w:lang w:eastAsia="lv-LV"/>
              </w:rPr>
            </w:pPr>
            <w:r w:rsidRPr="00A27896">
              <w:rPr>
                <w:b/>
                <w:color w:val="17365D"/>
                <w:sz w:val="18"/>
                <w:szCs w:val="18"/>
                <w:lang w:eastAsia="lv-LV"/>
              </w:rPr>
              <w:t xml:space="preserve">Izdevumi no pamatdarbības </w:t>
            </w:r>
          </w:p>
        </w:tc>
        <w:tc>
          <w:tcPr>
            <w:tcW w:w="851" w:type="dxa"/>
            <w:tcBorders>
              <w:top w:val="single" w:sz="4" w:space="0" w:color="17365D"/>
              <w:bottom w:val="single" w:sz="4" w:space="0" w:color="17365D"/>
            </w:tcBorders>
            <w:shd w:val="clear" w:color="auto" w:fill="auto"/>
            <w:vAlign w:val="center"/>
          </w:tcPr>
          <w:p w14:paraId="4A98C835" w14:textId="77777777" w:rsidR="001F0DE8" w:rsidRPr="00A27896" w:rsidRDefault="001F0DE8" w:rsidP="00100EA1">
            <w:pPr>
              <w:spacing w:after="0" w:line="240" w:lineRule="auto"/>
              <w:jc w:val="center"/>
              <w:rPr>
                <w:rFonts w:cs="Times New Roman"/>
                <w:color w:val="17365D"/>
                <w:sz w:val="18"/>
                <w:szCs w:val="18"/>
              </w:rPr>
            </w:pPr>
          </w:p>
        </w:tc>
        <w:tc>
          <w:tcPr>
            <w:tcW w:w="1559" w:type="dxa"/>
            <w:tcBorders>
              <w:top w:val="single" w:sz="4" w:space="0" w:color="17365D"/>
              <w:bottom w:val="single" w:sz="4" w:space="0" w:color="17365D"/>
            </w:tcBorders>
            <w:shd w:val="clear" w:color="auto" w:fill="auto"/>
            <w:noWrap/>
            <w:vAlign w:val="center"/>
          </w:tcPr>
          <w:p w14:paraId="6245727E"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b/>
                <w:bCs/>
                <w:color w:val="17365D"/>
                <w:sz w:val="18"/>
                <w:szCs w:val="18"/>
              </w:rPr>
              <w:t>15 020 047 393</w:t>
            </w:r>
          </w:p>
        </w:tc>
        <w:tc>
          <w:tcPr>
            <w:tcW w:w="1559" w:type="dxa"/>
            <w:tcBorders>
              <w:top w:val="single" w:sz="4" w:space="0" w:color="17365D"/>
              <w:bottom w:val="single" w:sz="4" w:space="0" w:color="17365D"/>
            </w:tcBorders>
            <w:shd w:val="clear" w:color="auto" w:fill="auto"/>
            <w:noWrap/>
            <w:vAlign w:val="center"/>
          </w:tcPr>
          <w:p w14:paraId="1D46326D"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b/>
                <w:bCs/>
                <w:color w:val="17365D"/>
                <w:sz w:val="18"/>
                <w:szCs w:val="18"/>
              </w:rPr>
              <w:t>13 541 829 492</w:t>
            </w:r>
          </w:p>
        </w:tc>
        <w:tc>
          <w:tcPr>
            <w:tcW w:w="1560" w:type="dxa"/>
            <w:tcBorders>
              <w:top w:val="single" w:sz="4" w:space="0" w:color="17365D"/>
              <w:bottom w:val="single" w:sz="4" w:space="0" w:color="17365D"/>
            </w:tcBorders>
            <w:shd w:val="clear" w:color="auto" w:fill="auto"/>
            <w:noWrap/>
            <w:vAlign w:val="center"/>
          </w:tcPr>
          <w:p w14:paraId="29095398"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b/>
                <w:color w:val="17365D"/>
                <w:sz w:val="18"/>
                <w:szCs w:val="18"/>
                <w:lang w:eastAsia="lv-LV"/>
              </w:rPr>
              <w:t>1 478 217 901</w:t>
            </w:r>
          </w:p>
        </w:tc>
        <w:tc>
          <w:tcPr>
            <w:tcW w:w="1309" w:type="dxa"/>
            <w:tcBorders>
              <w:top w:val="single" w:sz="4" w:space="0" w:color="17365D"/>
              <w:bottom w:val="single" w:sz="4" w:space="0" w:color="17365D"/>
            </w:tcBorders>
            <w:shd w:val="clear" w:color="auto" w:fill="auto"/>
            <w:noWrap/>
            <w:vAlign w:val="center"/>
          </w:tcPr>
          <w:p w14:paraId="65D8B972"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b/>
                <w:bCs/>
                <w:color w:val="17365D"/>
                <w:sz w:val="18"/>
                <w:szCs w:val="18"/>
              </w:rPr>
              <w:t>10</w:t>
            </w:r>
            <w:r w:rsidRPr="00A27896">
              <w:rPr>
                <w:rFonts w:cs="Times New Roman"/>
                <w:color w:val="17365D"/>
                <w:sz w:val="18"/>
                <w:szCs w:val="18"/>
              </w:rPr>
              <w:t>.</w:t>
            </w:r>
            <w:r w:rsidRPr="00A27896">
              <w:rPr>
                <w:rFonts w:cs="Times New Roman"/>
                <w:b/>
                <w:bCs/>
                <w:color w:val="17365D"/>
                <w:sz w:val="18"/>
                <w:szCs w:val="18"/>
              </w:rPr>
              <w:t>92</w:t>
            </w:r>
          </w:p>
        </w:tc>
      </w:tr>
      <w:tr w:rsidR="001F0DE8" w:rsidRPr="00A27896" w14:paraId="33A6F306" w14:textId="77777777" w:rsidTr="001F0DE8">
        <w:trPr>
          <w:trHeight w:val="255"/>
        </w:trPr>
        <w:tc>
          <w:tcPr>
            <w:tcW w:w="2459" w:type="dxa"/>
            <w:tcBorders>
              <w:top w:val="single" w:sz="4" w:space="0" w:color="17365D"/>
              <w:bottom w:val="single" w:sz="4" w:space="0" w:color="17365D"/>
            </w:tcBorders>
            <w:shd w:val="clear" w:color="auto" w:fill="auto"/>
            <w:vAlign w:val="center"/>
          </w:tcPr>
          <w:p w14:paraId="674B0AF8" w14:textId="77777777" w:rsidR="001F0DE8" w:rsidRPr="00A27896" w:rsidRDefault="001F0DE8" w:rsidP="007E4FC6">
            <w:pPr>
              <w:pStyle w:val="Tabulasteksts"/>
              <w:rPr>
                <w:color w:val="17365D"/>
                <w:sz w:val="18"/>
                <w:szCs w:val="18"/>
                <w:lang w:eastAsia="lv-LV"/>
              </w:rPr>
            </w:pPr>
            <w:r w:rsidRPr="00A27896">
              <w:rPr>
                <w:color w:val="17365D"/>
                <w:sz w:val="18"/>
                <w:szCs w:val="18"/>
              </w:rPr>
              <w:t>Atalgojums</w:t>
            </w:r>
          </w:p>
        </w:tc>
        <w:tc>
          <w:tcPr>
            <w:tcW w:w="851" w:type="dxa"/>
            <w:tcBorders>
              <w:top w:val="single" w:sz="4" w:space="0" w:color="17365D"/>
              <w:bottom w:val="single" w:sz="4" w:space="0" w:color="17365D"/>
            </w:tcBorders>
            <w:shd w:val="clear" w:color="auto" w:fill="auto"/>
            <w:vAlign w:val="center"/>
          </w:tcPr>
          <w:p w14:paraId="44F0C45B" w14:textId="77777777" w:rsidR="001F0DE8" w:rsidRPr="00A27896" w:rsidRDefault="001F0DE8" w:rsidP="00100EA1">
            <w:pPr>
              <w:spacing w:after="0" w:line="240" w:lineRule="auto"/>
              <w:jc w:val="center"/>
              <w:rPr>
                <w:rFonts w:cs="Times New Roman"/>
                <w:color w:val="17365D"/>
                <w:sz w:val="18"/>
                <w:szCs w:val="18"/>
              </w:rPr>
            </w:pPr>
          </w:p>
        </w:tc>
        <w:tc>
          <w:tcPr>
            <w:tcW w:w="1559" w:type="dxa"/>
            <w:tcBorders>
              <w:top w:val="single" w:sz="4" w:space="0" w:color="17365D"/>
              <w:bottom w:val="single" w:sz="4" w:space="0" w:color="17365D"/>
            </w:tcBorders>
            <w:shd w:val="clear" w:color="auto" w:fill="auto"/>
            <w:noWrap/>
            <w:vAlign w:val="center"/>
          </w:tcPr>
          <w:p w14:paraId="63A99EFD"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2 363 820 982</w:t>
            </w:r>
          </w:p>
        </w:tc>
        <w:tc>
          <w:tcPr>
            <w:tcW w:w="1559" w:type="dxa"/>
            <w:tcBorders>
              <w:top w:val="single" w:sz="4" w:space="0" w:color="17365D"/>
              <w:bottom w:val="single" w:sz="4" w:space="0" w:color="17365D"/>
            </w:tcBorders>
            <w:shd w:val="clear" w:color="auto" w:fill="auto"/>
            <w:noWrap/>
            <w:vAlign w:val="center"/>
          </w:tcPr>
          <w:p w14:paraId="7D453822"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2 243 901 649</w:t>
            </w:r>
          </w:p>
        </w:tc>
        <w:tc>
          <w:tcPr>
            <w:tcW w:w="1560" w:type="dxa"/>
            <w:tcBorders>
              <w:top w:val="single" w:sz="4" w:space="0" w:color="17365D"/>
              <w:bottom w:val="single" w:sz="4" w:space="0" w:color="17365D"/>
            </w:tcBorders>
            <w:shd w:val="clear" w:color="auto" w:fill="auto"/>
            <w:noWrap/>
            <w:vAlign w:val="center"/>
          </w:tcPr>
          <w:p w14:paraId="63876397"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119 919 333</w:t>
            </w:r>
          </w:p>
        </w:tc>
        <w:tc>
          <w:tcPr>
            <w:tcW w:w="1309" w:type="dxa"/>
            <w:tcBorders>
              <w:top w:val="single" w:sz="4" w:space="0" w:color="17365D"/>
              <w:bottom w:val="single" w:sz="4" w:space="0" w:color="17365D"/>
            </w:tcBorders>
            <w:shd w:val="clear" w:color="auto" w:fill="auto"/>
            <w:noWrap/>
            <w:vAlign w:val="center"/>
          </w:tcPr>
          <w:p w14:paraId="5C047FC8" w14:textId="535B3A1F"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5.3</w:t>
            </w:r>
            <w:r w:rsidR="00C26516">
              <w:rPr>
                <w:rFonts w:cs="Times New Roman"/>
                <w:color w:val="17365D"/>
                <w:sz w:val="18"/>
                <w:szCs w:val="18"/>
              </w:rPr>
              <w:t>4</w:t>
            </w:r>
          </w:p>
        </w:tc>
      </w:tr>
      <w:tr w:rsidR="001F0DE8" w:rsidRPr="00A27896" w14:paraId="05E2173C" w14:textId="77777777" w:rsidTr="001F0DE8">
        <w:trPr>
          <w:trHeight w:val="255"/>
        </w:trPr>
        <w:tc>
          <w:tcPr>
            <w:tcW w:w="2459" w:type="dxa"/>
            <w:tcBorders>
              <w:top w:val="single" w:sz="4" w:space="0" w:color="17365D"/>
              <w:bottom w:val="single" w:sz="4" w:space="0" w:color="17365D"/>
            </w:tcBorders>
            <w:shd w:val="clear" w:color="auto" w:fill="auto"/>
            <w:vAlign w:val="center"/>
          </w:tcPr>
          <w:p w14:paraId="26C5FF14" w14:textId="77777777" w:rsidR="001F0DE8" w:rsidRPr="00A27896" w:rsidRDefault="001F0DE8" w:rsidP="007E4FC6">
            <w:pPr>
              <w:pStyle w:val="Tabulasteksts"/>
              <w:rPr>
                <w:color w:val="17365D"/>
                <w:sz w:val="18"/>
                <w:szCs w:val="18"/>
                <w:lang w:eastAsia="lv-LV"/>
              </w:rPr>
            </w:pPr>
            <w:r w:rsidRPr="00A27896">
              <w:rPr>
                <w:color w:val="17365D"/>
                <w:sz w:val="18"/>
                <w:szCs w:val="18"/>
              </w:rPr>
              <w:t>Darba devēja sociālās apdrošināšanas iemaksas, pabalsti un kompensācijas</w:t>
            </w:r>
          </w:p>
        </w:tc>
        <w:tc>
          <w:tcPr>
            <w:tcW w:w="851" w:type="dxa"/>
            <w:tcBorders>
              <w:top w:val="single" w:sz="4" w:space="0" w:color="17365D"/>
              <w:bottom w:val="single" w:sz="4" w:space="0" w:color="17365D"/>
            </w:tcBorders>
            <w:shd w:val="clear" w:color="auto" w:fill="auto"/>
            <w:vAlign w:val="center"/>
          </w:tcPr>
          <w:p w14:paraId="14D76A33" w14:textId="77777777" w:rsidR="001F0DE8" w:rsidRPr="00A27896" w:rsidRDefault="001F0DE8" w:rsidP="00100EA1">
            <w:pPr>
              <w:spacing w:after="0" w:line="240" w:lineRule="auto"/>
              <w:jc w:val="center"/>
              <w:rPr>
                <w:rFonts w:cs="Times New Roman"/>
                <w:color w:val="17365D"/>
                <w:sz w:val="18"/>
                <w:szCs w:val="18"/>
              </w:rPr>
            </w:pPr>
            <w:r w:rsidRPr="00A27896">
              <w:rPr>
                <w:rFonts w:cs="Times New Roman"/>
                <w:color w:val="17365D"/>
                <w:sz w:val="18"/>
                <w:szCs w:val="18"/>
                <w:lang w:eastAsia="lv-LV"/>
              </w:rPr>
              <w:t>NP.A22.</w:t>
            </w:r>
          </w:p>
        </w:tc>
        <w:tc>
          <w:tcPr>
            <w:tcW w:w="1559" w:type="dxa"/>
            <w:tcBorders>
              <w:top w:val="single" w:sz="4" w:space="0" w:color="17365D"/>
              <w:bottom w:val="single" w:sz="4" w:space="0" w:color="17365D"/>
            </w:tcBorders>
            <w:shd w:val="clear" w:color="auto" w:fill="auto"/>
            <w:noWrap/>
            <w:vAlign w:val="center"/>
          </w:tcPr>
          <w:p w14:paraId="2711E864"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1 444 679 494</w:t>
            </w:r>
          </w:p>
        </w:tc>
        <w:tc>
          <w:tcPr>
            <w:tcW w:w="1559" w:type="dxa"/>
            <w:tcBorders>
              <w:top w:val="single" w:sz="4" w:space="0" w:color="17365D"/>
              <w:bottom w:val="single" w:sz="4" w:space="0" w:color="17365D"/>
            </w:tcBorders>
            <w:shd w:val="clear" w:color="auto" w:fill="auto"/>
            <w:noWrap/>
            <w:vAlign w:val="center"/>
          </w:tcPr>
          <w:p w14:paraId="750D1134"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1 282 076 750</w:t>
            </w:r>
          </w:p>
        </w:tc>
        <w:tc>
          <w:tcPr>
            <w:tcW w:w="1560" w:type="dxa"/>
            <w:tcBorders>
              <w:top w:val="single" w:sz="4" w:space="0" w:color="17365D"/>
              <w:bottom w:val="single" w:sz="4" w:space="0" w:color="17365D"/>
            </w:tcBorders>
            <w:shd w:val="clear" w:color="auto" w:fill="auto"/>
            <w:noWrap/>
            <w:vAlign w:val="center"/>
          </w:tcPr>
          <w:p w14:paraId="1159DFAB"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162 602 744</w:t>
            </w:r>
          </w:p>
        </w:tc>
        <w:tc>
          <w:tcPr>
            <w:tcW w:w="1309" w:type="dxa"/>
            <w:tcBorders>
              <w:top w:val="single" w:sz="4" w:space="0" w:color="17365D"/>
              <w:bottom w:val="single" w:sz="4" w:space="0" w:color="17365D"/>
            </w:tcBorders>
            <w:shd w:val="clear" w:color="auto" w:fill="auto"/>
            <w:noWrap/>
            <w:vAlign w:val="center"/>
          </w:tcPr>
          <w:p w14:paraId="3FE66CA0" w14:textId="2E422800" w:rsidR="001F0DE8" w:rsidRPr="00A27896" w:rsidRDefault="00C26516" w:rsidP="001F0DE8">
            <w:pPr>
              <w:spacing w:after="0" w:line="240" w:lineRule="auto"/>
              <w:jc w:val="right"/>
              <w:rPr>
                <w:rFonts w:cs="Times New Roman"/>
                <w:color w:val="17365D"/>
                <w:sz w:val="18"/>
                <w:szCs w:val="18"/>
              </w:rPr>
            </w:pPr>
            <w:r>
              <w:rPr>
                <w:rFonts w:cs="Times New Roman"/>
                <w:color w:val="17365D"/>
                <w:sz w:val="18"/>
                <w:szCs w:val="18"/>
              </w:rPr>
              <w:t>12.68</w:t>
            </w:r>
          </w:p>
        </w:tc>
      </w:tr>
      <w:tr w:rsidR="001F0DE8" w:rsidRPr="00A27896" w14:paraId="13D93B36" w14:textId="77777777" w:rsidTr="001F0DE8">
        <w:trPr>
          <w:trHeight w:val="255"/>
        </w:trPr>
        <w:tc>
          <w:tcPr>
            <w:tcW w:w="2459" w:type="dxa"/>
            <w:tcBorders>
              <w:top w:val="single" w:sz="4" w:space="0" w:color="17365D"/>
              <w:bottom w:val="single" w:sz="4" w:space="0" w:color="17365D"/>
            </w:tcBorders>
            <w:shd w:val="clear" w:color="auto" w:fill="auto"/>
            <w:vAlign w:val="center"/>
          </w:tcPr>
          <w:p w14:paraId="4DA21BDB" w14:textId="77777777" w:rsidR="001F0DE8" w:rsidRPr="00A27896" w:rsidRDefault="001F0DE8" w:rsidP="007E4FC6">
            <w:pPr>
              <w:pStyle w:val="Tabulasteksts"/>
              <w:rPr>
                <w:color w:val="17365D"/>
                <w:sz w:val="18"/>
                <w:szCs w:val="18"/>
                <w:lang w:eastAsia="lv-LV"/>
              </w:rPr>
            </w:pPr>
            <w:r w:rsidRPr="00A27896">
              <w:rPr>
                <w:color w:val="17365D"/>
                <w:sz w:val="18"/>
                <w:szCs w:val="18"/>
              </w:rPr>
              <w:t>Mācību, darba un dienesta komandējumi un dienesta, darba braucieni</w:t>
            </w:r>
          </w:p>
        </w:tc>
        <w:tc>
          <w:tcPr>
            <w:tcW w:w="851" w:type="dxa"/>
            <w:tcBorders>
              <w:top w:val="single" w:sz="4" w:space="0" w:color="17365D"/>
              <w:bottom w:val="single" w:sz="4" w:space="0" w:color="17365D"/>
            </w:tcBorders>
            <w:shd w:val="clear" w:color="auto" w:fill="auto"/>
            <w:vAlign w:val="center"/>
          </w:tcPr>
          <w:p w14:paraId="5F139033" w14:textId="77777777" w:rsidR="001F0DE8" w:rsidRPr="00A27896" w:rsidRDefault="001F0DE8" w:rsidP="00100EA1">
            <w:pPr>
              <w:spacing w:after="0" w:line="240" w:lineRule="auto"/>
              <w:jc w:val="center"/>
              <w:rPr>
                <w:rFonts w:cs="Times New Roman"/>
                <w:color w:val="17365D"/>
                <w:sz w:val="18"/>
                <w:szCs w:val="18"/>
              </w:rPr>
            </w:pPr>
          </w:p>
        </w:tc>
        <w:tc>
          <w:tcPr>
            <w:tcW w:w="1559" w:type="dxa"/>
            <w:tcBorders>
              <w:top w:val="single" w:sz="4" w:space="0" w:color="17365D"/>
              <w:bottom w:val="single" w:sz="4" w:space="0" w:color="17365D"/>
            </w:tcBorders>
            <w:shd w:val="clear" w:color="auto" w:fill="auto"/>
            <w:noWrap/>
            <w:vAlign w:val="center"/>
          </w:tcPr>
          <w:p w14:paraId="0C8FE719"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40 948 306</w:t>
            </w:r>
          </w:p>
        </w:tc>
        <w:tc>
          <w:tcPr>
            <w:tcW w:w="1559" w:type="dxa"/>
            <w:tcBorders>
              <w:top w:val="single" w:sz="4" w:space="0" w:color="17365D"/>
              <w:bottom w:val="single" w:sz="4" w:space="0" w:color="17365D"/>
            </w:tcBorders>
            <w:shd w:val="clear" w:color="auto" w:fill="auto"/>
            <w:noWrap/>
            <w:vAlign w:val="center"/>
          </w:tcPr>
          <w:p w14:paraId="07A15326"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16 045 357</w:t>
            </w:r>
          </w:p>
        </w:tc>
        <w:tc>
          <w:tcPr>
            <w:tcW w:w="1560" w:type="dxa"/>
            <w:tcBorders>
              <w:top w:val="single" w:sz="4" w:space="0" w:color="17365D"/>
              <w:bottom w:val="single" w:sz="4" w:space="0" w:color="17365D"/>
            </w:tcBorders>
            <w:shd w:val="clear" w:color="auto" w:fill="auto"/>
            <w:noWrap/>
            <w:vAlign w:val="center"/>
          </w:tcPr>
          <w:p w14:paraId="52FF7A99"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24 902 949</w:t>
            </w:r>
          </w:p>
        </w:tc>
        <w:tc>
          <w:tcPr>
            <w:tcW w:w="1309" w:type="dxa"/>
            <w:tcBorders>
              <w:top w:val="single" w:sz="4" w:space="0" w:color="17365D"/>
              <w:bottom w:val="single" w:sz="4" w:space="0" w:color="17365D"/>
            </w:tcBorders>
            <w:shd w:val="clear" w:color="auto" w:fill="auto"/>
            <w:noWrap/>
            <w:vAlign w:val="center"/>
          </w:tcPr>
          <w:p w14:paraId="2E0F165A" w14:textId="47C3FA8F"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155.2</w:t>
            </w:r>
            <w:r w:rsidR="00C26516">
              <w:rPr>
                <w:rFonts w:cs="Times New Roman"/>
                <w:color w:val="17365D"/>
                <w:sz w:val="18"/>
                <w:szCs w:val="18"/>
              </w:rPr>
              <w:t>0</w:t>
            </w:r>
          </w:p>
        </w:tc>
      </w:tr>
      <w:tr w:rsidR="001F0DE8" w:rsidRPr="00A27896" w14:paraId="26A813B6" w14:textId="77777777" w:rsidTr="001F0DE8">
        <w:trPr>
          <w:trHeight w:val="255"/>
        </w:trPr>
        <w:tc>
          <w:tcPr>
            <w:tcW w:w="2459" w:type="dxa"/>
            <w:tcBorders>
              <w:top w:val="single" w:sz="4" w:space="0" w:color="17365D"/>
              <w:bottom w:val="single" w:sz="4" w:space="0" w:color="17365D"/>
            </w:tcBorders>
            <w:shd w:val="clear" w:color="auto" w:fill="auto"/>
            <w:vAlign w:val="center"/>
          </w:tcPr>
          <w:p w14:paraId="0FC14928" w14:textId="77777777" w:rsidR="001F0DE8" w:rsidRPr="00A27896" w:rsidRDefault="001F0DE8" w:rsidP="007E4FC6">
            <w:pPr>
              <w:pStyle w:val="Tabulasteksts"/>
              <w:rPr>
                <w:color w:val="17365D"/>
                <w:sz w:val="18"/>
                <w:szCs w:val="18"/>
                <w:lang w:eastAsia="lv-LV"/>
              </w:rPr>
            </w:pPr>
            <w:r w:rsidRPr="00A27896">
              <w:rPr>
                <w:color w:val="17365D"/>
                <w:sz w:val="18"/>
                <w:szCs w:val="18"/>
              </w:rPr>
              <w:t>Pakalpojumi</w:t>
            </w:r>
          </w:p>
        </w:tc>
        <w:tc>
          <w:tcPr>
            <w:tcW w:w="851" w:type="dxa"/>
            <w:tcBorders>
              <w:top w:val="single" w:sz="4" w:space="0" w:color="17365D"/>
              <w:bottom w:val="single" w:sz="4" w:space="0" w:color="17365D"/>
            </w:tcBorders>
            <w:shd w:val="clear" w:color="auto" w:fill="auto"/>
            <w:vAlign w:val="center"/>
          </w:tcPr>
          <w:p w14:paraId="05204266" w14:textId="77777777" w:rsidR="001F0DE8" w:rsidRPr="00A27896" w:rsidRDefault="001F0DE8" w:rsidP="00100EA1">
            <w:pPr>
              <w:spacing w:after="0" w:line="240" w:lineRule="auto"/>
              <w:jc w:val="center"/>
              <w:rPr>
                <w:rFonts w:cs="Times New Roman"/>
                <w:color w:val="17365D"/>
                <w:sz w:val="18"/>
                <w:szCs w:val="18"/>
              </w:rPr>
            </w:pPr>
            <w:r w:rsidRPr="00A27896">
              <w:rPr>
                <w:rFonts w:cs="Times New Roman"/>
                <w:color w:val="17365D"/>
                <w:sz w:val="18"/>
                <w:szCs w:val="18"/>
                <w:lang w:eastAsia="lv-LV"/>
              </w:rPr>
              <w:t>NP.A24.</w:t>
            </w:r>
          </w:p>
        </w:tc>
        <w:tc>
          <w:tcPr>
            <w:tcW w:w="1559" w:type="dxa"/>
            <w:tcBorders>
              <w:top w:val="single" w:sz="4" w:space="0" w:color="17365D"/>
              <w:bottom w:val="single" w:sz="4" w:space="0" w:color="17365D"/>
            </w:tcBorders>
            <w:shd w:val="clear" w:color="auto" w:fill="auto"/>
            <w:noWrap/>
            <w:vAlign w:val="center"/>
          </w:tcPr>
          <w:p w14:paraId="41A005BE"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1 286 611 033</w:t>
            </w:r>
          </w:p>
        </w:tc>
        <w:tc>
          <w:tcPr>
            <w:tcW w:w="1559" w:type="dxa"/>
            <w:tcBorders>
              <w:top w:val="single" w:sz="4" w:space="0" w:color="17365D"/>
              <w:bottom w:val="single" w:sz="4" w:space="0" w:color="17365D"/>
            </w:tcBorders>
            <w:shd w:val="clear" w:color="auto" w:fill="auto"/>
            <w:noWrap/>
            <w:vAlign w:val="center"/>
          </w:tcPr>
          <w:p w14:paraId="330916D3"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1 058 499 438</w:t>
            </w:r>
          </w:p>
        </w:tc>
        <w:tc>
          <w:tcPr>
            <w:tcW w:w="1560" w:type="dxa"/>
            <w:tcBorders>
              <w:top w:val="single" w:sz="4" w:space="0" w:color="17365D"/>
              <w:bottom w:val="single" w:sz="4" w:space="0" w:color="17365D"/>
            </w:tcBorders>
            <w:shd w:val="clear" w:color="auto" w:fill="auto"/>
            <w:noWrap/>
            <w:vAlign w:val="center"/>
          </w:tcPr>
          <w:p w14:paraId="7EBD7D75"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228 111 595</w:t>
            </w:r>
          </w:p>
        </w:tc>
        <w:tc>
          <w:tcPr>
            <w:tcW w:w="1309" w:type="dxa"/>
            <w:tcBorders>
              <w:top w:val="single" w:sz="4" w:space="0" w:color="17365D"/>
              <w:bottom w:val="single" w:sz="4" w:space="0" w:color="17365D"/>
            </w:tcBorders>
            <w:shd w:val="clear" w:color="auto" w:fill="auto"/>
            <w:noWrap/>
            <w:vAlign w:val="center"/>
          </w:tcPr>
          <w:p w14:paraId="4682E56B" w14:textId="1F8181E3" w:rsidR="001F0DE8" w:rsidRPr="00A27896" w:rsidRDefault="00C26516" w:rsidP="001F0DE8">
            <w:pPr>
              <w:spacing w:after="0" w:line="240" w:lineRule="auto"/>
              <w:jc w:val="right"/>
              <w:rPr>
                <w:rFonts w:cs="Times New Roman"/>
                <w:color w:val="17365D"/>
                <w:sz w:val="18"/>
                <w:szCs w:val="18"/>
              </w:rPr>
            </w:pPr>
            <w:r>
              <w:rPr>
                <w:rFonts w:cs="Times New Roman"/>
                <w:color w:val="17365D"/>
                <w:sz w:val="18"/>
                <w:szCs w:val="18"/>
              </w:rPr>
              <w:t>21.55</w:t>
            </w:r>
          </w:p>
        </w:tc>
      </w:tr>
      <w:tr w:rsidR="001F0DE8" w:rsidRPr="00A27896" w14:paraId="64CEF555" w14:textId="77777777" w:rsidTr="001F0DE8">
        <w:trPr>
          <w:trHeight w:val="255"/>
        </w:trPr>
        <w:tc>
          <w:tcPr>
            <w:tcW w:w="2459" w:type="dxa"/>
            <w:tcBorders>
              <w:top w:val="single" w:sz="4" w:space="0" w:color="17365D"/>
              <w:bottom w:val="single" w:sz="4" w:space="0" w:color="17365D"/>
            </w:tcBorders>
            <w:shd w:val="clear" w:color="auto" w:fill="auto"/>
            <w:vAlign w:val="center"/>
          </w:tcPr>
          <w:p w14:paraId="1908FECB" w14:textId="77777777" w:rsidR="001F0DE8" w:rsidRPr="00A27896" w:rsidRDefault="001F0DE8" w:rsidP="007E4FC6">
            <w:pPr>
              <w:pStyle w:val="Tabulasteksts"/>
              <w:rPr>
                <w:color w:val="17365D"/>
                <w:sz w:val="18"/>
                <w:szCs w:val="18"/>
                <w:lang w:eastAsia="lv-LV"/>
              </w:rPr>
            </w:pPr>
            <w:r w:rsidRPr="00A27896">
              <w:rPr>
                <w:color w:val="17365D"/>
                <w:sz w:val="18"/>
                <w:szCs w:val="18"/>
              </w:rPr>
              <w:t>Krājumi, materiāli, energoresursi, preces, biroja preces un inventārs, periodika</w:t>
            </w:r>
          </w:p>
        </w:tc>
        <w:tc>
          <w:tcPr>
            <w:tcW w:w="851" w:type="dxa"/>
            <w:tcBorders>
              <w:top w:val="single" w:sz="4" w:space="0" w:color="17365D"/>
              <w:bottom w:val="single" w:sz="4" w:space="0" w:color="17365D"/>
            </w:tcBorders>
            <w:shd w:val="clear" w:color="auto" w:fill="auto"/>
            <w:vAlign w:val="center"/>
          </w:tcPr>
          <w:p w14:paraId="092364C7" w14:textId="77777777" w:rsidR="001F0DE8" w:rsidRPr="00A27896" w:rsidRDefault="001F0DE8" w:rsidP="00100EA1">
            <w:pPr>
              <w:spacing w:after="0" w:line="240" w:lineRule="auto"/>
              <w:jc w:val="center"/>
              <w:rPr>
                <w:rFonts w:cs="Times New Roman"/>
                <w:color w:val="17365D"/>
                <w:sz w:val="18"/>
                <w:szCs w:val="18"/>
              </w:rPr>
            </w:pPr>
            <w:r w:rsidRPr="00A27896">
              <w:rPr>
                <w:rFonts w:cs="Times New Roman"/>
                <w:color w:val="17365D"/>
                <w:sz w:val="18"/>
                <w:szCs w:val="18"/>
                <w:lang w:eastAsia="lv-LV"/>
              </w:rPr>
              <w:t>NP.A25.</w:t>
            </w:r>
          </w:p>
        </w:tc>
        <w:tc>
          <w:tcPr>
            <w:tcW w:w="1559" w:type="dxa"/>
            <w:tcBorders>
              <w:top w:val="single" w:sz="4" w:space="0" w:color="17365D"/>
              <w:bottom w:val="single" w:sz="4" w:space="0" w:color="17365D"/>
            </w:tcBorders>
            <w:shd w:val="clear" w:color="auto" w:fill="auto"/>
            <w:noWrap/>
            <w:vAlign w:val="center"/>
          </w:tcPr>
          <w:p w14:paraId="2DDDCE28"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954 775 157</w:t>
            </w:r>
          </w:p>
        </w:tc>
        <w:tc>
          <w:tcPr>
            <w:tcW w:w="1559" w:type="dxa"/>
            <w:tcBorders>
              <w:top w:val="single" w:sz="4" w:space="0" w:color="17365D"/>
              <w:bottom w:val="single" w:sz="4" w:space="0" w:color="17365D"/>
            </w:tcBorders>
            <w:shd w:val="clear" w:color="auto" w:fill="auto"/>
            <w:noWrap/>
            <w:vAlign w:val="center"/>
          </w:tcPr>
          <w:p w14:paraId="313AA049"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453 091 528</w:t>
            </w:r>
          </w:p>
        </w:tc>
        <w:tc>
          <w:tcPr>
            <w:tcW w:w="1560" w:type="dxa"/>
            <w:tcBorders>
              <w:top w:val="single" w:sz="4" w:space="0" w:color="17365D"/>
              <w:bottom w:val="single" w:sz="4" w:space="0" w:color="17365D"/>
            </w:tcBorders>
            <w:shd w:val="clear" w:color="auto" w:fill="auto"/>
            <w:noWrap/>
            <w:vAlign w:val="center"/>
          </w:tcPr>
          <w:p w14:paraId="3123DC80"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501 683 629</w:t>
            </w:r>
          </w:p>
        </w:tc>
        <w:tc>
          <w:tcPr>
            <w:tcW w:w="1309" w:type="dxa"/>
            <w:tcBorders>
              <w:top w:val="single" w:sz="4" w:space="0" w:color="17365D"/>
              <w:bottom w:val="single" w:sz="4" w:space="0" w:color="17365D"/>
            </w:tcBorders>
            <w:shd w:val="clear" w:color="auto" w:fill="auto"/>
            <w:noWrap/>
            <w:vAlign w:val="center"/>
          </w:tcPr>
          <w:p w14:paraId="47CED505" w14:textId="6E51321F"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110.7</w:t>
            </w:r>
            <w:r w:rsidR="00C26516">
              <w:rPr>
                <w:rFonts w:cs="Times New Roman"/>
                <w:color w:val="17365D"/>
                <w:sz w:val="18"/>
                <w:szCs w:val="18"/>
              </w:rPr>
              <w:t>2</w:t>
            </w:r>
          </w:p>
        </w:tc>
      </w:tr>
      <w:tr w:rsidR="001F0DE8" w:rsidRPr="00A27896" w14:paraId="15673C8A" w14:textId="77777777" w:rsidTr="001F0DE8">
        <w:trPr>
          <w:trHeight w:val="255"/>
        </w:trPr>
        <w:tc>
          <w:tcPr>
            <w:tcW w:w="2459" w:type="dxa"/>
            <w:tcBorders>
              <w:top w:val="single" w:sz="4" w:space="0" w:color="17365D"/>
              <w:bottom w:val="single" w:sz="4" w:space="0" w:color="17365D"/>
            </w:tcBorders>
            <w:shd w:val="clear" w:color="auto" w:fill="auto"/>
            <w:vAlign w:val="center"/>
          </w:tcPr>
          <w:p w14:paraId="72A6B9E2" w14:textId="77777777" w:rsidR="001F0DE8" w:rsidRPr="00A27896" w:rsidRDefault="001F0DE8" w:rsidP="007E4FC6">
            <w:pPr>
              <w:pStyle w:val="Tabulasteksts"/>
              <w:rPr>
                <w:color w:val="17365D"/>
                <w:sz w:val="18"/>
                <w:szCs w:val="18"/>
                <w:lang w:eastAsia="lv-LV"/>
              </w:rPr>
            </w:pPr>
            <w:r w:rsidRPr="00A27896">
              <w:rPr>
                <w:color w:val="17365D"/>
                <w:sz w:val="18"/>
                <w:szCs w:val="18"/>
              </w:rPr>
              <w:t>Nodokļu, nodevu un naudas sodu maksājumi</w:t>
            </w:r>
          </w:p>
        </w:tc>
        <w:tc>
          <w:tcPr>
            <w:tcW w:w="851" w:type="dxa"/>
            <w:tcBorders>
              <w:top w:val="single" w:sz="4" w:space="0" w:color="17365D"/>
              <w:bottom w:val="single" w:sz="4" w:space="0" w:color="17365D"/>
            </w:tcBorders>
            <w:shd w:val="clear" w:color="auto" w:fill="auto"/>
            <w:vAlign w:val="center"/>
          </w:tcPr>
          <w:p w14:paraId="0136048C" w14:textId="77777777" w:rsidR="001F0DE8" w:rsidRPr="00A27896" w:rsidRDefault="001F0DE8" w:rsidP="007E4FC6">
            <w:pPr>
              <w:spacing w:after="0" w:line="240" w:lineRule="auto"/>
              <w:jc w:val="right"/>
              <w:rPr>
                <w:rFonts w:cs="Times New Roman"/>
                <w:color w:val="17365D"/>
                <w:sz w:val="18"/>
                <w:szCs w:val="18"/>
              </w:rPr>
            </w:pPr>
          </w:p>
        </w:tc>
        <w:tc>
          <w:tcPr>
            <w:tcW w:w="1559" w:type="dxa"/>
            <w:tcBorders>
              <w:top w:val="single" w:sz="4" w:space="0" w:color="17365D"/>
              <w:bottom w:val="single" w:sz="4" w:space="0" w:color="17365D"/>
            </w:tcBorders>
            <w:shd w:val="clear" w:color="auto" w:fill="auto"/>
            <w:noWrap/>
            <w:vAlign w:val="center"/>
          </w:tcPr>
          <w:p w14:paraId="105922A3"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24 011 435</w:t>
            </w:r>
          </w:p>
        </w:tc>
        <w:tc>
          <w:tcPr>
            <w:tcW w:w="1559" w:type="dxa"/>
            <w:tcBorders>
              <w:top w:val="single" w:sz="4" w:space="0" w:color="17365D"/>
              <w:bottom w:val="single" w:sz="4" w:space="0" w:color="17365D"/>
            </w:tcBorders>
            <w:shd w:val="clear" w:color="auto" w:fill="auto"/>
            <w:noWrap/>
            <w:vAlign w:val="center"/>
          </w:tcPr>
          <w:p w14:paraId="46928E66"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24 209 187</w:t>
            </w:r>
          </w:p>
        </w:tc>
        <w:tc>
          <w:tcPr>
            <w:tcW w:w="1560" w:type="dxa"/>
            <w:tcBorders>
              <w:top w:val="single" w:sz="4" w:space="0" w:color="17365D"/>
              <w:bottom w:val="single" w:sz="4" w:space="0" w:color="17365D"/>
            </w:tcBorders>
            <w:shd w:val="clear" w:color="auto" w:fill="auto"/>
            <w:noWrap/>
            <w:vAlign w:val="center"/>
          </w:tcPr>
          <w:p w14:paraId="7F6DB375"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-197 752</w:t>
            </w:r>
          </w:p>
        </w:tc>
        <w:tc>
          <w:tcPr>
            <w:tcW w:w="1309" w:type="dxa"/>
            <w:tcBorders>
              <w:top w:val="single" w:sz="4" w:space="0" w:color="17365D"/>
              <w:bottom w:val="single" w:sz="4" w:space="0" w:color="17365D"/>
            </w:tcBorders>
            <w:shd w:val="clear" w:color="auto" w:fill="auto"/>
            <w:noWrap/>
            <w:vAlign w:val="center"/>
          </w:tcPr>
          <w:p w14:paraId="2E8A9447" w14:textId="708C6E30"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-0.8</w:t>
            </w:r>
            <w:r w:rsidR="00C26516">
              <w:rPr>
                <w:rFonts w:cs="Times New Roman"/>
                <w:color w:val="17365D"/>
                <w:sz w:val="18"/>
                <w:szCs w:val="18"/>
              </w:rPr>
              <w:t>2</w:t>
            </w:r>
          </w:p>
        </w:tc>
      </w:tr>
      <w:tr w:rsidR="001F0DE8" w:rsidRPr="00A27896" w14:paraId="4B7F9EEC" w14:textId="77777777" w:rsidTr="001F0DE8">
        <w:trPr>
          <w:trHeight w:val="255"/>
        </w:trPr>
        <w:tc>
          <w:tcPr>
            <w:tcW w:w="2459" w:type="dxa"/>
            <w:tcBorders>
              <w:top w:val="single" w:sz="4" w:space="0" w:color="17365D"/>
              <w:bottom w:val="single" w:sz="4" w:space="0" w:color="17365D"/>
            </w:tcBorders>
            <w:shd w:val="clear" w:color="auto" w:fill="auto"/>
            <w:vAlign w:val="center"/>
          </w:tcPr>
          <w:p w14:paraId="348A3E52" w14:textId="77777777" w:rsidR="001F0DE8" w:rsidRPr="00A27896" w:rsidRDefault="001F0DE8" w:rsidP="007E4FC6">
            <w:pPr>
              <w:pStyle w:val="Tabulasteksts"/>
              <w:rPr>
                <w:color w:val="17365D"/>
                <w:sz w:val="18"/>
                <w:szCs w:val="18"/>
                <w:lang w:eastAsia="lv-LV"/>
              </w:rPr>
            </w:pPr>
            <w:r w:rsidRPr="00A27896">
              <w:rPr>
                <w:color w:val="17365D"/>
                <w:sz w:val="18"/>
                <w:szCs w:val="18"/>
              </w:rPr>
              <w:t>Subsīdijas, dotācijas un sociālie pabalsti, kārtējie maksājumi Eiropas Savienības budžetā un starptautiskā sadarbība</w:t>
            </w:r>
          </w:p>
        </w:tc>
        <w:tc>
          <w:tcPr>
            <w:tcW w:w="851" w:type="dxa"/>
            <w:tcBorders>
              <w:top w:val="single" w:sz="4" w:space="0" w:color="17365D"/>
              <w:bottom w:val="single" w:sz="4" w:space="0" w:color="17365D"/>
            </w:tcBorders>
            <w:shd w:val="clear" w:color="auto" w:fill="auto"/>
            <w:vAlign w:val="center"/>
          </w:tcPr>
          <w:p w14:paraId="36858E81" w14:textId="77777777" w:rsidR="001F0DE8" w:rsidRPr="00A27896" w:rsidRDefault="001F0DE8" w:rsidP="007E4FC6">
            <w:pPr>
              <w:spacing w:after="0" w:line="240" w:lineRule="auto"/>
              <w:jc w:val="right"/>
              <w:rPr>
                <w:rFonts w:cs="Times New Roman"/>
                <w:color w:val="17365D"/>
                <w:sz w:val="18"/>
                <w:szCs w:val="18"/>
              </w:rPr>
            </w:pPr>
          </w:p>
        </w:tc>
        <w:tc>
          <w:tcPr>
            <w:tcW w:w="1559" w:type="dxa"/>
            <w:tcBorders>
              <w:top w:val="single" w:sz="4" w:space="0" w:color="17365D"/>
              <w:bottom w:val="single" w:sz="4" w:space="0" w:color="17365D"/>
            </w:tcBorders>
            <w:shd w:val="clear" w:color="auto" w:fill="auto"/>
            <w:noWrap/>
            <w:vAlign w:val="center"/>
          </w:tcPr>
          <w:p w14:paraId="3CB8C5FA"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8 822 293 698</w:t>
            </w:r>
          </w:p>
        </w:tc>
        <w:tc>
          <w:tcPr>
            <w:tcW w:w="1559" w:type="dxa"/>
            <w:tcBorders>
              <w:top w:val="single" w:sz="4" w:space="0" w:color="17365D"/>
              <w:bottom w:val="single" w:sz="4" w:space="0" w:color="17365D"/>
            </w:tcBorders>
            <w:shd w:val="clear" w:color="auto" w:fill="auto"/>
            <w:noWrap/>
            <w:vAlign w:val="center"/>
          </w:tcPr>
          <w:p w14:paraId="178FDCDE"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8 374 079 571</w:t>
            </w:r>
          </w:p>
        </w:tc>
        <w:tc>
          <w:tcPr>
            <w:tcW w:w="1560" w:type="dxa"/>
            <w:tcBorders>
              <w:top w:val="single" w:sz="4" w:space="0" w:color="17365D"/>
              <w:bottom w:val="single" w:sz="4" w:space="0" w:color="17365D"/>
            </w:tcBorders>
            <w:shd w:val="clear" w:color="auto" w:fill="auto"/>
            <w:noWrap/>
            <w:vAlign w:val="center"/>
          </w:tcPr>
          <w:p w14:paraId="0518EA59"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448 214 127</w:t>
            </w:r>
          </w:p>
        </w:tc>
        <w:tc>
          <w:tcPr>
            <w:tcW w:w="1309" w:type="dxa"/>
            <w:tcBorders>
              <w:top w:val="single" w:sz="4" w:space="0" w:color="17365D"/>
              <w:bottom w:val="single" w:sz="4" w:space="0" w:color="17365D"/>
            </w:tcBorders>
            <w:shd w:val="clear" w:color="auto" w:fill="auto"/>
            <w:noWrap/>
            <w:vAlign w:val="center"/>
          </w:tcPr>
          <w:p w14:paraId="27E30691" w14:textId="6DCA1B60" w:rsidR="001F0DE8" w:rsidRPr="00A27896" w:rsidRDefault="00C26516" w:rsidP="001F0DE8">
            <w:pPr>
              <w:spacing w:after="0" w:line="240" w:lineRule="auto"/>
              <w:jc w:val="right"/>
              <w:rPr>
                <w:rFonts w:cs="Times New Roman"/>
                <w:color w:val="17365D"/>
                <w:sz w:val="18"/>
                <w:szCs w:val="18"/>
              </w:rPr>
            </w:pPr>
            <w:r>
              <w:rPr>
                <w:rFonts w:cs="Times New Roman"/>
                <w:color w:val="17365D"/>
                <w:sz w:val="18"/>
                <w:szCs w:val="18"/>
              </w:rPr>
              <w:t>5.35</w:t>
            </w:r>
          </w:p>
        </w:tc>
      </w:tr>
      <w:tr w:rsidR="001F0DE8" w:rsidRPr="00A27896" w14:paraId="259DB280" w14:textId="77777777" w:rsidTr="001F0DE8">
        <w:trPr>
          <w:trHeight w:val="255"/>
        </w:trPr>
        <w:tc>
          <w:tcPr>
            <w:tcW w:w="2459" w:type="dxa"/>
            <w:tcBorders>
              <w:top w:val="single" w:sz="4" w:space="0" w:color="17365D"/>
              <w:bottom w:val="single" w:sz="4" w:space="0" w:color="17365D"/>
            </w:tcBorders>
            <w:shd w:val="clear" w:color="auto" w:fill="auto"/>
            <w:vAlign w:val="center"/>
          </w:tcPr>
          <w:p w14:paraId="7A00B10D" w14:textId="77777777" w:rsidR="001F0DE8" w:rsidRPr="00A27896" w:rsidRDefault="001F0DE8" w:rsidP="007E4FC6">
            <w:pPr>
              <w:pStyle w:val="Tabulasteksts"/>
              <w:rPr>
                <w:color w:val="17365D"/>
                <w:sz w:val="18"/>
                <w:szCs w:val="18"/>
                <w:lang w:eastAsia="lv-LV"/>
              </w:rPr>
            </w:pPr>
            <w:r w:rsidRPr="00A27896">
              <w:rPr>
                <w:color w:val="17365D"/>
                <w:sz w:val="18"/>
                <w:szCs w:val="18"/>
              </w:rPr>
              <w:t>Procentu izdevumi</w:t>
            </w:r>
          </w:p>
        </w:tc>
        <w:tc>
          <w:tcPr>
            <w:tcW w:w="851" w:type="dxa"/>
            <w:tcBorders>
              <w:top w:val="single" w:sz="4" w:space="0" w:color="17365D"/>
              <w:bottom w:val="single" w:sz="4" w:space="0" w:color="17365D"/>
            </w:tcBorders>
            <w:shd w:val="clear" w:color="auto" w:fill="auto"/>
            <w:vAlign w:val="center"/>
          </w:tcPr>
          <w:p w14:paraId="07954074" w14:textId="77777777" w:rsidR="001F0DE8" w:rsidRPr="00A27896" w:rsidRDefault="001F0DE8" w:rsidP="007E4FC6">
            <w:pPr>
              <w:spacing w:after="0" w:line="240" w:lineRule="auto"/>
              <w:jc w:val="right"/>
              <w:rPr>
                <w:rFonts w:cs="Times New Roman"/>
                <w:color w:val="17365D"/>
                <w:sz w:val="18"/>
                <w:szCs w:val="18"/>
              </w:rPr>
            </w:pPr>
          </w:p>
        </w:tc>
        <w:tc>
          <w:tcPr>
            <w:tcW w:w="1559" w:type="dxa"/>
            <w:tcBorders>
              <w:top w:val="single" w:sz="4" w:space="0" w:color="17365D"/>
              <w:bottom w:val="single" w:sz="4" w:space="0" w:color="17365D"/>
            </w:tcBorders>
            <w:shd w:val="clear" w:color="auto" w:fill="auto"/>
            <w:noWrap/>
            <w:vAlign w:val="center"/>
          </w:tcPr>
          <w:p w14:paraId="03D65805"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7 588 869</w:t>
            </w:r>
          </w:p>
        </w:tc>
        <w:tc>
          <w:tcPr>
            <w:tcW w:w="1559" w:type="dxa"/>
            <w:tcBorders>
              <w:top w:val="single" w:sz="4" w:space="0" w:color="17365D"/>
              <w:bottom w:val="single" w:sz="4" w:space="0" w:color="17365D"/>
            </w:tcBorders>
            <w:shd w:val="clear" w:color="auto" w:fill="auto"/>
            <w:noWrap/>
            <w:vAlign w:val="center"/>
          </w:tcPr>
          <w:p w14:paraId="50FB5BEE"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8 368 305</w:t>
            </w:r>
          </w:p>
        </w:tc>
        <w:tc>
          <w:tcPr>
            <w:tcW w:w="1560" w:type="dxa"/>
            <w:tcBorders>
              <w:top w:val="single" w:sz="4" w:space="0" w:color="17365D"/>
              <w:bottom w:val="single" w:sz="4" w:space="0" w:color="17365D"/>
            </w:tcBorders>
            <w:shd w:val="clear" w:color="auto" w:fill="auto"/>
            <w:noWrap/>
            <w:vAlign w:val="center"/>
          </w:tcPr>
          <w:p w14:paraId="5602A86E"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-779 436</w:t>
            </w:r>
          </w:p>
        </w:tc>
        <w:tc>
          <w:tcPr>
            <w:tcW w:w="1309" w:type="dxa"/>
            <w:tcBorders>
              <w:top w:val="single" w:sz="4" w:space="0" w:color="17365D"/>
              <w:bottom w:val="single" w:sz="4" w:space="0" w:color="17365D"/>
            </w:tcBorders>
            <w:shd w:val="clear" w:color="auto" w:fill="auto"/>
            <w:noWrap/>
            <w:vAlign w:val="center"/>
          </w:tcPr>
          <w:p w14:paraId="3F045E2D" w14:textId="392AEE93"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-9.3</w:t>
            </w:r>
            <w:r w:rsidR="00C26516">
              <w:rPr>
                <w:rFonts w:cs="Times New Roman"/>
                <w:color w:val="17365D"/>
                <w:sz w:val="18"/>
                <w:szCs w:val="18"/>
              </w:rPr>
              <w:t>1</w:t>
            </w:r>
          </w:p>
        </w:tc>
      </w:tr>
      <w:tr w:rsidR="001F0DE8" w:rsidRPr="00A27896" w14:paraId="28043757" w14:textId="77777777" w:rsidTr="001F0DE8">
        <w:trPr>
          <w:trHeight w:val="255"/>
        </w:trPr>
        <w:tc>
          <w:tcPr>
            <w:tcW w:w="2459" w:type="dxa"/>
            <w:tcBorders>
              <w:top w:val="single" w:sz="4" w:space="0" w:color="17365D"/>
              <w:bottom w:val="single" w:sz="4" w:space="0" w:color="17365D"/>
            </w:tcBorders>
            <w:shd w:val="clear" w:color="auto" w:fill="auto"/>
            <w:vAlign w:val="center"/>
          </w:tcPr>
          <w:p w14:paraId="2DD59D49" w14:textId="77777777" w:rsidR="001F0DE8" w:rsidRPr="00A27896" w:rsidRDefault="001F0DE8" w:rsidP="007E4FC6">
            <w:pPr>
              <w:pStyle w:val="Tabulasteksts"/>
              <w:rPr>
                <w:color w:val="17365D"/>
                <w:sz w:val="18"/>
                <w:szCs w:val="18"/>
                <w:lang w:eastAsia="lv-LV"/>
              </w:rPr>
            </w:pPr>
            <w:r w:rsidRPr="00A27896">
              <w:rPr>
                <w:color w:val="17365D"/>
                <w:sz w:val="18"/>
                <w:szCs w:val="18"/>
              </w:rPr>
              <w:t>Aizdevumu izsniegšana</w:t>
            </w:r>
          </w:p>
        </w:tc>
        <w:tc>
          <w:tcPr>
            <w:tcW w:w="851" w:type="dxa"/>
            <w:tcBorders>
              <w:top w:val="single" w:sz="4" w:space="0" w:color="17365D"/>
              <w:bottom w:val="single" w:sz="4" w:space="0" w:color="17365D"/>
            </w:tcBorders>
            <w:shd w:val="clear" w:color="auto" w:fill="auto"/>
            <w:vAlign w:val="center"/>
          </w:tcPr>
          <w:p w14:paraId="76FFC99D" w14:textId="77777777" w:rsidR="001F0DE8" w:rsidRPr="00A27896" w:rsidRDefault="001F0DE8" w:rsidP="007E4FC6">
            <w:pPr>
              <w:spacing w:after="0" w:line="240" w:lineRule="auto"/>
              <w:jc w:val="right"/>
              <w:rPr>
                <w:rFonts w:cs="Times New Roman"/>
                <w:color w:val="17365D"/>
                <w:sz w:val="18"/>
                <w:szCs w:val="18"/>
              </w:rPr>
            </w:pPr>
          </w:p>
        </w:tc>
        <w:tc>
          <w:tcPr>
            <w:tcW w:w="1559" w:type="dxa"/>
            <w:tcBorders>
              <w:top w:val="single" w:sz="4" w:space="0" w:color="17365D"/>
              <w:bottom w:val="single" w:sz="4" w:space="0" w:color="17365D"/>
            </w:tcBorders>
            <w:shd w:val="clear" w:color="auto" w:fill="auto"/>
            <w:noWrap/>
            <w:vAlign w:val="center"/>
          </w:tcPr>
          <w:p w14:paraId="4DE692E8"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69 139 416</w:t>
            </w:r>
          </w:p>
        </w:tc>
        <w:tc>
          <w:tcPr>
            <w:tcW w:w="1559" w:type="dxa"/>
            <w:tcBorders>
              <w:top w:val="single" w:sz="4" w:space="0" w:color="17365D"/>
              <w:bottom w:val="single" w:sz="4" w:space="0" w:color="17365D"/>
            </w:tcBorders>
            <w:shd w:val="clear" w:color="auto" w:fill="auto"/>
            <w:noWrap/>
            <w:vAlign w:val="center"/>
          </w:tcPr>
          <w:p w14:paraId="219EA653"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78 881 698</w:t>
            </w:r>
          </w:p>
        </w:tc>
        <w:tc>
          <w:tcPr>
            <w:tcW w:w="1560" w:type="dxa"/>
            <w:tcBorders>
              <w:top w:val="single" w:sz="4" w:space="0" w:color="17365D"/>
              <w:bottom w:val="single" w:sz="4" w:space="0" w:color="17365D"/>
            </w:tcBorders>
            <w:shd w:val="clear" w:color="auto" w:fill="auto"/>
            <w:noWrap/>
            <w:vAlign w:val="center"/>
          </w:tcPr>
          <w:p w14:paraId="5E5F8209"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-9 742 282</w:t>
            </w:r>
          </w:p>
        </w:tc>
        <w:tc>
          <w:tcPr>
            <w:tcW w:w="1309" w:type="dxa"/>
            <w:tcBorders>
              <w:top w:val="single" w:sz="4" w:space="0" w:color="17365D"/>
              <w:bottom w:val="single" w:sz="4" w:space="0" w:color="17365D"/>
            </w:tcBorders>
            <w:shd w:val="clear" w:color="auto" w:fill="auto"/>
            <w:noWrap/>
            <w:vAlign w:val="center"/>
          </w:tcPr>
          <w:p w14:paraId="110C82D7" w14:textId="626EF72E" w:rsidR="001F0DE8" w:rsidRPr="00A27896" w:rsidRDefault="00C26516" w:rsidP="001F0DE8">
            <w:pPr>
              <w:spacing w:after="0" w:line="240" w:lineRule="auto"/>
              <w:jc w:val="right"/>
              <w:rPr>
                <w:rFonts w:cs="Times New Roman"/>
                <w:color w:val="17365D"/>
                <w:sz w:val="18"/>
                <w:szCs w:val="18"/>
              </w:rPr>
            </w:pPr>
            <w:r>
              <w:rPr>
                <w:rFonts w:cs="Times New Roman"/>
                <w:color w:val="17365D"/>
                <w:sz w:val="18"/>
                <w:szCs w:val="18"/>
              </w:rPr>
              <w:t>-12.35</w:t>
            </w:r>
          </w:p>
        </w:tc>
      </w:tr>
      <w:tr w:rsidR="001F0DE8" w:rsidRPr="00A27896" w14:paraId="0EE35468" w14:textId="77777777" w:rsidTr="001F0DE8">
        <w:trPr>
          <w:trHeight w:val="255"/>
        </w:trPr>
        <w:tc>
          <w:tcPr>
            <w:tcW w:w="2459" w:type="dxa"/>
            <w:tcBorders>
              <w:top w:val="single" w:sz="4" w:space="0" w:color="17365D"/>
              <w:bottom w:val="single" w:sz="4" w:space="0" w:color="17365D"/>
            </w:tcBorders>
            <w:shd w:val="clear" w:color="auto" w:fill="auto"/>
            <w:vAlign w:val="center"/>
          </w:tcPr>
          <w:p w14:paraId="44CBD827" w14:textId="77777777" w:rsidR="001F0DE8" w:rsidRPr="00A27896" w:rsidRDefault="001F0DE8" w:rsidP="007E4FC6">
            <w:pPr>
              <w:pStyle w:val="Tabulasteksts"/>
              <w:rPr>
                <w:color w:val="17365D"/>
                <w:sz w:val="18"/>
                <w:szCs w:val="18"/>
                <w:lang w:eastAsia="lv-LV"/>
              </w:rPr>
            </w:pPr>
            <w:r w:rsidRPr="00A27896">
              <w:rPr>
                <w:color w:val="17365D"/>
                <w:sz w:val="18"/>
                <w:szCs w:val="18"/>
              </w:rPr>
              <w:t>Citi izdevumi no pamatdarbības</w:t>
            </w:r>
          </w:p>
        </w:tc>
        <w:tc>
          <w:tcPr>
            <w:tcW w:w="851" w:type="dxa"/>
            <w:tcBorders>
              <w:top w:val="single" w:sz="4" w:space="0" w:color="17365D"/>
              <w:bottom w:val="single" w:sz="4" w:space="0" w:color="17365D"/>
            </w:tcBorders>
            <w:shd w:val="clear" w:color="auto" w:fill="auto"/>
            <w:vAlign w:val="center"/>
          </w:tcPr>
          <w:p w14:paraId="5B3017F3" w14:textId="77777777" w:rsidR="001F0DE8" w:rsidRPr="00A27896" w:rsidRDefault="001F0DE8" w:rsidP="007E4FC6">
            <w:pPr>
              <w:spacing w:after="0" w:line="240" w:lineRule="auto"/>
              <w:jc w:val="right"/>
              <w:rPr>
                <w:rFonts w:cs="Times New Roman"/>
                <w:color w:val="17365D"/>
                <w:sz w:val="18"/>
                <w:szCs w:val="18"/>
              </w:rPr>
            </w:pPr>
          </w:p>
        </w:tc>
        <w:tc>
          <w:tcPr>
            <w:tcW w:w="1559" w:type="dxa"/>
            <w:tcBorders>
              <w:top w:val="single" w:sz="4" w:space="0" w:color="17365D"/>
              <w:bottom w:val="single" w:sz="4" w:space="0" w:color="17365D"/>
            </w:tcBorders>
            <w:shd w:val="clear" w:color="auto" w:fill="auto"/>
            <w:noWrap/>
            <w:vAlign w:val="center"/>
          </w:tcPr>
          <w:p w14:paraId="5F139F90"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6 179 003</w:t>
            </w:r>
          </w:p>
        </w:tc>
        <w:tc>
          <w:tcPr>
            <w:tcW w:w="1559" w:type="dxa"/>
            <w:tcBorders>
              <w:top w:val="single" w:sz="4" w:space="0" w:color="17365D"/>
              <w:bottom w:val="single" w:sz="4" w:space="0" w:color="17365D"/>
            </w:tcBorders>
            <w:shd w:val="clear" w:color="auto" w:fill="auto"/>
            <w:noWrap/>
            <w:vAlign w:val="center"/>
          </w:tcPr>
          <w:p w14:paraId="0EDD52CC"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2 676 009</w:t>
            </w:r>
          </w:p>
        </w:tc>
        <w:tc>
          <w:tcPr>
            <w:tcW w:w="1560" w:type="dxa"/>
            <w:tcBorders>
              <w:top w:val="single" w:sz="4" w:space="0" w:color="17365D"/>
              <w:bottom w:val="single" w:sz="4" w:space="0" w:color="17365D"/>
            </w:tcBorders>
            <w:shd w:val="clear" w:color="auto" w:fill="auto"/>
            <w:noWrap/>
            <w:vAlign w:val="center"/>
          </w:tcPr>
          <w:p w14:paraId="5BBE1CC5" w14:textId="77777777"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3 502 994</w:t>
            </w:r>
          </w:p>
        </w:tc>
        <w:tc>
          <w:tcPr>
            <w:tcW w:w="1309" w:type="dxa"/>
            <w:tcBorders>
              <w:top w:val="single" w:sz="4" w:space="0" w:color="17365D"/>
              <w:bottom w:val="single" w:sz="4" w:space="0" w:color="17365D"/>
            </w:tcBorders>
            <w:shd w:val="clear" w:color="auto" w:fill="auto"/>
            <w:noWrap/>
            <w:vAlign w:val="center"/>
          </w:tcPr>
          <w:p w14:paraId="2762A868" w14:textId="006764C6" w:rsidR="001F0DE8" w:rsidRPr="00A27896" w:rsidRDefault="001F0DE8" w:rsidP="001F0DE8">
            <w:pPr>
              <w:spacing w:after="0" w:line="240" w:lineRule="auto"/>
              <w:jc w:val="right"/>
              <w:rPr>
                <w:rFonts w:cs="Times New Roman"/>
                <w:color w:val="17365D"/>
                <w:sz w:val="18"/>
                <w:szCs w:val="18"/>
              </w:rPr>
            </w:pPr>
            <w:r w:rsidRPr="00A27896">
              <w:rPr>
                <w:rFonts w:cs="Times New Roman"/>
                <w:color w:val="17365D"/>
                <w:sz w:val="18"/>
                <w:szCs w:val="18"/>
              </w:rPr>
              <w:t>130.9</w:t>
            </w:r>
            <w:r w:rsidR="00C26516">
              <w:rPr>
                <w:rFonts w:cs="Times New Roman"/>
                <w:color w:val="17365D"/>
                <w:sz w:val="18"/>
                <w:szCs w:val="18"/>
              </w:rPr>
              <w:t>0</w:t>
            </w:r>
          </w:p>
        </w:tc>
      </w:tr>
      <w:tr w:rsidR="001F0DE8" w:rsidRPr="00A27896" w14:paraId="3C3B94AA" w14:textId="77777777" w:rsidTr="007E4FC6">
        <w:trPr>
          <w:trHeight w:val="255"/>
        </w:trPr>
        <w:tc>
          <w:tcPr>
            <w:tcW w:w="2459" w:type="dxa"/>
            <w:tcBorders>
              <w:top w:val="single" w:sz="4" w:space="0" w:color="17365D"/>
            </w:tcBorders>
            <w:shd w:val="clear" w:color="auto" w:fill="B9CDE5"/>
            <w:vAlign w:val="center"/>
          </w:tcPr>
          <w:p w14:paraId="4229DD38" w14:textId="77777777" w:rsidR="001F0DE8" w:rsidRPr="00A27896" w:rsidRDefault="001F0DE8" w:rsidP="007E4FC6">
            <w:pPr>
              <w:pStyle w:val="Tabulasteksts"/>
              <w:rPr>
                <w:color w:val="17365D"/>
                <w:sz w:val="18"/>
                <w:szCs w:val="18"/>
                <w:lang w:eastAsia="lv-LV"/>
              </w:rPr>
            </w:pPr>
          </w:p>
        </w:tc>
        <w:tc>
          <w:tcPr>
            <w:tcW w:w="851" w:type="dxa"/>
            <w:tcBorders>
              <w:top w:val="single" w:sz="4" w:space="0" w:color="17365D"/>
            </w:tcBorders>
            <w:shd w:val="clear" w:color="auto" w:fill="B9CDE5"/>
            <w:vAlign w:val="center"/>
          </w:tcPr>
          <w:p w14:paraId="5B18731A" w14:textId="77777777" w:rsidR="001F0DE8" w:rsidRPr="00A27896" w:rsidRDefault="001F0DE8" w:rsidP="007E4FC6">
            <w:pPr>
              <w:pStyle w:val="Tabulasteksts"/>
              <w:jc w:val="center"/>
              <w:rPr>
                <w:color w:val="17365D"/>
                <w:sz w:val="18"/>
                <w:szCs w:val="18"/>
                <w:lang w:eastAsia="lv-LV"/>
              </w:rPr>
            </w:pPr>
          </w:p>
        </w:tc>
        <w:tc>
          <w:tcPr>
            <w:tcW w:w="1559" w:type="dxa"/>
            <w:tcBorders>
              <w:top w:val="single" w:sz="4" w:space="0" w:color="17365D"/>
            </w:tcBorders>
            <w:shd w:val="clear" w:color="auto" w:fill="B9CDE5"/>
            <w:noWrap/>
            <w:vAlign w:val="center"/>
          </w:tcPr>
          <w:p w14:paraId="54048A68" w14:textId="77777777" w:rsidR="001F0DE8" w:rsidRPr="00A27896" w:rsidRDefault="001F0DE8" w:rsidP="007E4FC6">
            <w:pPr>
              <w:spacing w:after="0" w:line="240" w:lineRule="auto"/>
              <w:jc w:val="right"/>
              <w:rPr>
                <w:rFonts w:cs="Times New Roman"/>
                <w:color w:val="17365D"/>
                <w:sz w:val="18"/>
                <w:szCs w:val="18"/>
              </w:rPr>
            </w:pPr>
          </w:p>
        </w:tc>
        <w:tc>
          <w:tcPr>
            <w:tcW w:w="1559" w:type="dxa"/>
            <w:tcBorders>
              <w:top w:val="single" w:sz="4" w:space="0" w:color="17365D"/>
            </w:tcBorders>
            <w:shd w:val="clear" w:color="auto" w:fill="B9CDE5"/>
            <w:noWrap/>
            <w:vAlign w:val="center"/>
          </w:tcPr>
          <w:p w14:paraId="4D3E8914" w14:textId="77777777" w:rsidR="001F0DE8" w:rsidRPr="00A27896" w:rsidRDefault="001F0DE8" w:rsidP="007E4FC6">
            <w:pPr>
              <w:spacing w:after="0" w:line="240" w:lineRule="auto"/>
              <w:jc w:val="right"/>
              <w:rPr>
                <w:rFonts w:cs="Times New Roman"/>
                <w:color w:val="17365D"/>
                <w:sz w:val="18"/>
                <w:szCs w:val="18"/>
              </w:rPr>
            </w:pPr>
          </w:p>
        </w:tc>
        <w:tc>
          <w:tcPr>
            <w:tcW w:w="1560" w:type="dxa"/>
            <w:tcBorders>
              <w:top w:val="single" w:sz="4" w:space="0" w:color="17365D"/>
            </w:tcBorders>
            <w:shd w:val="clear" w:color="auto" w:fill="B9CDE5"/>
            <w:noWrap/>
            <w:vAlign w:val="center"/>
          </w:tcPr>
          <w:p w14:paraId="731DA12D" w14:textId="77777777" w:rsidR="001F0DE8" w:rsidRPr="00A27896" w:rsidRDefault="001F0DE8" w:rsidP="007E4FC6">
            <w:pPr>
              <w:spacing w:after="0" w:line="240" w:lineRule="auto"/>
              <w:jc w:val="right"/>
              <w:rPr>
                <w:rFonts w:cs="Times New Roman"/>
                <w:color w:val="17365D"/>
                <w:sz w:val="18"/>
                <w:szCs w:val="18"/>
              </w:rPr>
            </w:pPr>
          </w:p>
        </w:tc>
        <w:tc>
          <w:tcPr>
            <w:tcW w:w="1309" w:type="dxa"/>
            <w:tcBorders>
              <w:top w:val="single" w:sz="4" w:space="0" w:color="17365D"/>
            </w:tcBorders>
            <w:shd w:val="clear" w:color="auto" w:fill="B9CDE5"/>
            <w:noWrap/>
            <w:vAlign w:val="center"/>
          </w:tcPr>
          <w:p w14:paraId="52BD1E2D" w14:textId="77777777" w:rsidR="001F0DE8" w:rsidRPr="00A27896" w:rsidRDefault="001F0DE8" w:rsidP="007E4FC6">
            <w:pPr>
              <w:spacing w:after="0" w:line="240" w:lineRule="auto"/>
              <w:jc w:val="right"/>
              <w:rPr>
                <w:rFonts w:cs="Times New Roman"/>
                <w:color w:val="17365D"/>
                <w:sz w:val="18"/>
                <w:szCs w:val="18"/>
              </w:rPr>
            </w:pPr>
          </w:p>
        </w:tc>
      </w:tr>
    </w:tbl>
    <w:p w14:paraId="6EE15F7F" w14:textId="77777777" w:rsidR="00DB0536" w:rsidRPr="00A27896" w:rsidRDefault="00DB0536" w:rsidP="00387B53">
      <w:pPr>
        <w:pStyle w:val="Pamatteksts"/>
        <w:ind w:firstLine="0"/>
        <w:rPr>
          <w:color w:val="17365D"/>
        </w:rPr>
      </w:pPr>
    </w:p>
    <w:p w14:paraId="325FECBD" w14:textId="024E54D2" w:rsidR="00387B53" w:rsidRPr="00A27896" w:rsidRDefault="00387B53" w:rsidP="001651EB">
      <w:pPr>
        <w:pStyle w:val="Pamatteksts"/>
        <w:spacing w:before="120"/>
        <w:ind w:firstLine="284"/>
        <w:rPr>
          <w:color w:val="17365D"/>
        </w:rPr>
      </w:pPr>
      <w:r w:rsidRPr="00A27896">
        <w:rPr>
          <w:color w:val="17365D"/>
        </w:rPr>
        <w:t xml:space="preserve">Konsolidēto naudas plūsmas </w:t>
      </w:r>
      <w:r w:rsidRPr="00A27896">
        <w:rPr>
          <w:color w:val="17365D"/>
          <w:u w:val="single"/>
        </w:rPr>
        <w:t>ieņēmumu no pamatdarbības</w:t>
      </w:r>
      <w:r w:rsidRPr="00A27896">
        <w:rPr>
          <w:color w:val="17365D"/>
        </w:rPr>
        <w:t xml:space="preserve"> izmaiņas galvenokārt veido:</w:t>
      </w:r>
    </w:p>
    <w:p w14:paraId="48C47259" w14:textId="30830AF5" w:rsidR="00DB0536" w:rsidRPr="00A27896" w:rsidRDefault="00DB0536" w:rsidP="001651EB">
      <w:pPr>
        <w:pStyle w:val="Pamatteksts"/>
        <w:spacing w:before="120"/>
        <w:ind w:left="709" w:hanging="425"/>
        <w:rPr>
          <w:color w:val="17365D"/>
        </w:rPr>
      </w:pPr>
      <w:r w:rsidRPr="00A27896">
        <w:rPr>
          <w:bCs/>
          <w:color w:val="17365D"/>
        </w:rPr>
        <w:t xml:space="preserve">NP.A11. </w:t>
      </w:r>
      <w:r w:rsidR="001651EB" w:rsidRPr="00A27896">
        <w:rPr>
          <w:color w:val="17365D"/>
        </w:rPr>
        <w:t>Nodokļu ieņēmumi.</w:t>
      </w:r>
    </w:p>
    <w:p w14:paraId="3582C096" w14:textId="77777777" w:rsidR="001F0DE8" w:rsidRPr="00A27896" w:rsidRDefault="001F0DE8" w:rsidP="001F0DE8">
      <w:pPr>
        <w:pStyle w:val="Pamatteksts"/>
        <w:ind w:firstLine="284"/>
        <w:rPr>
          <w:color w:val="17365D"/>
        </w:rPr>
      </w:pPr>
      <w:r w:rsidRPr="00A27896">
        <w:rPr>
          <w:color w:val="17365D"/>
        </w:rPr>
        <w:t>Valsts budžeta nodokļu un pašvaldību nodokļu ieņēmumu izpilde, t.sk. informācija par izmaiņām, atklāta 2. sējuma skaidrojumos “Skaidrojums pārskatam par valsts budžeta, no valsts budžeta daļēji finansētu atvasinātu publisku personu budžetu un budžeta nefinansētu iestāžu budžetu izpildi” un “Skaidrojums pārskatam par pašvaldību konsolidētā budžeta izpildi”.</w:t>
      </w:r>
    </w:p>
    <w:p w14:paraId="1430DD9E" w14:textId="77777777" w:rsidR="00C3365D" w:rsidRPr="00A27896" w:rsidRDefault="00C3365D" w:rsidP="00C3365D">
      <w:pPr>
        <w:pStyle w:val="Pamatteksts"/>
        <w:spacing w:before="120"/>
        <w:ind w:firstLine="284"/>
        <w:rPr>
          <w:bCs/>
          <w:color w:val="17365D"/>
        </w:rPr>
      </w:pPr>
      <w:r w:rsidRPr="00A27896">
        <w:rPr>
          <w:bCs/>
          <w:color w:val="17365D"/>
        </w:rPr>
        <w:lastRenderedPageBreak/>
        <w:t>NP.A14. Ārvalstu finanšu palīdzība:</w:t>
      </w:r>
    </w:p>
    <w:p w14:paraId="31B2C0E1" w14:textId="5A19CD5D" w:rsidR="00C3365D" w:rsidRPr="00A27896" w:rsidRDefault="00C3365D" w:rsidP="0057470D">
      <w:pPr>
        <w:pStyle w:val="Pamatteksts"/>
        <w:numPr>
          <w:ilvl w:val="0"/>
          <w:numId w:val="38"/>
        </w:numPr>
        <w:spacing w:before="120"/>
        <w:ind w:left="851"/>
        <w:rPr>
          <w:bCs/>
          <w:color w:val="17365D"/>
        </w:rPr>
      </w:pPr>
      <w:r w:rsidRPr="00A27896">
        <w:rPr>
          <w:bCs/>
          <w:color w:val="17365D"/>
        </w:rPr>
        <w:t>lielākais pieaugums šajā pozīcijā veidojas valsts budžeta finanšu uzskaitē par ieņēmumiem no ES</w:t>
      </w:r>
      <w:r w:rsidR="00460497" w:rsidRPr="00A27896">
        <w:rPr>
          <w:bCs/>
          <w:color w:val="17365D"/>
        </w:rPr>
        <w:t xml:space="preserve"> </w:t>
      </w:r>
      <w:r w:rsidRPr="00A27896">
        <w:rPr>
          <w:bCs/>
          <w:color w:val="17365D"/>
        </w:rPr>
        <w:t>strukturālajiem un investīciju fondiem un ES kopējās lauksaimniecības politikas īstenošanas instrumentiem 109 625 449 </w:t>
      </w:r>
      <w:r w:rsidRPr="00A27896">
        <w:rPr>
          <w:bCs/>
          <w:i/>
          <w:color w:val="17365D"/>
        </w:rPr>
        <w:t>euro</w:t>
      </w:r>
      <w:r w:rsidRPr="00A27896">
        <w:rPr>
          <w:bCs/>
          <w:color w:val="17365D"/>
        </w:rPr>
        <w:t xml:space="preserve"> vērtībā;</w:t>
      </w:r>
    </w:p>
    <w:p w14:paraId="319E4058" w14:textId="04FC11E9" w:rsidR="00C3365D" w:rsidRPr="00A27896" w:rsidRDefault="00C3365D" w:rsidP="0057470D">
      <w:pPr>
        <w:pStyle w:val="Pamatteksts"/>
        <w:numPr>
          <w:ilvl w:val="0"/>
          <w:numId w:val="38"/>
        </w:numPr>
        <w:spacing w:before="120"/>
        <w:ind w:left="851" w:hanging="357"/>
        <w:rPr>
          <w:bCs/>
          <w:color w:val="17365D"/>
        </w:rPr>
      </w:pPr>
      <w:r w:rsidRPr="00A27896">
        <w:rPr>
          <w:bCs/>
          <w:color w:val="17365D"/>
        </w:rPr>
        <w:t xml:space="preserve">būtisks pieaugums Aizsardzības ministrijai par saņemtajiem ārvalstu finanšu palīdzības līdzekļiem citu budžetu līdzekļu kontā </w:t>
      </w:r>
      <w:r w:rsidR="00BF46B4" w:rsidRPr="00A27896">
        <w:rPr>
          <w:bCs/>
          <w:color w:val="17365D"/>
        </w:rPr>
        <w:t xml:space="preserve">(līdz to ieplānošanai valsts budžetā) </w:t>
      </w:r>
      <w:r w:rsidRPr="00A27896">
        <w:rPr>
          <w:bCs/>
          <w:color w:val="17365D"/>
        </w:rPr>
        <w:t>34 007 809 </w:t>
      </w:r>
      <w:r w:rsidRPr="00A27896">
        <w:rPr>
          <w:bCs/>
          <w:i/>
          <w:color w:val="17365D"/>
        </w:rPr>
        <w:t>euro</w:t>
      </w:r>
      <w:r w:rsidRPr="00A27896">
        <w:rPr>
          <w:bCs/>
          <w:color w:val="17365D"/>
        </w:rPr>
        <w:t xml:space="preserve"> vērtībā;</w:t>
      </w:r>
    </w:p>
    <w:p w14:paraId="1F174A2F" w14:textId="6606748E" w:rsidR="00C3365D" w:rsidRPr="00A27896" w:rsidRDefault="00C3365D" w:rsidP="0057470D">
      <w:pPr>
        <w:pStyle w:val="Pamatteksts"/>
        <w:numPr>
          <w:ilvl w:val="0"/>
          <w:numId w:val="38"/>
        </w:numPr>
        <w:spacing w:before="120"/>
        <w:ind w:left="851"/>
        <w:rPr>
          <w:bCs/>
          <w:color w:val="17365D"/>
        </w:rPr>
      </w:pPr>
      <w:r w:rsidRPr="00A27896">
        <w:rPr>
          <w:bCs/>
          <w:color w:val="17365D"/>
        </w:rPr>
        <w:t xml:space="preserve">Iekšlietu ministrijai palielinājušies ārvalstu finanšu palīdzības ieņēmumi citos budžetos </w:t>
      </w:r>
      <w:r w:rsidR="00BF46B4" w:rsidRPr="00A27896">
        <w:rPr>
          <w:bCs/>
          <w:color w:val="17365D"/>
        </w:rPr>
        <w:t xml:space="preserve">(līdz to ieplānošanai valsts budžetā) </w:t>
      </w:r>
      <w:r w:rsidRPr="00A27896">
        <w:rPr>
          <w:bCs/>
          <w:color w:val="17365D"/>
        </w:rPr>
        <w:t xml:space="preserve">atmaksām valsts budžetam 7 800 000 </w:t>
      </w:r>
      <w:r w:rsidRPr="00A27896">
        <w:rPr>
          <w:bCs/>
          <w:i/>
          <w:color w:val="17365D"/>
        </w:rPr>
        <w:t>euro</w:t>
      </w:r>
      <w:r w:rsidRPr="00A27896">
        <w:rPr>
          <w:bCs/>
          <w:color w:val="17365D"/>
        </w:rPr>
        <w:t xml:space="preserve"> vērtībā par saņemto Patvēruma, migrācijas un integrācijas fonda Tematiskā mehānisma Ārkārtas palīdzības finanšu instrumenta finansējumu, 22 262 137 </w:t>
      </w:r>
      <w:r w:rsidRPr="00A27896">
        <w:rPr>
          <w:bCs/>
          <w:i/>
          <w:color w:val="17365D"/>
        </w:rPr>
        <w:t>euro</w:t>
      </w:r>
      <w:r w:rsidRPr="00A27896">
        <w:rPr>
          <w:bCs/>
          <w:color w:val="17365D"/>
        </w:rPr>
        <w:t xml:space="preserve"> vērtībā par Iekšējās drošības</w:t>
      </w:r>
      <w:r w:rsidR="00BF46B4" w:rsidRPr="00A27896">
        <w:rPr>
          <w:bCs/>
          <w:color w:val="17365D"/>
        </w:rPr>
        <w:t xml:space="preserve"> fonda</w:t>
      </w:r>
      <w:r w:rsidRPr="00A27896">
        <w:rPr>
          <w:bCs/>
          <w:color w:val="17365D"/>
        </w:rPr>
        <w:t xml:space="preserve"> un Patvēruma, migrācijas un integrācijas fonda projektu ietvaros veiktajiem izdevumiem;</w:t>
      </w:r>
    </w:p>
    <w:p w14:paraId="5B85BB39" w14:textId="42B68123" w:rsidR="00C3365D" w:rsidRPr="00A27896" w:rsidRDefault="00C3365D" w:rsidP="0057470D">
      <w:pPr>
        <w:pStyle w:val="Pamatteksts"/>
        <w:numPr>
          <w:ilvl w:val="0"/>
          <w:numId w:val="38"/>
        </w:numPr>
        <w:spacing w:before="120"/>
        <w:ind w:left="851"/>
        <w:rPr>
          <w:bCs/>
          <w:color w:val="17365D"/>
        </w:rPr>
      </w:pPr>
      <w:r w:rsidRPr="00A27896">
        <w:rPr>
          <w:bCs/>
          <w:color w:val="17365D"/>
        </w:rPr>
        <w:t>Izglītības un zinātnes ministrijai palielinājums saistīts ar citu ES politiku instrumentu līdzfinansēto projektu un pasākumu īstenošanu, t.sk. par Erasmus+ projektu īstenošanu 12 515 925 </w:t>
      </w:r>
      <w:r w:rsidRPr="00A27896">
        <w:rPr>
          <w:bCs/>
          <w:i/>
          <w:color w:val="17365D"/>
        </w:rPr>
        <w:t>euro</w:t>
      </w:r>
      <w:r w:rsidRPr="00A27896">
        <w:rPr>
          <w:bCs/>
          <w:color w:val="17365D"/>
        </w:rPr>
        <w:t xml:space="preserve"> vērtībā.</w:t>
      </w:r>
    </w:p>
    <w:p w14:paraId="346C64DB" w14:textId="77777777" w:rsidR="00C3365D" w:rsidRPr="00A27896" w:rsidRDefault="00C3365D" w:rsidP="00C3365D">
      <w:pPr>
        <w:pStyle w:val="Pamatteksts"/>
        <w:spacing w:before="120"/>
        <w:ind w:firstLine="284"/>
        <w:rPr>
          <w:bCs/>
          <w:color w:val="17365D"/>
        </w:rPr>
      </w:pPr>
      <w:r w:rsidRPr="00A27896">
        <w:rPr>
          <w:bCs/>
          <w:color w:val="17365D"/>
        </w:rPr>
        <w:t>NP.A19. Citi ieņēmumi no pamatdarbības:</w:t>
      </w:r>
    </w:p>
    <w:p w14:paraId="302CC033" w14:textId="58CC1EF2" w:rsidR="008B1C58" w:rsidRPr="00A27896" w:rsidRDefault="008B1C58" w:rsidP="0057470D">
      <w:pPr>
        <w:pStyle w:val="Pamatteksts"/>
        <w:numPr>
          <w:ilvl w:val="0"/>
          <w:numId w:val="38"/>
        </w:numPr>
        <w:spacing w:before="120"/>
        <w:ind w:left="851"/>
        <w:rPr>
          <w:bCs/>
          <w:color w:val="17365D"/>
        </w:rPr>
      </w:pPr>
      <w:r w:rsidRPr="00A27896">
        <w:rPr>
          <w:bCs/>
          <w:color w:val="17365D"/>
        </w:rPr>
        <w:t xml:space="preserve">lielākais samazinājums (139 960 139) </w:t>
      </w:r>
      <w:r w:rsidRPr="00A27896">
        <w:rPr>
          <w:bCs/>
          <w:i/>
          <w:color w:val="17365D"/>
        </w:rPr>
        <w:t>euro</w:t>
      </w:r>
      <w:r w:rsidRPr="00A27896">
        <w:rPr>
          <w:bCs/>
          <w:color w:val="17365D"/>
        </w:rPr>
        <w:t xml:space="preserve"> vērtībā atzīts valsts budžeta finanšu uzskait</w:t>
      </w:r>
      <w:r w:rsidR="00304946">
        <w:rPr>
          <w:bCs/>
          <w:color w:val="17365D"/>
        </w:rPr>
        <w:t>ē, ko galvenokārt veidoja 2021. </w:t>
      </w:r>
      <w:r w:rsidRPr="00A27896">
        <w:rPr>
          <w:bCs/>
          <w:color w:val="17365D"/>
        </w:rPr>
        <w:t>gadā valsts budžetā saņemtie maksājumi par valsts galvotiem un aizņēmēju vietā aizdevējam atmaksātiem aizdevumiem no piecām medicīnas iestādēm.</w:t>
      </w:r>
    </w:p>
    <w:p w14:paraId="3D65F5A8" w14:textId="303F83F2" w:rsidR="00C3365D" w:rsidRPr="00A27896" w:rsidRDefault="00C3365D" w:rsidP="00C3365D">
      <w:pPr>
        <w:pStyle w:val="Pamatteksts"/>
        <w:spacing w:before="120"/>
        <w:rPr>
          <w:bCs/>
          <w:color w:val="17365D"/>
        </w:rPr>
      </w:pPr>
      <w:r w:rsidRPr="00A27896">
        <w:rPr>
          <w:bCs/>
          <w:color w:val="17365D"/>
        </w:rPr>
        <w:t>Saskaņā ar ministriju, centrālo valsts iestāžu un pašvaldību sniegto informāciju (53.tabulā) būtiskāko citu ieņēmumu no pamatdarbības summu veido saņemtie citu budžetu līdzekļi, kas uz laiku ir iestādes glabājumā</w:t>
      </w:r>
      <w:r w:rsidR="008B1C58" w:rsidRPr="00A27896">
        <w:rPr>
          <w:bCs/>
          <w:color w:val="17365D"/>
        </w:rPr>
        <w:t xml:space="preserve"> 5 507 349 </w:t>
      </w:r>
      <w:r w:rsidR="008B1C58" w:rsidRPr="00A27896">
        <w:rPr>
          <w:bCs/>
          <w:i/>
          <w:color w:val="17365D"/>
        </w:rPr>
        <w:t xml:space="preserve">euro </w:t>
      </w:r>
      <w:r w:rsidR="008B1C58" w:rsidRPr="00A27896">
        <w:rPr>
          <w:bCs/>
          <w:color w:val="17365D"/>
        </w:rPr>
        <w:t>vērtībā</w:t>
      </w:r>
      <w:r w:rsidRPr="00A27896">
        <w:rPr>
          <w:bCs/>
          <w:color w:val="17365D"/>
        </w:rPr>
        <w:t>.</w:t>
      </w:r>
    </w:p>
    <w:p w14:paraId="21FEBE45" w14:textId="0B13554A" w:rsidR="00387B53" w:rsidRPr="00A27896" w:rsidRDefault="00387B53" w:rsidP="00387B53">
      <w:pPr>
        <w:pStyle w:val="Tabulasnosaukums"/>
        <w:spacing w:before="0"/>
        <w:ind w:left="720"/>
        <w:rPr>
          <w:rFonts w:eastAsia="Arial Unicode MS"/>
          <w:color w:val="17365D"/>
          <w:szCs w:val="20"/>
        </w:rPr>
      </w:pPr>
      <w:r w:rsidRPr="00A27896">
        <w:rPr>
          <w:rFonts w:eastAsia="Arial Unicode MS"/>
          <w:color w:val="17365D"/>
          <w:szCs w:val="20"/>
        </w:rPr>
        <w:t>5</w:t>
      </w:r>
      <w:r w:rsidR="006C1AA7" w:rsidRPr="00A27896">
        <w:rPr>
          <w:rFonts w:eastAsia="Arial Unicode MS"/>
          <w:color w:val="17365D"/>
          <w:szCs w:val="20"/>
        </w:rPr>
        <w:t>3</w:t>
      </w:r>
      <w:r w:rsidRPr="00A27896">
        <w:rPr>
          <w:rFonts w:eastAsia="Arial Unicode MS"/>
          <w:color w:val="17365D"/>
          <w:szCs w:val="20"/>
        </w:rPr>
        <w:t>. tabula. NP.A19. Citi ieņēmumi no pamatdarbības (euro)</w:t>
      </w:r>
    </w:p>
    <w:tbl>
      <w:tblPr>
        <w:tblW w:w="4999" w:type="pct"/>
        <w:tblInd w:w="5" w:type="dxa"/>
        <w:tblBorders>
          <w:top w:val="single" w:sz="4" w:space="0" w:color="auto"/>
          <w:bottom w:val="single" w:sz="4" w:space="0" w:color="auto"/>
          <w:insideH w:val="single" w:sz="4" w:space="0" w:color="000000"/>
        </w:tblBorders>
        <w:tblLook w:val="04A0" w:firstRow="1" w:lastRow="0" w:firstColumn="1" w:lastColumn="0" w:noHBand="0" w:noVBand="1"/>
      </w:tblPr>
      <w:tblGrid>
        <w:gridCol w:w="6189"/>
        <w:gridCol w:w="1602"/>
        <w:gridCol w:w="1561"/>
      </w:tblGrid>
      <w:tr w:rsidR="00C3365D" w:rsidRPr="00A27896" w14:paraId="3C767353" w14:textId="77777777" w:rsidTr="00100EA1">
        <w:trPr>
          <w:trHeight w:val="515"/>
        </w:trPr>
        <w:tc>
          <w:tcPr>
            <w:tcW w:w="6190" w:type="dxa"/>
            <w:tcBorders>
              <w:top w:val="nil"/>
              <w:bottom w:val="single" w:sz="4" w:space="0" w:color="17365D"/>
            </w:tcBorders>
            <w:shd w:val="clear" w:color="auto" w:fill="B8CCE4" w:themeFill="accent1" w:themeFillTint="66"/>
            <w:vAlign w:val="center"/>
            <w:hideMark/>
          </w:tcPr>
          <w:p w14:paraId="37003134" w14:textId="77777777" w:rsidR="00C3365D" w:rsidRPr="00A27896" w:rsidRDefault="00C3365D" w:rsidP="007E4FC6">
            <w:pPr>
              <w:spacing w:after="0" w:line="240" w:lineRule="auto"/>
              <w:jc w:val="center"/>
              <w:rPr>
                <w:rFonts w:cs="Times New Roman"/>
                <w:b/>
                <w:bCs/>
                <w:noProof/>
                <w:color w:val="17365D"/>
                <w:sz w:val="18"/>
                <w:szCs w:val="18"/>
                <w:lang w:eastAsia="lv-LV"/>
              </w:rPr>
            </w:pPr>
            <w:r w:rsidRPr="00A27896">
              <w:rPr>
                <w:rFonts w:cs="Times New Roman"/>
                <w:b/>
                <w:bCs/>
                <w:noProof/>
                <w:color w:val="17365D"/>
                <w:sz w:val="18"/>
                <w:szCs w:val="18"/>
                <w:lang w:eastAsia="lv-LV"/>
              </w:rPr>
              <w:t>Darījuma apraksts</w:t>
            </w:r>
          </w:p>
        </w:tc>
        <w:tc>
          <w:tcPr>
            <w:tcW w:w="1602" w:type="dxa"/>
            <w:tcBorders>
              <w:top w:val="nil"/>
              <w:bottom w:val="single" w:sz="4" w:space="0" w:color="17365D"/>
            </w:tcBorders>
            <w:shd w:val="clear" w:color="auto" w:fill="B8CCE4" w:themeFill="accent1" w:themeFillTint="66"/>
            <w:vAlign w:val="center"/>
            <w:hideMark/>
          </w:tcPr>
          <w:p w14:paraId="1D6C74BB" w14:textId="77777777" w:rsidR="00C3365D" w:rsidRPr="00A27896" w:rsidRDefault="00C3365D" w:rsidP="00C3365D">
            <w:pPr>
              <w:spacing w:after="0" w:line="240" w:lineRule="auto"/>
              <w:jc w:val="center"/>
              <w:rPr>
                <w:rFonts w:cs="Times New Roman"/>
                <w:b/>
                <w:bCs/>
                <w:noProof/>
                <w:color w:val="17365D"/>
                <w:sz w:val="18"/>
                <w:szCs w:val="18"/>
                <w:lang w:eastAsia="lv-LV"/>
              </w:rPr>
            </w:pPr>
            <w:r w:rsidRPr="00A27896">
              <w:rPr>
                <w:rFonts w:cs="Times New Roman"/>
                <w:b/>
                <w:bCs/>
                <w:noProof/>
                <w:color w:val="17365D"/>
                <w:sz w:val="18"/>
                <w:szCs w:val="18"/>
                <w:lang w:eastAsia="lv-LV"/>
              </w:rPr>
              <w:t>Pārskata periodā</w:t>
            </w:r>
          </w:p>
        </w:tc>
        <w:tc>
          <w:tcPr>
            <w:tcW w:w="1561" w:type="dxa"/>
            <w:tcBorders>
              <w:top w:val="nil"/>
              <w:bottom w:val="single" w:sz="4" w:space="0" w:color="17365D"/>
            </w:tcBorders>
            <w:shd w:val="clear" w:color="auto" w:fill="B8CCE4" w:themeFill="accent1" w:themeFillTint="66"/>
            <w:vAlign w:val="center"/>
          </w:tcPr>
          <w:p w14:paraId="64C6DF6E" w14:textId="77777777" w:rsidR="00C3365D" w:rsidRPr="00A27896" w:rsidRDefault="00C3365D" w:rsidP="00C3365D">
            <w:pPr>
              <w:spacing w:after="0" w:line="240" w:lineRule="auto"/>
              <w:jc w:val="center"/>
              <w:rPr>
                <w:rFonts w:cs="Times New Roman"/>
                <w:b/>
                <w:bCs/>
                <w:noProof/>
                <w:color w:val="17365D"/>
                <w:sz w:val="18"/>
                <w:szCs w:val="18"/>
                <w:lang w:eastAsia="lv-LV"/>
              </w:rPr>
            </w:pPr>
            <w:r w:rsidRPr="00A27896">
              <w:rPr>
                <w:rFonts w:cs="Times New Roman"/>
                <w:b/>
                <w:bCs/>
                <w:noProof/>
                <w:color w:val="17365D"/>
                <w:sz w:val="18"/>
                <w:szCs w:val="18"/>
                <w:lang w:eastAsia="lv-LV"/>
              </w:rPr>
              <w:t>Iepriekšējā pārskata periodā</w:t>
            </w:r>
          </w:p>
        </w:tc>
      </w:tr>
      <w:tr w:rsidR="00C3365D" w:rsidRPr="00A27896" w14:paraId="7D3719D5" w14:textId="77777777" w:rsidTr="00100EA1">
        <w:trPr>
          <w:trHeight w:val="255"/>
        </w:trPr>
        <w:tc>
          <w:tcPr>
            <w:tcW w:w="6190" w:type="dxa"/>
            <w:tcBorders>
              <w:top w:val="single" w:sz="4" w:space="0" w:color="17365D"/>
              <w:bottom w:val="single" w:sz="4" w:space="0" w:color="17365D"/>
            </w:tcBorders>
            <w:shd w:val="clear" w:color="auto" w:fill="auto"/>
            <w:vAlign w:val="center"/>
            <w:hideMark/>
          </w:tcPr>
          <w:p w14:paraId="2733145D" w14:textId="77777777" w:rsidR="00C3365D" w:rsidRPr="00A27896" w:rsidRDefault="00C3365D" w:rsidP="007E4FC6">
            <w:pPr>
              <w:spacing w:after="0" w:line="240" w:lineRule="auto"/>
              <w:jc w:val="center"/>
              <w:rPr>
                <w:rFonts w:cs="Times New Roman"/>
                <w:b/>
                <w:bCs/>
                <w:noProof/>
                <w:color w:val="17365D"/>
                <w:sz w:val="18"/>
                <w:szCs w:val="18"/>
                <w:lang w:eastAsia="lv-LV"/>
              </w:rPr>
            </w:pPr>
            <w:r w:rsidRPr="00A27896">
              <w:rPr>
                <w:rFonts w:cs="Times New Roman"/>
                <w:b/>
                <w:bCs/>
                <w:noProof/>
                <w:color w:val="17365D"/>
                <w:sz w:val="18"/>
                <w:szCs w:val="18"/>
                <w:lang w:eastAsia="lv-LV"/>
              </w:rPr>
              <w:t>A</w:t>
            </w:r>
          </w:p>
        </w:tc>
        <w:tc>
          <w:tcPr>
            <w:tcW w:w="1602" w:type="dxa"/>
            <w:tcBorders>
              <w:top w:val="single" w:sz="4" w:space="0" w:color="17365D"/>
              <w:bottom w:val="single" w:sz="4" w:space="0" w:color="17365D"/>
            </w:tcBorders>
            <w:shd w:val="clear" w:color="auto" w:fill="auto"/>
            <w:vAlign w:val="center"/>
            <w:hideMark/>
          </w:tcPr>
          <w:p w14:paraId="6DA10C20" w14:textId="77777777" w:rsidR="00C3365D" w:rsidRPr="00A27896" w:rsidRDefault="00C3365D" w:rsidP="007E4FC6">
            <w:pPr>
              <w:spacing w:after="0" w:line="240" w:lineRule="auto"/>
              <w:jc w:val="center"/>
              <w:rPr>
                <w:rFonts w:cs="Times New Roman"/>
                <w:b/>
                <w:bCs/>
                <w:noProof/>
                <w:color w:val="17365D"/>
                <w:sz w:val="18"/>
                <w:szCs w:val="18"/>
                <w:lang w:eastAsia="lv-LV"/>
              </w:rPr>
            </w:pPr>
            <w:r w:rsidRPr="00A27896">
              <w:rPr>
                <w:rFonts w:cs="Times New Roman"/>
                <w:b/>
                <w:bCs/>
                <w:noProof/>
                <w:color w:val="17365D"/>
                <w:sz w:val="18"/>
                <w:szCs w:val="18"/>
                <w:lang w:eastAsia="lv-LV"/>
              </w:rPr>
              <w:t>1</w:t>
            </w:r>
          </w:p>
        </w:tc>
        <w:tc>
          <w:tcPr>
            <w:tcW w:w="1561" w:type="dxa"/>
            <w:tcBorders>
              <w:top w:val="single" w:sz="4" w:space="0" w:color="17365D"/>
              <w:bottom w:val="single" w:sz="4" w:space="0" w:color="17365D"/>
            </w:tcBorders>
          </w:tcPr>
          <w:p w14:paraId="565B0762" w14:textId="65B2D316" w:rsidR="00C3365D" w:rsidRPr="00A27896" w:rsidRDefault="003E0A80" w:rsidP="007E4FC6">
            <w:pPr>
              <w:spacing w:after="0" w:line="240" w:lineRule="auto"/>
              <w:jc w:val="center"/>
              <w:rPr>
                <w:rFonts w:cs="Times New Roman"/>
                <w:b/>
                <w:bCs/>
                <w:noProof/>
                <w:color w:val="17365D"/>
                <w:sz w:val="18"/>
                <w:szCs w:val="18"/>
                <w:lang w:eastAsia="lv-LV"/>
              </w:rPr>
            </w:pPr>
            <w:r>
              <w:rPr>
                <w:rFonts w:cs="Times New Roman"/>
                <w:b/>
                <w:bCs/>
                <w:noProof/>
                <w:color w:val="17365D"/>
                <w:sz w:val="18"/>
                <w:szCs w:val="18"/>
                <w:lang w:eastAsia="lv-LV"/>
              </w:rPr>
              <w:t>2</w:t>
            </w:r>
          </w:p>
        </w:tc>
      </w:tr>
      <w:tr w:rsidR="00C3365D" w:rsidRPr="00A27896" w14:paraId="1BEEDC4E" w14:textId="77777777" w:rsidTr="00100EA1">
        <w:trPr>
          <w:trHeight w:val="469"/>
        </w:trPr>
        <w:tc>
          <w:tcPr>
            <w:tcW w:w="6190" w:type="dxa"/>
            <w:tcBorders>
              <w:top w:val="single" w:sz="4" w:space="0" w:color="17365D"/>
              <w:bottom w:val="single" w:sz="4" w:space="0" w:color="17365D"/>
            </w:tcBorders>
            <w:shd w:val="clear" w:color="F2F2F2" w:fill="FFFFFF"/>
            <w:vAlign w:val="center"/>
          </w:tcPr>
          <w:p w14:paraId="45E6FB69" w14:textId="77777777" w:rsidR="00C3365D" w:rsidRPr="00A27896" w:rsidRDefault="00C3365D" w:rsidP="006527E7">
            <w:pPr>
              <w:spacing w:after="0" w:line="240" w:lineRule="auto"/>
              <w:rPr>
                <w:rFonts w:cs="Times New Roman"/>
                <w:bCs/>
                <w:noProof/>
                <w:color w:val="17365D"/>
                <w:sz w:val="18"/>
                <w:szCs w:val="18"/>
                <w:lang w:eastAsia="lv-LV"/>
              </w:rPr>
            </w:pPr>
            <w:r w:rsidRPr="00A27896">
              <w:rPr>
                <w:rFonts w:cs="Times New Roman"/>
                <w:bCs/>
                <w:noProof/>
                <w:color w:val="17365D"/>
                <w:sz w:val="18"/>
                <w:szCs w:val="18"/>
                <w:lang w:eastAsia="lv-LV"/>
              </w:rPr>
              <w:t>Citu budžetu līdzekļi, kas uz laiku ir iestādes glabājumā (konkursa vai drošības nauda, vēlēšanu drošības nauda, sociālās aprūpes iestādēs dzīvojošo pensijas, atsavinātie līdzekļi no aizturētajām personām un ieņēmumi par mantas realizāciju no krimināllietām un administratīvo pārkāpumu lietām līdz tiesas lēmumam, ieslodzīto un citu personu personīgā nauda, drošības nauda par kasācijas sūdzību) un nav pieejami iestādei lietošanai</w:t>
            </w:r>
          </w:p>
        </w:tc>
        <w:tc>
          <w:tcPr>
            <w:tcW w:w="1602" w:type="dxa"/>
            <w:tcBorders>
              <w:top w:val="single" w:sz="4" w:space="0" w:color="17365D"/>
              <w:bottom w:val="single" w:sz="4" w:space="0" w:color="17365D"/>
            </w:tcBorders>
            <w:shd w:val="clear" w:color="F2F2F2" w:fill="FFFFFF"/>
            <w:vAlign w:val="center"/>
          </w:tcPr>
          <w:p w14:paraId="4947CEE0" w14:textId="77777777" w:rsidR="00C3365D" w:rsidRPr="00A27896" w:rsidRDefault="00C3365D" w:rsidP="007E4FC6">
            <w:pPr>
              <w:spacing w:after="0" w:line="240" w:lineRule="auto"/>
              <w:jc w:val="right"/>
              <w:rPr>
                <w:rFonts w:cs="Times New Roman"/>
                <w:bCs/>
                <w:noProof/>
                <w:color w:val="17365D"/>
                <w:sz w:val="18"/>
                <w:szCs w:val="18"/>
                <w:lang w:eastAsia="lv-LV"/>
              </w:rPr>
            </w:pPr>
            <w:r w:rsidRPr="00A27896">
              <w:rPr>
                <w:rFonts w:cs="Times New Roman"/>
                <w:bCs/>
                <w:noProof/>
                <w:color w:val="17365D"/>
                <w:sz w:val="18"/>
                <w:szCs w:val="18"/>
                <w:lang w:eastAsia="lv-LV"/>
              </w:rPr>
              <w:t>5 507 349</w:t>
            </w:r>
          </w:p>
        </w:tc>
        <w:tc>
          <w:tcPr>
            <w:tcW w:w="1561" w:type="dxa"/>
            <w:tcBorders>
              <w:top w:val="single" w:sz="4" w:space="0" w:color="17365D"/>
              <w:bottom w:val="single" w:sz="4" w:space="0" w:color="17365D"/>
            </w:tcBorders>
            <w:shd w:val="clear" w:color="F2F2F2" w:fill="FFFFFF"/>
            <w:vAlign w:val="center"/>
          </w:tcPr>
          <w:p w14:paraId="62D83825" w14:textId="77777777" w:rsidR="00C3365D" w:rsidRPr="00A27896" w:rsidRDefault="00C3365D" w:rsidP="007E4FC6">
            <w:pPr>
              <w:spacing w:after="0" w:line="240" w:lineRule="auto"/>
              <w:jc w:val="right"/>
              <w:rPr>
                <w:rFonts w:cs="Times New Roman"/>
                <w:bCs/>
                <w:noProof/>
                <w:color w:val="17365D"/>
                <w:sz w:val="18"/>
                <w:szCs w:val="18"/>
                <w:lang w:eastAsia="lv-LV"/>
              </w:rPr>
            </w:pPr>
            <w:r w:rsidRPr="00A27896">
              <w:rPr>
                <w:rFonts w:cs="Times New Roman"/>
                <w:bCs/>
                <w:noProof/>
                <w:color w:val="17365D"/>
                <w:sz w:val="18"/>
                <w:szCs w:val="18"/>
                <w:lang w:eastAsia="lv-LV"/>
              </w:rPr>
              <w:t>21 130 850</w:t>
            </w:r>
          </w:p>
        </w:tc>
      </w:tr>
      <w:tr w:rsidR="00C3365D" w:rsidRPr="00A27896" w14:paraId="41811965" w14:textId="77777777" w:rsidTr="00100EA1">
        <w:trPr>
          <w:trHeight w:val="469"/>
        </w:trPr>
        <w:tc>
          <w:tcPr>
            <w:tcW w:w="6190" w:type="dxa"/>
            <w:tcBorders>
              <w:top w:val="single" w:sz="4" w:space="0" w:color="17365D"/>
              <w:bottom w:val="single" w:sz="4" w:space="0" w:color="17365D"/>
            </w:tcBorders>
            <w:shd w:val="clear" w:color="F2F2F2" w:fill="FFFFFF"/>
            <w:vAlign w:val="center"/>
          </w:tcPr>
          <w:p w14:paraId="35864F4A" w14:textId="77777777" w:rsidR="00C3365D" w:rsidRPr="00A27896" w:rsidRDefault="00C3365D" w:rsidP="006527E7">
            <w:pPr>
              <w:spacing w:after="0" w:line="240" w:lineRule="auto"/>
              <w:rPr>
                <w:rFonts w:cs="Times New Roman"/>
                <w:bCs/>
                <w:noProof/>
                <w:color w:val="17365D"/>
                <w:sz w:val="18"/>
                <w:szCs w:val="18"/>
                <w:lang w:eastAsia="lv-LV"/>
              </w:rPr>
            </w:pPr>
            <w:r w:rsidRPr="00A27896">
              <w:rPr>
                <w:rFonts w:cs="Times New Roman"/>
                <w:bCs/>
                <w:noProof/>
                <w:color w:val="17365D"/>
                <w:sz w:val="18"/>
                <w:szCs w:val="18"/>
                <w:lang w:eastAsia="lv-LV"/>
              </w:rPr>
              <w:t>SIA “REAP” maksājums valsts budžetā saskaņā ar noslēgto cesijas līgumu par prasījuma tiesību pret “Reverta” cedēšanu.</w:t>
            </w:r>
          </w:p>
        </w:tc>
        <w:tc>
          <w:tcPr>
            <w:tcW w:w="1602" w:type="dxa"/>
            <w:tcBorders>
              <w:top w:val="single" w:sz="4" w:space="0" w:color="17365D"/>
              <w:bottom w:val="single" w:sz="4" w:space="0" w:color="17365D"/>
            </w:tcBorders>
            <w:shd w:val="clear" w:color="F2F2F2" w:fill="FFFFFF"/>
            <w:vAlign w:val="center"/>
          </w:tcPr>
          <w:p w14:paraId="7C9C9123" w14:textId="77777777" w:rsidR="00C3365D" w:rsidRPr="00A27896" w:rsidRDefault="00C3365D" w:rsidP="007E4FC6">
            <w:pPr>
              <w:spacing w:after="0" w:line="240" w:lineRule="auto"/>
              <w:jc w:val="right"/>
              <w:rPr>
                <w:rFonts w:cs="Times New Roman"/>
                <w:bCs/>
                <w:noProof/>
                <w:color w:val="17365D"/>
                <w:sz w:val="18"/>
                <w:szCs w:val="18"/>
                <w:lang w:eastAsia="lv-LV"/>
              </w:rPr>
            </w:pPr>
            <w:r w:rsidRPr="00A27896">
              <w:rPr>
                <w:rFonts w:cs="Times New Roman"/>
                <w:bCs/>
                <w:noProof/>
                <w:color w:val="17365D"/>
                <w:sz w:val="18"/>
                <w:szCs w:val="18"/>
                <w:lang w:eastAsia="lv-LV"/>
              </w:rPr>
              <w:t>0</w:t>
            </w:r>
          </w:p>
        </w:tc>
        <w:tc>
          <w:tcPr>
            <w:tcW w:w="1561" w:type="dxa"/>
            <w:tcBorders>
              <w:top w:val="single" w:sz="4" w:space="0" w:color="17365D"/>
              <w:bottom w:val="single" w:sz="4" w:space="0" w:color="17365D"/>
            </w:tcBorders>
            <w:shd w:val="clear" w:color="F2F2F2" w:fill="FFFFFF"/>
            <w:vAlign w:val="center"/>
          </w:tcPr>
          <w:p w14:paraId="1D78E1F4" w14:textId="77777777" w:rsidR="00C3365D" w:rsidRPr="00A27896" w:rsidRDefault="00C3365D" w:rsidP="007E4FC6">
            <w:pPr>
              <w:spacing w:after="0" w:line="240" w:lineRule="auto"/>
              <w:jc w:val="right"/>
              <w:rPr>
                <w:rFonts w:cs="Times New Roman"/>
                <w:bCs/>
                <w:noProof/>
                <w:color w:val="17365D"/>
                <w:sz w:val="18"/>
                <w:szCs w:val="18"/>
                <w:lang w:eastAsia="lv-LV"/>
              </w:rPr>
            </w:pPr>
            <w:r w:rsidRPr="00A27896">
              <w:rPr>
                <w:rFonts w:cs="Times New Roman"/>
                <w:bCs/>
                <w:noProof/>
                <w:color w:val="17365D"/>
                <w:sz w:val="18"/>
                <w:szCs w:val="18"/>
                <w:lang w:eastAsia="lv-LV"/>
              </w:rPr>
              <w:t>2 100 000</w:t>
            </w:r>
          </w:p>
        </w:tc>
      </w:tr>
      <w:tr w:rsidR="00C3365D" w:rsidRPr="00A27896" w14:paraId="6869DDBE" w14:textId="77777777" w:rsidTr="00100EA1">
        <w:trPr>
          <w:trHeight w:val="469"/>
        </w:trPr>
        <w:tc>
          <w:tcPr>
            <w:tcW w:w="6190" w:type="dxa"/>
            <w:tcBorders>
              <w:top w:val="single" w:sz="4" w:space="0" w:color="17365D"/>
              <w:bottom w:val="single" w:sz="4" w:space="0" w:color="17365D"/>
            </w:tcBorders>
            <w:shd w:val="clear" w:color="F2F2F2" w:fill="FFFFFF"/>
            <w:vAlign w:val="center"/>
          </w:tcPr>
          <w:p w14:paraId="10B803AC" w14:textId="77777777" w:rsidR="00C3365D" w:rsidRPr="00A27896" w:rsidRDefault="00C3365D" w:rsidP="006527E7">
            <w:pPr>
              <w:spacing w:after="0" w:line="240" w:lineRule="auto"/>
              <w:rPr>
                <w:rFonts w:cs="Times New Roman"/>
                <w:bCs/>
                <w:noProof/>
                <w:color w:val="17365D"/>
                <w:sz w:val="18"/>
                <w:szCs w:val="18"/>
                <w:lang w:eastAsia="lv-LV"/>
              </w:rPr>
            </w:pPr>
            <w:r w:rsidRPr="00A27896">
              <w:rPr>
                <w:rFonts w:cs="Times New Roman"/>
                <w:bCs/>
                <w:noProof/>
                <w:color w:val="17365D"/>
                <w:sz w:val="18"/>
                <w:szCs w:val="18"/>
                <w:lang w:eastAsia="lv-LV"/>
              </w:rPr>
              <w:t>Saņemtie maksājumi par valsts galvotiem un aizņēmēja vietā aizdevējam atmaksātiem aizdevumiem no 5 medicīnas iestādēm</w:t>
            </w:r>
          </w:p>
        </w:tc>
        <w:tc>
          <w:tcPr>
            <w:tcW w:w="1602" w:type="dxa"/>
            <w:tcBorders>
              <w:top w:val="single" w:sz="4" w:space="0" w:color="17365D"/>
              <w:bottom w:val="single" w:sz="4" w:space="0" w:color="17365D"/>
            </w:tcBorders>
            <w:shd w:val="clear" w:color="F2F2F2" w:fill="FFFFFF"/>
            <w:vAlign w:val="center"/>
          </w:tcPr>
          <w:p w14:paraId="7E719800" w14:textId="77777777" w:rsidR="00C3365D" w:rsidRPr="00A27896" w:rsidRDefault="00C3365D" w:rsidP="007E4FC6">
            <w:pPr>
              <w:spacing w:after="0" w:line="240" w:lineRule="auto"/>
              <w:jc w:val="right"/>
              <w:rPr>
                <w:rFonts w:cs="Times New Roman"/>
                <w:bCs/>
                <w:noProof/>
                <w:color w:val="17365D"/>
                <w:sz w:val="18"/>
                <w:szCs w:val="18"/>
                <w:lang w:eastAsia="lv-LV"/>
              </w:rPr>
            </w:pPr>
            <w:r w:rsidRPr="00A27896">
              <w:rPr>
                <w:rFonts w:cs="Times New Roman"/>
                <w:bCs/>
                <w:noProof/>
                <w:color w:val="17365D"/>
                <w:sz w:val="18"/>
                <w:szCs w:val="18"/>
                <w:lang w:eastAsia="lv-LV"/>
              </w:rPr>
              <w:t>0</w:t>
            </w:r>
          </w:p>
        </w:tc>
        <w:tc>
          <w:tcPr>
            <w:tcW w:w="1561" w:type="dxa"/>
            <w:tcBorders>
              <w:top w:val="single" w:sz="4" w:space="0" w:color="17365D"/>
              <w:bottom w:val="single" w:sz="4" w:space="0" w:color="17365D"/>
            </w:tcBorders>
            <w:shd w:val="clear" w:color="F2F2F2" w:fill="FFFFFF"/>
            <w:vAlign w:val="center"/>
          </w:tcPr>
          <w:p w14:paraId="66E132E1" w14:textId="77777777" w:rsidR="00C3365D" w:rsidRPr="00A27896" w:rsidRDefault="00C3365D" w:rsidP="007E4FC6">
            <w:pPr>
              <w:spacing w:after="0" w:line="240" w:lineRule="auto"/>
              <w:jc w:val="right"/>
              <w:rPr>
                <w:rFonts w:cs="Times New Roman"/>
                <w:bCs/>
                <w:noProof/>
                <w:color w:val="17365D"/>
                <w:sz w:val="18"/>
                <w:szCs w:val="18"/>
                <w:lang w:eastAsia="lv-LV"/>
              </w:rPr>
            </w:pPr>
            <w:r w:rsidRPr="00A27896">
              <w:rPr>
                <w:rFonts w:cs="Times New Roman"/>
                <w:bCs/>
                <w:noProof/>
                <w:color w:val="17365D"/>
                <w:sz w:val="18"/>
                <w:szCs w:val="18"/>
                <w:lang w:eastAsia="lv-LV"/>
              </w:rPr>
              <w:t>128 668 233</w:t>
            </w:r>
          </w:p>
        </w:tc>
      </w:tr>
      <w:tr w:rsidR="00C3365D" w:rsidRPr="00A27896" w14:paraId="541E9EC9" w14:textId="77777777" w:rsidTr="00100EA1">
        <w:trPr>
          <w:trHeight w:val="260"/>
        </w:trPr>
        <w:tc>
          <w:tcPr>
            <w:tcW w:w="6190" w:type="dxa"/>
            <w:tcBorders>
              <w:top w:val="single" w:sz="4" w:space="0" w:color="17365D"/>
              <w:bottom w:val="single" w:sz="4" w:space="0" w:color="17365D"/>
            </w:tcBorders>
            <w:shd w:val="clear" w:color="F2F2F2" w:fill="FFFFFF"/>
            <w:vAlign w:val="center"/>
          </w:tcPr>
          <w:p w14:paraId="406CB377" w14:textId="77777777" w:rsidR="00C3365D" w:rsidRPr="00A27896" w:rsidRDefault="00C3365D" w:rsidP="006527E7">
            <w:pPr>
              <w:spacing w:after="0" w:line="240" w:lineRule="auto"/>
              <w:rPr>
                <w:rFonts w:cs="Times New Roman"/>
                <w:bCs/>
                <w:noProof/>
                <w:color w:val="17365D"/>
                <w:sz w:val="18"/>
                <w:szCs w:val="18"/>
                <w:lang w:eastAsia="lv-LV"/>
              </w:rPr>
            </w:pPr>
            <w:r w:rsidRPr="00A27896">
              <w:rPr>
                <w:rFonts w:cs="Times New Roman"/>
                <w:bCs/>
                <w:noProof/>
                <w:color w:val="17365D"/>
                <w:sz w:val="18"/>
                <w:szCs w:val="18"/>
                <w:lang w:eastAsia="lv-LV"/>
              </w:rPr>
              <w:t>SIA Felm maksājums valsts budžetā saskaņā ar noslēgto cesijas līgumu.</w:t>
            </w:r>
          </w:p>
        </w:tc>
        <w:tc>
          <w:tcPr>
            <w:tcW w:w="1602" w:type="dxa"/>
            <w:tcBorders>
              <w:top w:val="single" w:sz="4" w:space="0" w:color="17365D"/>
              <w:bottom w:val="single" w:sz="4" w:space="0" w:color="17365D"/>
            </w:tcBorders>
            <w:shd w:val="clear" w:color="F2F2F2" w:fill="FFFFFF"/>
            <w:vAlign w:val="center"/>
          </w:tcPr>
          <w:p w14:paraId="252DB639" w14:textId="77777777" w:rsidR="00C3365D" w:rsidRPr="00A27896" w:rsidRDefault="00C3365D" w:rsidP="007E4FC6">
            <w:pPr>
              <w:spacing w:after="0" w:line="240" w:lineRule="auto"/>
              <w:jc w:val="right"/>
              <w:rPr>
                <w:rFonts w:cs="Times New Roman"/>
                <w:bCs/>
                <w:noProof/>
                <w:color w:val="17365D"/>
                <w:sz w:val="18"/>
                <w:szCs w:val="18"/>
                <w:lang w:eastAsia="lv-LV"/>
              </w:rPr>
            </w:pPr>
            <w:r w:rsidRPr="00A27896">
              <w:rPr>
                <w:rFonts w:cs="Times New Roman"/>
                <w:bCs/>
                <w:noProof/>
                <w:color w:val="17365D"/>
                <w:sz w:val="18"/>
                <w:szCs w:val="18"/>
                <w:lang w:eastAsia="lv-LV"/>
              </w:rPr>
              <w:t>0</w:t>
            </w:r>
          </w:p>
        </w:tc>
        <w:tc>
          <w:tcPr>
            <w:tcW w:w="1561" w:type="dxa"/>
            <w:tcBorders>
              <w:top w:val="single" w:sz="4" w:space="0" w:color="17365D"/>
              <w:bottom w:val="single" w:sz="4" w:space="0" w:color="17365D"/>
            </w:tcBorders>
            <w:shd w:val="clear" w:color="F2F2F2" w:fill="FFFFFF"/>
            <w:vAlign w:val="center"/>
          </w:tcPr>
          <w:p w14:paraId="65B461F3" w14:textId="77777777" w:rsidR="00C3365D" w:rsidRPr="00A27896" w:rsidRDefault="00C3365D" w:rsidP="007E4FC6">
            <w:pPr>
              <w:spacing w:after="0" w:line="240" w:lineRule="auto"/>
              <w:jc w:val="right"/>
              <w:rPr>
                <w:rFonts w:cs="Times New Roman"/>
                <w:bCs/>
                <w:noProof/>
                <w:color w:val="17365D"/>
                <w:sz w:val="18"/>
                <w:szCs w:val="18"/>
                <w:lang w:eastAsia="lv-LV"/>
              </w:rPr>
            </w:pPr>
            <w:r w:rsidRPr="00A27896">
              <w:rPr>
                <w:rFonts w:cs="Times New Roman"/>
                <w:bCs/>
                <w:noProof/>
                <w:color w:val="17365D"/>
                <w:sz w:val="18"/>
                <w:szCs w:val="18"/>
                <w:lang w:eastAsia="lv-LV"/>
              </w:rPr>
              <w:t>10 000 000</w:t>
            </w:r>
          </w:p>
        </w:tc>
      </w:tr>
      <w:tr w:rsidR="00C3365D" w:rsidRPr="00A27896" w14:paraId="56BBF050" w14:textId="77777777" w:rsidTr="00100EA1">
        <w:trPr>
          <w:trHeight w:val="264"/>
        </w:trPr>
        <w:tc>
          <w:tcPr>
            <w:tcW w:w="6190" w:type="dxa"/>
            <w:tcBorders>
              <w:top w:val="single" w:sz="4" w:space="0" w:color="17365D"/>
              <w:bottom w:val="single" w:sz="4" w:space="0" w:color="17365D"/>
            </w:tcBorders>
            <w:shd w:val="clear" w:color="F2F2F2" w:fill="FFFFFF"/>
            <w:vAlign w:val="center"/>
          </w:tcPr>
          <w:p w14:paraId="35BE7A5C" w14:textId="77777777" w:rsidR="00C3365D" w:rsidRPr="00A27896" w:rsidRDefault="00C3365D" w:rsidP="006527E7">
            <w:pPr>
              <w:spacing w:after="0" w:line="240" w:lineRule="auto"/>
              <w:rPr>
                <w:rFonts w:cs="Times New Roman"/>
                <w:bCs/>
                <w:noProof/>
                <w:color w:val="17365D"/>
                <w:sz w:val="18"/>
                <w:szCs w:val="18"/>
                <w:lang w:eastAsia="lv-LV"/>
              </w:rPr>
            </w:pPr>
            <w:r w:rsidRPr="00A27896">
              <w:rPr>
                <w:rFonts w:cs="Times New Roman"/>
                <w:bCs/>
                <w:noProof/>
                <w:color w:val="17365D"/>
                <w:sz w:val="18"/>
                <w:szCs w:val="18"/>
                <w:lang w:eastAsia="lv-LV"/>
              </w:rPr>
              <w:t>Citi ieņēmumi no pamatdarbības</w:t>
            </w:r>
          </w:p>
        </w:tc>
        <w:tc>
          <w:tcPr>
            <w:tcW w:w="1602" w:type="dxa"/>
            <w:tcBorders>
              <w:top w:val="single" w:sz="4" w:space="0" w:color="17365D"/>
              <w:bottom w:val="single" w:sz="4" w:space="0" w:color="17365D"/>
            </w:tcBorders>
            <w:shd w:val="clear" w:color="F2F2F2" w:fill="FFFFFF"/>
            <w:vAlign w:val="center"/>
          </w:tcPr>
          <w:p w14:paraId="6768E021" w14:textId="77777777" w:rsidR="00C3365D" w:rsidRPr="00A27896" w:rsidRDefault="00C3365D" w:rsidP="007E4FC6">
            <w:pPr>
              <w:spacing w:after="0" w:line="240" w:lineRule="auto"/>
              <w:jc w:val="right"/>
              <w:rPr>
                <w:rFonts w:cs="Times New Roman"/>
                <w:bCs/>
                <w:noProof/>
                <w:color w:val="17365D"/>
                <w:sz w:val="18"/>
                <w:szCs w:val="18"/>
                <w:lang w:eastAsia="lv-LV"/>
              </w:rPr>
            </w:pPr>
            <w:r w:rsidRPr="00A27896">
              <w:rPr>
                <w:rFonts w:cs="Times New Roman"/>
                <w:bCs/>
                <w:noProof/>
                <w:color w:val="17365D"/>
                <w:sz w:val="18"/>
                <w:szCs w:val="18"/>
                <w:lang w:eastAsia="lv-LV"/>
              </w:rPr>
              <w:t>841 614</w:t>
            </w:r>
          </w:p>
        </w:tc>
        <w:tc>
          <w:tcPr>
            <w:tcW w:w="1561" w:type="dxa"/>
            <w:tcBorders>
              <w:top w:val="single" w:sz="4" w:space="0" w:color="17365D"/>
              <w:bottom w:val="single" w:sz="4" w:space="0" w:color="17365D"/>
            </w:tcBorders>
            <w:shd w:val="clear" w:color="F2F2F2" w:fill="FFFFFF"/>
            <w:vAlign w:val="center"/>
          </w:tcPr>
          <w:p w14:paraId="3D6B417B" w14:textId="77777777" w:rsidR="00C3365D" w:rsidRPr="00A27896" w:rsidRDefault="00C3365D" w:rsidP="007E4FC6">
            <w:pPr>
              <w:spacing w:after="0" w:line="240" w:lineRule="auto"/>
              <w:jc w:val="right"/>
              <w:rPr>
                <w:rFonts w:cs="Times New Roman"/>
                <w:bCs/>
                <w:noProof/>
                <w:color w:val="17365D"/>
                <w:sz w:val="18"/>
                <w:szCs w:val="18"/>
                <w:lang w:eastAsia="lv-LV"/>
              </w:rPr>
            </w:pPr>
            <w:r w:rsidRPr="00A27896">
              <w:rPr>
                <w:rFonts w:cs="Times New Roman"/>
                <w:bCs/>
                <w:noProof/>
                <w:color w:val="17365D"/>
                <w:sz w:val="18"/>
                <w:szCs w:val="18"/>
                <w:lang w:eastAsia="lv-LV"/>
              </w:rPr>
              <w:t>26 759</w:t>
            </w:r>
          </w:p>
        </w:tc>
      </w:tr>
      <w:tr w:rsidR="00C3365D" w:rsidRPr="00A27896" w14:paraId="474CD73A" w14:textId="77777777" w:rsidTr="00100EA1">
        <w:trPr>
          <w:trHeight w:val="255"/>
        </w:trPr>
        <w:tc>
          <w:tcPr>
            <w:tcW w:w="6190" w:type="dxa"/>
            <w:tcBorders>
              <w:top w:val="single" w:sz="4" w:space="0" w:color="17365D"/>
              <w:bottom w:val="nil"/>
            </w:tcBorders>
            <w:shd w:val="clear" w:color="auto" w:fill="B8CCE4" w:themeFill="accent1" w:themeFillTint="66"/>
            <w:vAlign w:val="center"/>
          </w:tcPr>
          <w:p w14:paraId="02FF04BC" w14:textId="77777777" w:rsidR="00C3365D" w:rsidRPr="00A27896" w:rsidRDefault="00C3365D" w:rsidP="007E4FC6">
            <w:pPr>
              <w:spacing w:after="0" w:line="240" w:lineRule="auto"/>
              <w:rPr>
                <w:rFonts w:cs="Times New Roman"/>
                <w:bCs/>
                <w:noProof/>
                <w:color w:val="17365D"/>
                <w:sz w:val="18"/>
                <w:szCs w:val="18"/>
                <w:lang w:eastAsia="lv-LV"/>
              </w:rPr>
            </w:pPr>
            <w:r w:rsidRPr="00A27896">
              <w:rPr>
                <w:rFonts w:cs="Times New Roman"/>
                <w:b/>
                <w:bCs/>
                <w:noProof/>
                <w:color w:val="17365D"/>
                <w:sz w:val="18"/>
                <w:szCs w:val="18"/>
                <w:lang w:eastAsia="lv-LV"/>
              </w:rPr>
              <w:t>Kopā</w:t>
            </w:r>
          </w:p>
        </w:tc>
        <w:tc>
          <w:tcPr>
            <w:tcW w:w="1602" w:type="dxa"/>
            <w:tcBorders>
              <w:top w:val="single" w:sz="4" w:space="0" w:color="17365D"/>
              <w:bottom w:val="nil"/>
            </w:tcBorders>
            <w:shd w:val="clear" w:color="auto" w:fill="B8CCE4" w:themeFill="accent1" w:themeFillTint="66"/>
            <w:vAlign w:val="center"/>
          </w:tcPr>
          <w:p w14:paraId="0C654158" w14:textId="77777777" w:rsidR="00C3365D" w:rsidRPr="00A27896" w:rsidRDefault="00C3365D" w:rsidP="007E4FC6">
            <w:pPr>
              <w:spacing w:after="0" w:line="240" w:lineRule="auto"/>
              <w:jc w:val="right"/>
              <w:rPr>
                <w:rFonts w:cs="Times New Roman"/>
                <w:bCs/>
                <w:noProof/>
                <w:color w:val="17365D"/>
                <w:sz w:val="18"/>
                <w:szCs w:val="18"/>
                <w:lang w:eastAsia="lv-LV"/>
              </w:rPr>
            </w:pPr>
            <w:r w:rsidRPr="00A27896">
              <w:rPr>
                <w:rFonts w:cs="Times New Roman"/>
                <w:b/>
                <w:bCs/>
                <w:noProof/>
                <w:color w:val="17365D"/>
                <w:sz w:val="18"/>
                <w:szCs w:val="18"/>
                <w:lang w:eastAsia="lv-LV"/>
              </w:rPr>
              <w:t>6 348 963</w:t>
            </w:r>
          </w:p>
        </w:tc>
        <w:tc>
          <w:tcPr>
            <w:tcW w:w="1561" w:type="dxa"/>
            <w:tcBorders>
              <w:top w:val="single" w:sz="4" w:space="0" w:color="17365D"/>
              <w:bottom w:val="nil"/>
            </w:tcBorders>
            <w:shd w:val="clear" w:color="auto" w:fill="B8CCE4" w:themeFill="accent1" w:themeFillTint="66"/>
            <w:vAlign w:val="center"/>
          </w:tcPr>
          <w:p w14:paraId="2388846C" w14:textId="77777777" w:rsidR="00C3365D" w:rsidRPr="00A27896" w:rsidRDefault="00C3365D" w:rsidP="007E4FC6">
            <w:pPr>
              <w:spacing w:after="0" w:line="240" w:lineRule="auto"/>
              <w:jc w:val="right"/>
              <w:rPr>
                <w:rFonts w:cs="Times New Roman"/>
                <w:bCs/>
                <w:noProof/>
                <w:color w:val="17365D"/>
                <w:sz w:val="18"/>
                <w:szCs w:val="18"/>
                <w:lang w:eastAsia="lv-LV"/>
              </w:rPr>
            </w:pPr>
            <w:r w:rsidRPr="00A27896">
              <w:rPr>
                <w:rFonts w:cs="Times New Roman"/>
                <w:b/>
                <w:bCs/>
                <w:noProof/>
                <w:color w:val="17365D"/>
                <w:sz w:val="18"/>
                <w:szCs w:val="18"/>
                <w:lang w:eastAsia="lv-LV"/>
              </w:rPr>
              <w:t>161 925 842</w:t>
            </w:r>
          </w:p>
        </w:tc>
      </w:tr>
    </w:tbl>
    <w:p w14:paraId="188BECB0" w14:textId="77777777" w:rsidR="00C3365D" w:rsidRPr="00A27896" w:rsidRDefault="00C3365D" w:rsidP="001651EB">
      <w:pPr>
        <w:pStyle w:val="Pamatteksts"/>
        <w:spacing w:before="120"/>
        <w:ind w:firstLine="284"/>
        <w:rPr>
          <w:color w:val="17365D"/>
        </w:rPr>
      </w:pPr>
    </w:p>
    <w:p w14:paraId="6DBF3791" w14:textId="05E76149" w:rsidR="00387B53" w:rsidRPr="00A27896" w:rsidRDefault="00387B53" w:rsidP="001651EB">
      <w:pPr>
        <w:pStyle w:val="Pamatteksts"/>
        <w:spacing w:before="120"/>
        <w:ind w:firstLine="284"/>
        <w:rPr>
          <w:color w:val="17365D"/>
        </w:rPr>
      </w:pPr>
      <w:r w:rsidRPr="00A27896">
        <w:rPr>
          <w:color w:val="17365D"/>
        </w:rPr>
        <w:t>Konsolidēto naudas plūsmas izdevumu no pamatdarbības izmaiņas galvenokārt veido:</w:t>
      </w:r>
    </w:p>
    <w:p w14:paraId="2F2DB67F" w14:textId="77777777" w:rsidR="00C3365D" w:rsidRPr="00A27896" w:rsidRDefault="00C3365D" w:rsidP="00C3365D">
      <w:pPr>
        <w:pStyle w:val="Pamatteksts"/>
        <w:ind w:firstLine="284"/>
        <w:rPr>
          <w:noProof w:val="0"/>
          <w:color w:val="17365D"/>
          <w:lang w:eastAsia="en-US"/>
        </w:rPr>
      </w:pPr>
      <w:r w:rsidRPr="00A27896">
        <w:rPr>
          <w:bCs/>
          <w:color w:val="17365D"/>
        </w:rPr>
        <w:t xml:space="preserve">NP.A22. </w:t>
      </w:r>
      <w:r w:rsidRPr="00A27896">
        <w:rPr>
          <w:noProof w:val="0"/>
          <w:color w:val="17365D"/>
          <w:lang w:eastAsia="en-US"/>
        </w:rPr>
        <w:t>Darba devēja valsts sociālās apdrošināšanas obligātās iemaksas, pabalsti un kompensācijas:</w:t>
      </w:r>
    </w:p>
    <w:p w14:paraId="07BEF62A" w14:textId="6FD76B7B" w:rsidR="00C3365D" w:rsidRPr="00A27896" w:rsidRDefault="00C3365D" w:rsidP="0057470D">
      <w:pPr>
        <w:pStyle w:val="Pamatteksts"/>
        <w:numPr>
          <w:ilvl w:val="0"/>
          <w:numId w:val="27"/>
        </w:numPr>
        <w:ind w:left="851"/>
        <w:rPr>
          <w:bCs/>
          <w:color w:val="17365D"/>
        </w:rPr>
      </w:pPr>
      <w:r w:rsidRPr="00A27896">
        <w:rPr>
          <w:bCs/>
          <w:color w:val="17365D"/>
        </w:rPr>
        <w:t>lielākais pieaugums ir Labklājības ministrijai par ieguldījumiem Valsts fondēto pensiju shēmā 91 141 141</w:t>
      </w:r>
      <w:r w:rsidRPr="00A27896">
        <w:rPr>
          <w:bCs/>
          <w:i/>
          <w:color w:val="17365D"/>
        </w:rPr>
        <w:t xml:space="preserve"> euro</w:t>
      </w:r>
      <w:r w:rsidRPr="00A27896">
        <w:rPr>
          <w:bCs/>
          <w:color w:val="17365D"/>
        </w:rPr>
        <w:t xml:space="preserve"> apmērā, palielinājums par pārskaitījumiem apdrošināšanas sabiedrībām mūža pensijas polises iegādei 4 929 337 </w:t>
      </w:r>
      <w:r w:rsidRPr="00A27896">
        <w:rPr>
          <w:bCs/>
          <w:i/>
          <w:color w:val="17365D"/>
        </w:rPr>
        <w:t>euro</w:t>
      </w:r>
      <w:r w:rsidRPr="00A27896">
        <w:rPr>
          <w:bCs/>
          <w:color w:val="17365D"/>
        </w:rPr>
        <w:t xml:space="preserve"> apmērā, palielinājums par </w:t>
      </w:r>
      <w:r w:rsidRPr="00A27896">
        <w:rPr>
          <w:bCs/>
          <w:color w:val="17365D"/>
        </w:rPr>
        <w:lastRenderedPageBreak/>
        <w:t xml:space="preserve">uzkrāto pensijas kapitālu 1 202 494 </w:t>
      </w:r>
      <w:r w:rsidRPr="00A27896">
        <w:rPr>
          <w:bCs/>
          <w:i/>
          <w:color w:val="17365D"/>
        </w:rPr>
        <w:t>euro</w:t>
      </w:r>
      <w:r w:rsidRPr="00A27896">
        <w:rPr>
          <w:bCs/>
          <w:color w:val="17365D"/>
        </w:rPr>
        <w:t xml:space="preserve"> apmērā, palielinājušās uzkrātā fondēto pensiju kapitāla iemaksas valsts pensiju speciālajā budžetā par 15 586 048 </w:t>
      </w:r>
      <w:r w:rsidRPr="00A27896">
        <w:rPr>
          <w:bCs/>
          <w:i/>
          <w:color w:val="17365D"/>
        </w:rPr>
        <w:t>euro</w:t>
      </w:r>
      <w:r w:rsidRPr="00A27896">
        <w:rPr>
          <w:bCs/>
          <w:color w:val="17365D"/>
        </w:rPr>
        <w:t>;</w:t>
      </w:r>
    </w:p>
    <w:p w14:paraId="43F65C6F" w14:textId="7E908DDB" w:rsidR="00C3365D" w:rsidRPr="00A27896" w:rsidRDefault="00C3365D" w:rsidP="0057470D">
      <w:pPr>
        <w:pStyle w:val="Pamatteksts"/>
        <w:numPr>
          <w:ilvl w:val="0"/>
          <w:numId w:val="27"/>
        </w:numPr>
        <w:ind w:left="851"/>
        <w:rPr>
          <w:bCs/>
          <w:color w:val="17365D"/>
        </w:rPr>
      </w:pPr>
      <w:r w:rsidRPr="00A27896">
        <w:rPr>
          <w:bCs/>
          <w:color w:val="17365D"/>
        </w:rPr>
        <w:t xml:space="preserve">būtisks pieaugums Aizsardzības ministrijai 16 790 804 </w:t>
      </w:r>
      <w:r w:rsidRPr="00A27896">
        <w:rPr>
          <w:bCs/>
          <w:i/>
          <w:color w:val="17365D"/>
        </w:rPr>
        <w:t>euro</w:t>
      </w:r>
      <w:r w:rsidRPr="00A27896">
        <w:rPr>
          <w:bCs/>
          <w:color w:val="17365D"/>
        </w:rPr>
        <w:t xml:space="preserve"> vērtībā saistīts ar darba devēja valsts sociālās apdrošināšanas obligātajām iemaksām, darba devēja pabalstu un kompensāciju izmaksām sakarā ar atalgojuma palielinājumu no 2022. gada 1. jūlija;</w:t>
      </w:r>
    </w:p>
    <w:p w14:paraId="412ADC34" w14:textId="29A73809" w:rsidR="00C3365D" w:rsidRPr="00A27896" w:rsidRDefault="00C3365D" w:rsidP="0057470D">
      <w:pPr>
        <w:pStyle w:val="Pamatteksts"/>
        <w:numPr>
          <w:ilvl w:val="0"/>
          <w:numId w:val="27"/>
        </w:numPr>
        <w:ind w:left="851"/>
        <w:rPr>
          <w:bCs/>
          <w:color w:val="17365D"/>
        </w:rPr>
      </w:pPr>
      <w:r w:rsidRPr="00A27896">
        <w:rPr>
          <w:bCs/>
          <w:color w:val="17365D"/>
        </w:rPr>
        <w:t xml:space="preserve">Iekšlietu ministrijai palielinājušies maksājumi par darba devēja pabalstiem un kompensācijām, no kurām aprēķina iedzīvotāju ienākuma nodokli un valsts sociālās apdrošināšanas obligātās iemaksas, 1 938 360 </w:t>
      </w:r>
      <w:r w:rsidRPr="00A27896">
        <w:rPr>
          <w:bCs/>
          <w:i/>
          <w:color w:val="17365D"/>
        </w:rPr>
        <w:t>euro</w:t>
      </w:r>
      <w:r w:rsidRPr="00A27896">
        <w:rPr>
          <w:bCs/>
          <w:color w:val="17365D"/>
        </w:rPr>
        <w:t xml:space="preserve"> apmēr</w:t>
      </w:r>
      <w:r w:rsidR="008B1C58" w:rsidRPr="00A27896">
        <w:rPr>
          <w:bCs/>
          <w:color w:val="17365D"/>
        </w:rPr>
        <w:t>ā</w:t>
      </w:r>
      <w:r w:rsidRPr="00A27896">
        <w:rPr>
          <w:bCs/>
          <w:color w:val="17365D"/>
        </w:rPr>
        <w:t xml:space="preserve"> </w:t>
      </w:r>
      <w:r w:rsidR="008B1C58" w:rsidRPr="00A27896">
        <w:rPr>
          <w:bCs/>
          <w:color w:val="17365D"/>
        </w:rPr>
        <w:t xml:space="preserve">un </w:t>
      </w:r>
      <w:r w:rsidRPr="00A27896">
        <w:rPr>
          <w:bCs/>
          <w:color w:val="17365D"/>
        </w:rPr>
        <w:t xml:space="preserve">par 6 011 324 </w:t>
      </w:r>
      <w:r w:rsidRPr="00A27896">
        <w:rPr>
          <w:bCs/>
          <w:i/>
          <w:color w:val="17365D"/>
        </w:rPr>
        <w:t>euro</w:t>
      </w:r>
      <w:r w:rsidRPr="00A27896">
        <w:rPr>
          <w:bCs/>
          <w:color w:val="17365D"/>
        </w:rPr>
        <w:t xml:space="preserve"> palielinājušās darba devēja valsts sociālās apdrošināšanas obligātās iemaksas sakarā ar atalgojuma un pabalstu palielinājumu;</w:t>
      </w:r>
    </w:p>
    <w:p w14:paraId="1C8F8297" w14:textId="66B07679" w:rsidR="00C3365D" w:rsidRPr="00A27896" w:rsidRDefault="00C3365D" w:rsidP="0057470D">
      <w:pPr>
        <w:pStyle w:val="Pamatteksts"/>
        <w:numPr>
          <w:ilvl w:val="0"/>
          <w:numId w:val="27"/>
        </w:numPr>
        <w:ind w:left="851"/>
        <w:rPr>
          <w:bCs/>
          <w:color w:val="17365D"/>
        </w:rPr>
      </w:pPr>
      <w:r w:rsidRPr="00A27896">
        <w:rPr>
          <w:bCs/>
          <w:color w:val="17365D"/>
        </w:rPr>
        <w:t xml:space="preserve">Kultūras ministrijai palielinājums 1 188 678 </w:t>
      </w:r>
      <w:r w:rsidRPr="00A27896">
        <w:rPr>
          <w:bCs/>
          <w:i/>
          <w:color w:val="17365D"/>
        </w:rPr>
        <w:t>euro</w:t>
      </w:r>
      <w:r w:rsidRPr="00A27896">
        <w:rPr>
          <w:bCs/>
          <w:color w:val="17365D"/>
        </w:rPr>
        <w:t xml:space="preserve"> apmērā par piešķirto papildus finansējumu strādājošo algas likmes palielināšanai, t.sk. valsts sociālās apdrošināšanas obligātajām iemaksām.</w:t>
      </w:r>
    </w:p>
    <w:p w14:paraId="71FD1BE7" w14:textId="03F52D68" w:rsidR="00C3365D" w:rsidRPr="00A27896" w:rsidRDefault="00C3365D" w:rsidP="000942BF">
      <w:pPr>
        <w:pStyle w:val="Pamatteksts"/>
        <w:ind w:firstLine="284"/>
        <w:rPr>
          <w:noProof w:val="0"/>
          <w:color w:val="17365D"/>
          <w:lang w:eastAsia="en-US"/>
        </w:rPr>
      </w:pPr>
      <w:r w:rsidRPr="00A27896">
        <w:rPr>
          <w:color w:val="17365D"/>
        </w:rPr>
        <w:t xml:space="preserve">NP.A24. </w:t>
      </w:r>
      <w:r w:rsidRPr="00A27896">
        <w:rPr>
          <w:noProof w:val="0"/>
          <w:color w:val="17365D"/>
          <w:lang w:eastAsia="en-US"/>
        </w:rPr>
        <w:t>Pakalpojumi</w:t>
      </w:r>
      <w:r w:rsidR="000942BF" w:rsidRPr="00A27896">
        <w:rPr>
          <w:noProof w:val="0"/>
          <w:color w:val="17365D"/>
          <w:lang w:eastAsia="en-US"/>
        </w:rPr>
        <w:t>:</w:t>
      </w:r>
    </w:p>
    <w:p w14:paraId="16246E79" w14:textId="70104CC9" w:rsidR="00C3365D" w:rsidRPr="00A27896" w:rsidRDefault="00C3365D" w:rsidP="0057470D">
      <w:pPr>
        <w:pStyle w:val="Pamatteksts"/>
        <w:numPr>
          <w:ilvl w:val="0"/>
          <w:numId w:val="27"/>
        </w:numPr>
        <w:ind w:left="851"/>
        <w:rPr>
          <w:bCs/>
          <w:color w:val="17365D"/>
        </w:rPr>
      </w:pPr>
      <w:r w:rsidRPr="00A27896">
        <w:rPr>
          <w:bCs/>
          <w:color w:val="17365D"/>
        </w:rPr>
        <w:t>Rīgas valstspilsētai būtiski palielinājušies izdevumi autoceļu un ielu pārvaldīšanai un uzturēšanai, palielinājušies izdevumi par elektroenerģiju, kas saistīts ar strauju cenu pieaugumu energoresursu jomā, palielinājušies izdevumi par remontdarbiem un iestāžu uzturēšanas pakalpojumiem, palielinājušies izdevumi par siltumenerģiju, kas saistīts ar strauju cenu pieaugumu energoresursu jomā 40</w:t>
      </w:r>
      <w:r w:rsidR="000942BF" w:rsidRPr="00A27896">
        <w:rPr>
          <w:bCs/>
          <w:color w:val="17365D"/>
        </w:rPr>
        <w:t> </w:t>
      </w:r>
      <w:r w:rsidRPr="00A27896">
        <w:rPr>
          <w:bCs/>
          <w:color w:val="17365D"/>
        </w:rPr>
        <w:t>593</w:t>
      </w:r>
      <w:r w:rsidR="000942BF" w:rsidRPr="00A27896">
        <w:rPr>
          <w:bCs/>
          <w:color w:val="17365D"/>
        </w:rPr>
        <w:t> </w:t>
      </w:r>
      <w:r w:rsidRPr="00A27896">
        <w:rPr>
          <w:bCs/>
          <w:color w:val="17365D"/>
        </w:rPr>
        <w:t xml:space="preserve">258 </w:t>
      </w:r>
      <w:r w:rsidRPr="00A27896">
        <w:rPr>
          <w:bCs/>
          <w:i/>
          <w:color w:val="17365D"/>
        </w:rPr>
        <w:t>euro</w:t>
      </w:r>
      <w:r w:rsidRPr="00A27896">
        <w:rPr>
          <w:bCs/>
          <w:color w:val="17365D"/>
        </w:rPr>
        <w:t xml:space="preserve"> vērtībā;</w:t>
      </w:r>
    </w:p>
    <w:p w14:paraId="0EAECDAF" w14:textId="723022FF" w:rsidR="00C3365D" w:rsidRPr="00A27896" w:rsidRDefault="00C3365D" w:rsidP="0057470D">
      <w:pPr>
        <w:pStyle w:val="Pamatteksts"/>
        <w:numPr>
          <w:ilvl w:val="0"/>
          <w:numId w:val="27"/>
        </w:numPr>
        <w:ind w:left="851"/>
        <w:rPr>
          <w:bCs/>
          <w:color w:val="17365D"/>
        </w:rPr>
      </w:pPr>
      <w:r w:rsidRPr="00A27896">
        <w:rPr>
          <w:bCs/>
          <w:color w:val="17365D"/>
        </w:rPr>
        <w:t>Tieslietu ministrijai izdevumu palielinājums par pakalpojumiem saistīts ar būtisku pakalpojumu sadārdzinājumu pārskata periodā, tai skaitā komunālajiem pakalpojumiem (siltumenerģijas, gāzes, elektrības, ūdens un kanalizācijas tarifu pieaugums), cenu izmaiņām ēdināšanas pakalpojumu sniegšanai ieslodzītajiem, programmatūru uzturēšanas izdevumiem, iekārtu remontam un uzturēšanai, informācijas tehnoloģiju pakalpojumiem un telpu nomai 7</w:t>
      </w:r>
      <w:r w:rsidR="000942BF" w:rsidRPr="00A27896">
        <w:rPr>
          <w:bCs/>
          <w:color w:val="17365D"/>
        </w:rPr>
        <w:t> </w:t>
      </w:r>
      <w:r w:rsidRPr="00A27896">
        <w:rPr>
          <w:bCs/>
          <w:color w:val="17365D"/>
        </w:rPr>
        <w:t>651</w:t>
      </w:r>
      <w:r w:rsidR="000942BF" w:rsidRPr="00A27896">
        <w:rPr>
          <w:bCs/>
          <w:color w:val="17365D"/>
        </w:rPr>
        <w:t> </w:t>
      </w:r>
      <w:r w:rsidRPr="00A27896">
        <w:rPr>
          <w:bCs/>
          <w:color w:val="17365D"/>
        </w:rPr>
        <w:t xml:space="preserve">654 </w:t>
      </w:r>
      <w:r w:rsidRPr="00A27896">
        <w:rPr>
          <w:bCs/>
          <w:i/>
          <w:color w:val="17365D"/>
        </w:rPr>
        <w:t>euro</w:t>
      </w:r>
      <w:r w:rsidRPr="00A27896">
        <w:rPr>
          <w:bCs/>
          <w:color w:val="17365D"/>
        </w:rPr>
        <w:t xml:space="preserve"> vērtībā, kā arī palielinājušies izdevu</w:t>
      </w:r>
      <w:r w:rsidR="000942BF" w:rsidRPr="00A27896">
        <w:rPr>
          <w:bCs/>
          <w:color w:val="17365D"/>
        </w:rPr>
        <w:t>mi operatīvajai darbībai 28 204 </w:t>
      </w:r>
      <w:r w:rsidRPr="00A27896">
        <w:rPr>
          <w:bCs/>
          <w:color w:val="17365D"/>
        </w:rPr>
        <w:t xml:space="preserve">841 </w:t>
      </w:r>
      <w:r w:rsidRPr="00A27896">
        <w:rPr>
          <w:bCs/>
          <w:i/>
          <w:color w:val="17365D"/>
        </w:rPr>
        <w:t>euro</w:t>
      </w:r>
      <w:r w:rsidRPr="00A27896">
        <w:rPr>
          <w:bCs/>
          <w:color w:val="17365D"/>
        </w:rPr>
        <w:t xml:space="preserve"> vērtībā. </w:t>
      </w:r>
    </w:p>
    <w:p w14:paraId="63156F1D" w14:textId="7CB768CF" w:rsidR="00C3365D" w:rsidRPr="00A27896" w:rsidRDefault="00C3365D" w:rsidP="0057470D">
      <w:pPr>
        <w:pStyle w:val="Pamatteksts"/>
        <w:numPr>
          <w:ilvl w:val="0"/>
          <w:numId w:val="27"/>
        </w:numPr>
        <w:ind w:left="851"/>
        <w:rPr>
          <w:bCs/>
          <w:color w:val="17365D"/>
        </w:rPr>
      </w:pPr>
      <w:r w:rsidRPr="00A27896">
        <w:rPr>
          <w:bCs/>
          <w:color w:val="17365D"/>
        </w:rPr>
        <w:t xml:space="preserve">Aizsardzības ministrijai palielinājušies informācijas tehnoloģiju izdevumi sakarā ar digitalizācijas ieviešanas procesiem, datorprogrammu licenču un programmatūru </w:t>
      </w:r>
      <w:r w:rsidR="000942BF" w:rsidRPr="00A27896">
        <w:rPr>
          <w:bCs/>
          <w:color w:val="17365D"/>
        </w:rPr>
        <w:t xml:space="preserve">uzturēšanas pakalpojumiem </w:t>
      </w:r>
      <w:r w:rsidR="00CC4A56" w:rsidRPr="00A27896">
        <w:rPr>
          <w:bCs/>
          <w:color w:val="17365D"/>
        </w:rPr>
        <w:t>1</w:t>
      </w:r>
      <w:r w:rsidR="000942BF" w:rsidRPr="00A27896">
        <w:rPr>
          <w:bCs/>
          <w:color w:val="17365D"/>
        </w:rPr>
        <w:t>1 415 </w:t>
      </w:r>
      <w:r w:rsidRPr="00A27896">
        <w:rPr>
          <w:bCs/>
          <w:color w:val="17365D"/>
        </w:rPr>
        <w:t xml:space="preserve">370 </w:t>
      </w:r>
      <w:r w:rsidRPr="00A27896">
        <w:rPr>
          <w:bCs/>
          <w:i/>
          <w:color w:val="17365D"/>
        </w:rPr>
        <w:t>euro</w:t>
      </w:r>
      <w:r w:rsidRPr="00A27896">
        <w:rPr>
          <w:bCs/>
          <w:color w:val="17365D"/>
        </w:rPr>
        <w:t xml:space="preserve"> vērtībā</w:t>
      </w:r>
      <w:r w:rsidR="000942BF" w:rsidRPr="00A27896">
        <w:rPr>
          <w:bCs/>
          <w:color w:val="17365D"/>
        </w:rPr>
        <w:t xml:space="preserve">, palielinājušies </w:t>
      </w:r>
      <w:r w:rsidRPr="00A27896">
        <w:rPr>
          <w:bCs/>
          <w:color w:val="17365D"/>
        </w:rPr>
        <w:t>izdevumi par jaunsargu aktivitāšu pasākumiem</w:t>
      </w:r>
      <w:r w:rsidR="000942BF" w:rsidRPr="00A27896">
        <w:rPr>
          <w:bCs/>
          <w:color w:val="17365D"/>
        </w:rPr>
        <w:t xml:space="preserve"> 12 286 </w:t>
      </w:r>
      <w:r w:rsidRPr="00A27896">
        <w:rPr>
          <w:bCs/>
          <w:color w:val="17365D"/>
        </w:rPr>
        <w:t xml:space="preserve">735 </w:t>
      </w:r>
      <w:r w:rsidRPr="00A27896">
        <w:rPr>
          <w:bCs/>
          <w:i/>
          <w:color w:val="17365D"/>
        </w:rPr>
        <w:t>euro</w:t>
      </w:r>
      <w:r w:rsidRPr="00A27896">
        <w:rPr>
          <w:bCs/>
          <w:color w:val="17365D"/>
        </w:rPr>
        <w:t xml:space="preserve"> vērtībā, palielinājušies izdevumi p</w:t>
      </w:r>
      <w:r w:rsidR="000942BF" w:rsidRPr="00A27896">
        <w:rPr>
          <w:bCs/>
          <w:color w:val="17365D"/>
        </w:rPr>
        <w:t xml:space="preserve">ar komunālajiem pakalpojumiem, </w:t>
      </w:r>
      <w:r w:rsidRPr="00A27896">
        <w:rPr>
          <w:bCs/>
          <w:color w:val="17365D"/>
        </w:rPr>
        <w:t>nekustamo īpašumu uzturēšanas un apsaimniekošanas izmaksu pieaugumu, mainoties komunālo maksājumu izmaksu tarifiem, un jaunuzcelto infrastruktūras objektu uzturē</w:t>
      </w:r>
      <w:r w:rsidR="000942BF" w:rsidRPr="00A27896">
        <w:rPr>
          <w:bCs/>
          <w:color w:val="17365D"/>
        </w:rPr>
        <w:t>šanai un apsaimniekošanai 1 651 </w:t>
      </w:r>
      <w:r w:rsidRPr="00A27896">
        <w:rPr>
          <w:bCs/>
          <w:color w:val="17365D"/>
        </w:rPr>
        <w:t xml:space="preserve">562 </w:t>
      </w:r>
      <w:r w:rsidRPr="00A27896">
        <w:rPr>
          <w:bCs/>
          <w:i/>
          <w:color w:val="17365D"/>
        </w:rPr>
        <w:t>euro</w:t>
      </w:r>
      <w:r w:rsidRPr="00A27896">
        <w:rPr>
          <w:bCs/>
          <w:color w:val="17365D"/>
        </w:rPr>
        <w:t xml:space="preserve"> vērtībā;</w:t>
      </w:r>
    </w:p>
    <w:p w14:paraId="4854A2BF" w14:textId="5F740FA9" w:rsidR="00C3365D" w:rsidRPr="00A27896" w:rsidRDefault="00C3365D" w:rsidP="0057470D">
      <w:pPr>
        <w:pStyle w:val="Pamatteksts"/>
        <w:numPr>
          <w:ilvl w:val="0"/>
          <w:numId w:val="27"/>
        </w:numPr>
        <w:ind w:left="851"/>
        <w:rPr>
          <w:bCs/>
          <w:color w:val="17365D"/>
        </w:rPr>
      </w:pPr>
      <w:r w:rsidRPr="00A27896">
        <w:rPr>
          <w:bCs/>
          <w:color w:val="17365D"/>
        </w:rPr>
        <w:t xml:space="preserve">Izglītības un zinātnes ministrijai izdevumu palielinājums komunālajiem pakalpojumiem sakarā ar energoresursu tarifu pieaugumu </w:t>
      </w:r>
      <w:r w:rsidR="000942BF" w:rsidRPr="00A27896">
        <w:rPr>
          <w:bCs/>
          <w:color w:val="17365D"/>
        </w:rPr>
        <w:t>15 582 </w:t>
      </w:r>
      <w:r w:rsidRPr="00A27896">
        <w:rPr>
          <w:bCs/>
          <w:color w:val="17365D"/>
        </w:rPr>
        <w:t xml:space="preserve">465 </w:t>
      </w:r>
      <w:r w:rsidRPr="00A27896">
        <w:rPr>
          <w:bCs/>
          <w:i/>
          <w:color w:val="17365D"/>
        </w:rPr>
        <w:t>euro</w:t>
      </w:r>
      <w:r w:rsidRPr="00A27896">
        <w:rPr>
          <w:bCs/>
          <w:color w:val="17365D"/>
        </w:rPr>
        <w:t xml:space="preserve"> vērtībā;</w:t>
      </w:r>
    </w:p>
    <w:p w14:paraId="71F452D9" w14:textId="68F97923" w:rsidR="00C3365D" w:rsidRPr="00A27896" w:rsidRDefault="00C3365D" w:rsidP="0057470D">
      <w:pPr>
        <w:pStyle w:val="Pamatteksts"/>
        <w:numPr>
          <w:ilvl w:val="0"/>
          <w:numId w:val="27"/>
        </w:numPr>
        <w:ind w:left="851"/>
        <w:rPr>
          <w:bCs/>
          <w:color w:val="17365D"/>
        </w:rPr>
      </w:pPr>
      <w:r w:rsidRPr="00A27896">
        <w:rPr>
          <w:bCs/>
          <w:color w:val="17365D"/>
        </w:rPr>
        <w:t xml:space="preserve">Iekšlietu ministrijai izdevumu palielinājums par datu pārraides tīkla aparatūras, drošības iekārtu uzturēšanai un citiem informācijas tehnoloģiju pakalpojumiem </w:t>
      </w:r>
      <w:r w:rsidR="000942BF" w:rsidRPr="00A27896">
        <w:rPr>
          <w:bCs/>
          <w:color w:val="17365D"/>
        </w:rPr>
        <w:t>2 069 </w:t>
      </w:r>
      <w:r w:rsidRPr="00A27896">
        <w:rPr>
          <w:bCs/>
          <w:color w:val="17365D"/>
        </w:rPr>
        <w:t xml:space="preserve">755 </w:t>
      </w:r>
      <w:r w:rsidRPr="00A27896">
        <w:rPr>
          <w:bCs/>
          <w:i/>
          <w:color w:val="17365D"/>
        </w:rPr>
        <w:t>euro</w:t>
      </w:r>
      <w:r w:rsidRPr="00A27896">
        <w:rPr>
          <w:bCs/>
          <w:color w:val="17365D"/>
        </w:rPr>
        <w:t xml:space="preserve"> vērtībā, palielinājums Informācijas centra komunāla</w:t>
      </w:r>
      <w:r w:rsidR="000942BF" w:rsidRPr="00A27896">
        <w:rPr>
          <w:bCs/>
          <w:color w:val="17365D"/>
        </w:rPr>
        <w:t>jiem izdevumiem 3 840 </w:t>
      </w:r>
      <w:r w:rsidRPr="00A27896">
        <w:rPr>
          <w:bCs/>
          <w:color w:val="17365D"/>
        </w:rPr>
        <w:t xml:space="preserve">718 </w:t>
      </w:r>
      <w:r w:rsidRPr="00A27896">
        <w:rPr>
          <w:bCs/>
          <w:i/>
          <w:color w:val="17365D"/>
        </w:rPr>
        <w:t>euro</w:t>
      </w:r>
      <w:r w:rsidRPr="00A27896">
        <w:rPr>
          <w:bCs/>
          <w:color w:val="17365D"/>
        </w:rPr>
        <w:t xml:space="preserve"> vērtībā, palielinājums Valsts drošības dienesta un citiem klasificētajiem izdevumiem </w:t>
      </w:r>
      <w:r w:rsidR="000942BF" w:rsidRPr="00A27896">
        <w:rPr>
          <w:bCs/>
          <w:color w:val="17365D"/>
        </w:rPr>
        <w:t>7 834 </w:t>
      </w:r>
      <w:r w:rsidRPr="00A27896">
        <w:rPr>
          <w:bCs/>
          <w:color w:val="17365D"/>
        </w:rPr>
        <w:t xml:space="preserve">678 </w:t>
      </w:r>
      <w:r w:rsidRPr="00A27896">
        <w:rPr>
          <w:bCs/>
          <w:i/>
          <w:color w:val="17365D"/>
        </w:rPr>
        <w:t>euro</w:t>
      </w:r>
      <w:r w:rsidRPr="00A27896">
        <w:rPr>
          <w:bCs/>
          <w:color w:val="17365D"/>
        </w:rPr>
        <w:t xml:space="preserve"> vērtībā.</w:t>
      </w:r>
    </w:p>
    <w:p w14:paraId="4301A609" w14:textId="20EAB83F" w:rsidR="00C3365D" w:rsidRPr="00A27896" w:rsidRDefault="00C3365D" w:rsidP="000942BF">
      <w:pPr>
        <w:pStyle w:val="Pamatteksts"/>
        <w:ind w:firstLine="284"/>
        <w:rPr>
          <w:noProof w:val="0"/>
          <w:color w:val="17365D"/>
          <w:lang w:eastAsia="en-US"/>
        </w:rPr>
      </w:pPr>
      <w:r w:rsidRPr="00A27896">
        <w:rPr>
          <w:color w:val="17365D"/>
        </w:rPr>
        <w:t xml:space="preserve">NP.A25. </w:t>
      </w:r>
      <w:r w:rsidRPr="00A27896">
        <w:rPr>
          <w:noProof w:val="0"/>
          <w:color w:val="17365D"/>
          <w:lang w:eastAsia="en-US"/>
        </w:rPr>
        <w:t>Krājumi, materiāli, energoresursi, preces, biroja preces un inventārs, periodika</w:t>
      </w:r>
      <w:r w:rsidR="000942BF" w:rsidRPr="00A27896">
        <w:rPr>
          <w:noProof w:val="0"/>
          <w:color w:val="17365D"/>
          <w:lang w:eastAsia="en-US"/>
        </w:rPr>
        <w:t>:</w:t>
      </w:r>
    </w:p>
    <w:p w14:paraId="314B7A97" w14:textId="559776BC" w:rsidR="00C3365D" w:rsidRPr="00A27896" w:rsidRDefault="00C3365D" w:rsidP="0057470D">
      <w:pPr>
        <w:pStyle w:val="Pamatteksts"/>
        <w:numPr>
          <w:ilvl w:val="0"/>
          <w:numId w:val="27"/>
        </w:numPr>
        <w:ind w:left="851"/>
        <w:rPr>
          <w:bCs/>
          <w:color w:val="17365D"/>
        </w:rPr>
      </w:pPr>
      <w:r w:rsidRPr="00A27896">
        <w:rPr>
          <w:bCs/>
          <w:color w:val="17365D"/>
        </w:rPr>
        <w:t xml:space="preserve">lielākais pieaugums Ekonomikas ministrijai par avansa maksājumiem AS </w:t>
      </w:r>
      <w:r w:rsidR="000942BF" w:rsidRPr="00A27896">
        <w:rPr>
          <w:bCs/>
          <w:color w:val="17365D"/>
        </w:rPr>
        <w:t>“</w:t>
      </w:r>
      <w:r w:rsidRPr="00A27896">
        <w:rPr>
          <w:bCs/>
          <w:color w:val="17365D"/>
        </w:rPr>
        <w:t>Latvenergo</w:t>
      </w:r>
      <w:r w:rsidR="000942BF" w:rsidRPr="00A27896">
        <w:rPr>
          <w:bCs/>
          <w:color w:val="17365D"/>
        </w:rPr>
        <w:t>”</w:t>
      </w:r>
      <w:r w:rsidRPr="00A27896">
        <w:rPr>
          <w:bCs/>
          <w:color w:val="17365D"/>
        </w:rPr>
        <w:t xml:space="preserve"> par dabasgāzes energoapgādes drošuma rezervi</w:t>
      </w:r>
      <w:r w:rsidR="000942BF" w:rsidRPr="00A27896">
        <w:rPr>
          <w:bCs/>
          <w:color w:val="17365D"/>
        </w:rPr>
        <w:t xml:space="preserve"> 428 697 </w:t>
      </w:r>
      <w:r w:rsidRPr="00A27896">
        <w:rPr>
          <w:bCs/>
          <w:color w:val="17365D"/>
        </w:rPr>
        <w:t xml:space="preserve">918 </w:t>
      </w:r>
      <w:r w:rsidRPr="00A27896">
        <w:rPr>
          <w:bCs/>
          <w:i/>
          <w:color w:val="17365D"/>
        </w:rPr>
        <w:t>euro</w:t>
      </w:r>
      <w:r w:rsidRPr="00A27896">
        <w:rPr>
          <w:bCs/>
          <w:color w:val="17365D"/>
        </w:rPr>
        <w:t xml:space="preserve"> vērtībā;</w:t>
      </w:r>
    </w:p>
    <w:p w14:paraId="37AACC19" w14:textId="1B9966C4" w:rsidR="00C3365D" w:rsidRPr="00A27896" w:rsidRDefault="000942BF" w:rsidP="0057470D">
      <w:pPr>
        <w:pStyle w:val="Pamatteksts"/>
        <w:numPr>
          <w:ilvl w:val="0"/>
          <w:numId w:val="27"/>
        </w:numPr>
        <w:ind w:left="851"/>
        <w:rPr>
          <w:bCs/>
          <w:color w:val="17365D"/>
        </w:rPr>
      </w:pPr>
      <w:r w:rsidRPr="00A27896">
        <w:rPr>
          <w:bCs/>
          <w:color w:val="17365D"/>
        </w:rPr>
        <w:t>Aizsardzības</w:t>
      </w:r>
      <w:r w:rsidR="00C3365D" w:rsidRPr="00A27896">
        <w:rPr>
          <w:bCs/>
          <w:color w:val="17365D"/>
        </w:rPr>
        <w:t xml:space="preserve"> ministrijai palielinājums saistīts ar militārā ekipējuma un in</w:t>
      </w:r>
      <w:r w:rsidRPr="00A27896">
        <w:rPr>
          <w:bCs/>
          <w:color w:val="17365D"/>
        </w:rPr>
        <w:t>dividuālās aizsardzības līdzekļ</w:t>
      </w:r>
      <w:r w:rsidR="00C3365D" w:rsidRPr="00A27896">
        <w:rPr>
          <w:bCs/>
          <w:color w:val="17365D"/>
        </w:rPr>
        <w:t xml:space="preserve">u iegādēm un degvielas iegādes izdevumiem </w:t>
      </w:r>
      <w:r w:rsidRPr="00A27896">
        <w:rPr>
          <w:bCs/>
          <w:color w:val="17365D"/>
        </w:rPr>
        <w:t>26 127 </w:t>
      </w:r>
      <w:r w:rsidR="00C3365D" w:rsidRPr="00A27896">
        <w:rPr>
          <w:bCs/>
          <w:color w:val="17365D"/>
        </w:rPr>
        <w:t xml:space="preserve">242 </w:t>
      </w:r>
      <w:r w:rsidR="00C3365D" w:rsidRPr="00A27896">
        <w:rPr>
          <w:bCs/>
          <w:i/>
          <w:color w:val="17365D"/>
        </w:rPr>
        <w:t>euro</w:t>
      </w:r>
      <w:r w:rsidR="00C3365D" w:rsidRPr="00A27896">
        <w:rPr>
          <w:bCs/>
          <w:color w:val="17365D"/>
        </w:rPr>
        <w:t xml:space="preserve"> vērtībā;</w:t>
      </w:r>
      <w:r w:rsidR="00C3365D" w:rsidRPr="00A27896" w:rsidDel="00B56EE8">
        <w:rPr>
          <w:color w:val="17365D"/>
        </w:rPr>
        <w:t xml:space="preserve"> </w:t>
      </w:r>
    </w:p>
    <w:p w14:paraId="2E649B5F" w14:textId="14FC20F1" w:rsidR="00C3365D" w:rsidRPr="00A27896" w:rsidRDefault="00C3365D" w:rsidP="0057470D">
      <w:pPr>
        <w:pStyle w:val="Pamatteksts"/>
        <w:numPr>
          <w:ilvl w:val="0"/>
          <w:numId w:val="27"/>
        </w:numPr>
        <w:ind w:left="851"/>
        <w:rPr>
          <w:bCs/>
          <w:color w:val="17365D"/>
        </w:rPr>
      </w:pPr>
      <w:r w:rsidRPr="00A27896">
        <w:rPr>
          <w:bCs/>
          <w:color w:val="17365D"/>
        </w:rPr>
        <w:lastRenderedPageBreak/>
        <w:t>Ropažu novad</w:t>
      </w:r>
      <w:r w:rsidR="000942BF" w:rsidRPr="00A27896">
        <w:rPr>
          <w:bCs/>
          <w:color w:val="17365D"/>
        </w:rPr>
        <w:t xml:space="preserve">am pieaugums par </w:t>
      </w:r>
      <w:r w:rsidRPr="00A27896">
        <w:rPr>
          <w:bCs/>
          <w:color w:val="17365D"/>
        </w:rPr>
        <w:t xml:space="preserve">izdevumiem gāzes iegādei un ēdināšanas izmaksām </w:t>
      </w:r>
      <w:r w:rsidR="000942BF" w:rsidRPr="00A27896">
        <w:rPr>
          <w:bCs/>
          <w:color w:val="17365D"/>
        </w:rPr>
        <w:t>izglītības iestādēs 5 242 </w:t>
      </w:r>
      <w:r w:rsidRPr="00A27896">
        <w:rPr>
          <w:bCs/>
          <w:color w:val="17365D"/>
        </w:rPr>
        <w:t xml:space="preserve">172 </w:t>
      </w:r>
      <w:r w:rsidRPr="00A27896">
        <w:rPr>
          <w:bCs/>
          <w:i/>
          <w:color w:val="17365D"/>
        </w:rPr>
        <w:t>euro</w:t>
      </w:r>
      <w:r w:rsidRPr="00A27896">
        <w:rPr>
          <w:bCs/>
          <w:color w:val="17365D"/>
        </w:rPr>
        <w:t xml:space="preserve"> vērtībā;</w:t>
      </w:r>
    </w:p>
    <w:p w14:paraId="64A95F81" w14:textId="18C3A9A6" w:rsidR="00C3365D" w:rsidRPr="00A27896" w:rsidRDefault="00C3365D" w:rsidP="0057470D">
      <w:pPr>
        <w:pStyle w:val="Pamatteksts"/>
        <w:numPr>
          <w:ilvl w:val="0"/>
          <w:numId w:val="27"/>
        </w:numPr>
        <w:ind w:left="851"/>
        <w:rPr>
          <w:bCs/>
          <w:color w:val="17365D"/>
        </w:rPr>
      </w:pPr>
      <w:r w:rsidRPr="00A27896">
        <w:rPr>
          <w:bCs/>
          <w:color w:val="17365D"/>
        </w:rPr>
        <w:t>Izglītības un zinātnes ministrijai inventāra iegādes izdevumu palielinājums 4</w:t>
      </w:r>
      <w:r w:rsidR="000942BF" w:rsidRPr="00A27896">
        <w:rPr>
          <w:bCs/>
          <w:color w:val="17365D"/>
        </w:rPr>
        <w:t> </w:t>
      </w:r>
      <w:r w:rsidRPr="00A27896">
        <w:rPr>
          <w:bCs/>
          <w:color w:val="17365D"/>
        </w:rPr>
        <w:t>950</w:t>
      </w:r>
      <w:r w:rsidR="0057470D" w:rsidRPr="00A27896">
        <w:rPr>
          <w:bCs/>
          <w:color w:val="17365D"/>
        </w:rPr>
        <w:t> </w:t>
      </w:r>
      <w:r w:rsidRPr="00A27896">
        <w:rPr>
          <w:bCs/>
          <w:color w:val="17365D"/>
        </w:rPr>
        <w:t>972</w:t>
      </w:r>
      <w:r w:rsidR="0057470D" w:rsidRPr="00A27896">
        <w:rPr>
          <w:bCs/>
          <w:color w:val="17365D"/>
        </w:rPr>
        <w:t> </w:t>
      </w:r>
      <w:r w:rsidRPr="00A27896">
        <w:rPr>
          <w:bCs/>
          <w:i/>
          <w:color w:val="17365D"/>
        </w:rPr>
        <w:t>euro</w:t>
      </w:r>
      <w:r w:rsidR="000942BF" w:rsidRPr="00A27896">
        <w:rPr>
          <w:bCs/>
          <w:color w:val="17365D"/>
        </w:rPr>
        <w:t xml:space="preserve"> vērtībā –</w:t>
      </w:r>
      <w:r w:rsidR="00115FA7" w:rsidRPr="00A27896">
        <w:rPr>
          <w:bCs/>
          <w:color w:val="17365D"/>
        </w:rPr>
        <w:t xml:space="preserve"> </w:t>
      </w:r>
      <w:r w:rsidRPr="00A27896">
        <w:rPr>
          <w:bCs/>
          <w:color w:val="17365D"/>
        </w:rPr>
        <w:t xml:space="preserve">valsts un pašvaldību vispārējās un profesionālās izglītības iestādēm </w:t>
      </w:r>
      <w:r w:rsidR="000942BF" w:rsidRPr="00A27896">
        <w:rPr>
          <w:bCs/>
          <w:color w:val="17365D"/>
        </w:rPr>
        <w:t xml:space="preserve">iegādāti </w:t>
      </w:r>
      <w:r w:rsidRPr="00A27896">
        <w:rPr>
          <w:bCs/>
          <w:color w:val="17365D"/>
        </w:rPr>
        <w:t>gaisa kvalitātes mērītāji, lai nodrošinātu ogļskābās gāzes līmeņa noteikšanu;</w:t>
      </w:r>
    </w:p>
    <w:p w14:paraId="50C1C974" w14:textId="7ED8EF31" w:rsidR="00C3365D" w:rsidRPr="00A27896" w:rsidRDefault="00C3365D" w:rsidP="0057470D">
      <w:pPr>
        <w:pStyle w:val="Pamatteksts"/>
        <w:numPr>
          <w:ilvl w:val="0"/>
          <w:numId w:val="27"/>
        </w:numPr>
        <w:ind w:left="851"/>
        <w:rPr>
          <w:bCs/>
          <w:color w:val="17365D"/>
        </w:rPr>
      </w:pPr>
      <w:r w:rsidRPr="00A27896">
        <w:rPr>
          <w:bCs/>
          <w:color w:val="17365D"/>
        </w:rPr>
        <w:t>Sabiedrības integrācijas fondam palielinājušies i</w:t>
      </w:r>
      <w:r w:rsidR="000942BF" w:rsidRPr="00A27896">
        <w:rPr>
          <w:bCs/>
          <w:color w:val="17365D"/>
        </w:rPr>
        <w:t>zdevumi par atbalsta komplektu iegādi</w:t>
      </w:r>
      <w:r w:rsidRPr="00A27896">
        <w:rPr>
          <w:bCs/>
          <w:color w:val="17365D"/>
        </w:rPr>
        <w:t xml:space="preserve"> vistrū</w:t>
      </w:r>
      <w:r w:rsidR="000942BF" w:rsidRPr="00A27896">
        <w:rPr>
          <w:bCs/>
          <w:color w:val="17365D"/>
        </w:rPr>
        <w:t>cīgākajām personām 2 930 </w:t>
      </w:r>
      <w:r w:rsidRPr="00A27896">
        <w:rPr>
          <w:bCs/>
          <w:color w:val="17365D"/>
        </w:rPr>
        <w:t xml:space="preserve">456 </w:t>
      </w:r>
      <w:r w:rsidRPr="00A27896">
        <w:rPr>
          <w:bCs/>
          <w:i/>
          <w:color w:val="17365D"/>
        </w:rPr>
        <w:t>euro</w:t>
      </w:r>
      <w:r w:rsidRPr="00A27896">
        <w:rPr>
          <w:bCs/>
          <w:color w:val="17365D"/>
        </w:rPr>
        <w:t xml:space="preserve"> vērtībā.</w:t>
      </w:r>
    </w:p>
    <w:p w14:paraId="453FD9D8" w14:textId="63B7C864" w:rsidR="00387B53" w:rsidRPr="00A27896" w:rsidRDefault="00387B53" w:rsidP="001651EB">
      <w:pPr>
        <w:spacing w:before="120" w:after="120" w:line="240" w:lineRule="auto"/>
        <w:ind w:firstLine="360"/>
        <w:jc w:val="both"/>
        <w:rPr>
          <w:rFonts w:cs="Times New Roman"/>
          <w:color w:val="17365D"/>
        </w:rPr>
      </w:pPr>
      <w:r w:rsidRPr="00A27896">
        <w:rPr>
          <w:rFonts w:cs="Times New Roman"/>
          <w:color w:val="17365D"/>
        </w:rPr>
        <w:t>Naudas plūsmas ieguldījumu darbības i</w:t>
      </w:r>
      <w:r w:rsidRPr="00A27896">
        <w:rPr>
          <w:rFonts w:cs="Times New Roman"/>
          <w:color w:val="17365D"/>
          <w:lang w:eastAsia="lv-LV"/>
        </w:rPr>
        <w:t xml:space="preserve">eņēmumu un izdevumu </w:t>
      </w:r>
      <w:r w:rsidRPr="00A27896">
        <w:rPr>
          <w:rFonts w:cs="Times New Roman"/>
          <w:color w:val="17365D"/>
        </w:rPr>
        <w:t>posteņu izmaiņas uzrādītas 5</w:t>
      </w:r>
      <w:r w:rsidR="006C1AA7" w:rsidRPr="00A27896">
        <w:rPr>
          <w:rFonts w:cs="Times New Roman"/>
          <w:color w:val="17365D"/>
        </w:rPr>
        <w:t>4</w:t>
      </w:r>
      <w:r w:rsidRPr="00A27896">
        <w:rPr>
          <w:rFonts w:cs="Times New Roman"/>
          <w:color w:val="17365D"/>
        </w:rPr>
        <w:t>. tabulā.</w:t>
      </w:r>
    </w:p>
    <w:p w14:paraId="3D94FFE5" w14:textId="6C0A12A6" w:rsidR="00387B53" w:rsidRPr="00A27896" w:rsidRDefault="00387B53" w:rsidP="00387B53">
      <w:pPr>
        <w:pStyle w:val="Tabulasnosaukums"/>
        <w:spacing w:before="0"/>
        <w:rPr>
          <w:rFonts w:eastAsia="Arial Unicode MS"/>
          <w:color w:val="17365D"/>
          <w:szCs w:val="20"/>
        </w:rPr>
      </w:pPr>
      <w:r w:rsidRPr="00A27896">
        <w:rPr>
          <w:rFonts w:eastAsia="Arial Unicode MS"/>
          <w:color w:val="17365D"/>
          <w:szCs w:val="20"/>
        </w:rPr>
        <w:t>5</w:t>
      </w:r>
      <w:r w:rsidR="006C1AA7" w:rsidRPr="00A27896">
        <w:rPr>
          <w:rFonts w:eastAsia="Arial Unicode MS"/>
          <w:color w:val="17365D"/>
          <w:szCs w:val="20"/>
        </w:rPr>
        <w:t>4</w:t>
      </w:r>
      <w:r w:rsidRPr="00A27896">
        <w:rPr>
          <w:rFonts w:eastAsia="Arial Unicode MS"/>
          <w:color w:val="17365D"/>
          <w:szCs w:val="20"/>
        </w:rPr>
        <w:t xml:space="preserve">. tabula. NP.B Ieguldījumu darbības </w:t>
      </w:r>
      <w:r w:rsidRPr="00A27896">
        <w:rPr>
          <w:bCs/>
          <w:color w:val="17365D"/>
          <w:szCs w:val="20"/>
        </w:rPr>
        <w:t>ieņēmumi un izdevumi (</w:t>
      </w:r>
      <w:r w:rsidRPr="00A27896">
        <w:rPr>
          <w:color w:val="17365D"/>
          <w:szCs w:val="20"/>
        </w:rPr>
        <w:t>euro)</w:t>
      </w:r>
    </w:p>
    <w:tbl>
      <w:tblPr>
        <w:tblW w:w="9330" w:type="dxa"/>
        <w:tblInd w:w="93" w:type="dxa"/>
        <w:tblLayout w:type="fixed"/>
        <w:tblLook w:val="04A0" w:firstRow="1" w:lastRow="0" w:firstColumn="1" w:lastColumn="0" w:noHBand="0" w:noVBand="1"/>
      </w:tblPr>
      <w:tblGrid>
        <w:gridCol w:w="2742"/>
        <w:gridCol w:w="992"/>
        <w:gridCol w:w="1418"/>
        <w:gridCol w:w="1593"/>
        <w:gridCol w:w="1451"/>
        <w:gridCol w:w="1134"/>
      </w:tblGrid>
      <w:tr w:rsidR="007E4FC6" w:rsidRPr="00A27896" w14:paraId="6CEA3667" w14:textId="77777777" w:rsidTr="00100EA1">
        <w:trPr>
          <w:trHeight w:val="791"/>
          <w:tblHeader/>
        </w:trPr>
        <w:tc>
          <w:tcPr>
            <w:tcW w:w="2742" w:type="dxa"/>
            <w:tcBorders>
              <w:bottom w:val="single" w:sz="4" w:space="0" w:color="17365D"/>
            </w:tcBorders>
            <w:shd w:val="clear" w:color="auto" w:fill="B9CDE5"/>
            <w:vAlign w:val="center"/>
            <w:hideMark/>
          </w:tcPr>
          <w:p w14:paraId="6A180621" w14:textId="77777777" w:rsidR="007E4FC6" w:rsidRPr="00A27896" w:rsidRDefault="007E4FC6" w:rsidP="007E4FC6">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Rādītājs</w:t>
            </w:r>
          </w:p>
        </w:tc>
        <w:tc>
          <w:tcPr>
            <w:tcW w:w="992" w:type="dxa"/>
            <w:tcBorders>
              <w:bottom w:val="single" w:sz="4" w:space="0" w:color="17365D"/>
            </w:tcBorders>
            <w:shd w:val="clear" w:color="auto" w:fill="B9CDE5"/>
            <w:vAlign w:val="center"/>
          </w:tcPr>
          <w:p w14:paraId="36B00A8A" w14:textId="77777777" w:rsidR="007E4FC6" w:rsidRPr="00A27896" w:rsidRDefault="007E4FC6" w:rsidP="007E4FC6">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Piezīmes Nr.</w:t>
            </w:r>
          </w:p>
        </w:tc>
        <w:tc>
          <w:tcPr>
            <w:tcW w:w="1418" w:type="dxa"/>
            <w:tcBorders>
              <w:bottom w:val="single" w:sz="4" w:space="0" w:color="17365D"/>
            </w:tcBorders>
            <w:shd w:val="clear" w:color="auto" w:fill="B9CDE5"/>
            <w:vAlign w:val="center"/>
          </w:tcPr>
          <w:p w14:paraId="1A910EDA" w14:textId="77777777" w:rsidR="007E4FC6" w:rsidRPr="00A27896" w:rsidRDefault="007E4FC6" w:rsidP="007E4FC6">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Pārskata periods</w:t>
            </w:r>
          </w:p>
        </w:tc>
        <w:tc>
          <w:tcPr>
            <w:tcW w:w="1593" w:type="dxa"/>
            <w:tcBorders>
              <w:bottom w:val="single" w:sz="4" w:space="0" w:color="17365D"/>
            </w:tcBorders>
            <w:shd w:val="clear" w:color="auto" w:fill="B9CDE5"/>
            <w:vAlign w:val="center"/>
          </w:tcPr>
          <w:p w14:paraId="49F375F2" w14:textId="77777777" w:rsidR="007E4FC6" w:rsidRPr="00A27896" w:rsidRDefault="007E4FC6" w:rsidP="007E4FC6">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Iepriekšējais pārskata periods</w:t>
            </w:r>
          </w:p>
        </w:tc>
        <w:tc>
          <w:tcPr>
            <w:tcW w:w="1451" w:type="dxa"/>
            <w:tcBorders>
              <w:bottom w:val="single" w:sz="4" w:space="0" w:color="17365D"/>
            </w:tcBorders>
            <w:shd w:val="clear" w:color="auto" w:fill="B9CDE5"/>
            <w:vAlign w:val="center"/>
          </w:tcPr>
          <w:p w14:paraId="1C0099F6" w14:textId="77777777" w:rsidR="007E4FC6" w:rsidRPr="00A27896" w:rsidRDefault="007E4FC6" w:rsidP="007E4FC6">
            <w:pPr>
              <w:spacing w:after="0" w:line="240" w:lineRule="auto"/>
              <w:ind w:left="-107" w:right="-109"/>
              <w:jc w:val="center"/>
              <w:rPr>
                <w:rFonts w:cs="Times New Roman"/>
                <w:b/>
                <w:color w:val="17365D"/>
                <w:sz w:val="18"/>
                <w:szCs w:val="18"/>
                <w:lang w:eastAsia="lv-LV"/>
              </w:rPr>
            </w:pPr>
            <w:r w:rsidRPr="00A27896">
              <w:rPr>
                <w:rFonts w:cs="Times New Roman"/>
                <w:b/>
                <w:color w:val="17365D"/>
                <w:sz w:val="18"/>
                <w:szCs w:val="18"/>
                <w:lang w:eastAsia="lv-LV"/>
              </w:rPr>
              <w:t>Palielinājums (+), samazinājums (–) (1. – 2.)</w:t>
            </w:r>
          </w:p>
        </w:tc>
        <w:tc>
          <w:tcPr>
            <w:tcW w:w="1134" w:type="dxa"/>
            <w:tcBorders>
              <w:bottom w:val="single" w:sz="4" w:space="0" w:color="17365D"/>
            </w:tcBorders>
            <w:shd w:val="clear" w:color="auto" w:fill="B9CDE5"/>
            <w:vAlign w:val="center"/>
          </w:tcPr>
          <w:p w14:paraId="4B2C24BD" w14:textId="77777777" w:rsidR="00100EA1" w:rsidRPr="00A27896" w:rsidRDefault="007E4FC6" w:rsidP="007E4FC6">
            <w:pPr>
              <w:spacing w:after="0" w:line="240" w:lineRule="auto"/>
              <w:ind w:left="-107" w:right="-109"/>
              <w:jc w:val="center"/>
              <w:rPr>
                <w:rFonts w:cs="Times New Roman"/>
                <w:b/>
                <w:color w:val="17365D"/>
                <w:sz w:val="18"/>
                <w:szCs w:val="18"/>
                <w:lang w:eastAsia="lv-LV"/>
              </w:rPr>
            </w:pPr>
            <w:r w:rsidRPr="00A27896">
              <w:rPr>
                <w:rFonts w:cs="Times New Roman"/>
                <w:b/>
                <w:color w:val="17365D"/>
                <w:sz w:val="18"/>
                <w:szCs w:val="18"/>
                <w:lang w:eastAsia="lv-LV"/>
              </w:rPr>
              <w:t xml:space="preserve">Procentuālās izmaiņas </w:t>
            </w:r>
          </w:p>
          <w:p w14:paraId="5E1F2C0F" w14:textId="7EB17940" w:rsidR="007E4FC6" w:rsidRPr="00A27896" w:rsidRDefault="007E4FC6" w:rsidP="00B42452">
            <w:pPr>
              <w:spacing w:after="0" w:line="240" w:lineRule="auto"/>
              <w:ind w:left="-107" w:right="-109"/>
              <w:jc w:val="center"/>
              <w:rPr>
                <w:rFonts w:cs="Times New Roman"/>
                <w:b/>
                <w:color w:val="17365D"/>
                <w:sz w:val="18"/>
                <w:szCs w:val="18"/>
                <w:lang w:eastAsia="lv-LV"/>
              </w:rPr>
            </w:pPr>
            <w:r w:rsidRPr="00A27896">
              <w:rPr>
                <w:rFonts w:cs="Times New Roman"/>
                <w:b/>
                <w:color w:val="17365D"/>
                <w:sz w:val="18"/>
                <w:szCs w:val="18"/>
                <w:lang w:eastAsia="lv-LV"/>
              </w:rPr>
              <w:t>(3</w:t>
            </w:r>
            <w:r w:rsidR="00685872" w:rsidRPr="00A27896">
              <w:rPr>
                <w:rFonts w:cs="Times New Roman"/>
                <w:b/>
                <w:color w:val="17365D"/>
                <w:sz w:val="18"/>
                <w:szCs w:val="18"/>
                <w:lang w:eastAsia="lv-LV"/>
              </w:rPr>
              <w:t>./</w:t>
            </w:r>
            <w:r w:rsidRPr="00A27896">
              <w:rPr>
                <w:rFonts w:cs="Times New Roman"/>
                <w:b/>
                <w:color w:val="17365D"/>
                <w:sz w:val="18"/>
                <w:szCs w:val="18"/>
                <w:lang w:eastAsia="lv-LV"/>
              </w:rPr>
              <w:t xml:space="preserve">2. </w:t>
            </w:r>
            <w:r w:rsidR="00B42452" w:rsidRPr="00A27896">
              <w:rPr>
                <w:rFonts w:cs="Times New Roman"/>
                <w:b/>
                <w:color w:val="17365D"/>
                <w:sz w:val="18"/>
                <w:szCs w:val="18"/>
                <w:lang w:eastAsia="lv-LV"/>
              </w:rPr>
              <w:t>*</w:t>
            </w:r>
            <w:r w:rsidRPr="00A27896">
              <w:rPr>
                <w:rFonts w:cs="Times New Roman"/>
                <w:b/>
                <w:color w:val="17365D"/>
                <w:sz w:val="18"/>
                <w:szCs w:val="18"/>
                <w:lang w:eastAsia="lv-LV"/>
              </w:rPr>
              <w:t xml:space="preserve"> 100)</w:t>
            </w:r>
          </w:p>
        </w:tc>
      </w:tr>
      <w:tr w:rsidR="007E4FC6" w:rsidRPr="00A27896" w14:paraId="246729DC" w14:textId="77777777" w:rsidTr="00100EA1">
        <w:trPr>
          <w:trHeight w:val="60"/>
        </w:trPr>
        <w:tc>
          <w:tcPr>
            <w:tcW w:w="2742" w:type="dxa"/>
            <w:tcBorders>
              <w:top w:val="single" w:sz="4" w:space="0" w:color="17365D"/>
              <w:bottom w:val="single" w:sz="4" w:space="0" w:color="17365D"/>
            </w:tcBorders>
            <w:shd w:val="clear" w:color="auto" w:fill="auto"/>
            <w:vAlign w:val="center"/>
          </w:tcPr>
          <w:p w14:paraId="70361064" w14:textId="77777777" w:rsidR="007E4FC6" w:rsidRPr="00A27896" w:rsidRDefault="007E4FC6" w:rsidP="007E4FC6">
            <w:pPr>
              <w:spacing w:after="0" w:line="240" w:lineRule="auto"/>
              <w:jc w:val="center"/>
              <w:rPr>
                <w:rFonts w:cs="Times New Roman"/>
                <w:b/>
                <w:color w:val="17365D"/>
                <w:sz w:val="18"/>
                <w:szCs w:val="18"/>
              </w:rPr>
            </w:pPr>
            <w:r w:rsidRPr="00A27896">
              <w:rPr>
                <w:rFonts w:cs="Times New Roman"/>
                <w:b/>
                <w:color w:val="17365D"/>
                <w:sz w:val="18"/>
                <w:szCs w:val="18"/>
              </w:rPr>
              <w:t>A</w:t>
            </w:r>
          </w:p>
        </w:tc>
        <w:tc>
          <w:tcPr>
            <w:tcW w:w="992" w:type="dxa"/>
            <w:tcBorders>
              <w:top w:val="single" w:sz="4" w:space="0" w:color="17365D"/>
              <w:bottom w:val="single" w:sz="4" w:space="0" w:color="17365D"/>
            </w:tcBorders>
            <w:shd w:val="clear" w:color="auto" w:fill="auto"/>
            <w:vAlign w:val="center"/>
          </w:tcPr>
          <w:p w14:paraId="651FB9A6" w14:textId="77777777" w:rsidR="007E4FC6" w:rsidRPr="00A27896" w:rsidRDefault="007E4FC6" w:rsidP="007E4FC6">
            <w:pPr>
              <w:spacing w:after="0" w:line="240" w:lineRule="auto"/>
              <w:jc w:val="center"/>
              <w:rPr>
                <w:rFonts w:cs="Times New Roman"/>
                <w:b/>
                <w:color w:val="17365D"/>
                <w:sz w:val="18"/>
                <w:szCs w:val="18"/>
              </w:rPr>
            </w:pPr>
            <w:r w:rsidRPr="00A27896">
              <w:rPr>
                <w:rFonts w:cs="Times New Roman"/>
                <w:b/>
                <w:color w:val="17365D"/>
                <w:sz w:val="18"/>
                <w:szCs w:val="18"/>
              </w:rPr>
              <w:t>B</w:t>
            </w:r>
          </w:p>
        </w:tc>
        <w:tc>
          <w:tcPr>
            <w:tcW w:w="1418" w:type="dxa"/>
            <w:tcBorders>
              <w:top w:val="single" w:sz="4" w:space="0" w:color="17365D"/>
              <w:bottom w:val="single" w:sz="4" w:space="0" w:color="17365D"/>
            </w:tcBorders>
            <w:shd w:val="clear" w:color="auto" w:fill="auto"/>
            <w:vAlign w:val="center"/>
          </w:tcPr>
          <w:p w14:paraId="0D21EFBF" w14:textId="77777777" w:rsidR="007E4FC6" w:rsidRPr="00A27896" w:rsidRDefault="007E4FC6" w:rsidP="007E4FC6">
            <w:pPr>
              <w:spacing w:after="0" w:line="240" w:lineRule="auto"/>
              <w:jc w:val="center"/>
              <w:rPr>
                <w:rFonts w:cs="Times New Roman"/>
                <w:b/>
                <w:color w:val="17365D"/>
                <w:sz w:val="18"/>
                <w:szCs w:val="18"/>
              </w:rPr>
            </w:pPr>
            <w:r w:rsidRPr="00A27896">
              <w:rPr>
                <w:rFonts w:cs="Times New Roman"/>
                <w:b/>
                <w:color w:val="17365D"/>
                <w:sz w:val="18"/>
                <w:szCs w:val="18"/>
              </w:rPr>
              <w:t>1</w:t>
            </w:r>
          </w:p>
        </w:tc>
        <w:tc>
          <w:tcPr>
            <w:tcW w:w="1593" w:type="dxa"/>
            <w:tcBorders>
              <w:top w:val="single" w:sz="4" w:space="0" w:color="17365D"/>
              <w:bottom w:val="single" w:sz="4" w:space="0" w:color="17365D"/>
            </w:tcBorders>
            <w:shd w:val="clear" w:color="auto" w:fill="auto"/>
            <w:vAlign w:val="center"/>
          </w:tcPr>
          <w:p w14:paraId="69F72F14" w14:textId="77777777" w:rsidR="007E4FC6" w:rsidRPr="00A27896" w:rsidRDefault="007E4FC6" w:rsidP="007E4FC6">
            <w:pPr>
              <w:spacing w:after="0" w:line="240" w:lineRule="auto"/>
              <w:jc w:val="center"/>
              <w:rPr>
                <w:rFonts w:cs="Times New Roman"/>
                <w:b/>
                <w:color w:val="17365D"/>
                <w:sz w:val="18"/>
                <w:szCs w:val="18"/>
              </w:rPr>
            </w:pPr>
            <w:r w:rsidRPr="00A27896">
              <w:rPr>
                <w:rFonts w:cs="Times New Roman"/>
                <w:b/>
                <w:color w:val="17365D"/>
                <w:sz w:val="18"/>
                <w:szCs w:val="18"/>
              </w:rPr>
              <w:t>2</w:t>
            </w:r>
          </w:p>
        </w:tc>
        <w:tc>
          <w:tcPr>
            <w:tcW w:w="1451" w:type="dxa"/>
            <w:tcBorders>
              <w:top w:val="single" w:sz="4" w:space="0" w:color="17365D"/>
              <w:bottom w:val="single" w:sz="4" w:space="0" w:color="17365D"/>
            </w:tcBorders>
            <w:shd w:val="clear" w:color="auto" w:fill="auto"/>
            <w:vAlign w:val="center"/>
          </w:tcPr>
          <w:p w14:paraId="4AD5F10D" w14:textId="77777777" w:rsidR="007E4FC6" w:rsidRPr="00A27896" w:rsidRDefault="007E4FC6" w:rsidP="007E4FC6">
            <w:pPr>
              <w:spacing w:after="0" w:line="240" w:lineRule="auto"/>
              <w:jc w:val="center"/>
              <w:rPr>
                <w:rFonts w:cs="Times New Roman"/>
                <w:b/>
                <w:color w:val="17365D"/>
                <w:sz w:val="18"/>
                <w:szCs w:val="18"/>
              </w:rPr>
            </w:pPr>
            <w:r w:rsidRPr="00A27896">
              <w:rPr>
                <w:rFonts w:cs="Times New Roman"/>
                <w:b/>
                <w:color w:val="17365D"/>
                <w:sz w:val="18"/>
                <w:szCs w:val="18"/>
              </w:rPr>
              <w:t>3</w:t>
            </w:r>
          </w:p>
        </w:tc>
        <w:tc>
          <w:tcPr>
            <w:tcW w:w="1134" w:type="dxa"/>
            <w:tcBorders>
              <w:top w:val="single" w:sz="4" w:space="0" w:color="17365D"/>
              <w:bottom w:val="single" w:sz="4" w:space="0" w:color="17365D"/>
            </w:tcBorders>
            <w:shd w:val="clear" w:color="auto" w:fill="auto"/>
            <w:vAlign w:val="center"/>
          </w:tcPr>
          <w:p w14:paraId="0C8D50F3" w14:textId="77777777" w:rsidR="007E4FC6" w:rsidRPr="00A27896" w:rsidRDefault="007E4FC6" w:rsidP="007E4FC6">
            <w:pPr>
              <w:spacing w:after="0" w:line="240" w:lineRule="auto"/>
              <w:jc w:val="center"/>
              <w:rPr>
                <w:rFonts w:cs="Times New Roman"/>
                <w:b/>
                <w:color w:val="17365D"/>
                <w:sz w:val="18"/>
                <w:szCs w:val="18"/>
              </w:rPr>
            </w:pPr>
            <w:r w:rsidRPr="00A27896">
              <w:rPr>
                <w:rFonts w:cs="Times New Roman"/>
                <w:b/>
                <w:color w:val="17365D"/>
                <w:sz w:val="18"/>
                <w:szCs w:val="18"/>
              </w:rPr>
              <w:t>4</w:t>
            </w:r>
          </w:p>
        </w:tc>
      </w:tr>
      <w:tr w:rsidR="007E4FC6" w:rsidRPr="00A27896" w14:paraId="37D65D3D" w14:textId="77777777" w:rsidTr="00100EA1">
        <w:trPr>
          <w:trHeight w:val="319"/>
        </w:trPr>
        <w:tc>
          <w:tcPr>
            <w:tcW w:w="2742" w:type="dxa"/>
            <w:tcBorders>
              <w:top w:val="single" w:sz="4" w:space="0" w:color="17365D"/>
              <w:bottom w:val="single" w:sz="4" w:space="0" w:color="17365D"/>
            </w:tcBorders>
            <w:shd w:val="clear" w:color="auto" w:fill="auto"/>
            <w:vAlign w:val="center"/>
          </w:tcPr>
          <w:p w14:paraId="24BD9D83" w14:textId="77777777" w:rsidR="007E4FC6" w:rsidRPr="00A27896" w:rsidRDefault="007E4FC6" w:rsidP="007E4FC6">
            <w:pPr>
              <w:spacing w:after="0" w:line="240" w:lineRule="auto"/>
              <w:rPr>
                <w:rFonts w:cs="Times New Roman"/>
                <w:b/>
                <w:color w:val="17365D"/>
                <w:sz w:val="18"/>
                <w:szCs w:val="18"/>
              </w:rPr>
            </w:pPr>
            <w:r w:rsidRPr="00A27896">
              <w:rPr>
                <w:rFonts w:cs="Times New Roman"/>
                <w:b/>
                <w:color w:val="17365D"/>
                <w:sz w:val="18"/>
                <w:szCs w:val="18"/>
              </w:rPr>
              <w:t xml:space="preserve">Ieņēmumi no ieguldījumu darbības </w:t>
            </w:r>
          </w:p>
        </w:tc>
        <w:tc>
          <w:tcPr>
            <w:tcW w:w="992" w:type="dxa"/>
            <w:tcBorders>
              <w:top w:val="single" w:sz="4" w:space="0" w:color="17365D"/>
              <w:bottom w:val="single" w:sz="4" w:space="0" w:color="17365D"/>
            </w:tcBorders>
            <w:shd w:val="clear" w:color="auto" w:fill="auto"/>
            <w:vAlign w:val="center"/>
          </w:tcPr>
          <w:p w14:paraId="19507419" w14:textId="77777777" w:rsidR="007E4FC6" w:rsidRPr="00A27896" w:rsidRDefault="007E4FC6" w:rsidP="007E4FC6">
            <w:pPr>
              <w:spacing w:after="0" w:line="240" w:lineRule="auto"/>
              <w:jc w:val="center"/>
              <w:rPr>
                <w:rFonts w:cs="Times New Roman"/>
                <w:b/>
                <w:color w:val="17365D"/>
                <w:sz w:val="18"/>
                <w:szCs w:val="18"/>
              </w:rPr>
            </w:pPr>
          </w:p>
        </w:tc>
        <w:tc>
          <w:tcPr>
            <w:tcW w:w="1418" w:type="dxa"/>
            <w:tcBorders>
              <w:top w:val="single" w:sz="4" w:space="0" w:color="17365D"/>
              <w:bottom w:val="single" w:sz="4" w:space="0" w:color="17365D"/>
            </w:tcBorders>
            <w:shd w:val="clear" w:color="auto" w:fill="auto"/>
            <w:vAlign w:val="center"/>
          </w:tcPr>
          <w:p w14:paraId="3E829DD4" w14:textId="77777777" w:rsidR="007E4FC6" w:rsidRPr="00A27896" w:rsidRDefault="007E4FC6" w:rsidP="007E4FC6">
            <w:pPr>
              <w:spacing w:after="0" w:line="240" w:lineRule="auto"/>
              <w:jc w:val="right"/>
              <w:rPr>
                <w:rFonts w:cs="Times New Roman"/>
                <w:b/>
                <w:color w:val="17365D"/>
                <w:sz w:val="18"/>
                <w:szCs w:val="18"/>
                <w:lang w:eastAsia="lv-LV"/>
              </w:rPr>
            </w:pPr>
            <w:r w:rsidRPr="00A27896">
              <w:rPr>
                <w:rFonts w:cs="Times New Roman"/>
                <w:b/>
                <w:color w:val="17365D"/>
                <w:sz w:val="18"/>
                <w:szCs w:val="18"/>
                <w:lang w:eastAsia="lv-LV"/>
              </w:rPr>
              <w:t>66 629 030</w:t>
            </w:r>
          </w:p>
        </w:tc>
        <w:tc>
          <w:tcPr>
            <w:tcW w:w="1593" w:type="dxa"/>
            <w:tcBorders>
              <w:top w:val="single" w:sz="4" w:space="0" w:color="17365D"/>
              <w:bottom w:val="single" w:sz="4" w:space="0" w:color="17365D"/>
            </w:tcBorders>
            <w:shd w:val="clear" w:color="auto" w:fill="auto"/>
            <w:vAlign w:val="center"/>
          </w:tcPr>
          <w:p w14:paraId="33ED9114" w14:textId="77777777" w:rsidR="007E4FC6" w:rsidRPr="00A27896" w:rsidRDefault="007E4FC6" w:rsidP="007E4FC6">
            <w:pPr>
              <w:spacing w:after="0" w:line="240" w:lineRule="auto"/>
              <w:jc w:val="right"/>
              <w:rPr>
                <w:rFonts w:cs="Times New Roman"/>
                <w:b/>
                <w:color w:val="17365D"/>
                <w:sz w:val="18"/>
                <w:szCs w:val="18"/>
                <w:lang w:eastAsia="lv-LV"/>
              </w:rPr>
            </w:pPr>
            <w:r w:rsidRPr="00A27896">
              <w:rPr>
                <w:rFonts w:cs="Times New Roman"/>
                <w:b/>
                <w:color w:val="17365D"/>
                <w:sz w:val="18"/>
                <w:szCs w:val="18"/>
                <w:lang w:eastAsia="lv-LV"/>
              </w:rPr>
              <w:t>70 900 263</w:t>
            </w:r>
          </w:p>
        </w:tc>
        <w:tc>
          <w:tcPr>
            <w:tcW w:w="1451" w:type="dxa"/>
            <w:tcBorders>
              <w:top w:val="single" w:sz="4" w:space="0" w:color="17365D"/>
              <w:bottom w:val="single" w:sz="4" w:space="0" w:color="17365D"/>
            </w:tcBorders>
            <w:shd w:val="clear" w:color="auto" w:fill="auto"/>
            <w:vAlign w:val="center"/>
          </w:tcPr>
          <w:p w14:paraId="3BE3758C" w14:textId="77777777" w:rsidR="007E4FC6" w:rsidRPr="00A27896" w:rsidRDefault="007E4FC6" w:rsidP="007E4FC6">
            <w:pPr>
              <w:spacing w:after="0" w:line="240" w:lineRule="auto"/>
              <w:jc w:val="right"/>
              <w:rPr>
                <w:rFonts w:cs="Times New Roman"/>
                <w:b/>
                <w:color w:val="17365D"/>
                <w:sz w:val="18"/>
                <w:szCs w:val="18"/>
                <w:lang w:eastAsia="lv-LV"/>
              </w:rPr>
            </w:pPr>
            <w:r w:rsidRPr="00A27896">
              <w:rPr>
                <w:rFonts w:cs="Times New Roman"/>
                <w:b/>
                <w:color w:val="17365D"/>
                <w:sz w:val="18"/>
                <w:szCs w:val="18"/>
                <w:lang w:eastAsia="lv-LV"/>
              </w:rPr>
              <w:t>-4 271 233</w:t>
            </w:r>
          </w:p>
        </w:tc>
        <w:tc>
          <w:tcPr>
            <w:tcW w:w="1134" w:type="dxa"/>
            <w:tcBorders>
              <w:top w:val="single" w:sz="4" w:space="0" w:color="17365D"/>
              <w:bottom w:val="single" w:sz="4" w:space="0" w:color="17365D"/>
            </w:tcBorders>
            <w:shd w:val="clear" w:color="auto" w:fill="auto"/>
            <w:vAlign w:val="center"/>
          </w:tcPr>
          <w:p w14:paraId="20214810" w14:textId="77777777" w:rsidR="007E4FC6" w:rsidRPr="00A27896" w:rsidRDefault="007E4FC6" w:rsidP="007E4FC6">
            <w:pPr>
              <w:spacing w:after="0" w:line="240" w:lineRule="auto"/>
              <w:jc w:val="right"/>
              <w:rPr>
                <w:rFonts w:cs="Times New Roman"/>
                <w:b/>
                <w:color w:val="17365D"/>
                <w:sz w:val="18"/>
                <w:szCs w:val="18"/>
                <w:lang w:eastAsia="lv-LV"/>
              </w:rPr>
            </w:pPr>
            <w:r w:rsidRPr="00A27896">
              <w:rPr>
                <w:rFonts w:cs="Times New Roman"/>
                <w:b/>
                <w:color w:val="17365D"/>
                <w:sz w:val="18"/>
                <w:szCs w:val="18"/>
                <w:lang w:eastAsia="lv-LV"/>
              </w:rPr>
              <w:t>-6.02</w:t>
            </w:r>
          </w:p>
        </w:tc>
      </w:tr>
      <w:tr w:rsidR="007E4FC6" w:rsidRPr="00A27896" w14:paraId="698052CB" w14:textId="77777777" w:rsidTr="00100EA1">
        <w:trPr>
          <w:trHeight w:val="150"/>
        </w:trPr>
        <w:tc>
          <w:tcPr>
            <w:tcW w:w="2742" w:type="dxa"/>
            <w:tcBorders>
              <w:top w:val="single" w:sz="4" w:space="0" w:color="17365D"/>
              <w:bottom w:val="single" w:sz="4" w:space="0" w:color="17365D"/>
            </w:tcBorders>
            <w:shd w:val="clear" w:color="auto" w:fill="auto"/>
            <w:vAlign w:val="center"/>
          </w:tcPr>
          <w:p w14:paraId="35C3B551" w14:textId="77777777" w:rsidR="007E4FC6" w:rsidRPr="00A27896" w:rsidRDefault="007E4FC6" w:rsidP="007E4FC6">
            <w:pPr>
              <w:pStyle w:val="Tabulasteksts"/>
              <w:rPr>
                <w:bCs/>
                <w:color w:val="17365D"/>
                <w:sz w:val="18"/>
                <w:szCs w:val="18"/>
                <w:lang w:eastAsia="lv-LV"/>
              </w:rPr>
            </w:pPr>
            <w:r w:rsidRPr="00A27896">
              <w:rPr>
                <w:bCs/>
                <w:color w:val="17365D"/>
                <w:sz w:val="18"/>
                <w:szCs w:val="18"/>
                <w:lang w:eastAsia="lv-LV"/>
              </w:rPr>
              <w:t>Nemateriālo ieguldījumu pārdošana un atmaksātie avansa maksājumi par nemateriālajiem ieguldījumiem</w:t>
            </w:r>
          </w:p>
        </w:tc>
        <w:tc>
          <w:tcPr>
            <w:tcW w:w="992" w:type="dxa"/>
            <w:tcBorders>
              <w:top w:val="single" w:sz="4" w:space="0" w:color="17365D"/>
              <w:bottom w:val="single" w:sz="4" w:space="0" w:color="17365D"/>
            </w:tcBorders>
            <w:shd w:val="clear" w:color="auto" w:fill="auto"/>
            <w:vAlign w:val="center"/>
          </w:tcPr>
          <w:p w14:paraId="300FBB32" w14:textId="77777777" w:rsidR="007E4FC6" w:rsidRPr="00A27896" w:rsidRDefault="007E4FC6" w:rsidP="007E4FC6">
            <w:pPr>
              <w:pStyle w:val="Tabulasteksts"/>
              <w:rPr>
                <w:bCs/>
                <w:color w:val="17365D"/>
                <w:sz w:val="18"/>
                <w:szCs w:val="18"/>
                <w:lang w:eastAsia="lv-LV"/>
              </w:rPr>
            </w:pPr>
          </w:p>
        </w:tc>
        <w:tc>
          <w:tcPr>
            <w:tcW w:w="1418" w:type="dxa"/>
            <w:tcBorders>
              <w:top w:val="single" w:sz="4" w:space="0" w:color="17365D"/>
              <w:bottom w:val="single" w:sz="4" w:space="0" w:color="17365D"/>
            </w:tcBorders>
            <w:shd w:val="clear" w:color="auto" w:fill="auto"/>
            <w:vAlign w:val="center"/>
          </w:tcPr>
          <w:p w14:paraId="668D2DAD"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114 491</w:t>
            </w:r>
          </w:p>
        </w:tc>
        <w:tc>
          <w:tcPr>
            <w:tcW w:w="1593" w:type="dxa"/>
            <w:tcBorders>
              <w:top w:val="single" w:sz="4" w:space="0" w:color="17365D"/>
              <w:bottom w:val="single" w:sz="4" w:space="0" w:color="17365D"/>
            </w:tcBorders>
            <w:shd w:val="clear" w:color="auto" w:fill="auto"/>
            <w:vAlign w:val="center"/>
          </w:tcPr>
          <w:p w14:paraId="511E2EBF"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7 117</w:t>
            </w:r>
          </w:p>
        </w:tc>
        <w:tc>
          <w:tcPr>
            <w:tcW w:w="1451" w:type="dxa"/>
            <w:tcBorders>
              <w:top w:val="single" w:sz="4" w:space="0" w:color="17365D"/>
              <w:bottom w:val="single" w:sz="4" w:space="0" w:color="17365D"/>
            </w:tcBorders>
            <w:shd w:val="clear" w:color="auto" w:fill="auto"/>
            <w:vAlign w:val="center"/>
          </w:tcPr>
          <w:p w14:paraId="0DF43A9E"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107 374</w:t>
            </w:r>
          </w:p>
        </w:tc>
        <w:tc>
          <w:tcPr>
            <w:tcW w:w="1134" w:type="dxa"/>
            <w:tcBorders>
              <w:top w:val="single" w:sz="4" w:space="0" w:color="17365D"/>
              <w:bottom w:val="single" w:sz="4" w:space="0" w:color="17365D"/>
            </w:tcBorders>
            <w:shd w:val="clear" w:color="auto" w:fill="auto"/>
            <w:vAlign w:val="center"/>
          </w:tcPr>
          <w:p w14:paraId="6D798215" w14:textId="327B44BA" w:rsidR="007E4FC6" w:rsidRPr="00A27896" w:rsidRDefault="0057470D" w:rsidP="007E4FC6">
            <w:pPr>
              <w:pStyle w:val="Tabulasteksts"/>
              <w:jc w:val="right"/>
              <w:rPr>
                <w:bCs/>
                <w:color w:val="17365D"/>
                <w:sz w:val="18"/>
                <w:szCs w:val="18"/>
                <w:lang w:eastAsia="lv-LV"/>
              </w:rPr>
            </w:pPr>
            <w:r w:rsidRPr="00A27896">
              <w:rPr>
                <w:bCs/>
                <w:color w:val="17365D"/>
                <w:sz w:val="18"/>
                <w:szCs w:val="18"/>
                <w:lang w:eastAsia="lv-LV"/>
              </w:rPr>
              <w:t>1 508.</w:t>
            </w:r>
            <w:r w:rsidR="007E4FC6" w:rsidRPr="00A27896">
              <w:rPr>
                <w:bCs/>
                <w:color w:val="17365D"/>
                <w:sz w:val="18"/>
                <w:szCs w:val="18"/>
                <w:lang w:eastAsia="lv-LV"/>
              </w:rPr>
              <w:t>70</w:t>
            </w:r>
          </w:p>
        </w:tc>
      </w:tr>
      <w:tr w:rsidR="007E4FC6" w:rsidRPr="00A27896" w14:paraId="1CF7FC6A" w14:textId="77777777" w:rsidTr="00100EA1">
        <w:trPr>
          <w:trHeight w:val="150"/>
        </w:trPr>
        <w:tc>
          <w:tcPr>
            <w:tcW w:w="2742" w:type="dxa"/>
            <w:tcBorders>
              <w:top w:val="single" w:sz="4" w:space="0" w:color="17365D"/>
              <w:bottom w:val="single" w:sz="4" w:space="0" w:color="17365D"/>
            </w:tcBorders>
            <w:shd w:val="clear" w:color="auto" w:fill="auto"/>
            <w:vAlign w:val="center"/>
          </w:tcPr>
          <w:p w14:paraId="7AF516A0" w14:textId="77777777" w:rsidR="007E4FC6" w:rsidRPr="00A27896" w:rsidRDefault="007E4FC6" w:rsidP="007E4FC6">
            <w:pPr>
              <w:pStyle w:val="Tabulasteksts"/>
              <w:rPr>
                <w:bCs/>
                <w:color w:val="17365D"/>
                <w:sz w:val="18"/>
                <w:szCs w:val="18"/>
                <w:lang w:eastAsia="lv-LV"/>
              </w:rPr>
            </w:pPr>
            <w:r w:rsidRPr="00A27896">
              <w:rPr>
                <w:bCs/>
                <w:color w:val="17365D"/>
                <w:sz w:val="18"/>
                <w:szCs w:val="18"/>
                <w:lang w:eastAsia="lv-LV"/>
              </w:rPr>
              <w:t>Pamatlīdzekļu pārdošana un atmaksātie avansa maksājumi par pamatlīdzekļiem</w:t>
            </w:r>
          </w:p>
        </w:tc>
        <w:tc>
          <w:tcPr>
            <w:tcW w:w="992" w:type="dxa"/>
            <w:tcBorders>
              <w:top w:val="single" w:sz="4" w:space="0" w:color="17365D"/>
              <w:bottom w:val="single" w:sz="4" w:space="0" w:color="17365D"/>
            </w:tcBorders>
            <w:shd w:val="clear" w:color="auto" w:fill="auto"/>
            <w:vAlign w:val="center"/>
          </w:tcPr>
          <w:p w14:paraId="2771F302" w14:textId="77777777" w:rsidR="007E4FC6" w:rsidRPr="00A27896" w:rsidRDefault="007E4FC6" w:rsidP="007E4FC6">
            <w:pPr>
              <w:pStyle w:val="Tabulasteksts"/>
              <w:rPr>
                <w:bCs/>
                <w:color w:val="17365D"/>
                <w:sz w:val="18"/>
                <w:szCs w:val="18"/>
                <w:lang w:eastAsia="lv-LV"/>
              </w:rPr>
            </w:pPr>
          </w:p>
        </w:tc>
        <w:tc>
          <w:tcPr>
            <w:tcW w:w="1418" w:type="dxa"/>
            <w:tcBorders>
              <w:top w:val="single" w:sz="4" w:space="0" w:color="17365D"/>
              <w:bottom w:val="single" w:sz="4" w:space="0" w:color="17365D"/>
            </w:tcBorders>
            <w:shd w:val="clear" w:color="auto" w:fill="auto"/>
            <w:vAlign w:val="center"/>
          </w:tcPr>
          <w:p w14:paraId="5984695E"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56 070 520</w:t>
            </w:r>
          </w:p>
        </w:tc>
        <w:tc>
          <w:tcPr>
            <w:tcW w:w="1593" w:type="dxa"/>
            <w:tcBorders>
              <w:top w:val="single" w:sz="4" w:space="0" w:color="17365D"/>
              <w:bottom w:val="single" w:sz="4" w:space="0" w:color="17365D"/>
            </w:tcBorders>
            <w:shd w:val="clear" w:color="auto" w:fill="auto"/>
            <w:vAlign w:val="center"/>
          </w:tcPr>
          <w:p w14:paraId="47CB2C97"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59 974 869</w:t>
            </w:r>
          </w:p>
        </w:tc>
        <w:tc>
          <w:tcPr>
            <w:tcW w:w="1451" w:type="dxa"/>
            <w:tcBorders>
              <w:top w:val="single" w:sz="4" w:space="0" w:color="17365D"/>
              <w:bottom w:val="single" w:sz="4" w:space="0" w:color="17365D"/>
            </w:tcBorders>
            <w:shd w:val="clear" w:color="auto" w:fill="auto"/>
            <w:vAlign w:val="center"/>
          </w:tcPr>
          <w:p w14:paraId="587A76D8"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-3 904 349</w:t>
            </w:r>
          </w:p>
        </w:tc>
        <w:tc>
          <w:tcPr>
            <w:tcW w:w="1134" w:type="dxa"/>
            <w:tcBorders>
              <w:top w:val="single" w:sz="4" w:space="0" w:color="17365D"/>
              <w:bottom w:val="single" w:sz="4" w:space="0" w:color="17365D"/>
            </w:tcBorders>
            <w:shd w:val="clear" w:color="auto" w:fill="auto"/>
            <w:vAlign w:val="center"/>
          </w:tcPr>
          <w:p w14:paraId="6D2E1C13"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-6.51</w:t>
            </w:r>
          </w:p>
        </w:tc>
      </w:tr>
      <w:tr w:rsidR="007E4FC6" w:rsidRPr="00A27896" w14:paraId="2998016F" w14:textId="77777777" w:rsidTr="00100EA1">
        <w:trPr>
          <w:trHeight w:val="150"/>
        </w:trPr>
        <w:tc>
          <w:tcPr>
            <w:tcW w:w="2742" w:type="dxa"/>
            <w:tcBorders>
              <w:top w:val="single" w:sz="4" w:space="0" w:color="17365D"/>
              <w:bottom w:val="single" w:sz="4" w:space="0" w:color="17365D"/>
            </w:tcBorders>
            <w:shd w:val="clear" w:color="auto" w:fill="auto"/>
            <w:vAlign w:val="center"/>
          </w:tcPr>
          <w:p w14:paraId="709B3D8E" w14:textId="77777777" w:rsidR="007E4FC6" w:rsidRPr="00A27896" w:rsidRDefault="007E4FC6" w:rsidP="007E4FC6">
            <w:pPr>
              <w:pStyle w:val="Tabulasteksts"/>
              <w:rPr>
                <w:bCs/>
                <w:color w:val="17365D"/>
                <w:sz w:val="18"/>
                <w:szCs w:val="18"/>
                <w:lang w:eastAsia="lv-LV"/>
              </w:rPr>
            </w:pPr>
            <w:r w:rsidRPr="00A27896">
              <w:rPr>
                <w:bCs/>
                <w:color w:val="17365D"/>
                <w:sz w:val="18"/>
                <w:szCs w:val="18"/>
                <w:lang w:eastAsia="lv-LV"/>
              </w:rPr>
              <w:t>Līdzdalības kapitālsabiedrību kapitālā, akciju un vērtspapīru pārdošana</w:t>
            </w:r>
          </w:p>
        </w:tc>
        <w:tc>
          <w:tcPr>
            <w:tcW w:w="992" w:type="dxa"/>
            <w:tcBorders>
              <w:top w:val="single" w:sz="4" w:space="0" w:color="17365D"/>
              <w:bottom w:val="single" w:sz="4" w:space="0" w:color="17365D"/>
            </w:tcBorders>
            <w:shd w:val="clear" w:color="auto" w:fill="auto"/>
            <w:vAlign w:val="center"/>
          </w:tcPr>
          <w:p w14:paraId="0E9562A1" w14:textId="77777777" w:rsidR="007E4FC6" w:rsidRPr="00A27896" w:rsidRDefault="007E4FC6" w:rsidP="007E4FC6">
            <w:pPr>
              <w:pStyle w:val="Tabulasteksts"/>
              <w:rPr>
                <w:bCs/>
                <w:color w:val="17365D"/>
                <w:sz w:val="18"/>
                <w:szCs w:val="18"/>
                <w:lang w:eastAsia="lv-LV"/>
              </w:rPr>
            </w:pPr>
          </w:p>
        </w:tc>
        <w:tc>
          <w:tcPr>
            <w:tcW w:w="1418" w:type="dxa"/>
            <w:tcBorders>
              <w:top w:val="single" w:sz="4" w:space="0" w:color="17365D"/>
              <w:bottom w:val="single" w:sz="4" w:space="0" w:color="17365D"/>
            </w:tcBorders>
            <w:shd w:val="clear" w:color="auto" w:fill="auto"/>
            <w:vAlign w:val="center"/>
          </w:tcPr>
          <w:p w14:paraId="13F57FA6"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378 516</w:t>
            </w:r>
          </w:p>
        </w:tc>
        <w:tc>
          <w:tcPr>
            <w:tcW w:w="1593" w:type="dxa"/>
            <w:tcBorders>
              <w:top w:val="single" w:sz="4" w:space="0" w:color="17365D"/>
              <w:bottom w:val="single" w:sz="4" w:space="0" w:color="17365D"/>
            </w:tcBorders>
            <w:shd w:val="clear" w:color="auto" w:fill="auto"/>
            <w:vAlign w:val="center"/>
          </w:tcPr>
          <w:p w14:paraId="4C2ECFE2"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1 107 148</w:t>
            </w:r>
          </w:p>
        </w:tc>
        <w:tc>
          <w:tcPr>
            <w:tcW w:w="1451" w:type="dxa"/>
            <w:tcBorders>
              <w:top w:val="single" w:sz="4" w:space="0" w:color="17365D"/>
              <w:bottom w:val="single" w:sz="4" w:space="0" w:color="17365D"/>
            </w:tcBorders>
            <w:shd w:val="clear" w:color="auto" w:fill="auto"/>
            <w:vAlign w:val="center"/>
          </w:tcPr>
          <w:p w14:paraId="3AE9DD01"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-728 632</w:t>
            </w:r>
          </w:p>
        </w:tc>
        <w:tc>
          <w:tcPr>
            <w:tcW w:w="1134" w:type="dxa"/>
            <w:tcBorders>
              <w:top w:val="single" w:sz="4" w:space="0" w:color="17365D"/>
              <w:bottom w:val="single" w:sz="4" w:space="0" w:color="17365D"/>
            </w:tcBorders>
            <w:shd w:val="clear" w:color="auto" w:fill="auto"/>
            <w:vAlign w:val="center"/>
          </w:tcPr>
          <w:p w14:paraId="38D04947"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-65.81</w:t>
            </w:r>
          </w:p>
        </w:tc>
      </w:tr>
      <w:tr w:rsidR="007E4FC6" w:rsidRPr="00A27896" w14:paraId="2C83FDD1" w14:textId="77777777" w:rsidTr="00100EA1">
        <w:trPr>
          <w:trHeight w:val="150"/>
        </w:trPr>
        <w:tc>
          <w:tcPr>
            <w:tcW w:w="2742" w:type="dxa"/>
            <w:tcBorders>
              <w:top w:val="single" w:sz="4" w:space="0" w:color="17365D"/>
              <w:bottom w:val="single" w:sz="4" w:space="0" w:color="17365D"/>
            </w:tcBorders>
            <w:shd w:val="clear" w:color="auto" w:fill="auto"/>
            <w:vAlign w:val="center"/>
          </w:tcPr>
          <w:p w14:paraId="477BD498" w14:textId="77777777" w:rsidR="007E4FC6" w:rsidRPr="00A27896" w:rsidRDefault="007E4FC6" w:rsidP="007E4FC6">
            <w:pPr>
              <w:pStyle w:val="Tabulasteksts"/>
              <w:rPr>
                <w:bCs/>
                <w:color w:val="17365D"/>
                <w:sz w:val="18"/>
                <w:szCs w:val="18"/>
                <w:lang w:eastAsia="lv-LV"/>
              </w:rPr>
            </w:pPr>
            <w:r w:rsidRPr="00A27896">
              <w:rPr>
                <w:bCs/>
                <w:color w:val="17365D"/>
                <w:sz w:val="18"/>
                <w:szCs w:val="18"/>
                <w:lang w:eastAsia="lv-LV"/>
              </w:rPr>
              <w:t xml:space="preserve">Procentu ieņēmumi </w:t>
            </w:r>
          </w:p>
        </w:tc>
        <w:tc>
          <w:tcPr>
            <w:tcW w:w="992" w:type="dxa"/>
            <w:tcBorders>
              <w:top w:val="single" w:sz="4" w:space="0" w:color="17365D"/>
              <w:bottom w:val="single" w:sz="4" w:space="0" w:color="17365D"/>
            </w:tcBorders>
            <w:shd w:val="clear" w:color="auto" w:fill="auto"/>
            <w:vAlign w:val="center"/>
          </w:tcPr>
          <w:p w14:paraId="749799D1" w14:textId="77777777" w:rsidR="007E4FC6" w:rsidRPr="00A27896" w:rsidRDefault="007E4FC6" w:rsidP="007E4FC6">
            <w:pPr>
              <w:pStyle w:val="Tabulasteksts"/>
              <w:rPr>
                <w:bCs/>
                <w:color w:val="17365D"/>
                <w:sz w:val="18"/>
                <w:szCs w:val="18"/>
                <w:lang w:eastAsia="lv-LV"/>
              </w:rPr>
            </w:pPr>
          </w:p>
        </w:tc>
        <w:tc>
          <w:tcPr>
            <w:tcW w:w="1418" w:type="dxa"/>
            <w:tcBorders>
              <w:top w:val="single" w:sz="4" w:space="0" w:color="17365D"/>
              <w:bottom w:val="single" w:sz="4" w:space="0" w:color="17365D"/>
            </w:tcBorders>
            <w:shd w:val="clear" w:color="auto" w:fill="auto"/>
            <w:vAlign w:val="center"/>
          </w:tcPr>
          <w:p w14:paraId="76F4D584"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160 413</w:t>
            </w:r>
          </w:p>
        </w:tc>
        <w:tc>
          <w:tcPr>
            <w:tcW w:w="1593" w:type="dxa"/>
            <w:tcBorders>
              <w:top w:val="single" w:sz="4" w:space="0" w:color="17365D"/>
              <w:bottom w:val="single" w:sz="4" w:space="0" w:color="17365D"/>
            </w:tcBorders>
            <w:shd w:val="clear" w:color="auto" w:fill="auto"/>
            <w:vAlign w:val="center"/>
          </w:tcPr>
          <w:p w14:paraId="29B02D0E"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140 118</w:t>
            </w:r>
          </w:p>
        </w:tc>
        <w:tc>
          <w:tcPr>
            <w:tcW w:w="1451" w:type="dxa"/>
            <w:tcBorders>
              <w:top w:val="single" w:sz="4" w:space="0" w:color="17365D"/>
              <w:bottom w:val="single" w:sz="4" w:space="0" w:color="17365D"/>
            </w:tcBorders>
            <w:shd w:val="clear" w:color="auto" w:fill="auto"/>
            <w:vAlign w:val="center"/>
          </w:tcPr>
          <w:p w14:paraId="66BD2E8D"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20 295</w:t>
            </w:r>
          </w:p>
        </w:tc>
        <w:tc>
          <w:tcPr>
            <w:tcW w:w="1134" w:type="dxa"/>
            <w:tcBorders>
              <w:top w:val="single" w:sz="4" w:space="0" w:color="17365D"/>
              <w:bottom w:val="single" w:sz="4" w:space="0" w:color="17365D"/>
            </w:tcBorders>
            <w:shd w:val="clear" w:color="auto" w:fill="auto"/>
            <w:vAlign w:val="center"/>
          </w:tcPr>
          <w:p w14:paraId="02AFC778"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14.48</w:t>
            </w:r>
          </w:p>
        </w:tc>
      </w:tr>
      <w:tr w:rsidR="007E4FC6" w:rsidRPr="00A27896" w14:paraId="21A14151" w14:textId="77777777" w:rsidTr="00100EA1">
        <w:trPr>
          <w:trHeight w:val="150"/>
        </w:trPr>
        <w:tc>
          <w:tcPr>
            <w:tcW w:w="2742" w:type="dxa"/>
            <w:tcBorders>
              <w:top w:val="single" w:sz="4" w:space="0" w:color="17365D"/>
              <w:bottom w:val="single" w:sz="4" w:space="0" w:color="17365D"/>
            </w:tcBorders>
            <w:shd w:val="clear" w:color="auto" w:fill="auto"/>
            <w:vAlign w:val="center"/>
          </w:tcPr>
          <w:p w14:paraId="5EAD0FBF" w14:textId="77777777" w:rsidR="007E4FC6" w:rsidRPr="00A27896" w:rsidRDefault="007E4FC6" w:rsidP="007E4FC6">
            <w:pPr>
              <w:pStyle w:val="Tabulasteksts"/>
              <w:rPr>
                <w:bCs/>
                <w:color w:val="17365D"/>
                <w:sz w:val="18"/>
                <w:szCs w:val="18"/>
                <w:lang w:eastAsia="lv-LV"/>
              </w:rPr>
            </w:pPr>
            <w:r w:rsidRPr="00A27896">
              <w:rPr>
                <w:bCs/>
                <w:color w:val="17365D"/>
                <w:sz w:val="18"/>
                <w:szCs w:val="18"/>
                <w:lang w:eastAsia="lv-LV"/>
              </w:rPr>
              <w:t>Citi ieņēmumi no ieguldījumu darbības</w:t>
            </w:r>
          </w:p>
        </w:tc>
        <w:tc>
          <w:tcPr>
            <w:tcW w:w="992" w:type="dxa"/>
            <w:tcBorders>
              <w:top w:val="single" w:sz="4" w:space="0" w:color="17365D"/>
              <w:bottom w:val="single" w:sz="4" w:space="0" w:color="17365D"/>
            </w:tcBorders>
            <w:shd w:val="clear" w:color="auto" w:fill="auto"/>
            <w:vAlign w:val="center"/>
          </w:tcPr>
          <w:p w14:paraId="3041F48B" w14:textId="77777777" w:rsidR="007E4FC6" w:rsidRPr="00A27896" w:rsidRDefault="007E4FC6" w:rsidP="007E4FC6">
            <w:pPr>
              <w:pStyle w:val="Tabulasteksts"/>
              <w:rPr>
                <w:bCs/>
                <w:color w:val="17365D"/>
                <w:sz w:val="18"/>
                <w:szCs w:val="18"/>
                <w:lang w:eastAsia="lv-LV"/>
              </w:rPr>
            </w:pPr>
          </w:p>
        </w:tc>
        <w:tc>
          <w:tcPr>
            <w:tcW w:w="1418" w:type="dxa"/>
            <w:tcBorders>
              <w:top w:val="single" w:sz="4" w:space="0" w:color="17365D"/>
              <w:bottom w:val="single" w:sz="4" w:space="0" w:color="17365D"/>
            </w:tcBorders>
            <w:shd w:val="clear" w:color="auto" w:fill="auto"/>
            <w:vAlign w:val="center"/>
          </w:tcPr>
          <w:p w14:paraId="6D4F5062"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9 905 090</w:t>
            </w:r>
          </w:p>
        </w:tc>
        <w:tc>
          <w:tcPr>
            <w:tcW w:w="1593" w:type="dxa"/>
            <w:tcBorders>
              <w:top w:val="single" w:sz="4" w:space="0" w:color="17365D"/>
              <w:bottom w:val="single" w:sz="4" w:space="0" w:color="17365D"/>
            </w:tcBorders>
            <w:shd w:val="clear" w:color="auto" w:fill="auto"/>
            <w:vAlign w:val="center"/>
          </w:tcPr>
          <w:p w14:paraId="16CBC248"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9 671 011</w:t>
            </w:r>
          </w:p>
        </w:tc>
        <w:tc>
          <w:tcPr>
            <w:tcW w:w="1451" w:type="dxa"/>
            <w:tcBorders>
              <w:top w:val="single" w:sz="4" w:space="0" w:color="17365D"/>
              <w:bottom w:val="single" w:sz="4" w:space="0" w:color="17365D"/>
            </w:tcBorders>
            <w:shd w:val="clear" w:color="auto" w:fill="auto"/>
            <w:vAlign w:val="center"/>
          </w:tcPr>
          <w:p w14:paraId="21E8EF3E"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234 079</w:t>
            </w:r>
          </w:p>
        </w:tc>
        <w:tc>
          <w:tcPr>
            <w:tcW w:w="1134" w:type="dxa"/>
            <w:tcBorders>
              <w:top w:val="single" w:sz="4" w:space="0" w:color="17365D"/>
              <w:bottom w:val="single" w:sz="4" w:space="0" w:color="17365D"/>
            </w:tcBorders>
            <w:shd w:val="clear" w:color="auto" w:fill="auto"/>
            <w:vAlign w:val="center"/>
          </w:tcPr>
          <w:p w14:paraId="002EE203"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2.42</w:t>
            </w:r>
          </w:p>
        </w:tc>
      </w:tr>
      <w:tr w:rsidR="007E4FC6" w:rsidRPr="00A27896" w14:paraId="1BE627A5" w14:textId="77777777" w:rsidTr="00100EA1">
        <w:trPr>
          <w:trHeight w:val="150"/>
        </w:trPr>
        <w:tc>
          <w:tcPr>
            <w:tcW w:w="2742" w:type="dxa"/>
            <w:tcBorders>
              <w:top w:val="single" w:sz="4" w:space="0" w:color="17365D"/>
              <w:bottom w:val="single" w:sz="4" w:space="0" w:color="17365D"/>
            </w:tcBorders>
            <w:shd w:val="clear" w:color="auto" w:fill="auto"/>
            <w:vAlign w:val="center"/>
          </w:tcPr>
          <w:p w14:paraId="42538B0E" w14:textId="77777777" w:rsidR="007E4FC6" w:rsidRPr="00A27896" w:rsidRDefault="007E4FC6" w:rsidP="007E4FC6">
            <w:pPr>
              <w:spacing w:after="0" w:line="240" w:lineRule="auto"/>
              <w:rPr>
                <w:rFonts w:cs="Times New Roman"/>
                <w:color w:val="17365D"/>
                <w:sz w:val="18"/>
                <w:szCs w:val="18"/>
              </w:rPr>
            </w:pPr>
            <w:r w:rsidRPr="00A27896">
              <w:rPr>
                <w:rFonts w:cs="Times New Roman"/>
                <w:b/>
                <w:color w:val="17365D"/>
                <w:sz w:val="18"/>
                <w:szCs w:val="18"/>
              </w:rPr>
              <w:t xml:space="preserve">Izdevumi no ieguldījumu darbības </w:t>
            </w:r>
          </w:p>
        </w:tc>
        <w:tc>
          <w:tcPr>
            <w:tcW w:w="992" w:type="dxa"/>
            <w:tcBorders>
              <w:top w:val="single" w:sz="4" w:space="0" w:color="17365D"/>
              <w:bottom w:val="single" w:sz="4" w:space="0" w:color="17365D"/>
            </w:tcBorders>
            <w:shd w:val="clear" w:color="auto" w:fill="auto"/>
            <w:vAlign w:val="center"/>
          </w:tcPr>
          <w:p w14:paraId="1A0A7D04" w14:textId="77777777" w:rsidR="007E4FC6" w:rsidRPr="00A27896" w:rsidRDefault="007E4FC6" w:rsidP="007E4FC6">
            <w:pPr>
              <w:spacing w:after="0" w:line="240" w:lineRule="auto"/>
              <w:jc w:val="center"/>
              <w:rPr>
                <w:rFonts w:cs="Times New Roman"/>
                <w:color w:val="17365D"/>
                <w:sz w:val="18"/>
                <w:szCs w:val="18"/>
              </w:rPr>
            </w:pPr>
          </w:p>
        </w:tc>
        <w:tc>
          <w:tcPr>
            <w:tcW w:w="1418" w:type="dxa"/>
            <w:tcBorders>
              <w:top w:val="single" w:sz="4" w:space="0" w:color="17365D"/>
              <w:bottom w:val="single" w:sz="4" w:space="0" w:color="17365D"/>
            </w:tcBorders>
            <w:shd w:val="clear" w:color="auto" w:fill="auto"/>
            <w:vAlign w:val="center"/>
          </w:tcPr>
          <w:p w14:paraId="1F6ACFA2" w14:textId="77777777" w:rsidR="007E4FC6" w:rsidRPr="00A27896" w:rsidRDefault="007E4FC6" w:rsidP="007E4FC6">
            <w:pPr>
              <w:spacing w:after="0" w:line="240" w:lineRule="auto"/>
              <w:jc w:val="right"/>
              <w:rPr>
                <w:rFonts w:cs="Times New Roman"/>
                <w:b/>
                <w:color w:val="17365D"/>
                <w:sz w:val="18"/>
                <w:szCs w:val="18"/>
                <w:lang w:eastAsia="lv-LV"/>
              </w:rPr>
            </w:pPr>
            <w:r w:rsidRPr="00A27896">
              <w:rPr>
                <w:rFonts w:cs="Times New Roman"/>
                <w:b/>
                <w:color w:val="17365D"/>
                <w:sz w:val="18"/>
                <w:szCs w:val="18"/>
                <w:lang w:eastAsia="lv-LV"/>
              </w:rPr>
              <w:t>1 422 232 978</w:t>
            </w:r>
          </w:p>
        </w:tc>
        <w:tc>
          <w:tcPr>
            <w:tcW w:w="1593" w:type="dxa"/>
            <w:tcBorders>
              <w:top w:val="single" w:sz="4" w:space="0" w:color="17365D"/>
              <w:bottom w:val="single" w:sz="4" w:space="0" w:color="17365D"/>
            </w:tcBorders>
            <w:shd w:val="clear" w:color="auto" w:fill="auto"/>
            <w:vAlign w:val="center"/>
          </w:tcPr>
          <w:p w14:paraId="5FAC30C6" w14:textId="77777777" w:rsidR="007E4FC6" w:rsidRPr="00A27896" w:rsidRDefault="007E4FC6" w:rsidP="007E4FC6">
            <w:pPr>
              <w:spacing w:after="0" w:line="240" w:lineRule="auto"/>
              <w:jc w:val="right"/>
              <w:rPr>
                <w:rFonts w:cs="Times New Roman"/>
                <w:b/>
                <w:color w:val="17365D"/>
                <w:sz w:val="18"/>
                <w:szCs w:val="18"/>
                <w:lang w:eastAsia="lv-LV"/>
              </w:rPr>
            </w:pPr>
            <w:r w:rsidRPr="00A27896">
              <w:rPr>
                <w:rFonts w:cs="Times New Roman"/>
                <w:b/>
                <w:color w:val="17365D"/>
                <w:sz w:val="18"/>
                <w:szCs w:val="18"/>
                <w:lang w:eastAsia="lv-LV"/>
              </w:rPr>
              <w:t>1 576 119 566</w:t>
            </w:r>
          </w:p>
        </w:tc>
        <w:tc>
          <w:tcPr>
            <w:tcW w:w="1451" w:type="dxa"/>
            <w:tcBorders>
              <w:top w:val="single" w:sz="4" w:space="0" w:color="17365D"/>
              <w:bottom w:val="single" w:sz="4" w:space="0" w:color="17365D"/>
            </w:tcBorders>
            <w:shd w:val="clear" w:color="auto" w:fill="auto"/>
            <w:vAlign w:val="center"/>
          </w:tcPr>
          <w:p w14:paraId="6BD7FB3C" w14:textId="77777777" w:rsidR="007E4FC6" w:rsidRPr="00A27896" w:rsidRDefault="007E4FC6" w:rsidP="007E4FC6">
            <w:pPr>
              <w:spacing w:after="0" w:line="240" w:lineRule="auto"/>
              <w:jc w:val="right"/>
              <w:rPr>
                <w:rFonts w:cs="Times New Roman"/>
                <w:b/>
                <w:color w:val="17365D"/>
                <w:sz w:val="18"/>
                <w:szCs w:val="18"/>
                <w:lang w:eastAsia="lv-LV"/>
              </w:rPr>
            </w:pPr>
            <w:r w:rsidRPr="00A27896">
              <w:rPr>
                <w:rFonts w:cs="Times New Roman"/>
                <w:b/>
                <w:color w:val="17365D"/>
                <w:sz w:val="18"/>
                <w:szCs w:val="18"/>
                <w:lang w:eastAsia="lv-LV"/>
              </w:rPr>
              <w:t>-153 886 588</w:t>
            </w:r>
          </w:p>
        </w:tc>
        <w:tc>
          <w:tcPr>
            <w:tcW w:w="1134" w:type="dxa"/>
            <w:tcBorders>
              <w:top w:val="single" w:sz="4" w:space="0" w:color="17365D"/>
              <w:bottom w:val="single" w:sz="4" w:space="0" w:color="17365D"/>
            </w:tcBorders>
            <w:shd w:val="clear" w:color="auto" w:fill="auto"/>
            <w:vAlign w:val="center"/>
          </w:tcPr>
          <w:p w14:paraId="57CE2ECC" w14:textId="77777777" w:rsidR="007E4FC6" w:rsidRPr="00A27896" w:rsidRDefault="007E4FC6" w:rsidP="007E4FC6">
            <w:pPr>
              <w:spacing w:after="0" w:line="240" w:lineRule="auto"/>
              <w:jc w:val="right"/>
              <w:rPr>
                <w:rFonts w:cs="Times New Roman"/>
                <w:b/>
                <w:color w:val="17365D"/>
                <w:sz w:val="18"/>
                <w:szCs w:val="18"/>
                <w:lang w:eastAsia="lv-LV"/>
              </w:rPr>
            </w:pPr>
            <w:r w:rsidRPr="00A27896">
              <w:rPr>
                <w:rFonts w:cs="Times New Roman"/>
                <w:b/>
                <w:color w:val="17365D"/>
                <w:sz w:val="18"/>
                <w:szCs w:val="18"/>
                <w:lang w:eastAsia="lv-LV"/>
              </w:rPr>
              <w:t>-9.76</w:t>
            </w:r>
          </w:p>
        </w:tc>
      </w:tr>
      <w:tr w:rsidR="007E4FC6" w:rsidRPr="00A27896" w14:paraId="55780950" w14:textId="77777777" w:rsidTr="00100EA1">
        <w:trPr>
          <w:trHeight w:val="150"/>
        </w:trPr>
        <w:tc>
          <w:tcPr>
            <w:tcW w:w="2742" w:type="dxa"/>
            <w:tcBorders>
              <w:top w:val="single" w:sz="4" w:space="0" w:color="17365D"/>
              <w:bottom w:val="single" w:sz="4" w:space="0" w:color="17365D"/>
            </w:tcBorders>
            <w:shd w:val="clear" w:color="auto" w:fill="auto"/>
            <w:vAlign w:val="center"/>
          </w:tcPr>
          <w:p w14:paraId="678BAF1E" w14:textId="77777777" w:rsidR="007E4FC6" w:rsidRPr="00A27896" w:rsidRDefault="007E4FC6" w:rsidP="007E4FC6">
            <w:pPr>
              <w:pStyle w:val="Tabulasteksts"/>
              <w:rPr>
                <w:bCs/>
                <w:color w:val="17365D"/>
                <w:sz w:val="18"/>
                <w:szCs w:val="18"/>
                <w:lang w:eastAsia="lv-LV"/>
              </w:rPr>
            </w:pPr>
            <w:r w:rsidRPr="00A27896">
              <w:rPr>
                <w:bCs/>
                <w:color w:val="17365D"/>
                <w:sz w:val="18"/>
                <w:szCs w:val="18"/>
                <w:lang w:eastAsia="lv-LV"/>
              </w:rPr>
              <w:t>Nemateriālo ieguldījumu iegāde un avansa maksājumi par nemateriālajiem ieguldījumiem</w:t>
            </w:r>
          </w:p>
        </w:tc>
        <w:tc>
          <w:tcPr>
            <w:tcW w:w="992" w:type="dxa"/>
            <w:tcBorders>
              <w:top w:val="single" w:sz="4" w:space="0" w:color="17365D"/>
              <w:bottom w:val="single" w:sz="4" w:space="0" w:color="17365D"/>
            </w:tcBorders>
            <w:shd w:val="clear" w:color="auto" w:fill="auto"/>
            <w:vAlign w:val="center"/>
          </w:tcPr>
          <w:p w14:paraId="74CA0B5B" w14:textId="77777777" w:rsidR="007E4FC6" w:rsidRPr="00A27896" w:rsidRDefault="007E4FC6" w:rsidP="007E4FC6">
            <w:pPr>
              <w:pStyle w:val="Tabulasteksts"/>
              <w:rPr>
                <w:bCs/>
                <w:color w:val="17365D"/>
                <w:sz w:val="18"/>
                <w:szCs w:val="18"/>
                <w:lang w:eastAsia="lv-LV"/>
              </w:rPr>
            </w:pPr>
          </w:p>
        </w:tc>
        <w:tc>
          <w:tcPr>
            <w:tcW w:w="1418" w:type="dxa"/>
            <w:tcBorders>
              <w:top w:val="single" w:sz="4" w:space="0" w:color="17365D"/>
              <w:bottom w:val="single" w:sz="4" w:space="0" w:color="17365D"/>
            </w:tcBorders>
            <w:shd w:val="clear" w:color="auto" w:fill="auto"/>
            <w:vAlign w:val="center"/>
          </w:tcPr>
          <w:p w14:paraId="06228CC3"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32 064 739</w:t>
            </w:r>
          </w:p>
        </w:tc>
        <w:tc>
          <w:tcPr>
            <w:tcW w:w="1593" w:type="dxa"/>
            <w:tcBorders>
              <w:top w:val="single" w:sz="4" w:space="0" w:color="17365D"/>
              <w:bottom w:val="single" w:sz="4" w:space="0" w:color="17365D"/>
            </w:tcBorders>
            <w:shd w:val="clear" w:color="auto" w:fill="auto"/>
            <w:vAlign w:val="center"/>
          </w:tcPr>
          <w:p w14:paraId="767EBB20"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30 921 134</w:t>
            </w:r>
          </w:p>
        </w:tc>
        <w:tc>
          <w:tcPr>
            <w:tcW w:w="1451" w:type="dxa"/>
            <w:tcBorders>
              <w:top w:val="single" w:sz="4" w:space="0" w:color="17365D"/>
              <w:bottom w:val="single" w:sz="4" w:space="0" w:color="17365D"/>
            </w:tcBorders>
            <w:shd w:val="clear" w:color="auto" w:fill="auto"/>
            <w:vAlign w:val="center"/>
          </w:tcPr>
          <w:p w14:paraId="76DDB3DB"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1 143 605</w:t>
            </w:r>
          </w:p>
        </w:tc>
        <w:tc>
          <w:tcPr>
            <w:tcW w:w="1134" w:type="dxa"/>
            <w:tcBorders>
              <w:top w:val="single" w:sz="4" w:space="0" w:color="17365D"/>
              <w:bottom w:val="single" w:sz="4" w:space="0" w:color="17365D"/>
            </w:tcBorders>
            <w:shd w:val="clear" w:color="auto" w:fill="auto"/>
            <w:vAlign w:val="center"/>
          </w:tcPr>
          <w:p w14:paraId="3249D4DE"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3.70</w:t>
            </w:r>
          </w:p>
        </w:tc>
      </w:tr>
      <w:tr w:rsidR="007E4FC6" w:rsidRPr="00A27896" w14:paraId="34FD75DE" w14:textId="77777777" w:rsidTr="00100EA1">
        <w:trPr>
          <w:trHeight w:val="150"/>
        </w:trPr>
        <w:tc>
          <w:tcPr>
            <w:tcW w:w="2742" w:type="dxa"/>
            <w:tcBorders>
              <w:top w:val="single" w:sz="4" w:space="0" w:color="17365D"/>
              <w:bottom w:val="single" w:sz="4" w:space="0" w:color="17365D"/>
            </w:tcBorders>
            <w:shd w:val="clear" w:color="auto" w:fill="auto"/>
          </w:tcPr>
          <w:p w14:paraId="790A1288" w14:textId="77777777" w:rsidR="007E4FC6" w:rsidRPr="00A27896" w:rsidRDefault="007E4FC6" w:rsidP="007E4FC6">
            <w:pPr>
              <w:pStyle w:val="Tabulasteksts"/>
              <w:rPr>
                <w:bCs/>
                <w:color w:val="17365D"/>
                <w:sz w:val="18"/>
                <w:szCs w:val="18"/>
                <w:lang w:eastAsia="lv-LV"/>
              </w:rPr>
            </w:pPr>
            <w:r w:rsidRPr="00A27896">
              <w:rPr>
                <w:bCs/>
                <w:color w:val="17365D"/>
                <w:sz w:val="18"/>
                <w:szCs w:val="18"/>
                <w:lang w:eastAsia="lv-LV"/>
              </w:rPr>
              <w:t>Nemateriālo ieguldījumu izveidošana</w:t>
            </w:r>
          </w:p>
        </w:tc>
        <w:tc>
          <w:tcPr>
            <w:tcW w:w="992" w:type="dxa"/>
            <w:tcBorders>
              <w:top w:val="single" w:sz="4" w:space="0" w:color="17365D"/>
              <w:bottom w:val="single" w:sz="4" w:space="0" w:color="17365D"/>
            </w:tcBorders>
            <w:shd w:val="clear" w:color="auto" w:fill="auto"/>
            <w:vAlign w:val="center"/>
          </w:tcPr>
          <w:p w14:paraId="1275EEC2" w14:textId="77777777" w:rsidR="007E4FC6" w:rsidRPr="00A27896" w:rsidRDefault="007E4FC6" w:rsidP="007E4FC6">
            <w:pPr>
              <w:pStyle w:val="Tabulasteksts"/>
              <w:rPr>
                <w:bCs/>
                <w:color w:val="17365D"/>
                <w:sz w:val="18"/>
                <w:szCs w:val="18"/>
                <w:lang w:eastAsia="lv-LV"/>
              </w:rPr>
            </w:pPr>
          </w:p>
        </w:tc>
        <w:tc>
          <w:tcPr>
            <w:tcW w:w="1418" w:type="dxa"/>
            <w:tcBorders>
              <w:top w:val="single" w:sz="4" w:space="0" w:color="17365D"/>
              <w:bottom w:val="single" w:sz="4" w:space="0" w:color="17365D"/>
            </w:tcBorders>
            <w:shd w:val="clear" w:color="auto" w:fill="auto"/>
            <w:vAlign w:val="center"/>
          </w:tcPr>
          <w:p w14:paraId="51554BFC"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38 167 008</w:t>
            </w:r>
          </w:p>
        </w:tc>
        <w:tc>
          <w:tcPr>
            <w:tcW w:w="1593" w:type="dxa"/>
            <w:tcBorders>
              <w:top w:val="single" w:sz="4" w:space="0" w:color="17365D"/>
              <w:bottom w:val="single" w:sz="4" w:space="0" w:color="17365D"/>
            </w:tcBorders>
            <w:shd w:val="clear" w:color="auto" w:fill="auto"/>
            <w:vAlign w:val="center"/>
          </w:tcPr>
          <w:p w14:paraId="5050F5A3"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34 248 480</w:t>
            </w:r>
          </w:p>
        </w:tc>
        <w:tc>
          <w:tcPr>
            <w:tcW w:w="1451" w:type="dxa"/>
            <w:tcBorders>
              <w:top w:val="single" w:sz="4" w:space="0" w:color="17365D"/>
              <w:bottom w:val="single" w:sz="4" w:space="0" w:color="17365D"/>
            </w:tcBorders>
            <w:shd w:val="clear" w:color="auto" w:fill="auto"/>
            <w:vAlign w:val="center"/>
          </w:tcPr>
          <w:p w14:paraId="4CEC480E"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3 918 528</w:t>
            </w:r>
          </w:p>
        </w:tc>
        <w:tc>
          <w:tcPr>
            <w:tcW w:w="1134" w:type="dxa"/>
            <w:tcBorders>
              <w:top w:val="single" w:sz="4" w:space="0" w:color="17365D"/>
              <w:bottom w:val="single" w:sz="4" w:space="0" w:color="17365D"/>
            </w:tcBorders>
            <w:shd w:val="clear" w:color="auto" w:fill="auto"/>
            <w:vAlign w:val="center"/>
          </w:tcPr>
          <w:p w14:paraId="1F9512C3"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11.44</w:t>
            </w:r>
          </w:p>
        </w:tc>
      </w:tr>
      <w:tr w:rsidR="007E4FC6" w:rsidRPr="00A27896" w14:paraId="5000AAE1" w14:textId="77777777" w:rsidTr="00100EA1">
        <w:trPr>
          <w:trHeight w:val="150"/>
        </w:trPr>
        <w:tc>
          <w:tcPr>
            <w:tcW w:w="2742" w:type="dxa"/>
            <w:tcBorders>
              <w:top w:val="single" w:sz="4" w:space="0" w:color="17365D"/>
              <w:bottom w:val="single" w:sz="4" w:space="0" w:color="17365D"/>
            </w:tcBorders>
            <w:shd w:val="clear" w:color="auto" w:fill="auto"/>
          </w:tcPr>
          <w:p w14:paraId="7A9F93DF" w14:textId="77777777" w:rsidR="007E4FC6" w:rsidRPr="00A27896" w:rsidRDefault="007E4FC6" w:rsidP="007E4FC6">
            <w:pPr>
              <w:pStyle w:val="Tabulasteksts"/>
              <w:rPr>
                <w:bCs/>
                <w:color w:val="17365D"/>
                <w:sz w:val="18"/>
                <w:szCs w:val="18"/>
                <w:lang w:eastAsia="lv-LV"/>
              </w:rPr>
            </w:pPr>
            <w:r w:rsidRPr="00A27896">
              <w:rPr>
                <w:bCs/>
                <w:color w:val="17365D"/>
                <w:sz w:val="18"/>
                <w:szCs w:val="18"/>
                <w:lang w:eastAsia="lv-LV"/>
              </w:rPr>
              <w:t>Pamatlīdzekļu iegāde un avansa maksājumi par pamatlīdzekļiem</w:t>
            </w:r>
          </w:p>
        </w:tc>
        <w:tc>
          <w:tcPr>
            <w:tcW w:w="992" w:type="dxa"/>
            <w:tcBorders>
              <w:top w:val="single" w:sz="4" w:space="0" w:color="17365D"/>
              <w:bottom w:val="single" w:sz="4" w:space="0" w:color="17365D"/>
            </w:tcBorders>
            <w:shd w:val="clear" w:color="auto" w:fill="auto"/>
            <w:vAlign w:val="center"/>
          </w:tcPr>
          <w:p w14:paraId="56F8C420" w14:textId="77777777" w:rsidR="007E4FC6" w:rsidRPr="00A27896" w:rsidRDefault="007E4FC6" w:rsidP="007E4FC6">
            <w:pPr>
              <w:pStyle w:val="Tabulasteksts"/>
              <w:rPr>
                <w:bCs/>
                <w:color w:val="17365D"/>
                <w:sz w:val="18"/>
                <w:szCs w:val="18"/>
                <w:lang w:eastAsia="lv-LV"/>
              </w:rPr>
            </w:pPr>
          </w:p>
        </w:tc>
        <w:tc>
          <w:tcPr>
            <w:tcW w:w="1418" w:type="dxa"/>
            <w:tcBorders>
              <w:top w:val="single" w:sz="4" w:space="0" w:color="17365D"/>
              <w:bottom w:val="single" w:sz="4" w:space="0" w:color="17365D"/>
            </w:tcBorders>
            <w:shd w:val="clear" w:color="auto" w:fill="auto"/>
            <w:vAlign w:val="center"/>
          </w:tcPr>
          <w:p w14:paraId="2088F20B"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614 264 700</w:t>
            </w:r>
          </w:p>
        </w:tc>
        <w:tc>
          <w:tcPr>
            <w:tcW w:w="1593" w:type="dxa"/>
            <w:tcBorders>
              <w:top w:val="single" w:sz="4" w:space="0" w:color="17365D"/>
              <w:bottom w:val="single" w:sz="4" w:space="0" w:color="17365D"/>
            </w:tcBorders>
            <w:shd w:val="clear" w:color="auto" w:fill="auto"/>
            <w:vAlign w:val="center"/>
          </w:tcPr>
          <w:p w14:paraId="40BA517C"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622 861 845</w:t>
            </w:r>
          </w:p>
        </w:tc>
        <w:tc>
          <w:tcPr>
            <w:tcW w:w="1451" w:type="dxa"/>
            <w:tcBorders>
              <w:top w:val="single" w:sz="4" w:space="0" w:color="17365D"/>
              <w:bottom w:val="single" w:sz="4" w:space="0" w:color="17365D"/>
            </w:tcBorders>
            <w:shd w:val="clear" w:color="auto" w:fill="auto"/>
            <w:vAlign w:val="center"/>
          </w:tcPr>
          <w:p w14:paraId="46D4D272"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-8 597 145</w:t>
            </w:r>
          </w:p>
        </w:tc>
        <w:tc>
          <w:tcPr>
            <w:tcW w:w="1134" w:type="dxa"/>
            <w:tcBorders>
              <w:top w:val="single" w:sz="4" w:space="0" w:color="17365D"/>
              <w:bottom w:val="single" w:sz="4" w:space="0" w:color="17365D"/>
            </w:tcBorders>
            <w:shd w:val="clear" w:color="auto" w:fill="auto"/>
            <w:vAlign w:val="center"/>
          </w:tcPr>
          <w:p w14:paraId="6D9A356E"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-1.38</w:t>
            </w:r>
          </w:p>
        </w:tc>
      </w:tr>
      <w:tr w:rsidR="007E4FC6" w:rsidRPr="00A27896" w14:paraId="638396C4" w14:textId="77777777" w:rsidTr="00100EA1">
        <w:trPr>
          <w:trHeight w:val="150"/>
        </w:trPr>
        <w:tc>
          <w:tcPr>
            <w:tcW w:w="2742" w:type="dxa"/>
            <w:tcBorders>
              <w:top w:val="single" w:sz="4" w:space="0" w:color="17365D"/>
              <w:bottom w:val="single" w:sz="4" w:space="0" w:color="17365D"/>
            </w:tcBorders>
            <w:shd w:val="clear" w:color="auto" w:fill="auto"/>
          </w:tcPr>
          <w:p w14:paraId="44A8658F" w14:textId="77777777" w:rsidR="007E4FC6" w:rsidRPr="00A27896" w:rsidRDefault="007E4FC6" w:rsidP="007E4FC6">
            <w:pPr>
              <w:pStyle w:val="Tabulasteksts"/>
              <w:rPr>
                <w:bCs/>
                <w:color w:val="17365D"/>
                <w:sz w:val="18"/>
                <w:szCs w:val="18"/>
                <w:lang w:eastAsia="lv-LV"/>
              </w:rPr>
            </w:pPr>
            <w:r w:rsidRPr="00A27896">
              <w:rPr>
                <w:bCs/>
                <w:color w:val="17365D"/>
                <w:sz w:val="18"/>
                <w:szCs w:val="18"/>
                <w:lang w:eastAsia="lv-LV"/>
              </w:rPr>
              <w:t>Pamatlīdzekļu izveidošana un nepabeigtā būvniecība</w:t>
            </w:r>
          </w:p>
        </w:tc>
        <w:tc>
          <w:tcPr>
            <w:tcW w:w="992" w:type="dxa"/>
            <w:tcBorders>
              <w:top w:val="single" w:sz="4" w:space="0" w:color="17365D"/>
              <w:bottom w:val="single" w:sz="4" w:space="0" w:color="17365D"/>
            </w:tcBorders>
            <w:shd w:val="clear" w:color="auto" w:fill="auto"/>
            <w:vAlign w:val="center"/>
          </w:tcPr>
          <w:p w14:paraId="0B4D0767" w14:textId="77777777" w:rsidR="007E4FC6" w:rsidRPr="00A27896" w:rsidRDefault="007E4FC6" w:rsidP="007E4FC6">
            <w:pPr>
              <w:pStyle w:val="Tabulasteksts"/>
              <w:rPr>
                <w:bCs/>
                <w:color w:val="17365D"/>
                <w:sz w:val="18"/>
                <w:szCs w:val="18"/>
                <w:lang w:eastAsia="lv-LV"/>
              </w:rPr>
            </w:pPr>
          </w:p>
        </w:tc>
        <w:tc>
          <w:tcPr>
            <w:tcW w:w="1418" w:type="dxa"/>
            <w:tcBorders>
              <w:top w:val="single" w:sz="4" w:space="0" w:color="17365D"/>
              <w:bottom w:val="single" w:sz="4" w:space="0" w:color="17365D"/>
            </w:tcBorders>
            <w:shd w:val="clear" w:color="auto" w:fill="auto"/>
            <w:vAlign w:val="center"/>
          </w:tcPr>
          <w:p w14:paraId="2521B5D7"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589 532 846</w:t>
            </w:r>
          </w:p>
        </w:tc>
        <w:tc>
          <w:tcPr>
            <w:tcW w:w="1593" w:type="dxa"/>
            <w:tcBorders>
              <w:top w:val="single" w:sz="4" w:space="0" w:color="17365D"/>
              <w:bottom w:val="single" w:sz="4" w:space="0" w:color="17365D"/>
            </w:tcBorders>
            <w:shd w:val="clear" w:color="auto" w:fill="auto"/>
            <w:vAlign w:val="center"/>
          </w:tcPr>
          <w:p w14:paraId="1949AE28"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577 418 631</w:t>
            </w:r>
          </w:p>
        </w:tc>
        <w:tc>
          <w:tcPr>
            <w:tcW w:w="1451" w:type="dxa"/>
            <w:tcBorders>
              <w:top w:val="single" w:sz="4" w:space="0" w:color="17365D"/>
              <w:bottom w:val="single" w:sz="4" w:space="0" w:color="17365D"/>
            </w:tcBorders>
            <w:shd w:val="clear" w:color="auto" w:fill="auto"/>
            <w:vAlign w:val="center"/>
          </w:tcPr>
          <w:p w14:paraId="3AAAFF16"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12 114 215</w:t>
            </w:r>
          </w:p>
        </w:tc>
        <w:tc>
          <w:tcPr>
            <w:tcW w:w="1134" w:type="dxa"/>
            <w:tcBorders>
              <w:top w:val="single" w:sz="4" w:space="0" w:color="17365D"/>
              <w:bottom w:val="single" w:sz="4" w:space="0" w:color="17365D"/>
            </w:tcBorders>
            <w:shd w:val="clear" w:color="auto" w:fill="auto"/>
            <w:vAlign w:val="center"/>
          </w:tcPr>
          <w:p w14:paraId="4D08BE91"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2.10</w:t>
            </w:r>
          </w:p>
        </w:tc>
      </w:tr>
      <w:tr w:rsidR="007E4FC6" w:rsidRPr="00A27896" w14:paraId="523CBA3F" w14:textId="77777777" w:rsidTr="00100EA1">
        <w:trPr>
          <w:trHeight w:val="141"/>
        </w:trPr>
        <w:tc>
          <w:tcPr>
            <w:tcW w:w="2742" w:type="dxa"/>
            <w:tcBorders>
              <w:top w:val="single" w:sz="4" w:space="0" w:color="17365D"/>
              <w:bottom w:val="single" w:sz="4" w:space="0" w:color="17365D"/>
            </w:tcBorders>
            <w:shd w:val="clear" w:color="auto" w:fill="auto"/>
          </w:tcPr>
          <w:p w14:paraId="4A3BD217" w14:textId="77777777" w:rsidR="007E4FC6" w:rsidRPr="00A27896" w:rsidRDefault="007E4FC6" w:rsidP="007E4FC6">
            <w:pPr>
              <w:pStyle w:val="Tabulasteksts"/>
              <w:rPr>
                <w:bCs/>
                <w:color w:val="17365D"/>
                <w:sz w:val="18"/>
                <w:szCs w:val="18"/>
                <w:lang w:eastAsia="lv-LV"/>
              </w:rPr>
            </w:pPr>
            <w:r w:rsidRPr="00A27896">
              <w:rPr>
                <w:bCs/>
                <w:color w:val="17365D"/>
                <w:sz w:val="18"/>
                <w:szCs w:val="18"/>
                <w:lang w:eastAsia="lv-LV"/>
              </w:rPr>
              <w:t>Līdzdalības kapitālsabiedrību kapitālā, akciju un vērtspapīru iegāde</w:t>
            </w:r>
          </w:p>
        </w:tc>
        <w:tc>
          <w:tcPr>
            <w:tcW w:w="992" w:type="dxa"/>
            <w:tcBorders>
              <w:top w:val="single" w:sz="4" w:space="0" w:color="17365D"/>
              <w:bottom w:val="single" w:sz="4" w:space="0" w:color="17365D"/>
            </w:tcBorders>
            <w:shd w:val="clear" w:color="auto" w:fill="auto"/>
            <w:vAlign w:val="center"/>
          </w:tcPr>
          <w:p w14:paraId="73F7A3FA" w14:textId="77777777" w:rsidR="007E4FC6" w:rsidRPr="00A27896" w:rsidRDefault="007E4FC6" w:rsidP="00100EA1">
            <w:pPr>
              <w:pStyle w:val="Tabulasteksts"/>
              <w:jc w:val="center"/>
              <w:rPr>
                <w:bCs/>
                <w:color w:val="17365D"/>
                <w:sz w:val="18"/>
                <w:szCs w:val="18"/>
                <w:lang w:eastAsia="lv-LV"/>
              </w:rPr>
            </w:pPr>
            <w:r w:rsidRPr="00A27896">
              <w:rPr>
                <w:bCs/>
                <w:color w:val="17365D"/>
                <w:sz w:val="18"/>
                <w:szCs w:val="18"/>
                <w:lang w:eastAsia="lv-LV"/>
              </w:rPr>
              <w:t>NP.B25.</w:t>
            </w:r>
          </w:p>
        </w:tc>
        <w:tc>
          <w:tcPr>
            <w:tcW w:w="1418" w:type="dxa"/>
            <w:tcBorders>
              <w:top w:val="single" w:sz="4" w:space="0" w:color="17365D"/>
              <w:bottom w:val="single" w:sz="4" w:space="0" w:color="17365D"/>
            </w:tcBorders>
            <w:shd w:val="clear" w:color="auto" w:fill="auto"/>
            <w:vAlign w:val="center"/>
          </w:tcPr>
          <w:p w14:paraId="7E5AB609"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148 021 750</w:t>
            </w:r>
          </w:p>
        </w:tc>
        <w:tc>
          <w:tcPr>
            <w:tcW w:w="1593" w:type="dxa"/>
            <w:tcBorders>
              <w:top w:val="single" w:sz="4" w:space="0" w:color="17365D"/>
              <w:bottom w:val="single" w:sz="4" w:space="0" w:color="17365D"/>
            </w:tcBorders>
            <w:shd w:val="clear" w:color="auto" w:fill="auto"/>
            <w:vAlign w:val="center"/>
          </w:tcPr>
          <w:p w14:paraId="79068029"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310 335 118</w:t>
            </w:r>
          </w:p>
        </w:tc>
        <w:tc>
          <w:tcPr>
            <w:tcW w:w="1451" w:type="dxa"/>
            <w:tcBorders>
              <w:top w:val="single" w:sz="4" w:space="0" w:color="17365D"/>
              <w:bottom w:val="single" w:sz="4" w:space="0" w:color="17365D"/>
            </w:tcBorders>
            <w:shd w:val="clear" w:color="auto" w:fill="auto"/>
            <w:vAlign w:val="center"/>
          </w:tcPr>
          <w:p w14:paraId="096F9FB5"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-162 313 368</w:t>
            </w:r>
          </w:p>
        </w:tc>
        <w:tc>
          <w:tcPr>
            <w:tcW w:w="1134" w:type="dxa"/>
            <w:tcBorders>
              <w:top w:val="single" w:sz="4" w:space="0" w:color="17365D"/>
              <w:bottom w:val="single" w:sz="4" w:space="0" w:color="17365D"/>
            </w:tcBorders>
            <w:shd w:val="clear" w:color="auto" w:fill="auto"/>
            <w:vAlign w:val="center"/>
          </w:tcPr>
          <w:p w14:paraId="1A4E8B25"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-52.30</w:t>
            </w:r>
          </w:p>
        </w:tc>
      </w:tr>
      <w:tr w:rsidR="007E4FC6" w:rsidRPr="00A27896" w14:paraId="15537DA9" w14:textId="77777777" w:rsidTr="00100EA1">
        <w:trPr>
          <w:trHeight w:val="141"/>
        </w:trPr>
        <w:tc>
          <w:tcPr>
            <w:tcW w:w="2742" w:type="dxa"/>
            <w:tcBorders>
              <w:top w:val="single" w:sz="4" w:space="0" w:color="17365D"/>
              <w:bottom w:val="single" w:sz="4" w:space="0" w:color="17365D"/>
            </w:tcBorders>
            <w:shd w:val="clear" w:color="auto" w:fill="auto"/>
          </w:tcPr>
          <w:p w14:paraId="7EC1D860" w14:textId="77777777" w:rsidR="007E4FC6" w:rsidRPr="00A27896" w:rsidRDefault="007E4FC6" w:rsidP="007E4FC6">
            <w:pPr>
              <w:pStyle w:val="Tabulasteksts"/>
              <w:rPr>
                <w:bCs/>
                <w:color w:val="17365D"/>
                <w:sz w:val="18"/>
                <w:szCs w:val="18"/>
                <w:lang w:eastAsia="lv-LV"/>
              </w:rPr>
            </w:pPr>
            <w:r w:rsidRPr="00A27896">
              <w:rPr>
                <w:bCs/>
                <w:color w:val="17365D"/>
                <w:sz w:val="18"/>
                <w:szCs w:val="18"/>
                <w:lang w:eastAsia="lv-LV"/>
              </w:rPr>
              <w:t>Procentu izdevumi</w:t>
            </w:r>
          </w:p>
        </w:tc>
        <w:tc>
          <w:tcPr>
            <w:tcW w:w="992" w:type="dxa"/>
            <w:tcBorders>
              <w:top w:val="single" w:sz="4" w:space="0" w:color="17365D"/>
              <w:bottom w:val="single" w:sz="4" w:space="0" w:color="17365D"/>
            </w:tcBorders>
            <w:shd w:val="clear" w:color="auto" w:fill="auto"/>
            <w:vAlign w:val="center"/>
          </w:tcPr>
          <w:p w14:paraId="6D96E4BE" w14:textId="77777777" w:rsidR="007E4FC6" w:rsidRPr="00A27896" w:rsidRDefault="007E4FC6" w:rsidP="007E4FC6">
            <w:pPr>
              <w:pStyle w:val="Tabulasteksts"/>
              <w:rPr>
                <w:bCs/>
                <w:color w:val="17365D"/>
                <w:sz w:val="18"/>
                <w:szCs w:val="18"/>
                <w:lang w:eastAsia="lv-LV"/>
              </w:rPr>
            </w:pPr>
          </w:p>
        </w:tc>
        <w:tc>
          <w:tcPr>
            <w:tcW w:w="1418" w:type="dxa"/>
            <w:tcBorders>
              <w:top w:val="single" w:sz="4" w:space="0" w:color="17365D"/>
              <w:bottom w:val="single" w:sz="4" w:space="0" w:color="17365D"/>
            </w:tcBorders>
            <w:shd w:val="clear" w:color="auto" w:fill="auto"/>
            <w:vAlign w:val="center"/>
          </w:tcPr>
          <w:p w14:paraId="50D22F41"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176 737</w:t>
            </w:r>
          </w:p>
        </w:tc>
        <w:tc>
          <w:tcPr>
            <w:tcW w:w="1593" w:type="dxa"/>
            <w:tcBorders>
              <w:top w:val="single" w:sz="4" w:space="0" w:color="17365D"/>
              <w:bottom w:val="single" w:sz="4" w:space="0" w:color="17365D"/>
            </w:tcBorders>
            <w:shd w:val="clear" w:color="auto" w:fill="auto"/>
            <w:vAlign w:val="center"/>
          </w:tcPr>
          <w:p w14:paraId="2A6BAF8D"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334 358</w:t>
            </w:r>
          </w:p>
        </w:tc>
        <w:tc>
          <w:tcPr>
            <w:tcW w:w="1451" w:type="dxa"/>
            <w:tcBorders>
              <w:top w:val="single" w:sz="4" w:space="0" w:color="17365D"/>
              <w:bottom w:val="single" w:sz="4" w:space="0" w:color="17365D"/>
            </w:tcBorders>
            <w:shd w:val="clear" w:color="auto" w:fill="auto"/>
            <w:vAlign w:val="center"/>
          </w:tcPr>
          <w:p w14:paraId="003A6D06"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-157 621</w:t>
            </w:r>
          </w:p>
        </w:tc>
        <w:tc>
          <w:tcPr>
            <w:tcW w:w="1134" w:type="dxa"/>
            <w:tcBorders>
              <w:top w:val="single" w:sz="4" w:space="0" w:color="17365D"/>
              <w:bottom w:val="single" w:sz="4" w:space="0" w:color="17365D"/>
            </w:tcBorders>
            <w:shd w:val="clear" w:color="auto" w:fill="auto"/>
            <w:vAlign w:val="center"/>
          </w:tcPr>
          <w:p w14:paraId="5C752684"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-47.14</w:t>
            </w:r>
          </w:p>
        </w:tc>
      </w:tr>
      <w:tr w:rsidR="007E4FC6" w:rsidRPr="00A27896" w14:paraId="4FAC127D" w14:textId="77777777" w:rsidTr="00100EA1">
        <w:trPr>
          <w:trHeight w:val="319"/>
        </w:trPr>
        <w:tc>
          <w:tcPr>
            <w:tcW w:w="2742" w:type="dxa"/>
            <w:tcBorders>
              <w:top w:val="single" w:sz="4" w:space="0" w:color="17365D"/>
              <w:bottom w:val="single" w:sz="4" w:space="0" w:color="17365D"/>
            </w:tcBorders>
            <w:shd w:val="clear" w:color="auto" w:fill="auto"/>
          </w:tcPr>
          <w:p w14:paraId="3F0866E1" w14:textId="77777777" w:rsidR="007E4FC6" w:rsidRPr="00A27896" w:rsidRDefault="007E4FC6" w:rsidP="007E4FC6">
            <w:pPr>
              <w:pStyle w:val="Tabulasteksts"/>
              <w:rPr>
                <w:bCs/>
                <w:color w:val="17365D"/>
                <w:sz w:val="18"/>
                <w:szCs w:val="18"/>
                <w:lang w:eastAsia="lv-LV"/>
              </w:rPr>
            </w:pPr>
            <w:r w:rsidRPr="00A27896">
              <w:rPr>
                <w:bCs/>
                <w:color w:val="17365D"/>
                <w:sz w:val="18"/>
                <w:szCs w:val="18"/>
                <w:lang w:eastAsia="lv-LV"/>
              </w:rPr>
              <w:t>Citi izdevumi no ieguldījumu darbības</w:t>
            </w:r>
          </w:p>
        </w:tc>
        <w:tc>
          <w:tcPr>
            <w:tcW w:w="992" w:type="dxa"/>
            <w:tcBorders>
              <w:top w:val="single" w:sz="4" w:space="0" w:color="17365D"/>
              <w:bottom w:val="single" w:sz="4" w:space="0" w:color="17365D"/>
            </w:tcBorders>
            <w:shd w:val="clear" w:color="auto" w:fill="auto"/>
            <w:vAlign w:val="center"/>
          </w:tcPr>
          <w:p w14:paraId="405F9F34" w14:textId="77777777" w:rsidR="007E4FC6" w:rsidRPr="00A27896" w:rsidRDefault="007E4FC6" w:rsidP="007E4FC6">
            <w:pPr>
              <w:pStyle w:val="Tabulasteksts"/>
              <w:rPr>
                <w:bCs/>
                <w:color w:val="17365D"/>
                <w:sz w:val="18"/>
                <w:szCs w:val="18"/>
                <w:lang w:eastAsia="lv-LV"/>
              </w:rPr>
            </w:pPr>
          </w:p>
        </w:tc>
        <w:tc>
          <w:tcPr>
            <w:tcW w:w="1418" w:type="dxa"/>
            <w:tcBorders>
              <w:top w:val="single" w:sz="4" w:space="0" w:color="17365D"/>
              <w:bottom w:val="single" w:sz="4" w:space="0" w:color="17365D"/>
            </w:tcBorders>
            <w:shd w:val="clear" w:color="auto" w:fill="auto"/>
            <w:vAlign w:val="center"/>
          </w:tcPr>
          <w:p w14:paraId="2F6B6316"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5 198</w:t>
            </w:r>
          </w:p>
        </w:tc>
        <w:tc>
          <w:tcPr>
            <w:tcW w:w="1593" w:type="dxa"/>
            <w:tcBorders>
              <w:top w:val="single" w:sz="4" w:space="0" w:color="17365D"/>
              <w:bottom w:val="single" w:sz="4" w:space="0" w:color="17365D"/>
            </w:tcBorders>
            <w:shd w:val="clear" w:color="auto" w:fill="auto"/>
            <w:vAlign w:val="center"/>
          </w:tcPr>
          <w:p w14:paraId="45C50AA0"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0</w:t>
            </w:r>
          </w:p>
        </w:tc>
        <w:tc>
          <w:tcPr>
            <w:tcW w:w="1451" w:type="dxa"/>
            <w:tcBorders>
              <w:top w:val="single" w:sz="4" w:space="0" w:color="17365D"/>
              <w:bottom w:val="single" w:sz="4" w:space="0" w:color="17365D"/>
            </w:tcBorders>
            <w:shd w:val="clear" w:color="auto" w:fill="auto"/>
            <w:vAlign w:val="center"/>
          </w:tcPr>
          <w:p w14:paraId="3335687A"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5 198</w:t>
            </w:r>
          </w:p>
        </w:tc>
        <w:tc>
          <w:tcPr>
            <w:tcW w:w="1134" w:type="dxa"/>
            <w:tcBorders>
              <w:top w:val="single" w:sz="4" w:space="0" w:color="17365D"/>
              <w:bottom w:val="single" w:sz="4" w:space="0" w:color="17365D"/>
            </w:tcBorders>
            <w:shd w:val="clear" w:color="auto" w:fill="auto"/>
            <w:vAlign w:val="center"/>
          </w:tcPr>
          <w:p w14:paraId="22F5EDAF" w14:textId="77777777" w:rsidR="007E4FC6" w:rsidRPr="00A27896" w:rsidRDefault="007E4FC6" w:rsidP="007E4FC6">
            <w:pPr>
              <w:pStyle w:val="Tabulasteksts"/>
              <w:jc w:val="right"/>
              <w:rPr>
                <w:bCs/>
                <w:color w:val="17365D"/>
                <w:sz w:val="18"/>
                <w:szCs w:val="18"/>
                <w:lang w:eastAsia="lv-LV"/>
              </w:rPr>
            </w:pPr>
            <w:r w:rsidRPr="00A27896">
              <w:rPr>
                <w:bCs/>
                <w:color w:val="17365D"/>
                <w:sz w:val="18"/>
                <w:szCs w:val="18"/>
                <w:lang w:eastAsia="lv-LV"/>
              </w:rPr>
              <w:t>100.00</w:t>
            </w:r>
          </w:p>
        </w:tc>
      </w:tr>
      <w:tr w:rsidR="007E4FC6" w:rsidRPr="00A27896" w14:paraId="4094D0B5" w14:textId="77777777" w:rsidTr="00100EA1">
        <w:trPr>
          <w:trHeight w:val="224"/>
        </w:trPr>
        <w:tc>
          <w:tcPr>
            <w:tcW w:w="2742" w:type="dxa"/>
            <w:tcBorders>
              <w:top w:val="single" w:sz="4" w:space="0" w:color="17365D"/>
            </w:tcBorders>
            <w:shd w:val="clear" w:color="auto" w:fill="B9CDE5"/>
            <w:vAlign w:val="center"/>
          </w:tcPr>
          <w:p w14:paraId="174E1CEE" w14:textId="77777777" w:rsidR="007E4FC6" w:rsidRPr="00A27896" w:rsidRDefault="007E4FC6" w:rsidP="007E4FC6">
            <w:pPr>
              <w:spacing w:after="0" w:line="240" w:lineRule="auto"/>
              <w:rPr>
                <w:rFonts w:cs="Times New Roman"/>
                <w:color w:val="17365D"/>
                <w:sz w:val="18"/>
                <w:szCs w:val="18"/>
              </w:rPr>
            </w:pPr>
          </w:p>
        </w:tc>
        <w:tc>
          <w:tcPr>
            <w:tcW w:w="992" w:type="dxa"/>
            <w:tcBorders>
              <w:top w:val="single" w:sz="4" w:space="0" w:color="17365D"/>
            </w:tcBorders>
            <w:shd w:val="clear" w:color="auto" w:fill="B9CDE5"/>
            <w:vAlign w:val="center"/>
          </w:tcPr>
          <w:p w14:paraId="2AB88FEF" w14:textId="77777777" w:rsidR="007E4FC6" w:rsidRPr="00A27896" w:rsidRDefault="007E4FC6" w:rsidP="007E4FC6">
            <w:pPr>
              <w:spacing w:after="0" w:line="240" w:lineRule="auto"/>
              <w:jc w:val="center"/>
              <w:rPr>
                <w:rFonts w:cs="Times New Roman"/>
                <w:color w:val="17365D"/>
                <w:sz w:val="18"/>
                <w:szCs w:val="18"/>
              </w:rPr>
            </w:pPr>
          </w:p>
        </w:tc>
        <w:tc>
          <w:tcPr>
            <w:tcW w:w="1418" w:type="dxa"/>
            <w:tcBorders>
              <w:top w:val="single" w:sz="4" w:space="0" w:color="17365D"/>
            </w:tcBorders>
            <w:shd w:val="clear" w:color="auto" w:fill="B9CDE5"/>
            <w:vAlign w:val="center"/>
          </w:tcPr>
          <w:p w14:paraId="05768384" w14:textId="77777777" w:rsidR="007E4FC6" w:rsidRPr="00A27896" w:rsidRDefault="007E4FC6" w:rsidP="007E4FC6">
            <w:pPr>
              <w:spacing w:after="0" w:line="240" w:lineRule="auto"/>
              <w:jc w:val="right"/>
              <w:rPr>
                <w:rFonts w:cs="Times New Roman"/>
                <w:color w:val="17365D"/>
                <w:sz w:val="18"/>
                <w:szCs w:val="18"/>
              </w:rPr>
            </w:pPr>
          </w:p>
        </w:tc>
        <w:tc>
          <w:tcPr>
            <w:tcW w:w="1593" w:type="dxa"/>
            <w:tcBorders>
              <w:top w:val="single" w:sz="4" w:space="0" w:color="17365D"/>
            </w:tcBorders>
            <w:shd w:val="clear" w:color="auto" w:fill="B9CDE5"/>
            <w:vAlign w:val="center"/>
          </w:tcPr>
          <w:p w14:paraId="2EA02191" w14:textId="77777777" w:rsidR="007E4FC6" w:rsidRPr="00A27896" w:rsidRDefault="007E4FC6" w:rsidP="007E4FC6">
            <w:pPr>
              <w:spacing w:after="0" w:line="240" w:lineRule="auto"/>
              <w:jc w:val="right"/>
              <w:rPr>
                <w:rFonts w:cs="Times New Roman"/>
                <w:color w:val="17365D"/>
                <w:sz w:val="18"/>
                <w:szCs w:val="18"/>
              </w:rPr>
            </w:pPr>
          </w:p>
        </w:tc>
        <w:tc>
          <w:tcPr>
            <w:tcW w:w="1451" w:type="dxa"/>
            <w:tcBorders>
              <w:top w:val="single" w:sz="4" w:space="0" w:color="17365D"/>
            </w:tcBorders>
            <w:shd w:val="clear" w:color="auto" w:fill="B9CDE5"/>
            <w:vAlign w:val="center"/>
          </w:tcPr>
          <w:p w14:paraId="50347D82" w14:textId="77777777" w:rsidR="007E4FC6" w:rsidRPr="00A27896" w:rsidRDefault="007E4FC6" w:rsidP="007E4FC6">
            <w:pPr>
              <w:spacing w:after="0" w:line="240" w:lineRule="auto"/>
              <w:jc w:val="right"/>
              <w:rPr>
                <w:rFonts w:cs="Times New Roman"/>
                <w:color w:val="17365D"/>
                <w:sz w:val="18"/>
                <w:szCs w:val="18"/>
              </w:rPr>
            </w:pPr>
          </w:p>
        </w:tc>
        <w:tc>
          <w:tcPr>
            <w:tcW w:w="1134" w:type="dxa"/>
            <w:tcBorders>
              <w:top w:val="single" w:sz="4" w:space="0" w:color="17365D"/>
            </w:tcBorders>
            <w:shd w:val="clear" w:color="auto" w:fill="B9CDE5"/>
            <w:vAlign w:val="center"/>
          </w:tcPr>
          <w:p w14:paraId="08BFC929" w14:textId="77777777" w:rsidR="007E4FC6" w:rsidRPr="00A27896" w:rsidRDefault="007E4FC6" w:rsidP="007E4FC6">
            <w:pPr>
              <w:spacing w:after="0" w:line="240" w:lineRule="auto"/>
              <w:jc w:val="right"/>
              <w:rPr>
                <w:rFonts w:cs="Times New Roman"/>
                <w:color w:val="17365D"/>
                <w:sz w:val="18"/>
                <w:szCs w:val="18"/>
              </w:rPr>
            </w:pPr>
          </w:p>
        </w:tc>
      </w:tr>
    </w:tbl>
    <w:p w14:paraId="723F9EAF" w14:textId="77777777" w:rsidR="007E4FC6" w:rsidRPr="00A27896" w:rsidRDefault="007E4FC6" w:rsidP="007E4FC6">
      <w:pPr>
        <w:pStyle w:val="Pamatteksts"/>
        <w:spacing w:before="120"/>
        <w:ind w:firstLine="284"/>
        <w:rPr>
          <w:color w:val="17365D"/>
        </w:rPr>
      </w:pPr>
      <w:r w:rsidRPr="00A27896">
        <w:rPr>
          <w:color w:val="17365D"/>
          <w:u w:val="single"/>
        </w:rPr>
        <w:t>Ieņēmumu no ieguldījumu darbības</w:t>
      </w:r>
      <w:r w:rsidRPr="00241C87">
        <w:rPr>
          <w:color w:val="17365D"/>
        </w:rPr>
        <w:t xml:space="preserve"> </w:t>
      </w:r>
      <w:r w:rsidRPr="00A27896">
        <w:rPr>
          <w:color w:val="17365D"/>
        </w:rPr>
        <w:t xml:space="preserve">konsolidētā naudas plūsma salīdzinot ar iepriekšējo gadu nav būtiski mainījusies. </w:t>
      </w:r>
    </w:p>
    <w:p w14:paraId="03C224DE" w14:textId="1DBA6880" w:rsidR="007E4FC6" w:rsidRPr="00A27896" w:rsidRDefault="007E4FC6" w:rsidP="007E4FC6">
      <w:pPr>
        <w:pStyle w:val="Pamatteksts"/>
        <w:spacing w:before="120"/>
        <w:ind w:firstLine="284"/>
        <w:rPr>
          <w:bCs/>
          <w:color w:val="17365D"/>
        </w:rPr>
      </w:pPr>
      <w:r w:rsidRPr="00A27896">
        <w:rPr>
          <w:bCs/>
          <w:color w:val="17365D"/>
        </w:rPr>
        <w:t xml:space="preserve">Informācija par citiem ieņēmumiem no ieguldījumu darbības sniegta 55. tabulā. </w:t>
      </w:r>
    </w:p>
    <w:p w14:paraId="3CC3CB36" w14:textId="4D12D682" w:rsidR="00387B53" w:rsidRPr="00A27896" w:rsidRDefault="00387B53" w:rsidP="00387B53">
      <w:pPr>
        <w:pStyle w:val="Tabulasnosaukums"/>
        <w:spacing w:before="0"/>
        <w:rPr>
          <w:rFonts w:eastAsia="Arial Unicode MS"/>
          <w:color w:val="17365D"/>
          <w:szCs w:val="20"/>
        </w:rPr>
      </w:pPr>
      <w:r w:rsidRPr="00A27896">
        <w:rPr>
          <w:rFonts w:eastAsia="Arial Unicode MS"/>
          <w:color w:val="17365D"/>
          <w:szCs w:val="20"/>
        </w:rPr>
        <w:t>5</w:t>
      </w:r>
      <w:r w:rsidR="006C1AA7" w:rsidRPr="00A27896">
        <w:rPr>
          <w:rFonts w:eastAsia="Arial Unicode MS"/>
          <w:color w:val="17365D"/>
          <w:szCs w:val="20"/>
        </w:rPr>
        <w:t>5</w:t>
      </w:r>
      <w:r w:rsidRPr="00A27896">
        <w:rPr>
          <w:rFonts w:eastAsia="Arial Unicode MS"/>
          <w:color w:val="17365D"/>
          <w:szCs w:val="20"/>
        </w:rPr>
        <w:t>. tabula. NP.B15 Citi ieņēmumi no ieguldījumu darbības</w:t>
      </w:r>
      <w:r w:rsidRPr="00A27896">
        <w:rPr>
          <w:bCs/>
          <w:color w:val="17365D"/>
          <w:szCs w:val="20"/>
        </w:rPr>
        <w:t xml:space="preserve"> (</w:t>
      </w:r>
      <w:r w:rsidRPr="00A27896">
        <w:rPr>
          <w:color w:val="17365D"/>
          <w:szCs w:val="20"/>
        </w:rPr>
        <w:t>euro)</w:t>
      </w:r>
    </w:p>
    <w:tbl>
      <w:tblPr>
        <w:tblW w:w="5001" w:type="pct"/>
        <w:tblBorders>
          <w:top w:val="single" w:sz="4" w:space="0" w:color="auto"/>
          <w:bottom w:val="single" w:sz="4" w:space="0" w:color="000000"/>
          <w:insideH w:val="single" w:sz="4" w:space="0" w:color="000000"/>
        </w:tblBorders>
        <w:tblLook w:val="04A0" w:firstRow="1" w:lastRow="0" w:firstColumn="1" w:lastColumn="0" w:noHBand="0" w:noVBand="1"/>
      </w:tblPr>
      <w:tblGrid>
        <w:gridCol w:w="4253"/>
        <w:gridCol w:w="2551"/>
        <w:gridCol w:w="2552"/>
      </w:tblGrid>
      <w:tr w:rsidR="007E4FC6" w:rsidRPr="00A27896" w14:paraId="59E35EEC" w14:textId="77777777" w:rsidTr="007E4FC6">
        <w:trPr>
          <w:trHeight w:val="314"/>
          <w:tblHeader/>
        </w:trPr>
        <w:tc>
          <w:tcPr>
            <w:tcW w:w="4253" w:type="dxa"/>
            <w:tcBorders>
              <w:top w:val="nil"/>
              <w:bottom w:val="single" w:sz="4" w:space="0" w:color="17365D"/>
            </w:tcBorders>
            <w:shd w:val="clear" w:color="auto" w:fill="B8CCE4" w:themeFill="accent1" w:themeFillTint="66"/>
            <w:vAlign w:val="center"/>
            <w:hideMark/>
          </w:tcPr>
          <w:p w14:paraId="7CF48AA5" w14:textId="77777777" w:rsidR="007E4FC6" w:rsidRPr="00A27896" w:rsidRDefault="007E4FC6" w:rsidP="007E4FC6">
            <w:pPr>
              <w:spacing w:after="0" w:line="240" w:lineRule="auto"/>
              <w:jc w:val="center"/>
              <w:rPr>
                <w:rFonts w:cs="Times New Roman"/>
                <w:b/>
                <w:bCs/>
                <w:color w:val="17365D"/>
                <w:sz w:val="18"/>
                <w:szCs w:val="18"/>
                <w:lang w:eastAsia="lv-LV"/>
              </w:rPr>
            </w:pPr>
            <w:r w:rsidRPr="00A27896">
              <w:rPr>
                <w:rFonts w:cs="Times New Roman"/>
                <w:b/>
                <w:bCs/>
                <w:color w:val="17365D"/>
                <w:sz w:val="18"/>
                <w:szCs w:val="18"/>
                <w:lang w:eastAsia="lv-LV"/>
              </w:rPr>
              <w:t>Darījuma apraksts</w:t>
            </w:r>
          </w:p>
        </w:tc>
        <w:tc>
          <w:tcPr>
            <w:tcW w:w="2551" w:type="dxa"/>
            <w:tcBorders>
              <w:top w:val="nil"/>
              <w:bottom w:val="single" w:sz="4" w:space="0" w:color="17365D"/>
            </w:tcBorders>
            <w:shd w:val="clear" w:color="auto" w:fill="B8CCE4" w:themeFill="accent1" w:themeFillTint="66"/>
            <w:vAlign w:val="center"/>
            <w:hideMark/>
          </w:tcPr>
          <w:p w14:paraId="4C77E18A" w14:textId="77777777" w:rsidR="007E4FC6" w:rsidRPr="00A27896" w:rsidRDefault="007E4FC6" w:rsidP="007E4FC6">
            <w:pPr>
              <w:spacing w:after="0" w:line="240" w:lineRule="auto"/>
              <w:jc w:val="center"/>
              <w:rPr>
                <w:rFonts w:cs="Times New Roman"/>
                <w:b/>
                <w:bCs/>
                <w:color w:val="17365D"/>
                <w:sz w:val="18"/>
                <w:szCs w:val="18"/>
                <w:lang w:eastAsia="lv-LV"/>
              </w:rPr>
            </w:pPr>
            <w:r w:rsidRPr="00A27896">
              <w:rPr>
                <w:rFonts w:cs="Times New Roman"/>
                <w:b/>
                <w:bCs/>
                <w:color w:val="17365D"/>
                <w:sz w:val="18"/>
                <w:szCs w:val="18"/>
                <w:lang w:eastAsia="lv-LV"/>
              </w:rPr>
              <w:t>Pārskata periodā</w:t>
            </w:r>
          </w:p>
        </w:tc>
        <w:tc>
          <w:tcPr>
            <w:tcW w:w="2552" w:type="dxa"/>
            <w:tcBorders>
              <w:top w:val="nil"/>
              <w:bottom w:val="single" w:sz="4" w:space="0" w:color="17365D"/>
            </w:tcBorders>
            <w:shd w:val="clear" w:color="auto" w:fill="B8CCE4" w:themeFill="accent1" w:themeFillTint="66"/>
          </w:tcPr>
          <w:p w14:paraId="2E143FE1" w14:textId="77777777" w:rsidR="007E4FC6" w:rsidRPr="00A27896" w:rsidRDefault="007E4FC6" w:rsidP="007E4FC6">
            <w:pPr>
              <w:spacing w:after="0" w:line="240" w:lineRule="auto"/>
              <w:jc w:val="center"/>
              <w:rPr>
                <w:rFonts w:cs="Times New Roman"/>
                <w:b/>
                <w:bCs/>
                <w:color w:val="17365D"/>
                <w:sz w:val="18"/>
                <w:szCs w:val="18"/>
                <w:lang w:eastAsia="lv-LV"/>
              </w:rPr>
            </w:pPr>
            <w:r w:rsidRPr="00A27896">
              <w:rPr>
                <w:rFonts w:cs="Times New Roman"/>
                <w:b/>
                <w:bCs/>
                <w:color w:val="17365D"/>
                <w:sz w:val="18"/>
                <w:szCs w:val="18"/>
                <w:lang w:eastAsia="lv-LV"/>
              </w:rPr>
              <w:t>Iepriekšējā pārskata periodā</w:t>
            </w:r>
          </w:p>
        </w:tc>
      </w:tr>
      <w:tr w:rsidR="007E4FC6" w:rsidRPr="00A27896" w14:paraId="47DAFCE4" w14:textId="77777777" w:rsidTr="007E4FC6">
        <w:trPr>
          <w:trHeight w:val="255"/>
          <w:tblHeader/>
        </w:trPr>
        <w:tc>
          <w:tcPr>
            <w:tcW w:w="4253" w:type="dxa"/>
            <w:tcBorders>
              <w:top w:val="single" w:sz="4" w:space="0" w:color="17365D"/>
              <w:bottom w:val="single" w:sz="4" w:space="0" w:color="17365D"/>
            </w:tcBorders>
            <w:shd w:val="clear" w:color="auto" w:fill="auto"/>
            <w:vAlign w:val="center"/>
            <w:hideMark/>
          </w:tcPr>
          <w:p w14:paraId="02BD68D1" w14:textId="77777777" w:rsidR="007E4FC6" w:rsidRPr="00A27896" w:rsidRDefault="007E4FC6" w:rsidP="007E4FC6">
            <w:pPr>
              <w:spacing w:after="0" w:line="240" w:lineRule="auto"/>
              <w:jc w:val="center"/>
              <w:rPr>
                <w:rFonts w:cs="Times New Roman"/>
                <w:b/>
                <w:bCs/>
                <w:color w:val="17365D"/>
                <w:sz w:val="18"/>
                <w:szCs w:val="18"/>
                <w:lang w:eastAsia="lv-LV"/>
              </w:rPr>
            </w:pPr>
            <w:r w:rsidRPr="00A27896">
              <w:rPr>
                <w:rFonts w:cs="Times New Roman"/>
                <w:b/>
                <w:bCs/>
                <w:color w:val="17365D"/>
                <w:sz w:val="18"/>
                <w:szCs w:val="18"/>
                <w:lang w:eastAsia="lv-LV"/>
              </w:rPr>
              <w:t>A</w:t>
            </w:r>
          </w:p>
        </w:tc>
        <w:tc>
          <w:tcPr>
            <w:tcW w:w="2551" w:type="dxa"/>
            <w:tcBorders>
              <w:top w:val="single" w:sz="4" w:space="0" w:color="17365D"/>
              <w:bottom w:val="single" w:sz="4" w:space="0" w:color="17365D"/>
            </w:tcBorders>
            <w:shd w:val="clear" w:color="auto" w:fill="auto"/>
            <w:vAlign w:val="center"/>
            <w:hideMark/>
          </w:tcPr>
          <w:p w14:paraId="376ACEAD" w14:textId="77777777" w:rsidR="007E4FC6" w:rsidRPr="00A27896" w:rsidRDefault="007E4FC6" w:rsidP="007E4FC6">
            <w:pPr>
              <w:spacing w:after="0" w:line="240" w:lineRule="auto"/>
              <w:jc w:val="center"/>
              <w:rPr>
                <w:rFonts w:cs="Times New Roman"/>
                <w:b/>
                <w:bCs/>
                <w:color w:val="17365D"/>
                <w:sz w:val="18"/>
                <w:szCs w:val="18"/>
                <w:lang w:eastAsia="lv-LV"/>
              </w:rPr>
            </w:pPr>
            <w:r w:rsidRPr="00A27896">
              <w:rPr>
                <w:rFonts w:cs="Times New Roman"/>
                <w:b/>
                <w:bCs/>
                <w:color w:val="17365D"/>
                <w:sz w:val="18"/>
                <w:szCs w:val="18"/>
                <w:lang w:eastAsia="lv-LV"/>
              </w:rPr>
              <w:t>1</w:t>
            </w:r>
          </w:p>
        </w:tc>
        <w:tc>
          <w:tcPr>
            <w:tcW w:w="2552" w:type="dxa"/>
            <w:tcBorders>
              <w:top w:val="single" w:sz="4" w:space="0" w:color="17365D"/>
              <w:bottom w:val="single" w:sz="4" w:space="0" w:color="17365D"/>
            </w:tcBorders>
          </w:tcPr>
          <w:p w14:paraId="178797E5" w14:textId="77777777" w:rsidR="007E4FC6" w:rsidRPr="00A27896" w:rsidRDefault="007E4FC6" w:rsidP="007E4FC6">
            <w:pPr>
              <w:spacing w:after="0" w:line="240" w:lineRule="auto"/>
              <w:jc w:val="center"/>
              <w:rPr>
                <w:rFonts w:cs="Times New Roman"/>
                <w:b/>
                <w:bCs/>
                <w:color w:val="17365D"/>
                <w:sz w:val="18"/>
                <w:szCs w:val="18"/>
                <w:lang w:eastAsia="lv-LV"/>
              </w:rPr>
            </w:pPr>
            <w:r w:rsidRPr="00A27896">
              <w:rPr>
                <w:rFonts w:cs="Times New Roman"/>
                <w:b/>
                <w:bCs/>
                <w:color w:val="17365D"/>
                <w:sz w:val="18"/>
                <w:szCs w:val="18"/>
                <w:lang w:eastAsia="lv-LV"/>
              </w:rPr>
              <w:t>2</w:t>
            </w:r>
          </w:p>
        </w:tc>
      </w:tr>
      <w:tr w:rsidR="007E4FC6" w:rsidRPr="00A27896" w14:paraId="45EAD036" w14:textId="77777777" w:rsidTr="007E4FC6">
        <w:trPr>
          <w:trHeight w:val="255"/>
        </w:trPr>
        <w:tc>
          <w:tcPr>
            <w:tcW w:w="4253" w:type="dxa"/>
            <w:tcBorders>
              <w:top w:val="single" w:sz="4" w:space="0" w:color="17365D"/>
              <w:bottom w:val="single" w:sz="4" w:space="0" w:color="17365D"/>
            </w:tcBorders>
            <w:shd w:val="clear" w:color="F2F2F2" w:fill="FFFFFF"/>
            <w:vAlign w:val="center"/>
            <w:hideMark/>
          </w:tcPr>
          <w:p w14:paraId="3724825B" w14:textId="77777777" w:rsidR="007E4FC6" w:rsidRPr="00A27896" w:rsidRDefault="007E4FC6" w:rsidP="007E4FC6">
            <w:pPr>
              <w:spacing w:after="0" w:line="240" w:lineRule="auto"/>
              <w:rPr>
                <w:rFonts w:cs="Times New Roman"/>
                <w:bCs/>
                <w:color w:val="17365D"/>
                <w:sz w:val="18"/>
                <w:szCs w:val="18"/>
                <w:lang w:eastAsia="lv-LV"/>
              </w:rPr>
            </w:pPr>
            <w:r w:rsidRPr="00A27896">
              <w:rPr>
                <w:rFonts w:cs="Times New Roman"/>
                <w:bCs/>
                <w:color w:val="17365D"/>
                <w:sz w:val="18"/>
                <w:szCs w:val="18"/>
                <w:lang w:eastAsia="lv-LV"/>
              </w:rPr>
              <w:t>Ieņēmumi no dividendēm</w:t>
            </w:r>
          </w:p>
        </w:tc>
        <w:tc>
          <w:tcPr>
            <w:tcW w:w="2551" w:type="dxa"/>
            <w:tcBorders>
              <w:top w:val="single" w:sz="4" w:space="0" w:color="17365D"/>
              <w:bottom w:val="single" w:sz="4" w:space="0" w:color="17365D"/>
            </w:tcBorders>
            <w:shd w:val="clear" w:color="F2F2F2" w:fill="FFFFFF"/>
            <w:vAlign w:val="center"/>
            <w:hideMark/>
          </w:tcPr>
          <w:p w14:paraId="0EA9BA7F" w14:textId="77777777" w:rsidR="007E4FC6" w:rsidRPr="00A27896" w:rsidRDefault="007E4FC6" w:rsidP="007E4FC6">
            <w:pPr>
              <w:spacing w:after="0" w:line="240" w:lineRule="auto"/>
              <w:jc w:val="right"/>
              <w:rPr>
                <w:rFonts w:cs="Times New Roman"/>
                <w:bCs/>
                <w:color w:val="17365D"/>
                <w:sz w:val="18"/>
                <w:szCs w:val="18"/>
                <w:lang w:eastAsia="lv-LV"/>
              </w:rPr>
            </w:pPr>
            <w:r w:rsidRPr="00A27896">
              <w:rPr>
                <w:rFonts w:cs="Times New Roman"/>
                <w:bCs/>
                <w:color w:val="17365D"/>
                <w:sz w:val="18"/>
                <w:szCs w:val="18"/>
                <w:lang w:eastAsia="lv-LV"/>
              </w:rPr>
              <w:t>9 614</w:t>
            </w:r>
            <w:r w:rsidRPr="00A27896">
              <w:rPr>
                <w:rFonts w:cs="Times New Roman"/>
                <w:color w:val="17365D"/>
                <w:sz w:val="18"/>
                <w:szCs w:val="18"/>
              </w:rPr>
              <w:t> </w:t>
            </w:r>
            <w:r w:rsidRPr="00A27896">
              <w:rPr>
                <w:rFonts w:cs="Times New Roman"/>
                <w:bCs/>
                <w:color w:val="17365D"/>
                <w:sz w:val="18"/>
                <w:szCs w:val="18"/>
                <w:lang w:eastAsia="lv-LV"/>
              </w:rPr>
              <w:t>781</w:t>
            </w:r>
          </w:p>
        </w:tc>
        <w:tc>
          <w:tcPr>
            <w:tcW w:w="2552" w:type="dxa"/>
            <w:tcBorders>
              <w:top w:val="single" w:sz="4" w:space="0" w:color="17365D"/>
              <w:bottom w:val="single" w:sz="4" w:space="0" w:color="17365D"/>
            </w:tcBorders>
            <w:shd w:val="clear" w:color="F2F2F2" w:fill="FFFFFF"/>
            <w:vAlign w:val="center"/>
          </w:tcPr>
          <w:p w14:paraId="20646105" w14:textId="77777777" w:rsidR="007E4FC6" w:rsidRPr="00A27896" w:rsidRDefault="007E4FC6" w:rsidP="007E4FC6">
            <w:pPr>
              <w:spacing w:after="0" w:line="240" w:lineRule="auto"/>
              <w:jc w:val="right"/>
              <w:rPr>
                <w:rFonts w:cs="Times New Roman"/>
                <w:bCs/>
                <w:color w:val="17365D"/>
                <w:sz w:val="18"/>
                <w:szCs w:val="18"/>
                <w:lang w:eastAsia="lv-LV"/>
              </w:rPr>
            </w:pPr>
            <w:r w:rsidRPr="00A27896">
              <w:rPr>
                <w:rFonts w:cs="Times New Roman"/>
                <w:bCs/>
                <w:color w:val="17365D"/>
                <w:sz w:val="18"/>
                <w:szCs w:val="18"/>
                <w:lang w:eastAsia="lv-LV"/>
              </w:rPr>
              <w:t>9 426</w:t>
            </w:r>
            <w:r w:rsidRPr="00A27896">
              <w:rPr>
                <w:rFonts w:cs="Times New Roman"/>
                <w:color w:val="17365D"/>
                <w:sz w:val="18"/>
                <w:szCs w:val="18"/>
              </w:rPr>
              <w:t> </w:t>
            </w:r>
            <w:r w:rsidRPr="00A27896">
              <w:rPr>
                <w:rFonts w:cs="Times New Roman"/>
                <w:bCs/>
                <w:color w:val="17365D"/>
                <w:sz w:val="18"/>
                <w:szCs w:val="18"/>
                <w:lang w:eastAsia="lv-LV"/>
              </w:rPr>
              <w:t>243</w:t>
            </w:r>
          </w:p>
        </w:tc>
      </w:tr>
      <w:tr w:rsidR="007E4FC6" w:rsidRPr="00A27896" w14:paraId="6062CC45" w14:textId="77777777" w:rsidTr="007E4FC6">
        <w:trPr>
          <w:trHeight w:val="255"/>
        </w:trPr>
        <w:tc>
          <w:tcPr>
            <w:tcW w:w="4253" w:type="dxa"/>
            <w:tcBorders>
              <w:top w:val="single" w:sz="4" w:space="0" w:color="17365D"/>
              <w:bottom w:val="single" w:sz="4" w:space="0" w:color="17365D"/>
            </w:tcBorders>
            <w:shd w:val="clear" w:color="F2F2F2" w:fill="FFFFFF"/>
            <w:vAlign w:val="center"/>
          </w:tcPr>
          <w:p w14:paraId="5C4287D3" w14:textId="77777777" w:rsidR="007E4FC6" w:rsidRPr="00A27896" w:rsidRDefault="007E4FC6" w:rsidP="007E4FC6">
            <w:pPr>
              <w:spacing w:after="0" w:line="240" w:lineRule="auto"/>
              <w:rPr>
                <w:rFonts w:cs="Times New Roman"/>
                <w:bCs/>
                <w:color w:val="17365D"/>
                <w:sz w:val="18"/>
                <w:szCs w:val="18"/>
                <w:lang w:eastAsia="lv-LV"/>
              </w:rPr>
            </w:pPr>
            <w:r w:rsidRPr="00A27896">
              <w:rPr>
                <w:rFonts w:cs="Times New Roman"/>
                <w:bCs/>
                <w:color w:val="17365D"/>
                <w:sz w:val="18"/>
                <w:szCs w:val="18"/>
                <w:lang w:eastAsia="lv-LV"/>
              </w:rPr>
              <w:t xml:space="preserve">Citi ieņēmumi no ieguldījumu darbības </w:t>
            </w:r>
          </w:p>
        </w:tc>
        <w:tc>
          <w:tcPr>
            <w:tcW w:w="2551" w:type="dxa"/>
            <w:tcBorders>
              <w:top w:val="single" w:sz="4" w:space="0" w:color="17365D"/>
              <w:bottom w:val="single" w:sz="4" w:space="0" w:color="17365D"/>
            </w:tcBorders>
            <w:shd w:val="clear" w:color="F2F2F2" w:fill="FFFFFF"/>
            <w:vAlign w:val="center"/>
          </w:tcPr>
          <w:p w14:paraId="7F618C2E" w14:textId="77777777" w:rsidR="007E4FC6" w:rsidRPr="00A27896" w:rsidRDefault="007E4FC6" w:rsidP="007E4FC6">
            <w:pPr>
              <w:spacing w:after="0" w:line="240" w:lineRule="auto"/>
              <w:jc w:val="right"/>
              <w:rPr>
                <w:rFonts w:cs="Times New Roman"/>
                <w:bCs/>
                <w:color w:val="17365D"/>
                <w:sz w:val="18"/>
                <w:szCs w:val="18"/>
                <w:lang w:eastAsia="lv-LV"/>
              </w:rPr>
            </w:pPr>
            <w:r w:rsidRPr="00A27896">
              <w:rPr>
                <w:rFonts w:cs="Times New Roman"/>
                <w:bCs/>
                <w:color w:val="17365D"/>
                <w:sz w:val="18"/>
                <w:szCs w:val="18"/>
                <w:lang w:eastAsia="lv-LV"/>
              </w:rPr>
              <w:t>290</w:t>
            </w:r>
            <w:r w:rsidRPr="00A27896">
              <w:rPr>
                <w:rFonts w:cs="Times New Roman"/>
                <w:color w:val="17365D"/>
                <w:sz w:val="18"/>
                <w:szCs w:val="18"/>
              </w:rPr>
              <w:t> </w:t>
            </w:r>
            <w:r w:rsidRPr="00A27896">
              <w:rPr>
                <w:rFonts w:cs="Times New Roman"/>
                <w:bCs/>
                <w:color w:val="17365D"/>
                <w:sz w:val="18"/>
                <w:szCs w:val="18"/>
                <w:lang w:eastAsia="lv-LV"/>
              </w:rPr>
              <w:t>309</w:t>
            </w:r>
          </w:p>
        </w:tc>
        <w:tc>
          <w:tcPr>
            <w:tcW w:w="2552" w:type="dxa"/>
            <w:tcBorders>
              <w:top w:val="single" w:sz="4" w:space="0" w:color="17365D"/>
              <w:bottom w:val="single" w:sz="4" w:space="0" w:color="17365D"/>
            </w:tcBorders>
            <w:shd w:val="clear" w:color="F2F2F2" w:fill="FFFFFF"/>
            <w:vAlign w:val="center"/>
          </w:tcPr>
          <w:p w14:paraId="5C4BBB71" w14:textId="77777777" w:rsidR="007E4FC6" w:rsidRPr="00A27896" w:rsidRDefault="007E4FC6" w:rsidP="007E4FC6">
            <w:pPr>
              <w:spacing w:after="0" w:line="240" w:lineRule="auto"/>
              <w:jc w:val="right"/>
              <w:rPr>
                <w:rFonts w:cs="Times New Roman"/>
                <w:bCs/>
                <w:color w:val="17365D"/>
                <w:sz w:val="18"/>
                <w:szCs w:val="18"/>
                <w:lang w:eastAsia="lv-LV"/>
              </w:rPr>
            </w:pPr>
            <w:r w:rsidRPr="00A27896">
              <w:rPr>
                <w:rFonts w:cs="Times New Roman"/>
                <w:bCs/>
                <w:color w:val="17365D"/>
                <w:sz w:val="18"/>
                <w:szCs w:val="18"/>
                <w:lang w:eastAsia="lv-LV"/>
              </w:rPr>
              <w:t>244</w:t>
            </w:r>
            <w:r w:rsidRPr="00A27896">
              <w:rPr>
                <w:rFonts w:cs="Times New Roman"/>
                <w:color w:val="17365D"/>
                <w:sz w:val="18"/>
                <w:szCs w:val="18"/>
              </w:rPr>
              <w:t> </w:t>
            </w:r>
            <w:r w:rsidRPr="00A27896">
              <w:rPr>
                <w:rFonts w:cs="Times New Roman"/>
                <w:bCs/>
                <w:color w:val="17365D"/>
                <w:sz w:val="18"/>
                <w:szCs w:val="18"/>
                <w:lang w:eastAsia="lv-LV"/>
              </w:rPr>
              <w:t>768</w:t>
            </w:r>
          </w:p>
        </w:tc>
      </w:tr>
      <w:tr w:rsidR="007E4FC6" w:rsidRPr="00A27896" w14:paraId="624E0034" w14:textId="77777777" w:rsidTr="007E4FC6">
        <w:trPr>
          <w:trHeight w:val="255"/>
        </w:trPr>
        <w:tc>
          <w:tcPr>
            <w:tcW w:w="4253" w:type="dxa"/>
            <w:tcBorders>
              <w:top w:val="single" w:sz="4" w:space="0" w:color="17365D"/>
              <w:bottom w:val="nil"/>
            </w:tcBorders>
            <w:shd w:val="clear" w:color="auto" w:fill="B8CCE4" w:themeFill="accent1" w:themeFillTint="66"/>
            <w:vAlign w:val="center"/>
            <w:hideMark/>
          </w:tcPr>
          <w:p w14:paraId="49435453" w14:textId="77777777" w:rsidR="007E4FC6" w:rsidRPr="00A27896" w:rsidRDefault="007E4FC6" w:rsidP="007E4FC6">
            <w:pPr>
              <w:spacing w:after="0" w:line="240" w:lineRule="auto"/>
              <w:rPr>
                <w:rFonts w:cs="Times New Roman"/>
                <w:bCs/>
                <w:color w:val="17365D"/>
                <w:sz w:val="18"/>
                <w:szCs w:val="18"/>
                <w:lang w:eastAsia="lv-LV"/>
              </w:rPr>
            </w:pPr>
            <w:r w:rsidRPr="00A27896">
              <w:rPr>
                <w:rFonts w:cs="Times New Roman"/>
                <w:b/>
                <w:bCs/>
                <w:color w:val="17365D"/>
                <w:sz w:val="18"/>
                <w:szCs w:val="18"/>
                <w:lang w:eastAsia="lv-LV"/>
              </w:rPr>
              <w:t>Kopā</w:t>
            </w:r>
          </w:p>
        </w:tc>
        <w:tc>
          <w:tcPr>
            <w:tcW w:w="2551" w:type="dxa"/>
            <w:tcBorders>
              <w:top w:val="single" w:sz="4" w:space="0" w:color="17365D"/>
              <w:bottom w:val="nil"/>
            </w:tcBorders>
            <w:shd w:val="clear" w:color="auto" w:fill="B8CCE4" w:themeFill="accent1" w:themeFillTint="66"/>
            <w:vAlign w:val="center"/>
            <w:hideMark/>
          </w:tcPr>
          <w:p w14:paraId="3706C527" w14:textId="77777777" w:rsidR="007E4FC6" w:rsidRPr="00A27896" w:rsidRDefault="007E4FC6" w:rsidP="007E4FC6">
            <w:pPr>
              <w:spacing w:after="0" w:line="240" w:lineRule="auto"/>
              <w:jc w:val="right"/>
              <w:rPr>
                <w:rFonts w:cs="Times New Roman"/>
                <w:bCs/>
                <w:color w:val="17365D"/>
                <w:sz w:val="18"/>
                <w:szCs w:val="18"/>
                <w:lang w:eastAsia="lv-LV"/>
              </w:rPr>
            </w:pPr>
            <w:r w:rsidRPr="00A27896">
              <w:rPr>
                <w:rFonts w:cs="Times New Roman"/>
                <w:b/>
                <w:bCs/>
                <w:color w:val="17365D"/>
                <w:sz w:val="18"/>
                <w:szCs w:val="18"/>
                <w:lang w:eastAsia="lv-LV"/>
              </w:rPr>
              <w:t>9 905 090</w:t>
            </w:r>
          </w:p>
        </w:tc>
        <w:tc>
          <w:tcPr>
            <w:tcW w:w="2552" w:type="dxa"/>
            <w:tcBorders>
              <w:top w:val="single" w:sz="4" w:space="0" w:color="17365D"/>
              <w:bottom w:val="nil"/>
            </w:tcBorders>
            <w:shd w:val="clear" w:color="auto" w:fill="B8CCE4" w:themeFill="accent1" w:themeFillTint="66"/>
            <w:vAlign w:val="center"/>
          </w:tcPr>
          <w:p w14:paraId="19C62A35" w14:textId="77777777" w:rsidR="007E4FC6" w:rsidRPr="00A27896" w:rsidRDefault="007E4FC6" w:rsidP="007E4FC6">
            <w:pPr>
              <w:spacing w:after="0" w:line="240" w:lineRule="auto"/>
              <w:jc w:val="right"/>
              <w:rPr>
                <w:rFonts w:cs="Times New Roman"/>
                <w:bCs/>
                <w:color w:val="17365D"/>
                <w:sz w:val="18"/>
                <w:szCs w:val="18"/>
                <w:lang w:eastAsia="lv-LV"/>
              </w:rPr>
            </w:pPr>
            <w:r w:rsidRPr="00A27896">
              <w:rPr>
                <w:rFonts w:cs="Times New Roman"/>
                <w:b/>
                <w:bCs/>
                <w:color w:val="17365D"/>
                <w:sz w:val="18"/>
                <w:szCs w:val="18"/>
                <w:lang w:eastAsia="lv-LV"/>
              </w:rPr>
              <w:t>9 671 011</w:t>
            </w:r>
          </w:p>
        </w:tc>
      </w:tr>
    </w:tbl>
    <w:p w14:paraId="5F0BEF7D" w14:textId="77777777" w:rsidR="00AB7AB5" w:rsidRPr="00A27896" w:rsidRDefault="00AB7AB5" w:rsidP="001651EB">
      <w:pPr>
        <w:pStyle w:val="Pamatteksts"/>
        <w:spacing w:before="120"/>
        <w:ind w:firstLine="284"/>
        <w:rPr>
          <w:color w:val="17365D"/>
        </w:rPr>
      </w:pPr>
    </w:p>
    <w:p w14:paraId="01508B82" w14:textId="26C4981A" w:rsidR="00387B53" w:rsidRPr="00A27896" w:rsidRDefault="00387B53" w:rsidP="001651EB">
      <w:pPr>
        <w:pStyle w:val="Pamatteksts"/>
        <w:spacing w:before="120"/>
        <w:ind w:firstLine="284"/>
        <w:rPr>
          <w:color w:val="17365D"/>
        </w:rPr>
      </w:pPr>
      <w:r w:rsidRPr="00A27896">
        <w:rPr>
          <w:color w:val="17365D"/>
        </w:rPr>
        <w:t xml:space="preserve">Konsolidēto naudas plūsmas </w:t>
      </w:r>
      <w:r w:rsidRPr="00A27896">
        <w:rPr>
          <w:color w:val="17365D"/>
          <w:u w:val="single"/>
        </w:rPr>
        <w:t xml:space="preserve">izdevumu no ieguldījumu darbības </w:t>
      </w:r>
      <w:r w:rsidRPr="00A27896">
        <w:rPr>
          <w:color w:val="17365D"/>
        </w:rPr>
        <w:t>izmaiņas veido:</w:t>
      </w:r>
    </w:p>
    <w:p w14:paraId="1A100B3C" w14:textId="77777777" w:rsidR="007E4FC6" w:rsidRPr="00A27896" w:rsidRDefault="007E4FC6" w:rsidP="007E4FC6">
      <w:pPr>
        <w:spacing w:after="120" w:line="240" w:lineRule="auto"/>
        <w:ind w:firstLine="284"/>
        <w:jc w:val="both"/>
        <w:rPr>
          <w:rFonts w:eastAsia="Times New Roman" w:cs="Times New Roman"/>
          <w:color w:val="17365D"/>
          <w:szCs w:val="24"/>
        </w:rPr>
      </w:pPr>
      <w:r w:rsidRPr="00A27896">
        <w:rPr>
          <w:rFonts w:eastAsia="Times New Roman" w:cs="Times New Roman"/>
          <w:bCs/>
          <w:noProof/>
          <w:color w:val="17365D"/>
          <w:szCs w:val="24"/>
          <w:lang w:eastAsia="lv-LV"/>
        </w:rPr>
        <w:t xml:space="preserve">NP.B25. </w:t>
      </w:r>
      <w:r w:rsidRPr="00A27896">
        <w:rPr>
          <w:rFonts w:eastAsia="Times New Roman" w:cs="Times New Roman"/>
          <w:color w:val="17365D"/>
          <w:szCs w:val="24"/>
        </w:rPr>
        <w:t>Līdzdalības kapitālsabiedrību kapitālā, akciju un vērtspapīru iegāde:</w:t>
      </w:r>
    </w:p>
    <w:p w14:paraId="748BAB79" w14:textId="6C04E5AC" w:rsidR="007E4FC6" w:rsidRPr="00A27896" w:rsidRDefault="007E4FC6" w:rsidP="0057470D">
      <w:pPr>
        <w:numPr>
          <w:ilvl w:val="0"/>
          <w:numId w:val="27"/>
        </w:numPr>
        <w:spacing w:after="120" w:line="240" w:lineRule="auto"/>
        <w:ind w:left="851"/>
        <w:jc w:val="both"/>
        <w:rPr>
          <w:rFonts w:eastAsia="Times New Roman" w:cs="Times New Roman"/>
          <w:bCs/>
          <w:noProof/>
          <w:color w:val="17365D"/>
          <w:szCs w:val="24"/>
          <w:lang w:eastAsia="lv-LV"/>
        </w:rPr>
      </w:pPr>
      <w:r w:rsidRPr="00A27896">
        <w:rPr>
          <w:rFonts w:eastAsia="Times New Roman" w:cs="Times New Roman"/>
          <w:noProof/>
          <w:color w:val="17365D"/>
          <w:szCs w:val="24"/>
          <w:lang w:eastAsia="lv-LV"/>
        </w:rPr>
        <w:t>vislielākais samazinājums Veselības ministrijai (</w:t>
      </w:r>
      <w:r w:rsidRPr="00A27896">
        <w:rPr>
          <w:rFonts w:eastAsia="Times New Roman" w:cs="Times New Roman"/>
          <w:bCs/>
          <w:noProof/>
          <w:color w:val="17365D"/>
          <w:szCs w:val="24"/>
          <w:lang w:eastAsia="lv-LV"/>
        </w:rPr>
        <w:t xml:space="preserve">174 926 108) </w:t>
      </w:r>
      <w:r w:rsidRPr="00A27896">
        <w:rPr>
          <w:rFonts w:eastAsia="Times New Roman" w:cs="Times New Roman"/>
          <w:bCs/>
          <w:i/>
          <w:noProof/>
          <w:color w:val="17365D"/>
          <w:szCs w:val="24"/>
          <w:lang w:eastAsia="lv-LV"/>
        </w:rPr>
        <w:t>euro</w:t>
      </w:r>
      <w:r w:rsidRPr="00A27896">
        <w:rPr>
          <w:rFonts w:eastAsia="Times New Roman" w:cs="Times New Roman"/>
          <w:bCs/>
          <w:noProof/>
          <w:color w:val="17365D"/>
          <w:szCs w:val="24"/>
          <w:lang w:eastAsia="lv-LV"/>
        </w:rPr>
        <w:t xml:space="preserve"> vērtībā</w:t>
      </w:r>
      <w:r w:rsidRPr="00A27896">
        <w:rPr>
          <w:rFonts w:eastAsia="Times New Roman" w:cs="Times New Roman"/>
          <w:noProof/>
          <w:color w:val="17365D"/>
          <w:szCs w:val="24"/>
          <w:lang w:eastAsia="lv-LV"/>
        </w:rPr>
        <w:t xml:space="preserve"> salīdzinājumā ar iepriekšējā periodā veikto valsts kapitālsabiedrību pamatkapitāla palielināšanu</w:t>
      </w:r>
      <w:r w:rsidRPr="00A27896">
        <w:rPr>
          <w:rFonts w:eastAsia="Times New Roman" w:cs="Times New Roman"/>
          <w:bCs/>
          <w:noProof/>
          <w:color w:val="17365D"/>
          <w:szCs w:val="24"/>
          <w:lang w:eastAsia="lv-LV"/>
        </w:rPr>
        <w:t>;</w:t>
      </w:r>
    </w:p>
    <w:p w14:paraId="2D3E4761" w14:textId="46FA6D67" w:rsidR="007E4FC6" w:rsidRPr="00A27896" w:rsidRDefault="007E4FC6" w:rsidP="0057470D">
      <w:pPr>
        <w:numPr>
          <w:ilvl w:val="0"/>
          <w:numId w:val="31"/>
        </w:numPr>
        <w:spacing w:after="120" w:line="240" w:lineRule="auto"/>
        <w:ind w:left="851"/>
        <w:jc w:val="both"/>
        <w:rPr>
          <w:rFonts w:eastAsia="Calibri" w:cs="Times New Roman"/>
          <w:bCs/>
          <w:color w:val="17365D"/>
        </w:rPr>
      </w:pPr>
      <w:r w:rsidRPr="00A27896">
        <w:rPr>
          <w:rFonts w:eastAsia="Calibri" w:cs="Times New Roman"/>
          <w:color w:val="17365D"/>
        </w:rPr>
        <w:t xml:space="preserve">būtisks samazinājums Satiksmes ministrijas (35 230 000) </w:t>
      </w:r>
      <w:proofErr w:type="spellStart"/>
      <w:r w:rsidRPr="00A27896">
        <w:rPr>
          <w:rFonts w:eastAsia="Calibri" w:cs="Times New Roman"/>
          <w:i/>
          <w:color w:val="17365D"/>
        </w:rPr>
        <w:t>euro</w:t>
      </w:r>
      <w:proofErr w:type="spellEnd"/>
      <w:r w:rsidRPr="00A27896">
        <w:rPr>
          <w:rFonts w:eastAsia="Calibri" w:cs="Times New Roman"/>
          <w:color w:val="17365D"/>
        </w:rPr>
        <w:t xml:space="preserve"> vērtībā par iepriekšējā periodā veiktajiem ieguldījumiem kapitālsabiedrību kapitālā;</w:t>
      </w:r>
    </w:p>
    <w:p w14:paraId="494528FB" w14:textId="57CCD5A9" w:rsidR="007E4FC6" w:rsidRPr="00A27896" w:rsidRDefault="007E4FC6" w:rsidP="0057470D">
      <w:pPr>
        <w:numPr>
          <w:ilvl w:val="0"/>
          <w:numId w:val="31"/>
        </w:numPr>
        <w:spacing w:after="120" w:line="240" w:lineRule="auto"/>
        <w:ind w:left="851"/>
        <w:jc w:val="both"/>
        <w:rPr>
          <w:rFonts w:eastAsia="Calibri" w:cs="Times New Roman"/>
          <w:bCs/>
          <w:color w:val="17365D"/>
        </w:rPr>
      </w:pPr>
      <w:r w:rsidRPr="00A27896">
        <w:rPr>
          <w:rFonts w:eastAsia="Calibri" w:cs="Times New Roman"/>
          <w:color w:val="17365D"/>
        </w:rPr>
        <w:t xml:space="preserve">Izglītības ministrijai palielinājušies izdevumi radniecīgo komersantu kapitāla daļu iegādei, kas nav akcijas, </w:t>
      </w:r>
      <w:r w:rsidRPr="00A27896">
        <w:rPr>
          <w:rFonts w:eastAsia="Calibri" w:cs="Times New Roman"/>
          <w:bCs/>
          <w:color w:val="17365D"/>
        </w:rPr>
        <w:t xml:space="preserve">25 937 698 </w:t>
      </w:r>
      <w:proofErr w:type="spellStart"/>
      <w:r w:rsidRPr="00A27896">
        <w:rPr>
          <w:rFonts w:eastAsia="Calibri" w:cs="Times New Roman"/>
          <w:bCs/>
          <w:i/>
          <w:color w:val="17365D"/>
        </w:rPr>
        <w:t>euro</w:t>
      </w:r>
      <w:proofErr w:type="spellEnd"/>
      <w:r w:rsidRPr="00A27896">
        <w:rPr>
          <w:rFonts w:eastAsia="Calibri" w:cs="Times New Roman"/>
          <w:bCs/>
          <w:color w:val="17365D"/>
        </w:rPr>
        <w:t xml:space="preserve"> vērtībā;</w:t>
      </w:r>
    </w:p>
    <w:p w14:paraId="7D420FBA" w14:textId="71E1699C" w:rsidR="007E4FC6" w:rsidRPr="00A27896" w:rsidRDefault="007E4FC6" w:rsidP="0057470D">
      <w:pPr>
        <w:numPr>
          <w:ilvl w:val="0"/>
          <w:numId w:val="31"/>
        </w:numPr>
        <w:spacing w:after="120" w:line="240" w:lineRule="auto"/>
        <w:ind w:left="851"/>
        <w:jc w:val="both"/>
        <w:rPr>
          <w:rFonts w:eastAsia="Calibri" w:cs="Times New Roman"/>
          <w:bCs/>
          <w:color w:val="17365D"/>
        </w:rPr>
      </w:pPr>
      <w:r w:rsidRPr="00A27896">
        <w:rPr>
          <w:rFonts w:eastAsia="Calibri" w:cs="Times New Roman"/>
          <w:bCs/>
          <w:color w:val="17365D"/>
        </w:rPr>
        <w:t>Finanšu ministrijai palielinājušies ieguldījumi starptautiskajās organizācijās 28 698 346 </w:t>
      </w:r>
      <w:proofErr w:type="spellStart"/>
      <w:r w:rsidRPr="00A27896">
        <w:rPr>
          <w:rFonts w:eastAsia="Calibri" w:cs="Times New Roman"/>
          <w:bCs/>
          <w:i/>
          <w:color w:val="17365D"/>
        </w:rPr>
        <w:t>euro</w:t>
      </w:r>
      <w:proofErr w:type="spellEnd"/>
      <w:r w:rsidRPr="00A27896">
        <w:rPr>
          <w:rFonts w:eastAsia="Calibri" w:cs="Times New Roman"/>
          <w:bCs/>
          <w:color w:val="17365D"/>
        </w:rPr>
        <w:t xml:space="preserve"> vērtībā.</w:t>
      </w:r>
    </w:p>
    <w:p w14:paraId="7ECD8261" w14:textId="65C2483F" w:rsidR="00387B53" w:rsidRPr="00A27896" w:rsidRDefault="00387B53" w:rsidP="001651EB">
      <w:pPr>
        <w:spacing w:before="120" w:after="120" w:line="240" w:lineRule="auto"/>
        <w:ind w:firstLine="284"/>
        <w:jc w:val="both"/>
        <w:rPr>
          <w:rFonts w:eastAsia="Arial Unicode MS" w:cs="Times New Roman"/>
          <w:color w:val="17365D"/>
          <w:szCs w:val="20"/>
        </w:rPr>
      </w:pPr>
      <w:r w:rsidRPr="00A27896">
        <w:rPr>
          <w:rFonts w:cs="Times New Roman"/>
          <w:bCs/>
          <w:color w:val="17365D"/>
        </w:rPr>
        <w:t>Naudas plūsmas finansēšanas i</w:t>
      </w:r>
      <w:r w:rsidRPr="00A27896">
        <w:rPr>
          <w:rFonts w:cs="Times New Roman"/>
          <w:bCs/>
          <w:color w:val="17365D"/>
          <w:lang w:eastAsia="lv-LV"/>
        </w:rPr>
        <w:t xml:space="preserve">eņēmumu un izdevumu </w:t>
      </w:r>
      <w:r w:rsidRPr="00A27896">
        <w:rPr>
          <w:rFonts w:cs="Times New Roman"/>
          <w:bCs/>
          <w:color w:val="17365D"/>
        </w:rPr>
        <w:t>posteņu izma</w:t>
      </w:r>
      <w:r w:rsidRPr="00A27896">
        <w:rPr>
          <w:rFonts w:cs="Times New Roman"/>
          <w:color w:val="17365D"/>
        </w:rPr>
        <w:t>iņas uzrādītas 5</w:t>
      </w:r>
      <w:r w:rsidR="006C1AA7" w:rsidRPr="00A27896">
        <w:rPr>
          <w:rFonts w:cs="Times New Roman"/>
          <w:color w:val="17365D"/>
        </w:rPr>
        <w:t>6.</w:t>
      </w:r>
      <w:r w:rsidRPr="00A27896">
        <w:rPr>
          <w:rFonts w:cs="Times New Roman"/>
          <w:color w:val="17365D"/>
        </w:rPr>
        <w:t> tabulā.</w:t>
      </w:r>
    </w:p>
    <w:p w14:paraId="2D0FC757" w14:textId="60577FF4" w:rsidR="00387B53" w:rsidRPr="00A27896" w:rsidRDefault="00387B53" w:rsidP="00387B53">
      <w:pPr>
        <w:pStyle w:val="Tabulasnosaukums"/>
        <w:spacing w:before="0"/>
        <w:rPr>
          <w:rFonts w:eastAsia="Arial Unicode MS"/>
          <w:color w:val="17365D"/>
          <w:szCs w:val="20"/>
        </w:rPr>
      </w:pPr>
      <w:r w:rsidRPr="00A27896">
        <w:rPr>
          <w:rFonts w:eastAsia="Arial Unicode MS"/>
          <w:color w:val="17365D"/>
          <w:szCs w:val="20"/>
        </w:rPr>
        <w:t>5</w:t>
      </w:r>
      <w:r w:rsidR="006C1AA7" w:rsidRPr="00A27896">
        <w:rPr>
          <w:rFonts w:eastAsia="Arial Unicode MS"/>
          <w:color w:val="17365D"/>
          <w:szCs w:val="20"/>
        </w:rPr>
        <w:t>6</w:t>
      </w:r>
      <w:r w:rsidRPr="00A27896">
        <w:rPr>
          <w:rFonts w:eastAsia="Arial Unicode MS"/>
          <w:color w:val="17365D"/>
          <w:szCs w:val="20"/>
        </w:rPr>
        <w:t xml:space="preserve">. tabula. NP.C Finansēšanas </w:t>
      </w:r>
      <w:r w:rsidRPr="00A27896">
        <w:rPr>
          <w:bCs/>
          <w:color w:val="17365D"/>
          <w:szCs w:val="20"/>
        </w:rPr>
        <w:t>ieņēmumi un izdevumi (</w:t>
      </w:r>
      <w:r w:rsidRPr="00A27896">
        <w:rPr>
          <w:color w:val="17365D"/>
          <w:szCs w:val="20"/>
        </w:rPr>
        <w:t>euro)</w:t>
      </w:r>
    </w:p>
    <w:tbl>
      <w:tblPr>
        <w:tblW w:w="9390" w:type="dxa"/>
        <w:tblLayout w:type="fixed"/>
        <w:tblLook w:val="04A0" w:firstRow="1" w:lastRow="0" w:firstColumn="1" w:lastColumn="0" w:noHBand="0" w:noVBand="1"/>
      </w:tblPr>
      <w:tblGrid>
        <w:gridCol w:w="2694"/>
        <w:gridCol w:w="992"/>
        <w:gridCol w:w="1418"/>
        <w:gridCol w:w="1276"/>
        <w:gridCol w:w="1701"/>
        <w:gridCol w:w="1309"/>
      </w:tblGrid>
      <w:tr w:rsidR="007E4FC6" w:rsidRPr="00A27896" w14:paraId="6508A24D" w14:textId="77777777" w:rsidTr="007E4FC6">
        <w:trPr>
          <w:trHeight w:val="791"/>
          <w:tblHeader/>
        </w:trPr>
        <w:tc>
          <w:tcPr>
            <w:tcW w:w="2694" w:type="dxa"/>
            <w:tcBorders>
              <w:bottom w:val="single" w:sz="4" w:space="0" w:color="17365D"/>
            </w:tcBorders>
            <w:shd w:val="clear" w:color="auto" w:fill="B9CDE5"/>
            <w:vAlign w:val="center"/>
            <w:hideMark/>
          </w:tcPr>
          <w:p w14:paraId="7A51DD55" w14:textId="77777777" w:rsidR="007E4FC6" w:rsidRPr="00A27896" w:rsidRDefault="007E4FC6" w:rsidP="007E4FC6">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Rādītājs</w:t>
            </w:r>
          </w:p>
        </w:tc>
        <w:tc>
          <w:tcPr>
            <w:tcW w:w="992" w:type="dxa"/>
            <w:tcBorders>
              <w:bottom w:val="single" w:sz="4" w:space="0" w:color="17365D"/>
            </w:tcBorders>
            <w:shd w:val="clear" w:color="auto" w:fill="B9CDE5"/>
            <w:vAlign w:val="center"/>
          </w:tcPr>
          <w:p w14:paraId="31A4FAEC" w14:textId="77777777" w:rsidR="007E4FC6" w:rsidRPr="00A27896" w:rsidRDefault="007E4FC6" w:rsidP="007E4FC6">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Piezīmes Nr.</w:t>
            </w:r>
          </w:p>
        </w:tc>
        <w:tc>
          <w:tcPr>
            <w:tcW w:w="1418" w:type="dxa"/>
            <w:tcBorders>
              <w:bottom w:val="single" w:sz="4" w:space="0" w:color="17365D"/>
            </w:tcBorders>
            <w:shd w:val="clear" w:color="auto" w:fill="B9CDE5"/>
            <w:vAlign w:val="center"/>
          </w:tcPr>
          <w:p w14:paraId="213AEFA7" w14:textId="77777777" w:rsidR="007E4FC6" w:rsidRPr="00A27896" w:rsidRDefault="007E4FC6" w:rsidP="007E4FC6">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Pārskata periods</w:t>
            </w:r>
          </w:p>
        </w:tc>
        <w:tc>
          <w:tcPr>
            <w:tcW w:w="1276" w:type="dxa"/>
            <w:tcBorders>
              <w:bottom w:val="single" w:sz="4" w:space="0" w:color="17365D"/>
            </w:tcBorders>
            <w:shd w:val="clear" w:color="auto" w:fill="B9CDE5"/>
            <w:vAlign w:val="center"/>
          </w:tcPr>
          <w:p w14:paraId="6D088AD2" w14:textId="77777777" w:rsidR="007E4FC6" w:rsidRPr="00A27896" w:rsidRDefault="007E4FC6" w:rsidP="007E4FC6">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Iepriekšējais pārskata periods</w:t>
            </w:r>
          </w:p>
        </w:tc>
        <w:tc>
          <w:tcPr>
            <w:tcW w:w="1701" w:type="dxa"/>
            <w:tcBorders>
              <w:bottom w:val="single" w:sz="4" w:space="0" w:color="17365D"/>
            </w:tcBorders>
            <w:shd w:val="clear" w:color="auto" w:fill="B9CDE5"/>
            <w:vAlign w:val="center"/>
          </w:tcPr>
          <w:p w14:paraId="7BC27A1E" w14:textId="77777777" w:rsidR="007E4FC6" w:rsidRPr="00A27896" w:rsidRDefault="007E4FC6" w:rsidP="007E4FC6">
            <w:pPr>
              <w:spacing w:after="0" w:line="240" w:lineRule="auto"/>
              <w:ind w:left="-107" w:right="-109"/>
              <w:jc w:val="center"/>
              <w:rPr>
                <w:rFonts w:cs="Times New Roman"/>
                <w:b/>
                <w:color w:val="17365D"/>
                <w:sz w:val="18"/>
                <w:szCs w:val="18"/>
                <w:lang w:eastAsia="lv-LV"/>
              </w:rPr>
            </w:pPr>
            <w:r w:rsidRPr="00A27896">
              <w:rPr>
                <w:rFonts w:cs="Times New Roman"/>
                <w:b/>
                <w:color w:val="17365D"/>
                <w:sz w:val="18"/>
                <w:szCs w:val="18"/>
                <w:lang w:eastAsia="lv-LV"/>
              </w:rPr>
              <w:t>Palielinājums (+), samazinājums (–)    (1. – 2.)</w:t>
            </w:r>
          </w:p>
        </w:tc>
        <w:tc>
          <w:tcPr>
            <w:tcW w:w="1309" w:type="dxa"/>
            <w:tcBorders>
              <w:bottom w:val="single" w:sz="4" w:space="0" w:color="17365D"/>
            </w:tcBorders>
            <w:shd w:val="clear" w:color="auto" w:fill="B9CDE5"/>
            <w:vAlign w:val="center"/>
          </w:tcPr>
          <w:p w14:paraId="6ED3DD63" w14:textId="77777777" w:rsidR="007E4FC6" w:rsidRPr="00A27896" w:rsidRDefault="007E4FC6" w:rsidP="007E4FC6">
            <w:pPr>
              <w:spacing w:after="0" w:line="240" w:lineRule="auto"/>
              <w:ind w:left="-107" w:right="-109"/>
              <w:jc w:val="center"/>
              <w:rPr>
                <w:rFonts w:cs="Times New Roman"/>
                <w:b/>
                <w:color w:val="17365D"/>
                <w:sz w:val="18"/>
                <w:szCs w:val="18"/>
                <w:lang w:eastAsia="lv-LV"/>
              </w:rPr>
            </w:pPr>
            <w:r w:rsidRPr="00A27896">
              <w:rPr>
                <w:rFonts w:cs="Times New Roman"/>
                <w:b/>
                <w:color w:val="17365D"/>
                <w:sz w:val="18"/>
                <w:szCs w:val="18"/>
                <w:lang w:eastAsia="lv-LV"/>
              </w:rPr>
              <w:t xml:space="preserve">Procentuālās izmaiņas </w:t>
            </w:r>
          </w:p>
          <w:p w14:paraId="50E10EFB" w14:textId="0B39E159" w:rsidR="007E4FC6" w:rsidRPr="00A27896" w:rsidRDefault="007E4FC6" w:rsidP="00B42452">
            <w:pPr>
              <w:spacing w:after="0" w:line="240" w:lineRule="auto"/>
              <w:ind w:left="-107" w:right="-109"/>
              <w:jc w:val="center"/>
              <w:rPr>
                <w:rFonts w:cs="Times New Roman"/>
                <w:b/>
                <w:color w:val="17365D"/>
                <w:sz w:val="18"/>
                <w:szCs w:val="18"/>
                <w:lang w:eastAsia="lv-LV"/>
              </w:rPr>
            </w:pPr>
            <w:r w:rsidRPr="00A27896">
              <w:rPr>
                <w:rFonts w:cs="Times New Roman"/>
                <w:b/>
                <w:color w:val="17365D"/>
                <w:sz w:val="18"/>
                <w:szCs w:val="18"/>
                <w:lang w:eastAsia="lv-LV"/>
              </w:rPr>
              <w:t xml:space="preserve">(3./2. </w:t>
            </w:r>
            <w:r w:rsidR="00B42452" w:rsidRPr="00A27896">
              <w:rPr>
                <w:rFonts w:cs="Times New Roman"/>
                <w:b/>
                <w:color w:val="17365D"/>
                <w:sz w:val="18"/>
                <w:szCs w:val="18"/>
                <w:lang w:eastAsia="lv-LV"/>
              </w:rPr>
              <w:t>*</w:t>
            </w:r>
            <w:r w:rsidRPr="00A27896">
              <w:rPr>
                <w:rFonts w:cs="Times New Roman"/>
                <w:b/>
                <w:color w:val="17365D"/>
                <w:sz w:val="18"/>
                <w:szCs w:val="18"/>
                <w:lang w:eastAsia="lv-LV"/>
              </w:rPr>
              <w:t xml:space="preserve"> 100)</w:t>
            </w:r>
          </w:p>
        </w:tc>
      </w:tr>
      <w:tr w:rsidR="007E4FC6" w:rsidRPr="00A27896" w14:paraId="058C6F10" w14:textId="77777777" w:rsidTr="007E4FC6">
        <w:trPr>
          <w:trHeight w:val="60"/>
          <w:tblHeader/>
        </w:trPr>
        <w:tc>
          <w:tcPr>
            <w:tcW w:w="2694" w:type="dxa"/>
            <w:tcBorders>
              <w:top w:val="single" w:sz="4" w:space="0" w:color="17365D"/>
              <w:bottom w:val="single" w:sz="4" w:space="0" w:color="17365D"/>
            </w:tcBorders>
            <w:shd w:val="clear" w:color="auto" w:fill="auto"/>
            <w:vAlign w:val="center"/>
          </w:tcPr>
          <w:p w14:paraId="17474C20" w14:textId="77777777" w:rsidR="007E4FC6" w:rsidRPr="00A27896" w:rsidRDefault="007E4FC6" w:rsidP="007E4FC6">
            <w:pPr>
              <w:spacing w:after="0" w:line="240" w:lineRule="auto"/>
              <w:jc w:val="center"/>
              <w:rPr>
                <w:rFonts w:cs="Times New Roman"/>
                <w:b/>
                <w:color w:val="17365D"/>
                <w:sz w:val="18"/>
                <w:szCs w:val="18"/>
              </w:rPr>
            </w:pPr>
            <w:r w:rsidRPr="00A27896">
              <w:rPr>
                <w:rFonts w:cs="Times New Roman"/>
                <w:b/>
                <w:color w:val="17365D"/>
                <w:sz w:val="18"/>
                <w:szCs w:val="18"/>
              </w:rPr>
              <w:t>A</w:t>
            </w:r>
          </w:p>
        </w:tc>
        <w:tc>
          <w:tcPr>
            <w:tcW w:w="992" w:type="dxa"/>
            <w:tcBorders>
              <w:top w:val="single" w:sz="4" w:space="0" w:color="17365D"/>
              <w:bottom w:val="single" w:sz="4" w:space="0" w:color="17365D"/>
            </w:tcBorders>
            <w:shd w:val="clear" w:color="auto" w:fill="auto"/>
            <w:vAlign w:val="center"/>
          </w:tcPr>
          <w:p w14:paraId="25402D89" w14:textId="77777777" w:rsidR="007E4FC6" w:rsidRPr="00A27896" w:rsidRDefault="007E4FC6" w:rsidP="007E4FC6">
            <w:pPr>
              <w:spacing w:after="0" w:line="240" w:lineRule="auto"/>
              <w:jc w:val="center"/>
              <w:rPr>
                <w:rFonts w:cs="Times New Roman"/>
                <w:b/>
                <w:color w:val="17365D"/>
                <w:sz w:val="18"/>
                <w:szCs w:val="18"/>
              </w:rPr>
            </w:pPr>
            <w:r w:rsidRPr="00A27896">
              <w:rPr>
                <w:rFonts w:cs="Times New Roman"/>
                <w:b/>
                <w:color w:val="17365D"/>
                <w:sz w:val="18"/>
                <w:szCs w:val="18"/>
              </w:rPr>
              <w:t>B</w:t>
            </w:r>
          </w:p>
        </w:tc>
        <w:tc>
          <w:tcPr>
            <w:tcW w:w="1418" w:type="dxa"/>
            <w:tcBorders>
              <w:top w:val="single" w:sz="4" w:space="0" w:color="17365D"/>
              <w:bottom w:val="single" w:sz="4" w:space="0" w:color="17365D"/>
            </w:tcBorders>
            <w:shd w:val="clear" w:color="auto" w:fill="auto"/>
            <w:vAlign w:val="center"/>
          </w:tcPr>
          <w:p w14:paraId="2A1FA64E" w14:textId="77777777" w:rsidR="007E4FC6" w:rsidRPr="00A27896" w:rsidRDefault="007E4FC6" w:rsidP="007E4FC6">
            <w:pPr>
              <w:spacing w:after="0" w:line="240" w:lineRule="auto"/>
              <w:jc w:val="center"/>
              <w:rPr>
                <w:rFonts w:cs="Times New Roman"/>
                <w:b/>
                <w:color w:val="17365D"/>
                <w:sz w:val="18"/>
                <w:szCs w:val="18"/>
              </w:rPr>
            </w:pPr>
            <w:r w:rsidRPr="00A27896">
              <w:rPr>
                <w:rFonts w:cs="Times New Roman"/>
                <w:b/>
                <w:color w:val="17365D"/>
                <w:sz w:val="18"/>
                <w:szCs w:val="18"/>
              </w:rPr>
              <w:t>1</w:t>
            </w:r>
          </w:p>
        </w:tc>
        <w:tc>
          <w:tcPr>
            <w:tcW w:w="1276" w:type="dxa"/>
            <w:tcBorders>
              <w:top w:val="single" w:sz="4" w:space="0" w:color="17365D"/>
              <w:bottom w:val="single" w:sz="4" w:space="0" w:color="17365D"/>
            </w:tcBorders>
            <w:shd w:val="clear" w:color="auto" w:fill="auto"/>
            <w:vAlign w:val="center"/>
          </w:tcPr>
          <w:p w14:paraId="1B3BC765" w14:textId="77777777" w:rsidR="007E4FC6" w:rsidRPr="00A27896" w:rsidRDefault="007E4FC6" w:rsidP="007E4FC6">
            <w:pPr>
              <w:spacing w:after="0" w:line="240" w:lineRule="auto"/>
              <w:jc w:val="center"/>
              <w:rPr>
                <w:rFonts w:cs="Times New Roman"/>
                <w:b/>
                <w:color w:val="17365D"/>
                <w:sz w:val="18"/>
                <w:szCs w:val="18"/>
              </w:rPr>
            </w:pPr>
            <w:r w:rsidRPr="00A27896">
              <w:rPr>
                <w:rFonts w:cs="Times New Roman"/>
                <w:b/>
                <w:color w:val="17365D"/>
                <w:sz w:val="18"/>
                <w:szCs w:val="18"/>
              </w:rPr>
              <w:t>2</w:t>
            </w:r>
          </w:p>
        </w:tc>
        <w:tc>
          <w:tcPr>
            <w:tcW w:w="1701" w:type="dxa"/>
            <w:tcBorders>
              <w:top w:val="single" w:sz="4" w:space="0" w:color="17365D"/>
              <w:bottom w:val="single" w:sz="4" w:space="0" w:color="17365D"/>
            </w:tcBorders>
            <w:shd w:val="clear" w:color="auto" w:fill="auto"/>
            <w:vAlign w:val="center"/>
          </w:tcPr>
          <w:p w14:paraId="5F5D24FD" w14:textId="77777777" w:rsidR="007E4FC6" w:rsidRPr="00A27896" w:rsidRDefault="007E4FC6" w:rsidP="007E4FC6">
            <w:pPr>
              <w:spacing w:after="0" w:line="240" w:lineRule="auto"/>
              <w:jc w:val="center"/>
              <w:rPr>
                <w:rFonts w:cs="Times New Roman"/>
                <w:b/>
                <w:color w:val="17365D"/>
                <w:sz w:val="18"/>
                <w:szCs w:val="18"/>
              </w:rPr>
            </w:pPr>
            <w:r w:rsidRPr="00A27896">
              <w:rPr>
                <w:rFonts w:cs="Times New Roman"/>
                <w:b/>
                <w:color w:val="17365D"/>
                <w:sz w:val="18"/>
                <w:szCs w:val="18"/>
              </w:rPr>
              <w:t>3</w:t>
            </w:r>
          </w:p>
        </w:tc>
        <w:tc>
          <w:tcPr>
            <w:tcW w:w="1309" w:type="dxa"/>
            <w:tcBorders>
              <w:top w:val="single" w:sz="4" w:space="0" w:color="17365D"/>
              <w:bottom w:val="single" w:sz="4" w:space="0" w:color="17365D"/>
            </w:tcBorders>
            <w:shd w:val="clear" w:color="auto" w:fill="auto"/>
            <w:vAlign w:val="center"/>
          </w:tcPr>
          <w:p w14:paraId="1360D9B3" w14:textId="77777777" w:rsidR="007E4FC6" w:rsidRPr="00A27896" w:rsidRDefault="007E4FC6" w:rsidP="007E4FC6">
            <w:pPr>
              <w:spacing w:after="0" w:line="240" w:lineRule="auto"/>
              <w:jc w:val="center"/>
              <w:rPr>
                <w:rFonts w:cs="Times New Roman"/>
                <w:b/>
                <w:color w:val="17365D"/>
                <w:sz w:val="18"/>
                <w:szCs w:val="18"/>
              </w:rPr>
            </w:pPr>
            <w:r w:rsidRPr="00A27896">
              <w:rPr>
                <w:rFonts w:cs="Times New Roman"/>
                <w:b/>
                <w:color w:val="17365D"/>
                <w:sz w:val="18"/>
                <w:szCs w:val="18"/>
              </w:rPr>
              <w:t>4</w:t>
            </w:r>
          </w:p>
        </w:tc>
      </w:tr>
      <w:tr w:rsidR="007E4FC6" w:rsidRPr="00A27896" w14:paraId="78FA4D6F" w14:textId="77777777" w:rsidTr="00100F62">
        <w:trPr>
          <w:trHeight w:val="319"/>
        </w:trPr>
        <w:tc>
          <w:tcPr>
            <w:tcW w:w="2694" w:type="dxa"/>
            <w:tcBorders>
              <w:top w:val="single" w:sz="4" w:space="0" w:color="17365D"/>
              <w:bottom w:val="single" w:sz="4" w:space="0" w:color="17365D"/>
            </w:tcBorders>
            <w:shd w:val="clear" w:color="auto" w:fill="auto"/>
            <w:vAlign w:val="center"/>
          </w:tcPr>
          <w:p w14:paraId="778D73C7" w14:textId="77777777" w:rsidR="007E4FC6" w:rsidRPr="00A27896" w:rsidRDefault="007E4FC6" w:rsidP="007E4FC6">
            <w:pPr>
              <w:spacing w:after="0" w:line="240" w:lineRule="auto"/>
              <w:rPr>
                <w:rFonts w:cs="Times New Roman"/>
                <w:b/>
                <w:color w:val="17365D"/>
                <w:sz w:val="18"/>
                <w:szCs w:val="18"/>
              </w:rPr>
            </w:pPr>
            <w:r w:rsidRPr="00A27896">
              <w:rPr>
                <w:rFonts w:cs="Times New Roman"/>
                <w:b/>
                <w:color w:val="17365D"/>
                <w:sz w:val="18"/>
                <w:szCs w:val="18"/>
              </w:rPr>
              <w:t xml:space="preserve">Ieņēmumi no finansēšanas darbības </w:t>
            </w:r>
          </w:p>
        </w:tc>
        <w:tc>
          <w:tcPr>
            <w:tcW w:w="992" w:type="dxa"/>
            <w:tcBorders>
              <w:top w:val="single" w:sz="4" w:space="0" w:color="17365D"/>
              <w:bottom w:val="single" w:sz="4" w:space="0" w:color="17365D"/>
            </w:tcBorders>
            <w:shd w:val="clear" w:color="auto" w:fill="auto"/>
            <w:vAlign w:val="center"/>
          </w:tcPr>
          <w:p w14:paraId="089F97A0" w14:textId="77777777" w:rsidR="007E4FC6" w:rsidRPr="00A27896" w:rsidRDefault="007E4FC6" w:rsidP="007E4FC6">
            <w:pPr>
              <w:spacing w:after="0" w:line="240" w:lineRule="auto"/>
              <w:jc w:val="center"/>
              <w:rPr>
                <w:rFonts w:cs="Times New Roman"/>
                <w:b/>
                <w:color w:val="17365D"/>
                <w:sz w:val="18"/>
                <w:szCs w:val="18"/>
              </w:rPr>
            </w:pPr>
          </w:p>
        </w:tc>
        <w:tc>
          <w:tcPr>
            <w:tcW w:w="1418" w:type="dxa"/>
            <w:tcBorders>
              <w:top w:val="single" w:sz="4" w:space="0" w:color="17365D"/>
              <w:bottom w:val="single" w:sz="4" w:space="0" w:color="17365D"/>
            </w:tcBorders>
            <w:shd w:val="clear" w:color="auto" w:fill="auto"/>
            <w:vAlign w:val="center"/>
          </w:tcPr>
          <w:p w14:paraId="6D889230" w14:textId="77777777" w:rsidR="007E4FC6" w:rsidRPr="00A27896" w:rsidRDefault="007E4FC6" w:rsidP="00100F62">
            <w:pPr>
              <w:spacing w:after="0" w:line="240" w:lineRule="auto"/>
              <w:jc w:val="right"/>
              <w:rPr>
                <w:rFonts w:cs="Times New Roman"/>
                <w:b/>
                <w:color w:val="17365D"/>
                <w:sz w:val="18"/>
                <w:szCs w:val="18"/>
              </w:rPr>
            </w:pPr>
            <w:r w:rsidRPr="00A27896">
              <w:rPr>
                <w:rFonts w:cs="Times New Roman"/>
                <w:b/>
                <w:color w:val="17365D"/>
                <w:sz w:val="18"/>
                <w:szCs w:val="18"/>
              </w:rPr>
              <w:t>2 225 401 972</w:t>
            </w:r>
          </w:p>
        </w:tc>
        <w:tc>
          <w:tcPr>
            <w:tcW w:w="1276" w:type="dxa"/>
            <w:tcBorders>
              <w:top w:val="single" w:sz="4" w:space="0" w:color="17365D"/>
              <w:bottom w:val="single" w:sz="4" w:space="0" w:color="17365D"/>
            </w:tcBorders>
            <w:shd w:val="clear" w:color="auto" w:fill="auto"/>
            <w:vAlign w:val="center"/>
          </w:tcPr>
          <w:p w14:paraId="2B5D3D11" w14:textId="77777777" w:rsidR="007E4FC6" w:rsidRPr="00A27896" w:rsidRDefault="007E4FC6" w:rsidP="00100F62">
            <w:pPr>
              <w:spacing w:after="0" w:line="240" w:lineRule="auto"/>
              <w:jc w:val="right"/>
              <w:rPr>
                <w:rFonts w:cs="Times New Roman"/>
                <w:b/>
                <w:color w:val="17365D"/>
                <w:sz w:val="18"/>
                <w:szCs w:val="18"/>
              </w:rPr>
            </w:pPr>
            <w:r w:rsidRPr="00A27896">
              <w:rPr>
                <w:rFonts w:cs="Times New Roman"/>
                <w:b/>
                <w:color w:val="17365D"/>
                <w:sz w:val="18"/>
                <w:szCs w:val="18"/>
              </w:rPr>
              <w:t>3 819 769 582</w:t>
            </w:r>
          </w:p>
        </w:tc>
        <w:tc>
          <w:tcPr>
            <w:tcW w:w="1701" w:type="dxa"/>
            <w:tcBorders>
              <w:top w:val="single" w:sz="4" w:space="0" w:color="17365D"/>
              <w:bottom w:val="single" w:sz="4" w:space="0" w:color="17365D"/>
            </w:tcBorders>
            <w:shd w:val="clear" w:color="auto" w:fill="auto"/>
            <w:vAlign w:val="center"/>
          </w:tcPr>
          <w:p w14:paraId="32FC71F2" w14:textId="77777777" w:rsidR="007E4FC6" w:rsidRPr="00A27896" w:rsidRDefault="007E4FC6" w:rsidP="00100F62">
            <w:pPr>
              <w:spacing w:after="0" w:line="240" w:lineRule="auto"/>
              <w:jc w:val="right"/>
              <w:rPr>
                <w:rFonts w:cs="Times New Roman"/>
                <w:b/>
                <w:color w:val="17365D"/>
                <w:sz w:val="18"/>
                <w:szCs w:val="18"/>
              </w:rPr>
            </w:pPr>
            <w:r w:rsidRPr="00A27896">
              <w:rPr>
                <w:rFonts w:cs="Times New Roman"/>
                <w:b/>
                <w:color w:val="17365D"/>
                <w:sz w:val="18"/>
                <w:szCs w:val="18"/>
              </w:rPr>
              <w:t>-1 594 367 610</w:t>
            </w:r>
          </w:p>
        </w:tc>
        <w:tc>
          <w:tcPr>
            <w:tcW w:w="1309" w:type="dxa"/>
            <w:tcBorders>
              <w:top w:val="single" w:sz="4" w:space="0" w:color="17365D"/>
              <w:bottom w:val="single" w:sz="4" w:space="0" w:color="17365D"/>
            </w:tcBorders>
            <w:shd w:val="clear" w:color="auto" w:fill="auto"/>
            <w:vAlign w:val="center"/>
          </w:tcPr>
          <w:p w14:paraId="19AC104E" w14:textId="77777777" w:rsidR="007E4FC6" w:rsidRPr="00A27896" w:rsidRDefault="007E4FC6" w:rsidP="00100F62">
            <w:pPr>
              <w:spacing w:after="0" w:line="240" w:lineRule="auto"/>
              <w:jc w:val="right"/>
              <w:rPr>
                <w:rFonts w:cs="Times New Roman"/>
                <w:b/>
                <w:color w:val="17365D"/>
                <w:sz w:val="18"/>
                <w:szCs w:val="18"/>
              </w:rPr>
            </w:pPr>
            <w:r w:rsidRPr="00A27896">
              <w:rPr>
                <w:rFonts w:cs="Times New Roman"/>
                <w:b/>
                <w:color w:val="17365D"/>
                <w:sz w:val="18"/>
                <w:szCs w:val="18"/>
              </w:rPr>
              <w:t>-41.74</w:t>
            </w:r>
          </w:p>
        </w:tc>
      </w:tr>
      <w:tr w:rsidR="007E4FC6" w:rsidRPr="00A27896" w14:paraId="7B64A12B" w14:textId="77777777" w:rsidTr="00100F62">
        <w:trPr>
          <w:trHeight w:val="319"/>
        </w:trPr>
        <w:tc>
          <w:tcPr>
            <w:tcW w:w="2694" w:type="dxa"/>
            <w:tcBorders>
              <w:top w:val="single" w:sz="4" w:space="0" w:color="17365D"/>
              <w:bottom w:val="single" w:sz="4" w:space="0" w:color="17365D"/>
            </w:tcBorders>
            <w:shd w:val="clear" w:color="auto" w:fill="auto"/>
            <w:vAlign w:val="center"/>
          </w:tcPr>
          <w:p w14:paraId="35799802" w14:textId="77777777" w:rsidR="007E4FC6" w:rsidRPr="00A27896" w:rsidRDefault="007E4FC6" w:rsidP="007E4FC6">
            <w:pPr>
              <w:spacing w:after="0" w:line="240" w:lineRule="auto"/>
              <w:rPr>
                <w:rFonts w:cs="Times New Roman"/>
                <w:color w:val="17365D"/>
                <w:sz w:val="18"/>
                <w:szCs w:val="18"/>
              </w:rPr>
            </w:pPr>
            <w:r w:rsidRPr="00A27896">
              <w:rPr>
                <w:rFonts w:cs="Times New Roman"/>
                <w:color w:val="17365D"/>
                <w:sz w:val="18"/>
                <w:szCs w:val="18"/>
              </w:rPr>
              <w:t>Aizņēmumi un emitētie parāda vērtspapīri</w:t>
            </w:r>
          </w:p>
        </w:tc>
        <w:tc>
          <w:tcPr>
            <w:tcW w:w="992" w:type="dxa"/>
            <w:tcBorders>
              <w:top w:val="single" w:sz="4" w:space="0" w:color="17365D"/>
              <w:bottom w:val="single" w:sz="4" w:space="0" w:color="17365D"/>
            </w:tcBorders>
            <w:shd w:val="clear" w:color="auto" w:fill="auto"/>
            <w:vAlign w:val="center"/>
          </w:tcPr>
          <w:p w14:paraId="14C941CC" w14:textId="77777777" w:rsidR="007E4FC6" w:rsidRPr="00A27896" w:rsidRDefault="007E4FC6" w:rsidP="007E4FC6">
            <w:pPr>
              <w:spacing w:after="0" w:line="240" w:lineRule="auto"/>
              <w:jc w:val="center"/>
              <w:rPr>
                <w:rFonts w:cs="Times New Roman"/>
                <w:color w:val="17365D"/>
                <w:sz w:val="18"/>
                <w:szCs w:val="18"/>
              </w:rPr>
            </w:pPr>
            <w:r w:rsidRPr="00A27896">
              <w:rPr>
                <w:rFonts w:cs="Times New Roman"/>
                <w:color w:val="17365D"/>
                <w:sz w:val="18"/>
                <w:szCs w:val="18"/>
              </w:rPr>
              <w:t>NP.C11.</w:t>
            </w:r>
          </w:p>
        </w:tc>
        <w:tc>
          <w:tcPr>
            <w:tcW w:w="1418" w:type="dxa"/>
            <w:tcBorders>
              <w:top w:val="single" w:sz="4" w:space="0" w:color="17365D"/>
              <w:bottom w:val="single" w:sz="4" w:space="0" w:color="17365D"/>
            </w:tcBorders>
            <w:shd w:val="clear" w:color="auto" w:fill="auto"/>
            <w:vAlign w:val="center"/>
          </w:tcPr>
          <w:p w14:paraId="07EDE403"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2 197 335 282</w:t>
            </w:r>
          </w:p>
        </w:tc>
        <w:tc>
          <w:tcPr>
            <w:tcW w:w="1276" w:type="dxa"/>
            <w:tcBorders>
              <w:top w:val="single" w:sz="4" w:space="0" w:color="17365D"/>
              <w:bottom w:val="single" w:sz="4" w:space="0" w:color="17365D"/>
            </w:tcBorders>
            <w:shd w:val="clear" w:color="auto" w:fill="auto"/>
            <w:vAlign w:val="center"/>
          </w:tcPr>
          <w:p w14:paraId="4C5103B5"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3 786 578 060</w:t>
            </w:r>
          </w:p>
        </w:tc>
        <w:tc>
          <w:tcPr>
            <w:tcW w:w="1701" w:type="dxa"/>
            <w:tcBorders>
              <w:top w:val="single" w:sz="4" w:space="0" w:color="17365D"/>
              <w:bottom w:val="single" w:sz="4" w:space="0" w:color="17365D"/>
            </w:tcBorders>
            <w:shd w:val="clear" w:color="auto" w:fill="auto"/>
            <w:vAlign w:val="center"/>
          </w:tcPr>
          <w:p w14:paraId="5B080E92"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-1 589 242 778</w:t>
            </w:r>
          </w:p>
        </w:tc>
        <w:tc>
          <w:tcPr>
            <w:tcW w:w="1309" w:type="dxa"/>
            <w:tcBorders>
              <w:top w:val="single" w:sz="4" w:space="0" w:color="17365D"/>
              <w:bottom w:val="single" w:sz="4" w:space="0" w:color="17365D"/>
            </w:tcBorders>
            <w:shd w:val="clear" w:color="auto" w:fill="auto"/>
            <w:vAlign w:val="center"/>
          </w:tcPr>
          <w:p w14:paraId="5F23CC61"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-41.97</w:t>
            </w:r>
          </w:p>
        </w:tc>
      </w:tr>
      <w:tr w:rsidR="007E4FC6" w:rsidRPr="00A27896" w14:paraId="6BA860F6" w14:textId="77777777" w:rsidTr="00100F62">
        <w:trPr>
          <w:trHeight w:val="278"/>
        </w:trPr>
        <w:tc>
          <w:tcPr>
            <w:tcW w:w="2694" w:type="dxa"/>
            <w:tcBorders>
              <w:top w:val="single" w:sz="4" w:space="0" w:color="17365D"/>
              <w:bottom w:val="single" w:sz="4" w:space="0" w:color="17365D"/>
            </w:tcBorders>
            <w:shd w:val="clear" w:color="auto" w:fill="auto"/>
            <w:vAlign w:val="center"/>
          </w:tcPr>
          <w:p w14:paraId="5E87D918" w14:textId="77777777" w:rsidR="007E4FC6" w:rsidRPr="00A27896" w:rsidRDefault="007E4FC6" w:rsidP="007E4FC6">
            <w:pPr>
              <w:spacing w:after="0" w:line="240" w:lineRule="auto"/>
              <w:rPr>
                <w:rFonts w:cs="Times New Roman"/>
                <w:color w:val="17365D"/>
                <w:sz w:val="18"/>
                <w:szCs w:val="18"/>
              </w:rPr>
            </w:pPr>
            <w:r w:rsidRPr="00A27896">
              <w:rPr>
                <w:rFonts w:cs="Times New Roman"/>
                <w:color w:val="17365D"/>
                <w:sz w:val="18"/>
                <w:szCs w:val="18"/>
              </w:rPr>
              <w:t>Procentu ieņēmumi</w:t>
            </w:r>
          </w:p>
        </w:tc>
        <w:tc>
          <w:tcPr>
            <w:tcW w:w="992" w:type="dxa"/>
            <w:tcBorders>
              <w:top w:val="single" w:sz="4" w:space="0" w:color="17365D"/>
              <w:bottom w:val="single" w:sz="4" w:space="0" w:color="17365D"/>
            </w:tcBorders>
            <w:shd w:val="clear" w:color="auto" w:fill="auto"/>
            <w:vAlign w:val="center"/>
          </w:tcPr>
          <w:p w14:paraId="1CA04BE8" w14:textId="77777777" w:rsidR="007E4FC6" w:rsidRPr="00A27896" w:rsidRDefault="007E4FC6" w:rsidP="007E4FC6">
            <w:pPr>
              <w:spacing w:after="0" w:line="240" w:lineRule="auto"/>
              <w:jc w:val="center"/>
              <w:rPr>
                <w:rFonts w:cs="Times New Roman"/>
                <w:color w:val="17365D"/>
                <w:sz w:val="18"/>
                <w:szCs w:val="18"/>
              </w:rPr>
            </w:pPr>
          </w:p>
        </w:tc>
        <w:tc>
          <w:tcPr>
            <w:tcW w:w="1418" w:type="dxa"/>
            <w:tcBorders>
              <w:top w:val="single" w:sz="4" w:space="0" w:color="17365D"/>
              <w:bottom w:val="single" w:sz="4" w:space="0" w:color="17365D"/>
            </w:tcBorders>
            <w:shd w:val="clear" w:color="auto" w:fill="auto"/>
            <w:vAlign w:val="center"/>
          </w:tcPr>
          <w:p w14:paraId="4C8CC31F"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28 066 690</w:t>
            </w:r>
          </w:p>
        </w:tc>
        <w:tc>
          <w:tcPr>
            <w:tcW w:w="1276" w:type="dxa"/>
            <w:tcBorders>
              <w:top w:val="single" w:sz="4" w:space="0" w:color="17365D"/>
              <w:bottom w:val="single" w:sz="4" w:space="0" w:color="17365D"/>
            </w:tcBorders>
            <w:shd w:val="clear" w:color="auto" w:fill="auto"/>
            <w:vAlign w:val="center"/>
          </w:tcPr>
          <w:p w14:paraId="4F264CCF"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32 173 538</w:t>
            </w:r>
          </w:p>
        </w:tc>
        <w:tc>
          <w:tcPr>
            <w:tcW w:w="1701" w:type="dxa"/>
            <w:tcBorders>
              <w:top w:val="single" w:sz="4" w:space="0" w:color="17365D"/>
              <w:bottom w:val="single" w:sz="4" w:space="0" w:color="17365D"/>
            </w:tcBorders>
            <w:shd w:val="clear" w:color="auto" w:fill="auto"/>
            <w:vAlign w:val="center"/>
          </w:tcPr>
          <w:p w14:paraId="0B5D8528"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-4 106 848</w:t>
            </w:r>
          </w:p>
        </w:tc>
        <w:tc>
          <w:tcPr>
            <w:tcW w:w="1309" w:type="dxa"/>
            <w:tcBorders>
              <w:top w:val="single" w:sz="4" w:space="0" w:color="17365D"/>
              <w:bottom w:val="single" w:sz="4" w:space="0" w:color="17365D"/>
            </w:tcBorders>
            <w:shd w:val="clear" w:color="auto" w:fill="auto"/>
            <w:vAlign w:val="center"/>
          </w:tcPr>
          <w:p w14:paraId="1DCA0ED9"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-12.76</w:t>
            </w:r>
          </w:p>
        </w:tc>
      </w:tr>
      <w:tr w:rsidR="007E4FC6" w:rsidRPr="00A27896" w14:paraId="380E6FA5" w14:textId="77777777" w:rsidTr="00100F62">
        <w:trPr>
          <w:trHeight w:val="319"/>
        </w:trPr>
        <w:tc>
          <w:tcPr>
            <w:tcW w:w="2694" w:type="dxa"/>
            <w:tcBorders>
              <w:top w:val="single" w:sz="4" w:space="0" w:color="17365D"/>
              <w:bottom w:val="single" w:sz="4" w:space="0" w:color="17365D"/>
            </w:tcBorders>
            <w:shd w:val="clear" w:color="auto" w:fill="auto"/>
            <w:vAlign w:val="center"/>
          </w:tcPr>
          <w:p w14:paraId="359CBE2B" w14:textId="77777777" w:rsidR="007E4FC6" w:rsidRPr="00A27896" w:rsidRDefault="007E4FC6" w:rsidP="007E4FC6">
            <w:pPr>
              <w:spacing w:after="0" w:line="240" w:lineRule="auto"/>
              <w:rPr>
                <w:rFonts w:cs="Times New Roman"/>
                <w:color w:val="17365D"/>
                <w:sz w:val="18"/>
                <w:szCs w:val="18"/>
              </w:rPr>
            </w:pPr>
            <w:r w:rsidRPr="00A27896">
              <w:rPr>
                <w:rFonts w:cs="Times New Roman"/>
                <w:color w:val="17365D"/>
                <w:sz w:val="18"/>
                <w:szCs w:val="18"/>
              </w:rPr>
              <w:t>Citi ieņēmumi no finansēšanas darbības</w:t>
            </w:r>
          </w:p>
        </w:tc>
        <w:tc>
          <w:tcPr>
            <w:tcW w:w="992" w:type="dxa"/>
            <w:tcBorders>
              <w:top w:val="single" w:sz="4" w:space="0" w:color="17365D"/>
              <w:bottom w:val="single" w:sz="4" w:space="0" w:color="17365D"/>
            </w:tcBorders>
            <w:shd w:val="clear" w:color="auto" w:fill="auto"/>
            <w:vAlign w:val="center"/>
          </w:tcPr>
          <w:p w14:paraId="59385AC0" w14:textId="77777777" w:rsidR="007E4FC6" w:rsidRPr="00A27896" w:rsidRDefault="007E4FC6" w:rsidP="007E4FC6">
            <w:pPr>
              <w:spacing w:after="0" w:line="240" w:lineRule="auto"/>
              <w:jc w:val="center"/>
              <w:rPr>
                <w:rFonts w:cs="Times New Roman"/>
                <w:color w:val="17365D"/>
                <w:sz w:val="18"/>
                <w:szCs w:val="18"/>
              </w:rPr>
            </w:pPr>
          </w:p>
        </w:tc>
        <w:tc>
          <w:tcPr>
            <w:tcW w:w="1418" w:type="dxa"/>
            <w:tcBorders>
              <w:top w:val="single" w:sz="4" w:space="0" w:color="17365D"/>
              <w:bottom w:val="single" w:sz="4" w:space="0" w:color="17365D"/>
            </w:tcBorders>
            <w:shd w:val="clear" w:color="auto" w:fill="auto"/>
            <w:vAlign w:val="center"/>
          </w:tcPr>
          <w:p w14:paraId="61FE5D80"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0</w:t>
            </w:r>
          </w:p>
        </w:tc>
        <w:tc>
          <w:tcPr>
            <w:tcW w:w="1276" w:type="dxa"/>
            <w:tcBorders>
              <w:top w:val="single" w:sz="4" w:space="0" w:color="17365D"/>
              <w:bottom w:val="single" w:sz="4" w:space="0" w:color="17365D"/>
            </w:tcBorders>
            <w:shd w:val="clear" w:color="auto" w:fill="auto"/>
            <w:vAlign w:val="center"/>
          </w:tcPr>
          <w:p w14:paraId="7655EAF6"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1 017 984</w:t>
            </w:r>
          </w:p>
        </w:tc>
        <w:tc>
          <w:tcPr>
            <w:tcW w:w="1701" w:type="dxa"/>
            <w:tcBorders>
              <w:top w:val="single" w:sz="4" w:space="0" w:color="17365D"/>
              <w:bottom w:val="single" w:sz="4" w:space="0" w:color="17365D"/>
            </w:tcBorders>
            <w:shd w:val="clear" w:color="auto" w:fill="auto"/>
            <w:vAlign w:val="center"/>
          </w:tcPr>
          <w:p w14:paraId="5923DC0C"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-1 017 984</w:t>
            </w:r>
          </w:p>
        </w:tc>
        <w:tc>
          <w:tcPr>
            <w:tcW w:w="1309" w:type="dxa"/>
            <w:tcBorders>
              <w:top w:val="single" w:sz="4" w:space="0" w:color="17365D"/>
              <w:bottom w:val="single" w:sz="4" w:space="0" w:color="17365D"/>
            </w:tcBorders>
            <w:shd w:val="clear" w:color="auto" w:fill="auto"/>
            <w:vAlign w:val="center"/>
          </w:tcPr>
          <w:p w14:paraId="4FBD9BCA"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-100.00</w:t>
            </w:r>
          </w:p>
        </w:tc>
      </w:tr>
      <w:tr w:rsidR="007E4FC6" w:rsidRPr="00A27896" w14:paraId="135C5847" w14:textId="77777777" w:rsidTr="00100F62">
        <w:trPr>
          <w:trHeight w:val="319"/>
        </w:trPr>
        <w:tc>
          <w:tcPr>
            <w:tcW w:w="2694" w:type="dxa"/>
            <w:tcBorders>
              <w:top w:val="single" w:sz="4" w:space="0" w:color="17365D"/>
              <w:bottom w:val="single" w:sz="4" w:space="0" w:color="17365D"/>
            </w:tcBorders>
            <w:shd w:val="clear" w:color="auto" w:fill="auto"/>
            <w:vAlign w:val="center"/>
          </w:tcPr>
          <w:p w14:paraId="1CDDEFED" w14:textId="77777777" w:rsidR="007E4FC6" w:rsidRPr="00A27896" w:rsidRDefault="007E4FC6" w:rsidP="007E4FC6">
            <w:pPr>
              <w:spacing w:after="0" w:line="240" w:lineRule="auto"/>
              <w:rPr>
                <w:rFonts w:cs="Times New Roman"/>
                <w:color w:val="17365D"/>
                <w:sz w:val="18"/>
                <w:szCs w:val="18"/>
              </w:rPr>
            </w:pPr>
            <w:r w:rsidRPr="00A27896">
              <w:rPr>
                <w:rFonts w:cs="Times New Roman"/>
                <w:b/>
                <w:color w:val="17365D"/>
                <w:sz w:val="18"/>
                <w:szCs w:val="18"/>
              </w:rPr>
              <w:t>Izdevumi no finansēšanas darbības</w:t>
            </w:r>
          </w:p>
        </w:tc>
        <w:tc>
          <w:tcPr>
            <w:tcW w:w="992" w:type="dxa"/>
            <w:tcBorders>
              <w:top w:val="single" w:sz="4" w:space="0" w:color="17365D"/>
              <w:bottom w:val="single" w:sz="4" w:space="0" w:color="17365D"/>
            </w:tcBorders>
            <w:shd w:val="clear" w:color="auto" w:fill="auto"/>
            <w:vAlign w:val="center"/>
          </w:tcPr>
          <w:p w14:paraId="094A088E" w14:textId="77777777" w:rsidR="007E4FC6" w:rsidRPr="00A27896" w:rsidRDefault="007E4FC6" w:rsidP="007E4FC6">
            <w:pPr>
              <w:spacing w:after="0" w:line="240" w:lineRule="auto"/>
              <w:jc w:val="center"/>
              <w:rPr>
                <w:rFonts w:cs="Times New Roman"/>
                <w:color w:val="17365D"/>
                <w:sz w:val="18"/>
                <w:szCs w:val="18"/>
              </w:rPr>
            </w:pPr>
          </w:p>
        </w:tc>
        <w:tc>
          <w:tcPr>
            <w:tcW w:w="1418" w:type="dxa"/>
            <w:tcBorders>
              <w:top w:val="single" w:sz="4" w:space="0" w:color="17365D"/>
              <w:bottom w:val="single" w:sz="4" w:space="0" w:color="17365D"/>
            </w:tcBorders>
            <w:shd w:val="clear" w:color="auto" w:fill="auto"/>
            <w:vAlign w:val="center"/>
          </w:tcPr>
          <w:p w14:paraId="7836DE90" w14:textId="77777777" w:rsidR="007E4FC6" w:rsidRPr="00A27896" w:rsidRDefault="007E4FC6" w:rsidP="00100F62">
            <w:pPr>
              <w:spacing w:after="0" w:line="240" w:lineRule="auto"/>
              <w:jc w:val="right"/>
              <w:rPr>
                <w:rFonts w:cs="Times New Roman"/>
                <w:b/>
                <w:color w:val="17365D"/>
                <w:sz w:val="18"/>
                <w:szCs w:val="18"/>
              </w:rPr>
            </w:pPr>
            <w:r w:rsidRPr="00A27896">
              <w:rPr>
                <w:rFonts w:cs="Times New Roman"/>
                <w:b/>
                <w:color w:val="17365D"/>
                <w:sz w:val="18"/>
                <w:szCs w:val="18"/>
              </w:rPr>
              <w:t>940 782 321</w:t>
            </w:r>
          </w:p>
        </w:tc>
        <w:tc>
          <w:tcPr>
            <w:tcW w:w="1276" w:type="dxa"/>
            <w:tcBorders>
              <w:top w:val="single" w:sz="4" w:space="0" w:color="17365D"/>
              <w:bottom w:val="single" w:sz="4" w:space="0" w:color="17365D"/>
            </w:tcBorders>
            <w:shd w:val="clear" w:color="auto" w:fill="auto"/>
            <w:vAlign w:val="center"/>
          </w:tcPr>
          <w:p w14:paraId="6C05363E" w14:textId="77777777" w:rsidR="007E4FC6" w:rsidRPr="00A27896" w:rsidRDefault="007E4FC6" w:rsidP="00100F62">
            <w:pPr>
              <w:spacing w:after="0" w:line="240" w:lineRule="auto"/>
              <w:jc w:val="right"/>
              <w:rPr>
                <w:rFonts w:cs="Times New Roman"/>
                <w:b/>
                <w:color w:val="17365D"/>
                <w:sz w:val="18"/>
                <w:szCs w:val="18"/>
              </w:rPr>
            </w:pPr>
            <w:r w:rsidRPr="00A27896">
              <w:rPr>
                <w:rFonts w:cs="Times New Roman"/>
                <w:b/>
                <w:color w:val="17365D"/>
                <w:sz w:val="18"/>
                <w:szCs w:val="18"/>
              </w:rPr>
              <w:t>1830 670 386</w:t>
            </w:r>
          </w:p>
        </w:tc>
        <w:tc>
          <w:tcPr>
            <w:tcW w:w="1701" w:type="dxa"/>
            <w:tcBorders>
              <w:top w:val="single" w:sz="4" w:space="0" w:color="17365D"/>
              <w:bottom w:val="single" w:sz="4" w:space="0" w:color="17365D"/>
            </w:tcBorders>
            <w:shd w:val="clear" w:color="auto" w:fill="auto"/>
            <w:vAlign w:val="center"/>
          </w:tcPr>
          <w:p w14:paraId="1EFED326" w14:textId="77777777" w:rsidR="007E4FC6" w:rsidRPr="00A27896" w:rsidRDefault="007E4FC6" w:rsidP="00100F62">
            <w:pPr>
              <w:spacing w:after="0" w:line="240" w:lineRule="auto"/>
              <w:jc w:val="right"/>
              <w:rPr>
                <w:rFonts w:cs="Times New Roman"/>
                <w:b/>
                <w:color w:val="17365D"/>
                <w:sz w:val="18"/>
                <w:szCs w:val="18"/>
              </w:rPr>
            </w:pPr>
            <w:r w:rsidRPr="00A27896">
              <w:rPr>
                <w:rFonts w:cs="Times New Roman"/>
                <w:b/>
                <w:color w:val="17365D"/>
                <w:sz w:val="18"/>
                <w:szCs w:val="18"/>
              </w:rPr>
              <w:t>-889 888 065</w:t>
            </w:r>
          </w:p>
        </w:tc>
        <w:tc>
          <w:tcPr>
            <w:tcW w:w="1309" w:type="dxa"/>
            <w:tcBorders>
              <w:top w:val="single" w:sz="4" w:space="0" w:color="17365D"/>
              <w:bottom w:val="single" w:sz="4" w:space="0" w:color="17365D"/>
            </w:tcBorders>
            <w:shd w:val="clear" w:color="auto" w:fill="auto"/>
            <w:vAlign w:val="center"/>
          </w:tcPr>
          <w:p w14:paraId="30F71E90" w14:textId="77777777" w:rsidR="007E4FC6" w:rsidRPr="00A27896" w:rsidRDefault="007E4FC6" w:rsidP="00100F62">
            <w:pPr>
              <w:spacing w:after="0" w:line="240" w:lineRule="auto"/>
              <w:jc w:val="right"/>
              <w:rPr>
                <w:rFonts w:cs="Times New Roman"/>
                <w:b/>
                <w:color w:val="17365D"/>
                <w:sz w:val="18"/>
                <w:szCs w:val="18"/>
              </w:rPr>
            </w:pPr>
            <w:r w:rsidRPr="00A27896">
              <w:rPr>
                <w:rFonts w:cs="Times New Roman"/>
                <w:b/>
                <w:color w:val="17365D"/>
                <w:sz w:val="18"/>
                <w:szCs w:val="18"/>
              </w:rPr>
              <w:t>-48.61</w:t>
            </w:r>
          </w:p>
        </w:tc>
      </w:tr>
      <w:tr w:rsidR="007E4FC6" w:rsidRPr="00A27896" w14:paraId="64A59494" w14:textId="77777777" w:rsidTr="00100F62">
        <w:trPr>
          <w:trHeight w:val="319"/>
        </w:trPr>
        <w:tc>
          <w:tcPr>
            <w:tcW w:w="2694" w:type="dxa"/>
            <w:tcBorders>
              <w:top w:val="single" w:sz="4" w:space="0" w:color="17365D"/>
              <w:bottom w:val="single" w:sz="4" w:space="0" w:color="17365D"/>
            </w:tcBorders>
            <w:shd w:val="clear" w:color="auto" w:fill="auto"/>
            <w:vAlign w:val="center"/>
          </w:tcPr>
          <w:p w14:paraId="58B346BA" w14:textId="77777777" w:rsidR="007E4FC6" w:rsidRPr="00A27896" w:rsidRDefault="007E4FC6" w:rsidP="007E4FC6">
            <w:pPr>
              <w:spacing w:after="0" w:line="240" w:lineRule="auto"/>
              <w:rPr>
                <w:rFonts w:cs="Times New Roman"/>
                <w:color w:val="17365D"/>
                <w:sz w:val="18"/>
                <w:szCs w:val="18"/>
              </w:rPr>
            </w:pPr>
            <w:r w:rsidRPr="00A27896">
              <w:rPr>
                <w:rFonts w:cs="Times New Roman"/>
                <w:color w:val="17365D"/>
                <w:sz w:val="18"/>
                <w:szCs w:val="18"/>
              </w:rPr>
              <w:t>Aizņēmumi un emitētie parāda vērtspapīri</w:t>
            </w:r>
          </w:p>
        </w:tc>
        <w:tc>
          <w:tcPr>
            <w:tcW w:w="992" w:type="dxa"/>
            <w:tcBorders>
              <w:top w:val="single" w:sz="4" w:space="0" w:color="17365D"/>
              <w:bottom w:val="single" w:sz="4" w:space="0" w:color="17365D"/>
            </w:tcBorders>
            <w:shd w:val="clear" w:color="auto" w:fill="auto"/>
            <w:vAlign w:val="center"/>
          </w:tcPr>
          <w:p w14:paraId="70AD2A7B" w14:textId="77777777" w:rsidR="007E4FC6" w:rsidRPr="00A27896" w:rsidRDefault="007E4FC6" w:rsidP="007E4FC6">
            <w:pPr>
              <w:spacing w:after="0" w:line="240" w:lineRule="auto"/>
              <w:jc w:val="center"/>
              <w:rPr>
                <w:rFonts w:cs="Times New Roman"/>
                <w:color w:val="17365D"/>
                <w:sz w:val="18"/>
                <w:szCs w:val="18"/>
              </w:rPr>
            </w:pPr>
            <w:r w:rsidRPr="00A27896">
              <w:rPr>
                <w:rFonts w:cs="Times New Roman"/>
                <w:color w:val="17365D"/>
                <w:sz w:val="18"/>
                <w:szCs w:val="18"/>
              </w:rPr>
              <w:t>NP.C21.</w:t>
            </w:r>
          </w:p>
        </w:tc>
        <w:tc>
          <w:tcPr>
            <w:tcW w:w="1418" w:type="dxa"/>
            <w:tcBorders>
              <w:top w:val="single" w:sz="4" w:space="0" w:color="17365D"/>
              <w:bottom w:val="single" w:sz="4" w:space="0" w:color="17365D"/>
            </w:tcBorders>
            <w:shd w:val="clear" w:color="auto" w:fill="auto"/>
            <w:vAlign w:val="center"/>
          </w:tcPr>
          <w:p w14:paraId="3E439384"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752 013 512</w:t>
            </w:r>
          </w:p>
        </w:tc>
        <w:tc>
          <w:tcPr>
            <w:tcW w:w="1276" w:type="dxa"/>
            <w:tcBorders>
              <w:top w:val="single" w:sz="4" w:space="0" w:color="17365D"/>
              <w:bottom w:val="single" w:sz="4" w:space="0" w:color="17365D"/>
            </w:tcBorders>
            <w:shd w:val="clear" w:color="auto" w:fill="auto"/>
            <w:vAlign w:val="center"/>
          </w:tcPr>
          <w:p w14:paraId="417EF8E8"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1 582 783 090</w:t>
            </w:r>
          </w:p>
        </w:tc>
        <w:tc>
          <w:tcPr>
            <w:tcW w:w="1701" w:type="dxa"/>
            <w:tcBorders>
              <w:top w:val="single" w:sz="4" w:space="0" w:color="17365D"/>
              <w:bottom w:val="single" w:sz="4" w:space="0" w:color="17365D"/>
            </w:tcBorders>
            <w:shd w:val="clear" w:color="auto" w:fill="auto"/>
            <w:vAlign w:val="center"/>
          </w:tcPr>
          <w:p w14:paraId="3F1FC0D6"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-830 769 578</w:t>
            </w:r>
          </w:p>
        </w:tc>
        <w:tc>
          <w:tcPr>
            <w:tcW w:w="1309" w:type="dxa"/>
            <w:tcBorders>
              <w:top w:val="single" w:sz="4" w:space="0" w:color="17365D"/>
              <w:bottom w:val="single" w:sz="4" w:space="0" w:color="17365D"/>
            </w:tcBorders>
            <w:shd w:val="clear" w:color="auto" w:fill="auto"/>
            <w:vAlign w:val="center"/>
          </w:tcPr>
          <w:p w14:paraId="4035A271"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-52.49</w:t>
            </w:r>
          </w:p>
        </w:tc>
      </w:tr>
      <w:tr w:rsidR="007E4FC6" w:rsidRPr="00A27896" w14:paraId="2E18E1CC" w14:textId="77777777" w:rsidTr="00100F62">
        <w:trPr>
          <w:trHeight w:val="319"/>
        </w:trPr>
        <w:tc>
          <w:tcPr>
            <w:tcW w:w="2694" w:type="dxa"/>
            <w:tcBorders>
              <w:top w:val="single" w:sz="4" w:space="0" w:color="17365D"/>
              <w:bottom w:val="single" w:sz="4" w:space="0" w:color="17365D"/>
            </w:tcBorders>
            <w:shd w:val="clear" w:color="auto" w:fill="auto"/>
            <w:vAlign w:val="center"/>
          </w:tcPr>
          <w:p w14:paraId="3F41CF34" w14:textId="77777777" w:rsidR="007E4FC6" w:rsidRPr="00A27896" w:rsidRDefault="007E4FC6" w:rsidP="007E4FC6">
            <w:pPr>
              <w:spacing w:after="0" w:line="240" w:lineRule="auto"/>
              <w:rPr>
                <w:rFonts w:cs="Times New Roman"/>
                <w:color w:val="17365D"/>
                <w:sz w:val="18"/>
                <w:szCs w:val="18"/>
              </w:rPr>
            </w:pPr>
            <w:r w:rsidRPr="00A27896">
              <w:rPr>
                <w:rFonts w:cs="Times New Roman"/>
                <w:color w:val="17365D"/>
                <w:sz w:val="18"/>
                <w:szCs w:val="18"/>
              </w:rPr>
              <w:t>Procentu izdevumi</w:t>
            </w:r>
          </w:p>
        </w:tc>
        <w:tc>
          <w:tcPr>
            <w:tcW w:w="992" w:type="dxa"/>
            <w:tcBorders>
              <w:top w:val="single" w:sz="4" w:space="0" w:color="17365D"/>
              <w:bottom w:val="single" w:sz="4" w:space="0" w:color="17365D"/>
            </w:tcBorders>
            <w:shd w:val="clear" w:color="auto" w:fill="auto"/>
            <w:vAlign w:val="center"/>
          </w:tcPr>
          <w:p w14:paraId="5AB6C4C6" w14:textId="77777777" w:rsidR="007E4FC6" w:rsidRPr="00A27896" w:rsidRDefault="007E4FC6" w:rsidP="007E4FC6">
            <w:pPr>
              <w:spacing w:after="0" w:line="240" w:lineRule="auto"/>
              <w:jc w:val="center"/>
              <w:rPr>
                <w:rFonts w:cs="Times New Roman"/>
                <w:color w:val="17365D"/>
                <w:sz w:val="18"/>
                <w:szCs w:val="18"/>
              </w:rPr>
            </w:pPr>
          </w:p>
        </w:tc>
        <w:tc>
          <w:tcPr>
            <w:tcW w:w="1418" w:type="dxa"/>
            <w:tcBorders>
              <w:top w:val="single" w:sz="4" w:space="0" w:color="17365D"/>
              <w:bottom w:val="single" w:sz="4" w:space="0" w:color="17365D"/>
            </w:tcBorders>
            <w:shd w:val="clear" w:color="auto" w:fill="auto"/>
            <w:vAlign w:val="center"/>
          </w:tcPr>
          <w:p w14:paraId="30A7B353"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188 768 809</w:t>
            </w:r>
          </w:p>
        </w:tc>
        <w:tc>
          <w:tcPr>
            <w:tcW w:w="1276" w:type="dxa"/>
            <w:tcBorders>
              <w:top w:val="single" w:sz="4" w:space="0" w:color="17365D"/>
              <w:bottom w:val="single" w:sz="4" w:space="0" w:color="17365D"/>
            </w:tcBorders>
            <w:shd w:val="clear" w:color="auto" w:fill="auto"/>
            <w:vAlign w:val="center"/>
          </w:tcPr>
          <w:p w14:paraId="2C97575D"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247 887 296</w:t>
            </w:r>
          </w:p>
        </w:tc>
        <w:tc>
          <w:tcPr>
            <w:tcW w:w="1701" w:type="dxa"/>
            <w:tcBorders>
              <w:top w:val="single" w:sz="4" w:space="0" w:color="17365D"/>
              <w:bottom w:val="single" w:sz="4" w:space="0" w:color="17365D"/>
            </w:tcBorders>
            <w:shd w:val="clear" w:color="auto" w:fill="auto"/>
            <w:vAlign w:val="center"/>
          </w:tcPr>
          <w:p w14:paraId="44FF46F4"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-59 118 487</w:t>
            </w:r>
          </w:p>
        </w:tc>
        <w:tc>
          <w:tcPr>
            <w:tcW w:w="1309" w:type="dxa"/>
            <w:tcBorders>
              <w:top w:val="single" w:sz="4" w:space="0" w:color="17365D"/>
              <w:bottom w:val="single" w:sz="4" w:space="0" w:color="17365D"/>
            </w:tcBorders>
            <w:shd w:val="clear" w:color="auto" w:fill="auto"/>
            <w:vAlign w:val="center"/>
          </w:tcPr>
          <w:p w14:paraId="1051D303" w14:textId="77777777" w:rsidR="007E4FC6" w:rsidRPr="00A27896" w:rsidRDefault="007E4FC6" w:rsidP="00100F62">
            <w:pPr>
              <w:spacing w:after="0" w:line="240" w:lineRule="auto"/>
              <w:jc w:val="right"/>
              <w:rPr>
                <w:rFonts w:cs="Times New Roman"/>
                <w:color w:val="17365D"/>
                <w:sz w:val="18"/>
                <w:szCs w:val="18"/>
              </w:rPr>
            </w:pPr>
            <w:r w:rsidRPr="00A27896">
              <w:rPr>
                <w:rFonts w:cs="Times New Roman"/>
                <w:color w:val="17365D"/>
                <w:sz w:val="18"/>
                <w:szCs w:val="18"/>
              </w:rPr>
              <w:t>-23.85</w:t>
            </w:r>
          </w:p>
        </w:tc>
      </w:tr>
      <w:tr w:rsidR="007E4FC6" w:rsidRPr="00A27896" w14:paraId="75712A89" w14:textId="77777777" w:rsidTr="007E4FC6">
        <w:trPr>
          <w:trHeight w:val="227"/>
        </w:trPr>
        <w:tc>
          <w:tcPr>
            <w:tcW w:w="2694" w:type="dxa"/>
            <w:tcBorders>
              <w:top w:val="single" w:sz="4" w:space="0" w:color="17365D"/>
            </w:tcBorders>
            <w:shd w:val="clear" w:color="auto" w:fill="B9CDE5"/>
            <w:vAlign w:val="center"/>
          </w:tcPr>
          <w:p w14:paraId="0B9B226F" w14:textId="77777777" w:rsidR="007E4FC6" w:rsidRPr="00A27896" w:rsidRDefault="007E4FC6" w:rsidP="007E4FC6">
            <w:pPr>
              <w:spacing w:after="0" w:line="240" w:lineRule="auto"/>
              <w:rPr>
                <w:rFonts w:cs="Times New Roman"/>
                <w:color w:val="17365D"/>
                <w:sz w:val="18"/>
                <w:szCs w:val="18"/>
              </w:rPr>
            </w:pPr>
          </w:p>
        </w:tc>
        <w:tc>
          <w:tcPr>
            <w:tcW w:w="992" w:type="dxa"/>
            <w:tcBorders>
              <w:top w:val="single" w:sz="4" w:space="0" w:color="17365D"/>
            </w:tcBorders>
            <w:shd w:val="clear" w:color="auto" w:fill="B9CDE5"/>
            <w:vAlign w:val="center"/>
          </w:tcPr>
          <w:p w14:paraId="5984AF33" w14:textId="77777777" w:rsidR="007E4FC6" w:rsidRPr="00A27896" w:rsidRDefault="007E4FC6" w:rsidP="007E4FC6">
            <w:pPr>
              <w:spacing w:after="0" w:line="240" w:lineRule="auto"/>
              <w:jc w:val="center"/>
              <w:rPr>
                <w:rFonts w:cs="Times New Roman"/>
                <w:color w:val="17365D"/>
                <w:sz w:val="18"/>
                <w:szCs w:val="18"/>
              </w:rPr>
            </w:pPr>
          </w:p>
        </w:tc>
        <w:tc>
          <w:tcPr>
            <w:tcW w:w="1418" w:type="dxa"/>
            <w:tcBorders>
              <w:top w:val="single" w:sz="4" w:space="0" w:color="17365D"/>
            </w:tcBorders>
            <w:shd w:val="clear" w:color="auto" w:fill="B9CDE5"/>
            <w:vAlign w:val="center"/>
          </w:tcPr>
          <w:p w14:paraId="52421E2E" w14:textId="77777777" w:rsidR="007E4FC6" w:rsidRPr="00A27896" w:rsidRDefault="007E4FC6" w:rsidP="007E4FC6">
            <w:pPr>
              <w:spacing w:after="0" w:line="240" w:lineRule="auto"/>
              <w:jc w:val="right"/>
              <w:rPr>
                <w:rFonts w:cs="Times New Roman"/>
                <w:color w:val="17365D"/>
                <w:sz w:val="18"/>
                <w:szCs w:val="18"/>
              </w:rPr>
            </w:pPr>
          </w:p>
        </w:tc>
        <w:tc>
          <w:tcPr>
            <w:tcW w:w="1276" w:type="dxa"/>
            <w:tcBorders>
              <w:top w:val="single" w:sz="4" w:space="0" w:color="17365D"/>
            </w:tcBorders>
            <w:shd w:val="clear" w:color="auto" w:fill="B9CDE5"/>
            <w:vAlign w:val="center"/>
          </w:tcPr>
          <w:p w14:paraId="4D8C9EB4" w14:textId="77777777" w:rsidR="007E4FC6" w:rsidRPr="00A27896" w:rsidRDefault="007E4FC6" w:rsidP="007E4FC6">
            <w:pPr>
              <w:spacing w:after="0" w:line="240" w:lineRule="auto"/>
              <w:jc w:val="right"/>
              <w:rPr>
                <w:rFonts w:cs="Times New Roman"/>
                <w:color w:val="17365D"/>
                <w:sz w:val="18"/>
                <w:szCs w:val="18"/>
              </w:rPr>
            </w:pPr>
          </w:p>
        </w:tc>
        <w:tc>
          <w:tcPr>
            <w:tcW w:w="1701" w:type="dxa"/>
            <w:tcBorders>
              <w:top w:val="single" w:sz="4" w:space="0" w:color="17365D"/>
            </w:tcBorders>
            <w:shd w:val="clear" w:color="auto" w:fill="B9CDE5"/>
            <w:vAlign w:val="center"/>
          </w:tcPr>
          <w:p w14:paraId="26B150FC" w14:textId="77777777" w:rsidR="007E4FC6" w:rsidRPr="00A27896" w:rsidRDefault="007E4FC6" w:rsidP="007E4FC6">
            <w:pPr>
              <w:spacing w:after="0" w:line="240" w:lineRule="auto"/>
              <w:jc w:val="right"/>
              <w:rPr>
                <w:rFonts w:cs="Times New Roman"/>
                <w:color w:val="17365D"/>
                <w:sz w:val="18"/>
                <w:szCs w:val="18"/>
              </w:rPr>
            </w:pPr>
          </w:p>
        </w:tc>
        <w:tc>
          <w:tcPr>
            <w:tcW w:w="1309" w:type="dxa"/>
            <w:tcBorders>
              <w:top w:val="single" w:sz="4" w:space="0" w:color="17365D"/>
            </w:tcBorders>
            <w:shd w:val="clear" w:color="auto" w:fill="B9CDE5"/>
            <w:vAlign w:val="center"/>
          </w:tcPr>
          <w:p w14:paraId="7B7C951B" w14:textId="77777777" w:rsidR="007E4FC6" w:rsidRPr="00A27896" w:rsidRDefault="007E4FC6" w:rsidP="007E4FC6">
            <w:pPr>
              <w:spacing w:after="0" w:line="240" w:lineRule="auto"/>
              <w:jc w:val="right"/>
              <w:rPr>
                <w:rFonts w:cs="Times New Roman"/>
                <w:color w:val="17365D"/>
                <w:sz w:val="18"/>
                <w:szCs w:val="18"/>
              </w:rPr>
            </w:pPr>
          </w:p>
        </w:tc>
      </w:tr>
    </w:tbl>
    <w:p w14:paraId="4D3931A6" w14:textId="77777777" w:rsidR="00387B53" w:rsidRPr="00A27896" w:rsidRDefault="00387B53" w:rsidP="001651EB">
      <w:pPr>
        <w:pStyle w:val="Pamatteksts"/>
        <w:spacing w:before="240"/>
        <w:ind w:firstLine="284"/>
        <w:rPr>
          <w:color w:val="17365D"/>
        </w:rPr>
      </w:pPr>
      <w:r w:rsidRPr="00A27896">
        <w:rPr>
          <w:color w:val="17365D"/>
        </w:rPr>
        <w:t xml:space="preserve">Konsolidēto naudas plūsmas </w:t>
      </w:r>
      <w:r w:rsidRPr="00A27896">
        <w:rPr>
          <w:color w:val="17365D"/>
          <w:u w:val="single"/>
        </w:rPr>
        <w:t>ieņēmumu no finansēšanas darbības</w:t>
      </w:r>
      <w:r w:rsidRPr="00A27896">
        <w:rPr>
          <w:color w:val="17365D"/>
        </w:rPr>
        <w:t xml:space="preserve"> izmaiņas galvenokārt veido:</w:t>
      </w:r>
    </w:p>
    <w:p w14:paraId="0DE1E1CA" w14:textId="5FA97D8E" w:rsidR="00100F62" w:rsidRPr="00A27896" w:rsidRDefault="00100F62" w:rsidP="006527E7">
      <w:pPr>
        <w:spacing w:before="120" w:after="120" w:line="240" w:lineRule="auto"/>
        <w:ind w:left="1134" w:hanging="850"/>
        <w:rPr>
          <w:rFonts w:eastAsia="Times New Roman" w:cs="Times New Roman"/>
          <w:bCs/>
          <w:noProof/>
          <w:color w:val="17365D"/>
          <w:szCs w:val="24"/>
          <w:lang w:eastAsia="lv-LV"/>
        </w:rPr>
      </w:pPr>
      <w:r w:rsidRPr="00A27896">
        <w:rPr>
          <w:rFonts w:eastAsia="Times New Roman" w:cs="Times New Roman"/>
          <w:bCs/>
          <w:noProof/>
          <w:color w:val="17365D"/>
          <w:szCs w:val="24"/>
          <w:lang w:eastAsia="lv-LV"/>
        </w:rPr>
        <w:t>NP.C11.</w:t>
      </w:r>
      <w:r w:rsidRPr="00A27896">
        <w:rPr>
          <w:rFonts w:eastAsia="Times New Roman" w:cs="Times New Roman"/>
          <w:bCs/>
          <w:noProof/>
          <w:color w:val="17365D"/>
          <w:szCs w:val="24"/>
          <w:lang w:eastAsia="lv-LV"/>
        </w:rPr>
        <w:tab/>
        <w:t>Aizņēmumi un emitētie parāda vērtspapīri:</w:t>
      </w:r>
    </w:p>
    <w:p w14:paraId="2D9FB350" w14:textId="03CC32F3" w:rsidR="00100F62" w:rsidRPr="00A27896" w:rsidRDefault="002E7DDC" w:rsidP="0057470D">
      <w:pPr>
        <w:numPr>
          <w:ilvl w:val="0"/>
          <w:numId w:val="32"/>
        </w:numPr>
        <w:spacing w:before="120" w:after="120" w:line="240" w:lineRule="auto"/>
        <w:ind w:left="851"/>
        <w:jc w:val="both"/>
        <w:rPr>
          <w:rFonts w:eastAsia="Times New Roman" w:cs="Times New Roman"/>
          <w:bCs/>
          <w:noProof/>
          <w:color w:val="17365D"/>
          <w:szCs w:val="24"/>
          <w:lang w:eastAsia="lv-LV"/>
        </w:rPr>
      </w:pPr>
      <w:r w:rsidRPr="00A27896">
        <w:rPr>
          <w:rFonts w:eastAsia="Times New Roman" w:cs="Times New Roman"/>
          <w:bCs/>
          <w:noProof/>
          <w:color w:val="17365D"/>
          <w:szCs w:val="24"/>
          <w:lang w:eastAsia="lv-LV"/>
        </w:rPr>
        <w:t>v</w:t>
      </w:r>
      <w:r w:rsidR="00100F62" w:rsidRPr="00A27896">
        <w:rPr>
          <w:rFonts w:eastAsia="Times New Roman" w:cs="Times New Roman"/>
          <w:bCs/>
          <w:noProof/>
          <w:color w:val="17365D"/>
          <w:szCs w:val="24"/>
          <w:lang w:eastAsia="lv-LV"/>
        </w:rPr>
        <w:t xml:space="preserve">alsts budžeta finanšu uzskaitē aizņēmumu un emitēto parāda vērtspapīru naudas plūsmas ieņēmumu samazinājumu galvenokārt veido valsts parāda vērtspapīru emisiju </w:t>
      </w:r>
      <w:r w:rsidR="00E848A2" w:rsidRPr="00A27896">
        <w:rPr>
          <w:rFonts w:eastAsia="Times New Roman" w:cs="Times New Roman"/>
          <w:bCs/>
          <w:noProof/>
          <w:color w:val="17365D"/>
          <w:szCs w:val="24"/>
          <w:lang w:eastAsia="lv-LV"/>
        </w:rPr>
        <w:t xml:space="preserve">summas </w:t>
      </w:r>
      <w:r w:rsidR="00100F62" w:rsidRPr="00A27896">
        <w:rPr>
          <w:rFonts w:eastAsia="Times New Roman" w:cs="Times New Roman"/>
          <w:bCs/>
          <w:noProof/>
          <w:color w:val="17365D"/>
          <w:szCs w:val="24"/>
          <w:lang w:eastAsia="lv-LV"/>
        </w:rPr>
        <w:t xml:space="preserve">samazinājums (1 135 606 155) </w:t>
      </w:r>
      <w:r w:rsidR="00100F62" w:rsidRPr="00A27896">
        <w:rPr>
          <w:rFonts w:eastAsia="Times New Roman" w:cs="Times New Roman"/>
          <w:bCs/>
          <w:i/>
          <w:noProof/>
          <w:color w:val="17365D"/>
          <w:szCs w:val="24"/>
          <w:lang w:eastAsia="lv-LV"/>
        </w:rPr>
        <w:t>euro</w:t>
      </w:r>
      <w:r w:rsidR="00100F62" w:rsidRPr="00A27896">
        <w:rPr>
          <w:rFonts w:eastAsia="Times New Roman" w:cs="Times New Roman"/>
          <w:bCs/>
          <w:noProof/>
          <w:color w:val="17365D"/>
          <w:szCs w:val="24"/>
          <w:lang w:eastAsia="lv-LV"/>
        </w:rPr>
        <w:t xml:space="preserve"> vērtībā un saņemto ilgtermiņa un vidēja termiņa aizņēmumu </w:t>
      </w:r>
      <w:r w:rsidR="00E848A2" w:rsidRPr="00A27896">
        <w:rPr>
          <w:rFonts w:eastAsia="Times New Roman" w:cs="Times New Roman"/>
          <w:bCs/>
          <w:noProof/>
          <w:color w:val="17365D"/>
          <w:szCs w:val="24"/>
          <w:lang w:eastAsia="lv-LV"/>
        </w:rPr>
        <w:t xml:space="preserve">summas </w:t>
      </w:r>
      <w:r w:rsidR="00100F62" w:rsidRPr="00A27896">
        <w:rPr>
          <w:rFonts w:eastAsia="Times New Roman" w:cs="Times New Roman"/>
          <w:bCs/>
          <w:noProof/>
          <w:color w:val="17365D"/>
          <w:szCs w:val="24"/>
          <w:lang w:eastAsia="lv-LV"/>
        </w:rPr>
        <w:t xml:space="preserve">samazinājums (468 961 252) </w:t>
      </w:r>
      <w:r w:rsidR="00100F62" w:rsidRPr="00A27896">
        <w:rPr>
          <w:rFonts w:eastAsia="Times New Roman" w:cs="Times New Roman"/>
          <w:bCs/>
          <w:i/>
          <w:noProof/>
          <w:color w:val="17365D"/>
          <w:szCs w:val="24"/>
          <w:lang w:eastAsia="lv-LV"/>
        </w:rPr>
        <w:t>euro</w:t>
      </w:r>
      <w:r w:rsidR="00100F62" w:rsidRPr="00A27896">
        <w:rPr>
          <w:rFonts w:eastAsia="Times New Roman" w:cs="Times New Roman"/>
          <w:bCs/>
          <w:noProof/>
          <w:color w:val="17365D"/>
          <w:szCs w:val="24"/>
          <w:lang w:eastAsia="lv-LV"/>
        </w:rPr>
        <w:t xml:space="preserve"> vērtībā;</w:t>
      </w:r>
    </w:p>
    <w:p w14:paraId="62AECEFD" w14:textId="6DE5045F" w:rsidR="00100F62" w:rsidRPr="00A27896" w:rsidRDefault="00100F62" w:rsidP="0057470D">
      <w:pPr>
        <w:numPr>
          <w:ilvl w:val="0"/>
          <w:numId w:val="32"/>
        </w:numPr>
        <w:spacing w:before="120" w:after="120" w:line="240" w:lineRule="auto"/>
        <w:ind w:left="851"/>
        <w:jc w:val="both"/>
        <w:rPr>
          <w:rFonts w:eastAsia="Times New Roman" w:cs="Times New Roman"/>
          <w:bCs/>
          <w:noProof/>
          <w:color w:val="17365D"/>
          <w:szCs w:val="24"/>
          <w:lang w:eastAsia="lv-LV"/>
        </w:rPr>
      </w:pPr>
      <w:r w:rsidRPr="00A27896">
        <w:rPr>
          <w:rFonts w:eastAsia="Times New Roman" w:cs="Times New Roman"/>
          <w:bCs/>
          <w:noProof/>
          <w:color w:val="17365D"/>
          <w:szCs w:val="24"/>
          <w:lang w:eastAsia="lv-LV"/>
        </w:rPr>
        <w:t xml:space="preserve">palielinājums Izglītības un zinātnes ministrijai 11 000 000 </w:t>
      </w:r>
      <w:r w:rsidRPr="00A27896">
        <w:rPr>
          <w:rFonts w:eastAsia="Times New Roman" w:cs="Times New Roman"/>
          <w:bCs/>
          <w:i/>
          <w:noProof/>
          <w:color w:val="17365D"/>
          <w:szCs w:val="24"/>
          <w:lang w:eastAsia="lv-LV"/>
        </w:rPr>
        <w:t>euro</w:t>
      </w:r>
      <w:r w:rsidRPr="00A27896">
        <w:rPr>
          <w:rFonts w:eastAsia="Times New Roman" w:cs="Times New Roman"/>
          <w:bCs/>
          <w:noProof/>
          <w:color w:val="17365D"/>
          <w:szCs w:val="24"/>
          <w:lang w:eastAsia="lv-LV"/>
        </w:rPr>
        <w:t xml:space="preserve"> vērtībā par aizņēmumiem LU akadēmiskā centra Rakstu mājas būvniecībai.</w:t>
      </w:r>
    </w:p>
    <w:p w14:paraId="6747B253" w14:textId="77777777" w:rsidR="00100F62" w:rsidRPr="00A27896" w:rsidRDefault="00100F62" w:rsidP="00100F62">
      <w:pPr>
        <w:spacing w:before="120" w:after="120" w:line="240" w:lineRule="auto"/>
        <w:ind w:firstLine="284"/>
        <w:rPr>
          <w:rFonts w:eastAsia="Times New Roman" w:cs="Times New Roman"/>
          <w:bCs/>
          <w:noProof/>
          <w:color w:val="17365D"/>
          <w:szCs w:val="24"/>
          <w:lang w:eastAsia="lv-LV"/>
        </w:rPr>
      </w:pPr>
      <w:r w:rsidRPr="00A27896">
        <w:rPr>
          <w:rFonts w:eastAsia="Times New Roman" w:cs="Times New Roman"/>
          <w:bCs/>
          <w:noProof/>
          <w:color w:val="17365D"/>
          <w:szCs w:val="24"/>
          <w:lang w:eastAsia="lv-LV"/>
        </w:rPr>
        <w:t xml:space="preserve">Konsolidēto naudas plūsmas </w:t>
      </w:r>
      <w:r w:rsidRPr="00A27896">
        <w:rPr>
          <w:rFonts w:eastAsia="Times New Roman" w:cs="Times New Roman"/>
          <w:bCs/>
          <w:noProof/>
          <w:color w:val="17365D"/>
          <w:szCs w:val="24"/>
          <w:u w:val="single"/>
          <w:lang w:eastAsia="lv-LV"/>
        </w:rPr>
        <w:t>izdevumu no finansēšanas darbības</w:t>
      </w:r>
      <w:r w:rsidRPr="00A27896">
        <w:rPr>
          <w:rFonts w:eastAsia="Times New Roman" w:cs="Times New Roman"/>
          <w:bCs/>
          <w:noProof/>
          <w:color w:val="17365D"/>
          <w:szCs w:val="24"/>
          <w:lang w:eastAsia="lv-LV"/>
        </w:rPr>
        <w:t xml:space="preserve"> izmaiņas galvenokārt veido:</w:t>
      </w:r>
    </w:p>
    <w:p w14:paraId="44910201" w14:textId="0D6CEDEF" w:rsidR="00100F62" w:rsidRPr="00A27896" w:rsidRDefault="00100F62" w:rsidP="00100F62">
      <w:pPr>
        <w:spacing w:before="120" w:after="120" w:line="240" w:lineRule="auto"/>
        <w:ind w:firstLine="284"/>
        <w:rPr>
          <w:rFonts w:eastAsia="Times New Roman" w:cs="Times New Roman"/>
          <w:bCs/>
          <w:noProof/>
          <w:color w:val="17365D"/>
          <w:szCs w:val="24"/>
          <w:lang w:eastAsia="lv-LV"/>
        </w:rPr>
      </w:pPr>
      <w:r w:rsidRPr="00A27896">
        <w:rPr>
          <w:rFonts w:eastAsia="Times New Roman" w:cs="Times New Roman"/>
          <w:bCs/>
          <w:noProof/>
          <w:color w:val="17365D"/>
          <w:szCs w:val="24"/>
          <w:lang w:eastAsia="lv-LV"/>
        </w:rPr>
        <w:t>NP.C21. Aizņēmumi un emitētie parāda vērtspapīri</w:t>
      </w:r>
      <w:r w:rsidR="002E7DDC" w:rsidRPr="00A27896">
        <w:rPr>
          <w:rFonts w:eastAsia="Times New Roman" w:cs="Times New Roman"/>
          <w:bCs/>
          <w:noProof/>
          <w:color w:val="17365D"/>
          <w:szCs w:val="24"/>
          <w:lang w:eastAsia="lv-LV"/>
        </w:rPr>
        <w:t>:</w:t>
      </w:r>
    </w:p>
    <w:p w14:paraId="0A06B0C4" w14:textId="4F1D9E36" w:rsidR="00100F62" w:rsidRPr="00A27896" w:rsidRDefault="002E7DDC" w:rsidP="0057470D">
      <w:pPr>
        <w:numPr>
          <w:ilvl w:val="0"/>
          <w:numId w:val="32"/>
        </w:numPr>
        <w:spacing w:before="120" w:after="120" w:line="240" w:lineRule="auto"/>
        <w:ind w:left="851"/>
        <w:jc w:val="both"/>
        <w:rPr>
          <w:rFonts w:eastAsia="Times New Roman" w:cs="Times New Roman"/>
          <w:b/>
          <w:bCs/>
          <w:noProof/>
          <w:color w:val="17365D"/>
          <w:szCs w:val="24"/>
          <w:lang w:eastAsia="lv-LV"/>
        </w:rPr>
      </w:pPr>
      <w:r w:rsidRPr="00A27896">
        <w:rPr>
          <w:rFonts w:eastAsia="Times New Roman" w:cs="Times New Roman"/>
          <w:bCs/>
          <w:noProof/>
          <w:color w:val="17365D"/>
          <w:szCs w:val="24"/>
          <w:lang w:eastAsia="lv-LV"/>
        </w:rPr>
        <w:t xml:space="preserve">valsts budžeta finanšu uzskaitē </w:t>
      </w:r>
      <w:r w:rsidR="00100F62" w:rsidRPr="00A27896">
        <w:rPr>
          <w:rFonts w:eastAsia="Times New Roman" w:cs="Times New Roman"/>
          <w:bCs/>
          <w:noProof/>
          <w:color w:val="17365D"/>
          <w:szCs w:val="24"/>
          <w:lang w:eastAsia="lv-LV"/>
        </w:rPr>
        <w:t xml:space="preserve">naudas plūsmas no aizņēmumiem un emitētajiem parāda vērtspapīriem būtiskāko samazinājumu veido vidējā un ilgtermiņa parāda vērtspapīru dzēšanas </w:t>
      </w:r>
      <w:r w:rsidR="00E848A2" w:rsidRPr="00A27896">
        <w:rPr>
          <w:rFonts w:eastAsia="Times New Roman" w:cs="Times New Roman"/>
          <w:bCs/>
          <w:noProof/>
          <w:color w:val="17365D"/>
          <w:szCs w:val="24"/>
          <w:lang w:eastAsia="lv-LV"/>
        </w:rPr>
        <w:t xml:space="preserve">apjoma </w:t>
      </w:r>
      <w:r w:rsidRPr="00A27896">
        <w:rPr>
          <w:rFonts w:eastAsia="Times New Roman" w:cs="Times New Roman"/>
          <w:bCs/>
          <w:noProof/>
          <w:color w:val="17365D"/>
          <w:szCs w:val="24"/>
          <w:lang w:eastAsia="lv-LV"/>
        </w:rPr>
        <w:t>samazinājums (</w:t>
      </w:r>
      <w:r w:rsidR="00100F62" w:rsidRPr="00A27896">
        <w:rPr>
          <w:rFonts w:eastAsia="Times New Roman" w:cs="Times New Roman"/>
          <w:bCs/>
          <w:noProof/>
          <w:color w:val="17365D"/>
          <w:szCs w:val="24"/>
          <w:lang w:eastAsia="lv-LV"/>
        </w:rPr>
        <w:t>780</w:t>
      </w:r>
      <w:r w:rsidRPr="00A27896">
        <w:rPr>
          <w:rFonts w:eastAsia="Times New Roman" w:cs="Times New Roman"/>
          <w:bCs/>
          <w:noProof/>
          <w:color w:val="17365D"/>
          <w:szCs w:val="24"/>
          <w:lang w:eastAsia="lv-LV"/>
        </w:rPr>
        <w:t> </w:t>
      </w:r>
      <w:r w:rsidR="00100F62" w:rsidRPr="00A27896">
        <w:rPr>
          <w:rFonts w:eastAsia="Times New Roman" w:cs="Times New Roman"/>
          <w:bCs/>
          <w:noProof/>
          <w:color w:val="17365D"/>
          <w:szCs w:val="24"/>
          <w:lang w:eastAsia="lv-LV"/>
        </w:rPr>
        <w:t>842</w:t>
      </w:r>
      <w:r w:rsidRPr="00A27896">
        <w:rPr>
          <w:rFonts w:eastAsia="Times New Roman" w:cs="Times New Roman"/>
          <w:bCs/>
          <w:noProof/>
          <w:color w:val="17365D"/>
          <w:szCs w:val="24"/>
          <w:lang w:eastAsia="lv-LV"/>
        </w:rPr>
        <w:t> </w:t>
      </w:r>
      <w:r w:rsidR="00100F62" w:rsidRPr="00A27896">
        <w:rPr>
          <w:rFonts w:eastAsia="Times New Roman" w:cs="Times New Roman"/>
          <w:bCs/>
          <w:noProof/>
          <w:color w:val="17365D"/>
          <w:szCs w:val="24"/>
          <w:lang w:eastAsia="lv-LV"/>
        </w:rPr>
        <w:t>249</w:t>
      </w:r>
      <w:r w:rsidRPr="00A27896">
        <w:rPr>
          <w:rFonts w:eastAsia="Times New Roman" w:cs="Times New Roman"/>
          <w:bCs/>
          <w:noProof/>
          <w:color w:val="17365D"/>
          <w:szCs w:val="24"/>
          <w:lang w:eastAsia="lv-LV"/>
        </w:rPr>
        <w:t>)</w:t>
      </w:r>
      <w:r w:rsidR="00100F62" w:rsidRPr="00A27896">
        <w:rPr>
          <w:rFonts w:eastAsia="Times New Roman" w:cs="Times New Roman"/>
          <w:bCs/>
          <w:noProof/>
          <w:color w:val="17365D"/>
          <w:szCs w:val="24"/>
          <w:lang w:eastAsia="lv-LV"/>
        </w:rPr>
        <w:t xml:space="preserve"> </w:t>
      </w:r>
      <w:r w:rsidR="00100F62" w:rsidRPr="00A27896">
        <w:rPr>
          <w:rFonts w:eastAsia="Times New Roman" w:cs="Times New Roman"/>
          <w:bCs/>
          <w:i/>
          <w:noProof/>
          <w:color w:val="17365D"/>
          <w:szCs w:val="24"/>
          <w:lang w:eastAsia="lv-LV"/>
        </w:rPr>
        <w:t>euro</w:t>
      </w:r>
      <w:r w:rsidR="00100F62" w:rsidRPr="00A27896">
        <w:rPr>
          <w:rFonts w:eastAsia="Times New Roman" w:cs="Times New Roman"/>
          <w:bCs/>
          <w:noProof/>
          <w:color w:val="17365D"/>
          <w:szCs w:val="24"/>
          <w:lang w:eastAsia="lv-LV"/>
        </w:rPr>
        <w:t xml:space="preserve"> vērtībā.</w:t>
      </w:r>
    </w:p>
    <w:p w14:paraId="3DB7FEDC" w14:textId="1761C6E9" w:rsidR="00100F62" w:rsidRPr="00A27896" w:rsidRDefault="00100F62" w:rsidP="002E7DDC">
      <w:pPr>
        <w:spacing w:before="120" w:after="120" w:line="240" w:lineRule="auto"/>
        <w:ind w:firstLine="284"/>
        <w:jc w:val="both"/>
        <w:rPr>
          <w:rFonts w:eastAsia="Times New Roman" w:cs="Times New Roman"/>
          <w:bCs/>
          <w:noProof/>
          <w:color w:val="17365D"/>
          <w:szCs w:val="24"/>
          <w:lang w:eastAsia="lv-LV"/>
        </w:rPr>
      </w:pPr>
      <w:r w:rsidRPr="00A27896">
        <w:rPr>
          <w:rFonts w:eastAsia="Times New Roman" w:cs="Times New Roman"/>
          <w:bCs/>
          <w:noProof/>
          <w:color w:val="17365D"/>
          <w:szCs w:val="24"/>
          <w:lang w:eastAsia="lv-LV"/>
        </w:rPr>
        <w:t>Informācija par ministriju un centrālo valsts iestāžu budžetu naudas plūsmas ieņēmumiem un izdevumiem atklāta saimnieciskā gada pārskata 3.1.1. -</w:t>
      </w:r>
      <w:r w:rsidR="002E7DDC" w:rsidRPr="00A27896">
        <w:rPr>
          <w:rFonts w:eastAsia="Times New Roman" w:cs="Times New Roman"/>
          <w:bCs/>
          <w:noProof/>
          <w:color w:val="17365D"/>
          <w:szCs w:val="24"/>
          <w:lang w:eastAsia="lv-LV"/>
        </w:rPr>
        <w:t xml:space="preserve"> </w:t>
      </w:r>
      <w:r w:rsidRPr="00A27896">
        <w:rPr>
          <w:rFonts w:eastAsia="Times New Roman" w:cs="Times New Roman"/>
          <w:bCs/>
          <w:noProof/>
          <w:color w:val="17365D"/>
          <w:szCs w:val="24"/>
          <w:lang w:eastAsia="lv-LV"/>
        </w:rPr>
        <w:t xml:space="preserve">3.1.14. pielikumā. </w:t>
      </w:r>
    </w:p>
    <w:p w14:paraId="56B9057A" w14:textId="77777777" w:rsidR="00100F62" w:rsidRPr="00A27896" w:rsidRDefault="00100F62" w:rsidP="002E7DDC">
      <w:pPr>
        <w:spacing w:before="120" w:after="120" w:line="240" w:lineRule="auto"/>
        <w:ind w:firstLine="284"/>
        <w:jc w:val="both"/>
        <w:rPr>
          <w:rFonts w:eastAsia="Times New Roman" w:cs="Times New Roman"/>
          <w:bCs/>
          <w:noProof/>
          <w:color w:val="17365D"/>
          <w:szCs w:val="24"/>
          <w:lang w:eastAsia="lv-LV"/>
        </w:rPr>
      </w:pPr>
      <w:r w:rsidRPr="00A27896">
        <w:rPr>
          <w:rFonts w:eastAsia="Times New Roman" w:cs="Times New Roman"/>
          <w:bCs/>
          <w:noProof/>
          <w:color w:val="17365D"/>
          <w:szCs w:val="24"/>
          <w:lang w:eastAsia="lv-LV"/>
        </w:rPr>
        <w:t>Informācija par pašvaldību budžetu naudas plūsmas ieņēmumiem un izdevumiem atklāta saimnieciskā gada pārskata 3.2.1. - 3.2.3. pielikumā.</w:t>
      </w:r>
    </w:p>
    <w:p w14:paraId="29976293" w14:textId="22B37783" w:rsidR="00387B53" w:rsidRPr="00A27896" w:rsidRDefault="00387B53" w:rsidP="006D4DD8">
      <w:pPr>
        <w:spacing w:before="120" w:after="120" w:line="240" w:lineRule="auto"/>
        <w:ind w:firstLine="284"/>
        <w:jc w:val="both"/>
        <w:rPr>
          <w:rFonts w:cs="Times New Roman"/>
          <w:color w:val="17365D"/>
        </w:rPr>
      </w:pPr>
      <w:r w:rsidRPr="00A27896">
        <w:rPr>
          <w:rFonts w:cs="Times New Roman"/>
          <w:color w:val="17365D"/>
        </w:rPr>
        <w:lastRenderedPageBreak/>
        <w:t>Naudas līdzekļu plūsma no piesa</w:t>
      </w:r>
      <w:r w:rsidR="00F9248E" w:rsidRPr="00A27896">
        <w:rPr>
          <w:rFonts w:cs="Times New Roman"/>
          <w:color w:val="17365D"/>
        </w:rPr>
        <w:t xml:space="preserve">istītajiem līdzekļiem </w:t>
      </w:r>
      <w:r w:rsidR="006D4DD8" w:rsidRPr="00A27896">
        <w:rPr>
          <w:rFonts w:cs="Times New Roman"/>
          <w:color w:val="17365D"/>
        </w:rPr>
        <w:t xml:space="preserve">atbilstoši valsts budžeta finanšu uzskaites datiem, kas konsolidēta par budžeta iestāžu naudas plūsmu Valsts kasē, </w:t>
      </w:r>
      <w:r w:rsidR="00F9248E" w:rsidRPr="00A27896">
        <w:rPr>
          <w:rFonts w:cs="Times New Roman"/>
          <w:color w:val="17365D"/>
        </w:rPr>
        <w:t>uzrādīta 5</w:t>
      </w:r>
      <w:r w:rsidR="006C1AA7" w:rsidRPr="00A27896">
        <w:rPr>
          <w:rFonts w:cs="Times New Roman"/>
          <w:color w:val="17365D"/>
        </w:rPr>
        <w:t>7</w:t>
      </w:r>
      <w:r w:rsidR="00F9248E" w:rsidRPr="00A27896">
        <w:rPr>
          <w:rFonts w:cs="Times New Roman"/>
          <w:color w:val="17365D"/>
        </w:rPr>
        <w:t>.</w:t>
      </w:r>
      <w:r w:rsidRPr="00A27896">
        <w:rPr>
          <w:rFonts w:cs="Times New Roman"/>
          <w:color w:val="17365D"/>
        </w:rPr>
        <w:t> tabulā.</w:t>
      </w:r>
    </w:p>
    <w:p w14:paraId="2BA8DEDB" w14:textId="5AD00CB5" w:rsidR="00387B53" w:rsidRPr="00A27896" w:rsidRDefault="00F9248E" w:rsidP="00387B53">
      <w:pPr>
        <w:pStyle w:val="Tabulasnosaukums"/>
        <w:spacing w:before="120"/>
        <w:rPr>
          <w:color w:val="17365D"/>
          <w:szCs w:val="20"/>
        </w:rPr>
      </w:pPr>
      <w:r w:rsidRPr="00A27896">
        <w:rPr>
          <w:rFonts w:eastAsia="Arial Unicode MS"/>
          <w:color w:val="17365D"/>
          <w:szCs w:val="20"/>
        </w:rPr>
        <w:t>5</w:t>
      </w:r>
      <w:r w:rsidR="006C1AA7" w:rsidRPr="00A27896">
        <w:rPr>
          <w:rFonts w:eastAsia="Arial Unicode MS"/>
          <w:color w:val="17365D"/>
          <w:szCs w:val="20"/>
        </w:rPr>
        <w:t>7</w:t>
      </w:r>
      <w:r w:rsidR="00387B53" w:rsidRPr="00A27896">
        <w:rPr>
          <w:rFonts w:eastAsia="Arial Unicode MS"/>
          <w:color w:val="17365D"/>
          <w:szCs w:val="20"/>
        </w:rPr>
        <w:t>. tabula. NP.DBD Piesaistītie naudas līdzekļi</w:t>
      </w:r>
      <w:r w:rsidR="00387B53" w:rsidRPr="00A27896">
        <w:rPr>
          <w:bCs/>
          <w:color w:val="17365D"/>
          <w:szCs w:val="20"/>
        </w:rPr>
        <w:t xml:space="preserve"> (</w:t>
      </w:r>
      <w:r w:rsidR="00387B53" w:rsidRPr="00A27896">
        <w:rPr>
          <w:color w:val="17365D"/>
          <w:szCs w:val="20"/>
        </w:rPr>
        <w:t>euro)</w:t>
      </w:r>
    </w:p>
    <w:tbl>
      <w:tblPr>
        <w:tblW w:w="9389" w:type="dxa"/>
        <w:tblLayout w:type="fixed"/>
        <w:tblLook w:val="04A0" w:firstRow="1" w:lastRow="0" w:firstColumn="1" w:lastColumn="0" w:noHBand="0" w:noVBand="1"/>
      </w:tblPr>
      <w:tblGrid>
        <w:gridCol w:w="2835"/>
        <w:gridCol w:w="992"/>
        <w:gridCol w:w="1413"/>
        <w:gridCol w:w="1418"/>
        <w:gridCol w:w="1559"/>
        <w:gridCol w:w="1172"/>
      </w:tblGrid>
      <w:tr w:rsidR="002E7DDC" w:rsidRPr="00A27896" w14:paraId="3806D15E" w14:textId="77777777" w:rsidTr="00162DBF">
        <w:trPr>
          <w:trHeight w:val="767"/>
          <w:tblHeader/>
        </w:trPr>
        <w:tc>
          <w:tcPr>
            <w:tcW w:w="2835" w:type="dxa"/>
            <w:tcBorders>
              <w:bottom w:val="single" w:sz="4" w:space="0" w:color="17365D"/>
            </w:tcBorders>
            <w:shd w:val="clear" w:color="auto" w:fill="B9CDE5"/>
            <w:vAlign w:val="center"/>
            <w:hideMark/>
          </w:tcPr>
          <w:p w14:paraId="5C084747" w14:textId="77777777" w:rsidR="002E7DDC" w:rsidRPr="00A27896" w:rsidRDefault="002E7DDC" w:rsidP="00162DBF">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Rādītājs</w:t>
            </w:r>
          </w:p>
        </w:tc>
        <w:tc>
          <w:tcPr>
            <w:tcW w:w="992" w:type="dxa"/>
            <w:tcBorders>
              <w:bottom w:val="single" w:sz="4" w:space="0" w:color="17365D"/>
            </w:tcBorders>
            <w:shd w:val="clear" w:color="auto" w:fill="B9CDE5"/>
            <w:vAlign w:val="center"/>
          </w:tcPr>
          <w:p w14:paraId="44A35106" w14:textId="77777777" w:rsidR="002E7DDC" w:rsidRPr="00A27896" w:rsidRDefault="002E7DDC" w:rsidP="00162DBF">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Piezīmes Nr.</w:t>
            </w:r>
          </w:p>
        </w:tc>
        <w:tc>
          <w:tcPr>
            <w:tcW w:w="1413" w:type="dxa"/>
            <w:tcBorders>
              <w:bottom w:val="single" w:sz="4" w:space="0" w:color="17365D"/>
            </w:tcBorders>
            <w:shd w:val="clear" w:color="auto" w:fill="B9CDE5"/>
            <w:vAlign w:val="center"/>
          </w:tcPr>
          <w:p w14:paraId="4868320A" w14:textId="77777777" w:rsidR="002E7DDC" w:rsidRPr="00A27896" w:rsidRDefault="002E7DDC" w:rsidP="00162DBF">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Pārskata periods</w:t>
            </w:r>
          </w:p>
        </w:tc>
        <w:tc>
          <w:tcPr>
            <w:tcW w:w="1418" w:type="dxa"/>
            <w:tcBorders>
              <w:bottom w:val="single" w:sz="4" w:space="0" w:color="17365D"/>
            </w:tcBorders>
            <w:shd w:val="clear" w:color="auto" w:fill="B9CDE5"/>
            <w:vAlign w:val="center"/>
          </w:tcPr>
          <w:p w14:paraId="605481D2" w14:textId="77777777" w:rsidR="002E7DDC" w:rsidRPr="00A27896" w:rsidRDefault="002E7DDC" w:rsidP="00162DBF">
            <w:pPr>
              <w:spacing w:after="0" w:line="240" w:lineRule="auto"/>
              <w:jc w:val="center"/>
              <w:rPr>
                <w:rFonts w:cs="Times New Roman"/>
                <w:b/>
                <w:color w:val="17365D"/>
                <w:sz w:val="18"/>
                <w:szCs w:val="18"/>
                <w:lang w:eastAsia="lv-LV"/>
              </w:rPr>
            </w:pPr>
            <w:r w:rsidRPr="00A27896">
              <w:rPr>
                <w:rFonts w:cs="Times New Roman"/>
                <w:b/>
                <w:color w:val="17365D"/>
                <w:sz w:val="18"/>
                <w:szCs w:val="18"/>
                <w:lang w:eastAsia="lv-LV"/>
              </w:rPr>
              <w:t>Iepriekšējais pārskata periods</w:t>
            </w:r>
          </w:p>
        </w:tc>
        <w:tc>
          <w:tcPr>
            <w:tcW w:w="1559" w:type="dxa"/>
            <w:tcBorders>
              <w:bottom w:val="single" w:sz="4" w:space="0" w:color="17365D"/>
            </w:tcBorders>
            <w:shd w:val="clear" w:color="auto" w:fill="B9CDE5"/>
            <w:vAlign w:val="center"/>
          </w:tcPr>
          <w:p w14:paraId="25054D7A" w14:textId="77777777" w:rsidR="002E7DDC" w:rsidRPr="00A27896" w:rsidRDefault="002E7DDC" w:rsidP="00162DBF">
            <w:pPr>
              <w:spacing w:after="0" w:line="240" w:lineRule="auto"/>
              <w:ind w:left="-107" w:right="-109"/>
              <w:jc w:val="center"/>
              <w:rPr>
                <w:rFonts w:cs="Times New Roman"/>
                <w:b/>
                <w:color w:val="17365D"/>
                <w:sz w:val="18"/>
                <w:szCs w:val="18"/>
                <w:lang w:eastAsia="lv-LV"/>
              </w:rPr>
            </w:pPr>
            <w:r w:rsidRPr="00A27896">
              <w:rPr>
                <w:rFonts w:cs="Times New Roman"/>
                <w:b/>
                <w:color w:val="17365D"/>
                <w:sz w:val="18"/>
                <w:szCs w:val="18"/>
                <w:lang w:eastAsia="lv-LV"/>
              </w:rPr>
              <w:t>Palielinājums (+), samazinājums (–) (1. – 2.)</w:t>
            </w:r>
          </w:p>
        </w:tc>
        <w:tc>
          <w:tcPr>
            <w:tcW w:w="1172" w:type="dxa"/>
            <w:tcBorders>
              <w:bottom w:val="single" w:sz="4" w:space="0" w:color="17365D"/>
            </w:tcBorders>
            <w:shd w:val="clear" w:color="auto" w:fill="B9CDE5"/>
            <w:vAlign w:val="center"/>
          </w:tcPr>
          <w:p w14:paraId="577A0248" w14:textId="77777777" w:rsidR="002E7DDC" w:rsidRPr="00A27896" w:rsidRDefault="002E7DDC" w:rsidP="00162DBF">
            <w:pPr>
              <w:spacing w:after="0" w:line="240" w:lineRule="auto"/>
              <w:ind w:left="-107" w:right="-109"/>
              <w:jc w:val="center"/>
              <w:rPr>
                <w:rFonts w:cs="Times New Roman"/>
                <w:b/>
                <w:color w:val="17365D"/>
                <w:sz w:val="18"/>
                <w:szCs w:val="18"/>
                <w:lang w:eastAsia="lv-LV"/>
              </w:rPr>
            </w:pPr>
            <w:r w:rsidRPr="00A27896">
              <w:rPr>
                <w:rFonts w:cs="Times New Roman"/>
                <w:b/>
                <w:color w:val="17365D"/>
                <w:sz w:val="18"/>
                <w:szCs w:val="18"/>
                <w:lang w:eastAsia="lv-LV"/>
              </w:rPr>
              <w:t xml:space="preserve">Procentuālās izmaiņas </w:t>
            </w:r>
          </w:p>
          <w:p w14:paraId="7EB67080" w14:textId="3D002AC1" w:rsidR="002E7DDC" w:rsidRPr="00A27896" w:rsidRDefault="002E7DDC" w:rsidP="00B42452">
            <w:pPr>
              <w:spacing w:after="0" w:line="240" w:lineRule="auto"/>
              <w:ind w:left="-107" w:right="-109"/>
              <w:jc w:val="center"/>
              <w:rPr>
                <w:rFonts w:cs="Times New Roman"/>
                <w:b/>
                <w:color w:val="17365D"/>
                <w:sz w:val="18"/>
                <w:szCs w:val="18"/>
                <w:lang w:eastAsia="lv-LV"/>
              </w:rPr>
            </w:pPr>
            <w:r w:rsidRPr="00A27896">
              <w:rPr>
                <w:rFonts w:cs="Times New Roman"/>
                <w:b/>
                <w:color w:val="17365D"/>
                <w:sz w:val="18"/>
                <w:szCs w:val="18"/>
                <w:lang w:eastAsia="lv-LV"/>
              </w:rPr>
              <w:t>(3</w:t>
            </w:r>
            <w:r w:rsidR="00100EA1" w:rsidRPr="00A27896">
              <w:rPr>
                <w:rFonts w:cs="Times New Roman"/>
                <w:b/>
                <w:color w:val="17365D"/>
                <w:sz w:val="18"/>
                <w:szCs w:val="18"/>
                <w:lang w:eastAsia="lv-LV"/>
              </w:rPr>
              <w:t>./</w:t>
            </w:r>
            <w:r w:rsidRPr="00A27896">
              <w:rPr>
                <w:rFonts w:cs="Times New Roman"/>
                <w:b/>
                <w:color w:val="17365D"/>
                <w:sz w:val="18"/>
                <w:szCs w:val="18"/>
                <w:lang w:eastAsia="lv-LV"/>
              </w:rPr>
              <w:t xml:space="preserve">2. </w:t>
            </w:r>
            <w:r w:rsidR="00B42452" w:rsidRPr="00A27896">
              <w:rPr>
                <w:rFonts w:cs="Times New Roman"/>
                <w:b/>
                <w:color w:val="17365D"/>
                <w:sz w:val="18"/>
                <w:szCs w:val="18"/>
                <w:lang w:eastAsia="lv-LV"/>
              </w:rPr>
              <w:t>*</w:t>
            </w:r>
            <w:r w:rsidRPr="00A27896">
              <w:rPr>
                <w:rFonts w:cs="Times New Roman"/>
                <w:b/>
                <w:color w:val="17365D"/>
                <w:sz w:val="18"/>
                <w:szCs w:val="18"/>
                <w:lang w:eastAsia="lv-LV"/>
              </w:rPr>
              <w:t xml:space="preserve"> 100)</w:t>
            </w:r>
          </w:p>
        </w:tc>
      </w:tr>
      <w:tr w:rsidR="002E7DDC" w:rsidRPr="00A27896" w14:paraId="65F555CB" w14:textId="77777777" w:rsidTr="00162DBF">
        <w:trPr>
          <w:trHeight w:val="63"/>
          <w:tblHeader/>
        </w:trPr>
        <w:tc>
          <w:tcPr>
            <w:tcW w:w="2835" w:type="dxa"/>
            <w:tcBorders>
              <w:top w:val="single" w:sz="4" w:space="0" w:color="17365D"/>
              <w:bottom w:val="single" w:sz="4" w:space="0" w:color="17365D"/>
            </w:tcBorders>
            <w:shd w:val="clear" w:color="auto" w:fill="auto"/>
            <w:vAlign w:val="center"/>
          </w:tcPr>
          <w:p w14:paraId="789AC827" w14:textId="77777777" w:rsidR="002E7DDC" w:rsidRPr="00A27896" w:rsidRDefault="002E7DDC" w:rsidP="00162DBF">
            <w:pPr>
              <w:spacing w:after="0" w:line="240" w:lineRule="auto"/>
              <w:jc w:val="center"/>
              <w:rPr>
                <w:rFonts w:cs="Times New Roman"/>
                <w:b/>
                <w:color w:val="17365D"/>
                <w:sz w:val="18"/>
                <w:szCs w:val="18"/>
              </w:rPr>
            </w:pPr>
            <w:r w:rsidRPr="00A27896">
              <w:rPr>
                <w:rFonts w:cs="Times New Roman"/>
                <w:b/>
                <w:color w:val="17365D"/>
                <w:sz w:val="18"/>
                <w:szCs w:val="18"/>
              </w:rPr>
              <w:t>A</w:t>
            </w:r>
          </w:p>
        </w:tc>
        <w:tc>
          <w:tcPr>
            <w:tcW w:w="992" w:type="dxa"/>
            <w:tcBorders>
              <w:top w:val="single" w:sz="4" w:space="0" w:color="17365D"/>
              <w:bottom w:val="single" w:sz="4" w:space="0" w:color="17365D"/>
            </w:tcBorders>
            <w:shd w:val="clear" w:color="auto" w:fill="auto"/>
            <w:vAlign w:val="center"/>
          </w:tcPr>
          <w:p w14:paraId="64FD8B88" w14:textId="77777777" w:rsidR="002E7DDC" w:rsidRPr="00A27896" w:rsidRDefault="002E7DDC" w:rsidP="00162DBF">
            <w:pPr>
              <w:spacing w:after="0" w:line="240" w:lineRule="auto"/>
              <w:jc w:val="center"/>
              <w:rPr>
                <w:rFonts w:cs="Times New Roman"/>
                <w:b/>
                <w:color w:val="17365D"/>
                <w:sz w:val="18"/>
                <w:szCs w:val="18"/>
              </w:rPr>
            </w:pPr>
            <w:r w:rsidRPr="00A27896">
              <w:rPr>
                <w:rFonts w:cs="Times New Roman"/>
                <w:b/>
                <w:color w:val="17365D"/>
                <w:sz w:val="18"/>
                <w:szCs w:val="18"/>
              </w:rPr>
              <w:t>B</w:t>
            </w:r>
          </w:p>
        </w:tc>
        <w:tc>
          <w:tcPr>
            <w:tcW w:w="1413" w:type="dxa"/>
            <w:tcBorders>
              <w:top w:val="single" w:sz="4" w:space="0" w:color="17365D"/>
              <w:bottom w:val="single" w:sz="4" w:space="0" w:color="17365D"/>
            </w:tcBorders>
            <w:shd w:val="clear" w:color="auto" w:fill="auto"/>
            <w:vAlign w:val="center"/>
          </w:tcPr>
          <w:p w14:paraId="6DDEDAE9" w14:textId="77777777" w:rsidR="002E7DDC" w:rsidRPr="00A27896" w:rsidRDefault="002E7DDC" w:rsidP="00162DBF">
            <w:pPr>
              <w:spacing w:after="0" w:line="240" w:lineRule="auto"/>
              <w:jc w:val="center"/>
              <w:rPr>
                <w:rFonts w:cs="Times New Roman"/>
                <w:b/>
                <w:color w:val="17365D"/>
                <w:sz w:val="18"/>
                <w:szCs w:val="18"/>
              </w:rPr>
            </w:pPr>
            <w:r w:rsidRPr="00A27896">
              <w:rPr>
                <w:rFonts w:cs="Times New Roman"/>
                <w:b/>
                <w:color w:val="17365D"/>
                <w:sz w:val="18"/>
                <w:szCs w:val="18"/>
              </w:rPr>
              <w:t>1</w:t>
            </w:r>
          </w:p>
        </w:tc>
        <w:tc>
          <w:tcPr>
            <w:tcW w:w="1418" w:type="dxa"/>
            <w:tcBorders>
              <w:top w:val="single" w:sz="4" w:space="0" w:color="17365D"/>
              <w:bottom w:val="single" w:sz="4" w:space="0" w:color="17365D"/>
            </w:tcBorders>
            <w:shd w:val="clear" w:color="auto" w:fill="auto"/>
            <w:vAlign w:val="center"/>
          </w:tcPr>
          <w:p w14:paraId="19811C2D" w14:textId="77777777" w:rsidR="002E7DDC" w:rsidRPr="00A27896" w:rsidRDefault="002E7DDC" w:rsidP="00162DBF">
            <w:pPr>
              <w:spacing w:after="0" w:line="240" w:lineRule="auto"/>
              <w:jc w:val="center"/>
              <w:rPr>
                <w:rFonts w:cs="Times New Roman"/>
                <w:b/>
                <w:color w:val="17365D"/>
                <w:sz w:val="18"/>
                <w:szCs w:val="18"/>
              </w:rPr>
            </w:pPr>
            <w:r w:rsidRPr="00A27896">
              <w:rPr>
                <w:rFonts w:cs="Times New Roman"/>
                <w:b/>
                <w:color w:val="17365D"/>
                <w:sz w:val="18"/>
                <w:szCs w:val="18"/>
              </w:rPr>
              <w:t>2</w:t>
            </w:r>
          </w:p>
        </w:tc>
        <w:tc>
          <w:tcPr>
            <w:tcW w:w="1559" w:type="dxa"/>
            <w:tcBorders>
              <w:top w:val="single" w:sz="4" w:space="0" w:color="17365D"/>
              <w:bottom w:val="single" w:sz="4" w:space="0" w:color="17365D"/>
            </w:tcBorders>
            <w:shd w:val="clear" w:color="auto" w:fill="auto"/>
            <w:vAlign w:val="center"/>
          </w:tcPr>
          <w:p w14:paraId="0922A3D2" w14:textId="77777777" w:rsidR="002E7DDC" w:rsidRPr="00A27896" w:rsidRDefault="002E7DDC" w:rsidP="00162DBF">
            <w:pPr>
              <w:spacing w:after="0" w:line="240" w:lineRule="auto"/>
              <w:jc w:val="center"/>
              <w:rPr>
                <w:rFonts w:cs="Times New Roman"/>
                <w:b/>
                <w:color w:val="17365D"/>
                <w:sz w:val="18"/>
                <w:szCs w:val="18"/>
              </w:rPr>
            </w:pPr>
            <w:r w:rsidRPr="00A27896">
              <w:rPr>
                <w:rFonts w:cs="Times New Roman"/>
                <w:b/>
                <w:color w:val="17365D"/>
                <w:sz w:val="18"/>
                <w:szCs w:val="18"/>
              </w:rPr>
              <w:t>3</w:t>
            </w:r>
          </w:p>
        </w:tc>
        <w:tc>
          <w:tcPr>
            <w:tcW w:w="1172" w:type="dxa"/>
            <w:tcBorders>
              <w:top w:val="single" w:sz="4" w:space="0" w:color="17365D"/>
              <w:bottom w:val="single" w:sz="4" w:space="0" w:color="17365D"/>
            </w:tcBorders>
            <w:shd w:val="clear" w:color="auto" w:fill="auto"/>
            <w:vAlign w:val="center"/>
          </w:tcPr>
          <w:p w14:paraId="10F36EFB" w14:textId="77777777" w:rsidR="002E7DDC" w:rsidRPr="00A27896" w:rsidRDefault="002E7DDC" w:rsidP="00162DBF">
            <w:pPr>
              <w:spacing w:after="0" w:line="240" w:lineRule="auto"/>
              <w:jc w:val="center"/>
              <w:rPr>
                <w:rFonts w:cs="Times New Roman"/>
                <w:b/>
                <w:color w:val="17365D"/>
                <w:sz w:val="18"/>
                <w:szCs w:val="18"/>
              </w:rPr>
            </w:pPr>
            <w:r w:rsidRPr="00A27896">
              <w:rPr>
                <w:rFonts w:cs="Times New Roman"/>
                <w:b/>
                <w:color w:val="17365D"/>
                <w:sz w:val="18"/>
                <w:szCs w:val="18"/>
              </w:rPr>
              <w:t>4</w:t>
            </w:r>
          </w:p>
        </w:tc>
      </w:tr>
      <w:tr w:rsidR="002E7DDC" w:rsidRPr="00A27896" w14:paraId="6FD0DC01" w14:textId="77777777" w:rsidTr="002E7DDC">
        <w:trPr>
          <w:trHeight w:val="272"/>
        </w:trPr>
        <w:tc>
          <w:tcPr>
            <w:tcW w:w="2835" w:type="dxa"/>
            <w:tcBorders>
              <w:top w:val="single" w:sz="4" w:space="0" w:color="17365D"/>
              <w:bottom w:val="single" w:sz="4" w:space="0" w:color="17365D"/>
            </w:tcBorders>
            <w:shd w:val="clear" w:color="auto" w:fill="auto"/>
            <w:vAlign w:val="center"/>
          </w:tcPr>
          <w:p w14:paraId="0FE938F2" w14:textId="77777777" w:rsidR="002E7DDC" w:rsidRPr="00A27896" w:rsidRDefault="002E7DDC" w:rsidP="00162DBF">
            <w:pPr>
              <w:spacing w:after="0" w:line="240" w:lineRule="auto"/>
              <w:rPr>
                <w:rFonts w:cs="Times New Roman"/>
                <w:color w:val="17365D"/>
                <w:sz w:val="18"/>
                <w:szCs w:val="18"/>
              </w:rPr>
            </w:pPr>
            <w:r w:rsidRPr="00A27896">
              <w:rPr>
                <w:rFonts w:cs="Times New Roman"/>
                <w:color w:val="17365D"/>
                <w:sz w:val="18"/>
                <w:szCs w:val="18"/>
              </w:rPr>
              <w:t xml:space="preserve">Naudas līdzekļu plūsma no piesaistītajiem līdzekļiem </w:t>
            </w:r>
          </w:p>
        </w:tc>
        <w:tc>
          <w:tcPr>
            <w:tcW w:w="992" w:type="dxa"/>
            <w:tcBorders>
              <w:top w:val="single" w:sz="4" w:space="0" w:color="17365D"/>
              <w:bottom w:val="single" w:sz="4" w:space="0" w:color="17365D"/>
            </w:tcBorders>
            <w:shd w:val="clear" w:color="auto" w:fill="auto"/>
            <w:vAlign w:val="center"/>
          </w:tcPr>
          <w:p w14:paraId="013A5A7C" w14:textId="6786A14E" w:rsidR="002E7DDC" w:rsidRPr="00A27896" w:rsidRDefault="002E7DDC" w:rsidP="00162DBF">
            <w:pPr>
              <w:spacing w:after="0" w:line="240" w:lineRule="auto"/>
              <w:jc w:val="center"/>
              <w:rPr>
                <w:rFonts w:cs="Times New Roman"/>
                <w:color w:val="17365D"/>
                <w:sz w:val="18"/>
                <w:szCs w:val="18"/>
                <w:lang w:val="en-GB"/>
              </w:rPr>
            </w:pPr>
          </w:p>
        </w:tc>
        <w:tc>
          <w:tcPr>
            <w:tcW w:w="1413" w:type="dxa"/>
            <w:tcBorders>
              <w:top w:val="single" w:sz="4" w:space="0" w:color="17365D"/>
              <w:bottom w:val="single" w:sz="4" w:space="0" w:color="17365D"/>
            </w:tcBorders>
            <w:shd w:val="clear" w:color="auto" w:fill="auto"/>
            <w:vAlign w:val="center"/>
          </w:tcPr>
          <w:p w14:paraId="36ADEDDC" w14:textId="77777777" w:rsidR="002E7DDC" w:rsidRPr="00A27896" w:rsidRDefault="002E7DDC" w:rsidP="002E7DDC">
            <w:pPr>
              <w:spacing w:after="0" w:line="240" w:lineRule="auto"/>
              <w:jc w:val="right"/>
              <w:rPr>
                <w:rFonts w:cs="Times New Roman"/>
                <w:bCs/>
                <w:color w:val="17365D"/>
                <w:sz w:val="18"/>
                <w:szCs w:val="18"/>
              </w:rPr>
            </w:pPr>
            <w:r w:rsidRPr="00A27896">
              <w:rPr>
                <w:rFonts w:cs="Times New Roman"/>
                <w:bCs/>
                <w:color w:val="17365D"/>
                <w:sz w:val="18"/>
                <w:szCs w:val="18"/>
              </w:rPr>
              <w:t>-21 945 707</w:t>
            </w:r>
          </w:p>
        </w:tc>
        <w:tc>
          <w:tcPr>
            <w:tcW w:w="1418" w:type="dxa"/>
            <w:tcBorders>
              <w:top w:val="single" w:sz="4" w:space="0" w:color="17365D"/>
              <w:bottom w:val="single" w:sz="4" w:space="0" w:color="17365D"/>
            </w:tcBorders>
            <w:shd w:val="clear" w:color="auto" w:fill="auto"/>
            <w:vAlign w:val="center"/>
          </w:tcPr>
          <w:p w14:paraId="498AEE35" w14:textId="77777777" w:rsidR="002E7DDC" w:rsidRPr="00A27896" w:rsidRDefault="002E7DDC" w:rsidP="002E7DDC">
            <w:pPr>
              <w:spacing w:after="0" w:line="240" w:lineRule="auto"/>
              <w:jc w:val="right"/>
              <w:rPr>
                <w:rFonts w:cs="Times New Roman"/>
                <w:bCs/>
                <w:color w:val="17365D"/>
                <w:sz w:val="18"/>
                <w:szCs w:val="18"/>
              </w:rPr>
            </w:pPr>
            <w:r w:rsidRPr="00A27896">
              <w:rPr>
                <w:rFonts w:cs="Times New Roman"/>
                <w:bCs/>
                <w:color w:val="17365D"/>
                <w:sz w:val="18"/>
                <w:szCs w:val="18"/>
              </w:rPr>
              <w:t>299 755 561</w:t>
            </w:r>
          </w:p>
        </w:tc>
        <w:tc>
          <w:tcPr>
            <w:tcW w:w="1559" w:type="dxa"/>
            <w:tcBorders>
              <w:top w:val="single" w:sz="4" w:space="0" w:color="17365D"/>
              <w:bottom w:val="single" w:sz="4" w:space="0" w:color="17365D"/>
            </w:tcBorders>
            <w:shd w:val="clear" w:color="auto" w:fill="auto"/>
            <w:vAlign w:val="center"/>
          </w:tcPr>
          <w:p w14:paraId="71E15206" w14:textId="77777777" w:rsidR="002E7DDC" w:rsidRPr="00A27896" w:rsidRDefault="002E7DDC" w:rsidP="002E7DDC">
            <w:pPr>
              <w:spacing w:after="0" w:line="240" w:lineRule="auto"/>
              <w:jc w:val="right"/>
              <w:rPr>
                <w:rFonts w:cs="Times New Roman"/>
                <w:bCs/>
                <w:color w:val="17365D"/>
                <w:sz w:val="18"/>
                <w:szCs w:val="18"/>
              </w:rPr>
            </w:pPr>
            <w:r w:rsidRPr="00A27896">
              <w:rPr>
                <w:rFonts w:cs="Times New Roman"/>
                <w:bCs/>
                <w:color w:val="17365D"/>
                <w:sz w:val="18"/>
                <w:szCs w:val="18"/>
              </w:rPr>
              <w:t>-321 701 268</w:t>
            </w:r>
          </w:p>
        </w:tc>
        <w:tc>
          <w:tcPr>
            <w:tcW w:w="1172" w:type="dxa"/>
            <w:tcBorders>
              <w:top w:val="single" w:sz="4" w:space="0" w:color="17365D"/>
              <w:bottom w:val="single" w:sz="4" w:space="0" w:color="17365D"/>
            </w:tcBorders>
            <w:shd w:val="clear" w:color="auto" w:fill="auto"/>
            <w:vAlign w:val="center"/>
          </w:tcPr>
          <w:p w14:paraId="6C14AA29" w14:textId="77777777" w:rsidR="002E7DDC" w:rsidRPr="00A27896" w:rsidRDefault="002E7DDC" w:rsidP="002E7DDC">
            <w:pPr>
              <w:spacing w:after="0" w:line="240" w:lineRule="auto"/>
              <w:jc w:val="right"/>
              <w:rPr>
                <w:rFonts w:cs="Times New Roman"/>
                <w:bCs/>
                <w:color w:val="17365D"/>
                <w:sz w:val="18"/>
                <w:szCs w:val="18"/>
              </w:rPr>
            </w:pPr>
            <w:r w:rsidRPr="00A27896">
              <w:rPr>
                <w:rFonts w:cs="Times New Roman"/>
                <w:bCs/>
                <w:color w:val="17365D"/>
                <w:sz w:val="18"/>
                <w:szCs w:val="18"/>
              </w:rPr>
              <w:t>-107.32</w:t>
            </w:r>
          </w:p>
        </w:tc>
      </w:tr>
      <w:tr w:rsidR="002E7DDC" w:rsidRPr="00A27896" w14:paraId="694EE3E5" w14:textId="77777777" w:rsidTr="002E7DDC">
        <w:trPr>
          <w:trHeight w:val="272"/>
        </w:trPr>
        <w:tc>
          <w:tcPr>
            <w:tcW w:w="2835" w:type="dxa"/>
            <w:tcBorders>
              <w:top w:val="single" w:sz="4" w:space="0" w:color="17365D"/>
              <w:bottom w:val="single" w:sz="4" w:space="0" w:color="17365D"/>
            </w:tcBorders>
            <w:shd w:val="clear" w:color="auto" w:fill="auto"/>
            <w:vAlign w:val="center"/>
          </w:tcPr>
          <w:p w14:paraId="3A950EF8" w14:textId="77777777" w:rsidR="002E7DDC" w:rsidRPr="00A27896" w:rsidRDefault="002E7DDC" w:rsidP="00162DBF">
            <w:pPr>
              <w:spacing w:after="0" w:line="240" w:lineRule="auto"/>
              <w:rPr>
                <w:rFonts w:cs="Times New Roman"/>
                <w:color w:val="17365D"/>
                <w:sz w:val="18"/>
                <w:szCs w:val="18"/>
              </w:rPr>
            </w:pPr>
            <w:r w:rsidRPr="00A27896">
              <w:rPr>
                <w:rFonts w:cs="Times New Roman"/>
                <w:color w:val="17365D"/>
                <w:sz w:val="18"/>
                <w:szCs w:val="18"/>
              </w:rPr>
              <w:t>Ieņēmumi no piesaistītajiem līdzekļiem</w:t>
            </w:r>
          </w:p>
        </w:tc>
        <w:tc>
          <w:tcPr>
            <w:tcW w:w="992" w:type="dxa"/>
            <w:tcBorders>
              <w:top w:val="single" w:sz="4" w:space="0" w:color="17365D"/>
              <w:bottom w:val="single" w:sz="4" w:space="0" w:color="17365D"/>
            </w:tcBorders>
            <w:shd w:val="clear" w:color="auto" w:fill="auto"/>
            <w:vAlign w:val="center"/>
          </w:tcPr>
          <w:p w14:paraId="036C1CA2" w14:textId="77777777" w:rsidR="002E7DDC" w:rsidRPr="00A27896" w:rsidRDefault="002E7DDC" w:rsidP="00162DBF">
            <w:pPr>
              <w:spacing w:after="0" w:line="240" w:lineRule="auto"/>
              <w:jc w:val="center"/>
              <w:rPr>
                <w:rFonts w:cs="Times New Roman"/>
                <w:color w:val="17365D"/>
                <w:sz w:val="18"/>
                <w:szCs w:val="18"/>
                <w:lang w:val="en-GB"/>
              </w:rPr>
            </w:pPr>
          </w:p>
        </w:tc>
        <w:tc>
          <w:tcPr>
            <w:tcW w:w="1413" w:type="dxa"/>
            <w:tcBorders>
              <w:top w:val="single" w:sz="4" w:space="0" w:color="17365D"/>
              <w:bottom w:val="single" w:sz="4" w:space="0" w:color="17365D"/>
            </w:tcBorders>
            <w:shd w:val="clear" w:color="auto" w:fill="auto"/>
            <w:vAlign w:val="center"/>
          </w:tcPr>
          <w:p w14:paraId="659332D7" w14:textId="77777777" w:rsidR="002E7DDC" w:rsidRPr="00A27896" w:rsidRDefault="002E7DDC" w:rsidP="002E7DDC">
            <w:pPr>
              <w:spacing w:after="0" w:line="240" w:lineRule="auto"/>
              <w:jc w:val="right"/>
              <w:rPr>
                <w:rFonts w:cs="Times New Roman"/>
                <w:color w:val="17365D"/>
                <w:sz w:val="18"/>
                <w:szCs w:val="18"/>
              </w:rPr>
            </w:pPr>
            <w:r w:rsidRPr="00A27896">
              <w:rPr>
                <w:rFonts w:cs="Times New Roman"/>
                <w:color w:val="17365D"/>
                <w:sz w:val="18"/>
                <w:szCs w:val="18"/>
              </w:rPr>
              <w:t>7 656 957 555</w:t>
            </w:r>
          </w:p>
        </w:tc>
        <w:tc>
          <w:tcPr>
            <w:tcW w:w="1418" w:type="dxa"/>
            <w:tcBorders>
              <w:top w:val="single" w:sz="4" w:space="0" w:color="17365D"/>
              <w:bottom w:val="single" w:sz="4" w:space="0" w:color="17365D"/>
            </w:tcBorders>
            <w:shd w:val="clear" w:color="auto" w:fill="auto"/>
            <w:vAlign w:val="center"/>
          </w:tcPr>
          <w:p w14:paraId="5B124097" w14:textId="77777777" w:rsidR="002E7DDC" w:rsidRPr="00A27896" w:rsidRDefault="002E7DDC" w:rsidP="002E7DDC">
            <w:pPr>
              <w:spacing w:after="0" w:line="240" w:lineRule="auto"/>
              <w:jc w:val="right"/>
              <w:rPr>
                <w:rFonts w:cs="Times New Roman"/>
                <w:color w:val="17365D"/>
                <w:sz w:val="18"/>
                <w:szCs w:val="18"/>
              </w:rPr>
            </w:pPr>
            <w:r w:rsidRPr="00A27896">
              <w:rPr>
                <w:rFonts w:cs="Times New Roman"/>
                <w:color w:val="17365D"/>
                <w:sz w:val="18"/>
                <w:szCs w:val="18"/>
              </w:rPr>
              <w:t>6 627 880 732</w:t>
            </w:r>
          </w:p>
        </w:tc>
        <w:tc>
          <w:tcPr>
            <w:tcW w:w="1559" w:type="dxa"/>
            <w:tcBorders>
              <w:top w:val="single" w:sz="4" w:space="0" w:color="17365D"/>
              <w:bottom w:val="single" w:sz="4" w:space="0" w:color="17365D"/>
            </w:tcBorders>
            <w:shd w:val="clear" w:color="auto" w:fill="auto"/>
            <w:vAlign w:val="center"/>
          </w:tcPr>
          <w:p w14:paraId="6644BC91" w14:textId="77777777" w:rsidR="002E7DDC" w:rsidRPr="00A27896" w:rsidRDefault="002E7DDC" w:rsidP="002E7DDC">
            <w:pPr>
              <w:spacing w:after="0" w:line="240" w:lineRule="auto"/>
              <w:jc w:val="right"/>
              <w:rPr>
                <w:rFonts w:cs="Times New Roman"/>
                <w:color w:val="17365D"/>
                <w:sz w:val="18"/>
                <w:szCs w:val="18"/>
              </w:rPr>
            </w:pPr>
            <w:r w:rsidRPr="00A27896">
              <w:rPr>
                <w:rFonts w:cs="Times New Roman"/>
                <w:color w:val="17365D"/>
                <w:sz w:val="18"/>
                <w:szCs w:val="18"/>
              </w:rPr>
              <w:t>1 029 076 823</w:t>
            </w:r>
          </w:p>
        </w:tc>
        <w:tc>
          <w:tcPr>
            <w:tcW w:w="1172" w:type="dxa"/>
            <w:tcBorders>
              <w:top w:val="single" w:sz="4" w:space="0" w:color="17365D"/>
              <w:bottom w:val="single" w:sz="4" w:space="0" w:color="17365D"/>
            </w:tcBorders>
            <w:shd w:val="clear" w:color="auto" w:fill="auto"/>
            <w:vAlign w:val="center"/>
          </w:tcPr>
          <w:p w14:paraId="7602ED1A" w14:textId="77777777" w:rsidR="002E7DDC" w:rsidRPr="00A27896" w:rsidRDefault="002E7DDC" w:rsidP="002E7DDC">
            <w:pPr>
              <w:spacing w:after="0" w:line="240" w:lineRule="auto"/>
              <w:jc w:val="right"/>
              <w:rPr>
                <w:rFonts w:cs="Times New Roman"/>
                <w:color w:val="17365D"/>
                <w:sz w:val="18"/>
                <w:szCs w:val="18"/>
              </w:rPr>
            </w:pPr>
            <w:r w:rsidRPr="00A27896">
              <w:rPr>
                <w:rFonts w:cs="Times New Roman"/>
                <w:color w:val="17365D"/>
                <w:sz w:val="18"/>
                <w:szCs w:val="18"/>
              </w:rPr>
              <w:t>15.53</w:t>
            </w:r>
          </w:p>
        </w:tc>
      </w:tr>
      <w:tr w:rsidR="002E7DDC" w:rsidRPr="00A27896" w14:paraId="104DA5CA" w14:textId="77777777" w:rsidTr="002E7DDC">
        <w:trPr>
          <w:trHeight w:val="272"/>
        </w:trPr>
        <w:tc>
          <w:tcPr>
            <w:tcW w:w="2835" w:type="dxa"/>
            <w:tcBorders>
              <w:top w:val="single" w:sz="4" w:space="0" w:color="17365D"/>
              <w:bottom w:val="single" w:sz="4" w:space="0" w:color="17365D"/>
            </w:tcBorders>
            <w:shd w:val="clear" w:color="auto" w:fill="auto"/>
            <w:vAlign w:val="center"/>
          </w:tcPr>
          <w:p w14:paraId="1289C64C" w14:textId="77777777" w:rsidR="002E7DDC" w:rsidRPr="00A27896" w:rsidRDefault="002E7DDC" w:rsidP="00162DBF">
            <w:pPr>
              <w:spacing w:after="0" w:line="240" w:lineRule="auto"/>
              <w:rPr>
                <w:rFonts w:cs="Times New Roman"/>
                <w:color w:val="17365D"/>
                <w:sz w:val="18"/>
                <w:szCs w:val="18"/>
              </w:rPr>
            </w:pPr>
            <w:r w:rsidRPr="00A27896">
              <w:rPr>
                <w:rFonts w:cs="Times New Roman"/>
                <w:color w:val="17365D"/>
                <w:sz w:val="18"/>
                <w:szCs w:val="18"/>
              </w:rPr>
              <w:t>Izdevumi no piesaistītajiem līdzekļiem</w:t>
            </w:r>
          </w:p>
        </w:tc>
        <w:tc>
          <w:tcPr>
            <w:tcW w:w="992" w:type="dxa"/>
            <w:tcBorders>
              <w:top w:val="single" w:sz="4" w:space="0" w:color="17365D"/>
              <w:bottom w:val="single" w:sz="4" w:space="0" w:color="17365D"/>
            </w:tcBorders>
            <w:shd w:val="clear" w:color="auto" w:fill="auto"/>
            <w:vAlign w:val="center"/>
          </w:tcPr>
          <w:p w14:paraId="4A891FFC" w14:textId="77777777" w:rsidR="002E7DDC" w:rsidRPr="00A27896" w:rsidRDefault="002E7DDC" w:rsidP="00162DBF">
            <w:pPr>
              <w:spacing w:after="0" w:line="240" w:lineRule="auto"/>
              <w:jc w:val="center"/>
              <w:rPr>
                <w:rFonts w:cs="Times New Roman"/>
                <w:color w:val="17365D"/>
                <w:sz w:val="18"/>
                <w:szCs w:val="18"/>
                <w:lang w:val="en-GB"/>
              </w:rPr>
            </w:pPr>
          </w:p>
        </w:tc>
        <w:tc>
          <w:tcPr>
            <w:tcW w:w="1413" w:type="dxa"/>
            <w:tcBorders>
              <w:top w:val="single" w:sz="4" w:space="0" w:color="17365D"/>
              <w:bottom w:val="single" w:sz="4" w:space="0" w:color="17365D"/>
            </w:tcBorders>
            <w:shd w:val="clear" w:color="auto" w:fill="auto"/>
            <w:vAlign w:val="center"/>
          </w:tcPr>
          <w:p w14:paraId="099CE03D" w14:textId="77777777" w:rsidR="002E7DDC" w:rsidRPr="00A27896" w:rsidRDefault="002E7DDC" w:rsidP="002E7DDC">
            <w:pPr>
              <w:spacing w:after="0" w:line="240" w:lineRule="auto"/>
              <w:jc w:val="right"/>
              <w:rPr>
                <w:rFonts w:cs="Times New Roman"/>
                <w:color w:val="17365D"/>
                <w:sz w:val="18"/>
                <w:szCs w:val="18"/>
              </w:rPr>
            </w:pPr>
            <w:r w:rsidRPr="00A27896">
              <w:rPr>
                <w:rFonts w:cs="Times New Roman"/>
                <w:color w:val="17365D"/>
                <w:sz w:val="18"/>
                <w:szCs w:val="18"/>
              </w:rPr>
              <w:t>7 678 903 260</w:t>
            </w:r>
          </w:p>
        </w:tc>
        <w:tc>
          <w:tcPr>
            <w:tcW w:w="1418" w:type="dxa"/>
            <w:tcBorders>
              <w:top w:val="single" w:sz="4" w:space="0" w:color="17365D"/>
              <w:bottom w:val="single" w:sz="4" w:space="0" w:color="17365D"/>
            </w:tcBorders>
            <w:shd w:val="clear" w:color="auto" w:fill="auto"/>
            <w:vAlign w:val="center"/>
          </w:tcPr>
          <w:p w14:paraId="625347E5" w14:textId="77777777" w:rsidR="002E7DDC" w:rsidRPr="00A27896" w:rsidRDefault="002E7DDC" w:rsidP="002E7DDC">
            <w:pPr>
              <w:spacing w:after="0" w:line="240" w:lineRule="auto"/>
              <w:jc w:val="right"/>
              <w:rPr>
                <w:rFonts w:cs="Times New Roman"/>
                <w:color w:val="17365D"/>
                <w:sz w:val="18"/>
                <w:szCs w:val="18"/>
              </w:rPr>
            </w:pPr>
            <w:r w:rsidRPr="00A27896">
              <w:rPr>
                <w:rFonts w:cs="Times New Roman"/>
                <w:color w:val="17365D"/>
                <w:sz w:val="18"/>
                <w:szCs w:val="18"/>
              </w:rPr>
              <w:t>6 328 125 171</w:t>
            </w:r>
          </w:p>
        </w:tc>
        <w:tc>
          <w:tcPr>
            <w:tcW w:w="1559" w:type="dxa"/>
            <w:tcBorders>
              <w:top w:val="single" w:sz="4" w:space="0" w:color="17365D"/>
              <w:bottom w:val="single" w:sz="4" w:space="0" w:color="17365D"/>
            </w:tcBorders>
            <w:shd w:val="clear" w:color="auto" w:fill="auto"/>
            <w:vAlign w:val="center"/>
          </w:tcPr>
          <w:p w14:paraId="2FF9FDD3" w14:textId="77777777" w:rsidR="002E7DDC" w:rsidRPr="00A27896" w:rsidRDefault="002E7DDC" w:rsidP="002E7DDC">
            <w:pPr>
              <w:spacing w:after="0" w:line="240" w:lineRule="auto"/>
              <w:jc w:val="right"/>
              <w:rPr>
                <w:rFonts w:cs="Times New Roman"/>
                <w:color w:val="17365D"/>
                <w:sz w:val="18"/>
                <w:szCs w:val="18"/>
              </w:rPr>
            </w:pPr>
            <w:r w:rsidRPr="00A27896">
              <w:rPr>
                <w:rFonts w:cs="Times New Roman"/>
                <w:color w:val="17365D"/>
                <w:sz w:val="18"/>
                <w:szCs w:val="18"/>
              </w:rPr>
              <w:t>1 350 778 089</w:t>
            </w:r>
          </w:p>
        </w:tc>
        <w:tc>
          <w:tcPr>
            <w:tcW w:w="1172" w:type="dxa"/>
            <w:tcBorders>
              <w:top w:val="single" w:sz="4" w:space="0" w:color="17365D"/>
              <w:bottom w:val="single" w:sz="4" w:space="0" w:color="17365D"/>
            </w:tcBorders>
            <w:shd w:val="clear" w:color="auto" w:fill="auto"/>
            <w:vAlign w:val="center"/>
          </w:tcPr>
          <w:p w14:paraId="248B5521" w14:textId="77777777" w:rsidR="002E7DDC" w:rsidRPr="00A27896" w:rsidRDefault="002E7DDC" w:rsidP="002E7DDC">
            <w:pPr>
              <w:spacing w:after="0" w:line="240" w:lineRule="auto"/>
              <w:jc w:val="right"/>
              <w:rPr>
                <w:rFonts w:cs="Times New Roman"/>
                <w:color w:val="17365D"/>
                <w:sz w:val="18"/>
                <w:szCs w:val="18"/>
              </w:rPr>
            </w:pPr>
            <w:r w:rsidRPr="00A27896">
              <w:rPr>
                <w:rFonts w:cs="Times New Roman"/>
                <w:color w:val="17365D"/>
                <w:sz w:val="18"/>
                <w:szCs w:val="18"/>
              </w:rPr>
              <w:t>21.35</w:t>
            </w:r>
          </w:p>
        </w:tc>
      </w:tr>
      <w:tr w:rsidR="002E7DDC" w:rsidRPr="00A27896" w14:paraId="76E34806" w14:textId="77777777" w:rsidTr="00162DBF">
        <w:trPr>
          <w:trHeight w:val="227"/>
        </w:trPr>
        <w:tc>
          <w:tcPr>
            <w:tcW w:w="2835" w:type="dxa"/>
            <w:tcBorders>
              <w:top w:val="single" w:sz="4" w:space="0" w:color="17365D"/>
            </w:tcBorders>
            <w:shd w:val="clear" w:color="auto" w:fill="B9CDE5"/>
            <w:vAlign w:val="center"/>
          </w:tcPr>
          <w:p w14:paraId="0DDDDED9" w14:textId="77777777" w:rsidR="002E7DDC" w:rsidRPr="00A27896" w:rsidRDefault="002E7DDC" w:rsidP="00162DBF">
            <w:pPr>
              <w:spacing w:after="0" w:line="240" w:lineRule="auto"/>
              <w:rPr>
                <w:rFonts w:cs="Times New Roman"/>
                <w:color w:val="17365D"/>
                <w:sz w:val="18"/>
                <w:szCs w:val="18"/>
              </w:rPr>
            </w:pPr>
          </w:p>
        </w:tc>
        <w:tc>
          <w:tcPr>
            <w:tcW w:w="992" w:type="dxa"/>
            <w:tcBorders>
              <w:top w:val="single" w:sz="4" w:space="0" w:color="17365D"/>
            </w:tcBorders>
            <w:shd w:val="clear" w:color="auto" w:fill="B9CDE5"/>
            <w:vAlign w:val="center"/>
          </w:tcPr>
          <w:p w14:paraId="13BAE19C" w14:textId="77777777" w:rsidR="002E7DDC" w:rsidRPr="00A27896" w:rsidRDefault="002E7DDC" w:rsidP="00162DBF">
            <w:pPr>
              <w:spacing w:after="0" w:line="240" w:lineRule="auto"/>
              <w:jc w:val="center"/>
              <w:rPr>
                <w:rFonts w:cs="Times New Roman"/>
                <w:color w:val="17365D"/>
                <w:sz w:val="18"/>
                <w:szCs w:val="18"/>
                <w:lang w:val="en-GB"/>
              </w:rPr>
            </w:pPr>
          </w:p>
        </w:tc>
        <w:tc>
          <w:tcPr>
            <w:tcW w:w="1413" w:type="dxa"/>
            <w:tcBorders>
              <w:top w:val="single" w:sz="4" w:space="0" w:color="17365D"/>
            </w:tcBorders>
            <w:shd w:val="clear" w:color="auto" w:fill="B9CDE5"/>
            <w:vAlign w:val="center"/>
          </w:tcPr>
          <w:p w14:paraId="036DC8AF" w14:textId="77777777" w:rsidR="002E7DDC" w:rsidRPr="00A27896" w:rsidRDefault="002E7DDC" w:rsidP="00162DBF">
            <w:pPr>
              <w:spacing w:after="0" w:line="240" w:lineRule="auto"/>
              <w:jc w:val="right"/>
              <w:rPr>
                <w:rFonts w:cs="Times New Roman"/>
                <w:color w:val="17365D"/>
                <w:sz w:val="18"/>
                <w:szCs w:val="18"/>
              </w:rPr>
            </w:pPr>
          </w:p>
        </w:tc>
        <w:tc>
          <w:tcPr>
            <w:tcW w:w="1418" w:type="dxa"/>
            <w:tcBorders>
              <w:top w:val="single" w:sz="4" w:space="0" w:color="17365D"/>
            </w:tcBorders>
            <w:shd w:val="clear" w:color="auto" w:fill="B9CDE5"/>
            <w:vAlign w:val="center"/>
          </w:tcPr>
          <w:p w14:paraId="25B89F18" w14:textId="77777777" w:rsidR="002E7DDC" w:rsidRPr="00A27896" w:rsidRDefault="002E7DDC" w:rsidP="00162DBF">
            <w:pPr>
              <w:spacing w:after="0" w:line="240" w:lineRule="auto"/>
              <w:jc w:val="right"/>
              <w:rPr>
                <w:rFonts w:cs="Times New Roman"/>
                <w:color w:val="17365D"/>
                <w:sz w:val="18"/>
                <w:szCs w:val="18"/>
              </w:rPr>
            </w:pPr>
          </w:p>
        </w:tc>
        <w:tc>
          <w:tcPr>
            <w:tcW w:w="1559" w:type="dxa"/>
            <w:tcBorders>
              <w:top w:val="single" w:sz="4" w:space="0" w:color="17365D"/>
            </w:tcBorders>
            <w:shd w:val="clear" w:color="auto" w:fill="B9CDE5"/>
            <w:vAlign w:val="center"/>
          </w:tcPr>
          <w:p w14:paraId="36BC1411" w14:textId="77777777" w:rsidR="002E7DDC" w:rsidRPr="00A27896" w:rsidRDefault="002E7DDC" w:rsidP="00162DBF">
            <w:pPr>
              <w:spacing w:after="0" w:line="240" w:lineRule="auto"/>
              <w:jc w:val="right"/>
              <w:rPr>
                <w:rFonts w:cs="Times New Roman"/>
                <w:color w:val="17365D"/>
                <w:sz w:val="18"/>
                <w:szCs w:val="18"/>
              </w:rPr>
            </w:pPr>
          </w:p>
        </w:tc>
        <w:tc>
          <w:tcPr>
            <w:tcW w:w="1172" w:type="dxa"/>
            <w:tcBorders>
              <w:top w:val="single" w:sz="4" w:space="0" w:color="17365D"/>
            </w:tcBorders>
            <w:shd w:val="clear" w:color="auto" w:fill="B9CDE5"/>
            <w:vAlign w:val="center"/>
          </w:tcPr>
          <w:p w14:paraId="685A9A6D" w14:textId="77777777" w:rsidR="002E7DDC" w:rsidRPr="00A27896" w:rsidRDefault="002E7DDC" w:rsidP="00162DBF">
            <w:pPr>
              <w:spacing w:after="0" w:line="240" w:lineRule="auto"/>
              <w:jc w:val="right"/>
              <w:rPr>
                <w:rFonts w:cs="Times New Roman"/>
                <w:color w:val="17365D"/>
                <w:sz w:val="18"/>
                <w:szCs w:val="18"/>
              </w:rPr>
            </w:pPr>
          </w:p>
        </w:tc>
      </w:tr>
    </w:tbl>
    <w:p w14:paraId="0315515E" w14:textId="77777777" w:rsidR="006D4DD8" w:rsidRPr="00A27896" w:rsidRDefault="006D4DD8" w:rsidP="00B9362D">
      <w:pPr>
        <w:pStyle w:val="Pamatteksts"/>
        <w:ind w:firstLine="284"/>
        <w:rPr>
          <w:b/>
          <w:color w:val="17365D"/>
        </w:rPr>
      </w:pPr>
    </w:p>
    <w:p w14:paraId="19946224" w14:textId="5405F1AD" w:rsidR="00B9362D" w:rsidRPr="00A27896" w:rsidRDefault="00B9362D" w:rsidP="00B9362D">
      <w:pPr>
        <w:pStyle w:val="Pamatteksts"/>
        <w:ind w:firstLine="284"/>
        <w:rPr>
          <w:b/>
          <w:color w:val="17365D"/>
        </w:rPr>
      </w:pPr>
      <w:r w:rsidRPr="00A27896">
        <w:rPr>
          <w:b/>
          <w:color w:val="17365D"/>
        </w:rPr>
        <w:t>Konsolidētajā naudas plūsmas pārskatā veikta korekcija šādos pārskata posteņos:</w:t>
      </w:r>
    </w:p>
    <w:p w14:paraId="6C85B480" w14:textId="77777777" w:rsidR="00B9362D" w:rsidRPr="00A27896" w:rsidRDefault="00B9362D" w:rsidP="0057470D">
      <w:pPr>
        <w:pStyle w:val="Pamatteksts"/>
        <w:numPr>
          <w:ilvl w:val="0"/>
          <w:numId w:val="26"/>
        </w:numPr>
        <w:ind w:left="851"/>
        <w:rPr>
          <w:color w:val="17365D"/>
        </w:rPr>
      </w:pPr>
      <w:r w:rsidRPr="00A27896">
        <w:rPr>
          <w:color w:val="17365D"/>
        </w:rPr>
        <w:t>pamatdarbības ieņēmumi par kopējo summu (154 354 698) </w:t>
      </w:r>
      <w:r w:rsidRPr="00A27896">
        <w:rPr>
          <w:i/>
          <w:color w:val="17365D"/>
        </w:rPr>
        <w:t>euro</w:t>
      </w:r>
      <w:r w:rsidRPr="00A27896">
        <w:rPr>
          <w:color w:val="17365D"/>
        </w:rPr>
        <w:t>;</w:t>
      </w:r>
    </w:p>
    <w:p w14:paraId="606A7FE5" w14:textId="77777777" w:rsidR="00B9362D" w:rsidRPr="00A27896" w:rsidRDefault="00B9362D" w:rsidP="0057470D">
      <w:pPr>
        <w:pStyle w:val="Pamatteksts"/>
        <w:numPr>
          <w:ilvl w:val="0"/>
          <w:numId w:val="26"/>
        </w:numPr>
        <w:ind w:left="851"/>
        <w:rPr>
          <w:color w:val="17365D"/>
        </w:rPr>
      </w:pPr>
      <w:r w:rsidRPr="00A27896">
        <w:rPr>
          <w:color w:val="17365D"/>
        </w:rPr>
        <w:t>pamatdarbības izdevumi par kopējo summu (516 766 238) </w:t>
      </w:r>
      <w:r w:rsidRPr="00A27896">
        <w:rPr>
          <w:i/>
          <w:color w:val="17365D"/>
        </w:rPr>
        <w:t>euro</w:t>
      </w:r>
      <w:r w:rsidRPr="00A27896">
        <w:rPr>
          <w:color w:val="17365D"/>
        </w:rPr>
        <w:t>;</w:t>
      </w:r>
    </w:p>
    <w:p w14:paraId="70B95585" w14:textId="77777777" w:rsidR="00B9362D" w:rsidRPr="00A27896" w:rsidRDefault="00B9362D" w:rsidP="0057470D">
      <w:pPr>
        <w:pStyle w:val="Pamatteksts"/>
        <w:numPr>
          <w:ilvl w:val="0"/>
          <w:numId w:val="26"/>
        </w:numPr>
        <w:ind w:left="851"/>
        <w:rPr>
          <w:color w:val="17365D"/>
        </w:rPr>
      </w:pPr>
      <w:r w:rsidRPr="00A27896">
        <w:rPr>
          <w:color w:val="17365D"/>
        </w:rPr>
        <w:t>finansēšanas darbības izdevumi par kopējo summu (156 546 340) </w:t>
      </w:r>
      <w:r w:rsidRPr="00A27896">
        <w:rPr>
          <w:i/>
          <w:color w:val="17365D"/>
        </w:rPr>
        <w:t>euro</w:t>
      </w:r>
      <w:r w:rsidRPr="00A27896">
        <w:rPr>
          <w:color w:val="17365D"/>
        </w:rPr>
        <w:t>;</w:t>
      </w:r>
    </w:p>
    <w:p w14:paraId="1112CDA6" w14:textId="77777777" w:rsidR="00B9362D" w:rsidRPr="00A27896" w:rsidRDefault="00B9362D" w:rsidP="0057470D">
      <w:pPr>
        <w:pStyle w:val="Pamatteksts"/>
        <w:numPr>
          <w:ilvl w:val="0"/>
          <w:numId w:val="26"/>
        </w:numPr>
        <w:ind w:left="851"/>
        <w:rPr>
          <w:color w:val="17365D"/>
        </w:rPr>
      </w:pPr>
      <w:r w:rsidRPr="00A27896">
        <w:rPr>
          <w:color w:val="17365D"/>
        </w:rPr>
        <w:t>naudas līdzekļu un noguldījumu izmaiņas pārskata periodā par kopējo summu (165 625 938) </w:t>
      </w:r>
      <w:r w:rsidRPr="00A27896">
        <w:rPr>
          <w:i/>
          <w:color w:val="17365D"/>
        </w:rPr>
        <w:t>euro</w:t>
      </w:r>
      <w:r w:rsidRPr="00A27896">
        <w:rPr>
          <w:color w:val="17365D"/>
        </w:rPr>
        <w:t>.</w:t>
      </w:r>
    </w:p>
    <w:p w14:paraId="19681660" w14:textId="77777777" w:rsidR="00B9362D" w:rsidRPr="00A27896" w:rsidRDefault="00B9362D" w:rsidP="00B9362D">
      <w:pPr>
        <w:pStyle w:val="Pamatteksts"/>
        <w:ind w:firstLine="284"/>
        <w:rPr>
          <w:b/>
          <w:color w:val="17365D"/>
        </w:rPr>
      </w:pPr>
      <w:r w:rsidRPr="00A27896">
        <w:rPr>
          <w:b/>
          <w:color w:val="17365D"/>
        </w:rPr>
        <w:t>Konsolidētajā naudas plūsmas pārskatā veikta konsolidācija šādos pārskata posteņos:</w:t>
      </w:r>
    </w:p>
    <w:p w14:paraId="492F15C6" w14:textId="77777777" w:rsidR="00B9362D" w:rsidRPr="00A27896" w:rsidRDefault="00B9362D" w:rsidP="0057470D">
      <w:pPr>
        <w:pStyle w:val="Pamatteksts"/>
        <w:numPr>
          <w:ilvl w:val="0"/>
          <w:numId w:val="26"/>
        </w:numPr>
        <w:ind w:left="851"/>
        <w:rPr>
          <w:color w:val="17365D"/>
        </w:rPr>
      </w:pPr>
      <w:r w:rsidRPr="00A27896">
        <w:rPr>
          <w:color w:val="17365D"/>
        </w:rPr>
        <w:t>pamatdarbības ieņēmumi par kopējo summu (1 578 956 305) </w:t>
      </w:r>
      <w:r w:rsidRPr="00A27896">
        <w:rPr>
          <w:i/>
          <w:color w:val="17365D"/>
        </w:rPr>
        <w:t>euro</w:t>
      </w:r>
      <w:r w:rsidRPr="00A27896">
        <w:rPr>
          <w:color w:val="17365D"/>
        </w:rPr>
        <w:t>;</w:t>
      </w:r>
    </w:p>
    <w:p w14:paraId="2E632FE9" w14:textId="77777777" w:rsidR="00B9362D" w:rsidRPr="00A27896" w:rsidRDefault="00B9362D" w:rsidP="0057470D">
      <w:pPr>
        <w:pStyle w:val="Pamatteksts"/>
        <w:numPr>
          <w:ilvl w:val="0"/>
          <w:numId w:val="26"/>
        </w:numPr>
        <w:ind w:left="851"/>
        <w:rPr>
          <w:color w:val="17365D"/>
        </w:rPr>
      </w:pPr>
      <w:r w:rsidRPr="00A27896">
        <w:rPr>
          <w:color w:val="17365D"/>
        </w:rPr>
        <w:t>pamatdarbības izdevumi par kopējo summu (7 766 117 776) </w:t>
      </w:r>
      <w:r w:rsidRPr="00A27896">
        <w:rPr>
          <w:i/>
          <w:color w:val="17365D"/>
        </w:rPr>
        <w:t>euro</w:t>
      </w:r>
      <w:r w:rsidRPr="00A27896">
        <w:rPr>
          <w:color w:val="17365D"/>
        </w:rPr>
        <w:t>;</w:t>
      </w:r>
    </w:p>
    <w:p w14:paraId="2E31D576" w14:textId="77777777" w:rsidR="00B9362D" w:rsidRPr="00A27896" w:rsidRDefault="00B9362D" w:rsidP="0057470D">
      <w:pPr>
        <w:pStyle w:val="Pamatteksts"/>
        <w:numPr>
          <w:ilvl w:val="0"/>
          <w:numId w:val="26"/>
        </w:numPr>
        <w:ind w:left="851"/>
        <w:rPr>
          <w:color w:val="17365D"/>
        </w:rPr>
      </w:pPr>
      <w:r w:rsidRPr="00A27896">
        <w:rPr>
          <w:color w:val="17365D"/>
        </w:rPr>
        <w:t>ieguldījumu darbības ieņēmumi par kopējo summu (424 161 168) </w:t>
      </w:r>
      <w:r w:rsidRPr="00A27896">
        <w:rPr>
          <w:i/>
          <w:color w:val="17365D"/>
        </w:rPr>
        <w:t>euro</w:t>
      </w:r>
      <w:r w:rsidRPr="00A27896">
        <w:rPr>
          <w:color w:val="17365D"/>
        </w:rPr>
        <w:t>;</w:t>
      </w:r>
    </w:p>
    <w:p w14:paraId="48D6E536" w14:textId="77777777" w:rsidR="00B9362D" w:rsidRPr="00A27896" w:rsidRDefault="00B9362D" w:rsidP="0057470D">
      <w:pPr>
        <w:pStyle w:val="Pamatteksts"/>
        <w:numPr>
          <w:ilvl w:val="0"/>
          <w:numId w:val="26"/>
        </w:numPr>
        <w:ind w:left="851"/>
        <w:rPr>
          <w:color w:val="17365D"/>
        </w:rPr>
      </w:pPr>
      <w:r w:rsidRPr="00A27896">
        <w:rPr>
          <w:color w:val="17365D"/>
        </w:rPr>
        <w:t>ieguldījumu darbības izdevumi par kopējo summu (722 600 000) </w:t>
      </w:r>
      <w:r w:rsidRPr="00A27896">
        <w:rPr>
          <w:i/>
          <w:color w:val="17365D"/>
        </w:rPr>
        <w:t>euro</w:t>
      </w:r>
      <w:r w:rsidRPr="00A27896">
        <w:rPr>
          <w:color w:val="17365D"/>
        </w:rPr>
        <w:t>;</w:t>
      </w:r>
    </w:p>
    <w:p w14:paraId="77241E2F" w14:textId="77777777" w:rsidR="00B9362D" w:rsidRPr="00A27896" w:rsidRDefault="00B9362D" w:rsidP="0057470D">
      <w:pPr>
        <w:pStyle w:val="Pamatteksts"/>
        <w:numPr>
          <w:ilvl w:val="0"/>
          <w:numId w:val="26"/>
        </w:numPr>
        <w:ind w:left="851"/>
        <w:rPr>
          <w:color w:val="17365D"/>
        </w:rPr>
      </w:pPr>
      <w:r w:rsidRPr="00A27896">
        <w:rPr>
          <w:color w:val="17365D"/>
        </w:rPr>
        <w:t>finansēšanas darbības ieņēmumi par kopējo summu (973 553 107) </w:t>
      </w:r>
      <w:r w:rsidRPr="00A27896">
        <w:rPr>
          <w:i/>
          <w:color w:val="17365D"/>
        </w:rPr>
        <w:t>euro</w:t>
      </w:r>
      <w:r w:rsidRPr="00A27896">
        <w:rPr>
          <w:color w:val="17365D"/>
        </w:rPr>
        <w:t>;</w:t>
      </w:r>
    </w:p>
    <w:p w14:paraId="3FA6DB8C" w14:textId="77777777" w:rsidR="00B9362D" w:rsidRPr="00A27896" w:rsidRDefault="00B9362D" w:rsidP="0057470D">
      <w:pPr>
        <w:pStyle w:val="Pamatteksts"/>
        <w:numPr>
          <w:ilvl w:val="0"/>
          <w:numId w:val="26"/>
        </w:numPr>
        <w:ind w:left="851"/>
        <w:rPr>
          <w:color w:val="17365D"/>
        </w:rPr>
      </w:pPr>
      <w:r w:rsidRPr="00A27896">
        <w:rPr>
          <w:color w:val="17365D"/>
        </w:rPr>
        <w:t>finansēšanas darbības izdevumi par kopējo summu (562 125 000) </w:t>
      </w:r>
      <w:r w:rsidRPr="00A27896">
        <w:rPr>
          <w:i/>
          <w:color w:val="17365D"/>
        </w:rPr>
        <w:t>euro</w:t>
      </w:r>
      <w:r w:rsidRPr="00A27896">
        <w:rPr>
          <w:color w:val="17365D"/>
        </w:rPr>
        <w:t>;</w:t>
      </w:r>
    </w:p>
    <w:p w14:paraId="7F41680A" w14:textId="77777777" w:rsidR="00B9362D" w:rsidRPr="00A27896" w:rsidRDefault="00B9362D" w:rsidP="0057470D">
      <w:pPr>
        <w:pStyle w:val="Pamatteksts"/>
        <w:numPr>
          <w:ilvl w:val="0"/>
          <w:numId w:val="26"/>
        </w:numPr>
        <w:ind w:left="851"/>
        <w:rPr>
          <w:color w:val="17365D"/>
        </w:rPr>
      </w:pPr>
      <w:r w:rsidRPr="00A27896">
        <w:rPr>
          <w:color w:val="17365D"/>
        </w:rPr>
        <w:t>naudas līdzekļu plūsma no piesaistītajiem līdzekļiem par kopējo summu 4 101 816 242 </w:t>
      </w:r>
      <w:r w:rsidRPr="00A27896">
        <w:rPr>
          <w:i/>
          <w:color w:val="17365D"/>
        </w:rPr>
        <w:t>euro</w:t>
      </w:r>
      <w:r w:rsidRPr="00A27896">
        <w:rPr>
          <w:color w:val="17365D"/>
        </w:rPr>
        <w:t>;</w:t>
      </w:r>
    </w:p>
    <w:p w14:paraId="0B415434" w14:textId="77777777" w:rsidR="00B9362D" w:rsidRPr="00A27896" w:rsidRDefault="00B9362D" w:rsidP="0057470D">
      <w:pPr>
        <w:pStyle w:val="Pamatteksts"/>
        <w:numPr>
          <w:ilvl w:val="0"/>
          <w:numId w:val="26"/>
        </w:numPr>
        <w:ind w:left="851"/>
        <w:rPr>
          <w:color w:val="17365D"/>
        </w:rPr>
      </w:pPr>
      <w:r w:rsidRPr="00A27896">
        <w:rPr>
          <w:color w:val="17365D"/>
        </w:rPr>
        <w:t>dotācija no vispārējiem ieņēmumiem par kopējo summu (20 132 139 093) </w:t>
      </w:r>
      <w:r w:rsidRPr="00A27896">
        <w:rPr>
          <w:i/>
          <w:color w:val="17365D"/>
        </w:rPr>
        <w:t>euro</w:t>
      </w:r>
      <w:r w:rsidRPr="00A27896">
        <w:rPr>
          <w:color w:val="17365D"/>
        </w:rPr>
        <w:t>;</w:t>
      </w:r>
    </w:p>
    <w:p w14:paraId="6447F913" w14:textId="77777777" w:rsidR="00B9362D" w:rsidRPr="00A27896" w:rsidRDefault="00B9362D" w:rsidP="0057470D">
      <w:pPr>
        <w:pStyle w:val="Pamatteksts"/>
        <w:numPr>
          <w:ilvl w:val="0"/>
          <w:numId w:val="26"/>
        </w:numPr>
        <w:ind w:left="851"/>
        <w:rPr>
          <w:color w:val="17365D"/>
        </w:rPr>
      </w:pPr>
      <w:r w:rsidRPr="00A27896">
        <w:rPr>
          <w:color w:val="17365D"/>
        </w:rPr>
        <w:t xml:space="preserve">naudas līdzekļu un noguldījumu izmaiņas pārskata periodā konsolidētas par kopējo summu (408 837 160) </w:t>
      </w:r>
      <w:r w:rsidRPr="00A27896">
        <w:rPr>
          <w:i/>
          <w:color w:val="17365D"/>
        </w:rPr>
        <w:t>euro</w:t>
      </w:r>
      <w:r w:rsidRPr="00A27896">
        <w:rPr>
          <w:color w:val="17365D"/>
        </w:rPr>
        <w:t>.</w:t>
      </w:r>
    </w:p>
    <w:sectPr w:rsidR="00B9362D" w:rsidRPr="00A27896" w:rsidSect="00AC7FDB">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1D75F" w14:textId="77777777" w:rsidR="00873568" w:rsidRDefault="00873568" w:rsidP="00C25339">
      <w:pPr>
        <w:spacing w:after="0"/>
      </w:pPr>
      <w:r>
        <w:separator/>
      </w:r>
    </w:p>
  </w:endnote>
  <w:endnote w:type="continuationSeparator" w:id="0">
    <w:p w14:paraId="214AD5F0" w14:textId="77777777" w:rsidR="00873568" w:rsidRDefault="00873568" w:rsidP="00C25339">
      <w:pPr>
        <w:spacing w:after="0"/>
      </w:pPr>
      <w:r>
        <w:continuationSeparator/>
      </w:r>
    </w:p>
  </w:endnote>
  <w:endnote w:type="continuationNotice" w:id="1">
    <w:p w14:paraId="05CFAAE1" w14:textId="77777777" w:rsidR="00873568" w:rsidRDefault="008735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color w:val="17365D"/>
        <w:sz w:val="20"/>
      </w:rPr>
      <w:id w:val="-147676327"/>
      <w:docPartObj>
        <w:docPartGallery w:val="Page Numbers (Bottom of Page)"/>
        <w:docPartUnique/>
      </w:docPartObj>
    </w:sdtPr>
    <w:sdtEndPr/>
    <w:sdtContent>
      <w:p w14:paraId="1945FA9D" w14:textId="5062759C" w:rsidR="00873568" w:rsidRPr="00292A3B" w:rsidRDefault="00873568" w:rsidP="00B47C77">
        <w:pPr>
          <w:pStyle w:val="Footer"/>
          <w:tabs>
            <w:tab w:val="clear" w:pos="8306"/>
            <w:tab w:val="right" w:pos="8364"/>
          </w:tabs>
          <w:spacing w:before="360"/>
          <w:jc w:val="right"/>
          <w:rPr>
            <w:noProof/>
            <w:color w:val="17365D"/>
            <w:sz w:val="20"/>
          </w:rPr>
        </w:pPr>
        <w:r w:rsidRPr="00292A3B">
          <w:rPr>
            <w:noProof/>
            <w:color w:val="17365D"/>
            <w:sz w:val="16"/>
            <w:lang w:eastAsia="lv-LV"/>
          </w:rPr>
          <mc:AlternateContent>
            <mc:Choice Requires="wps">
              <w:drawing>
                <wp:anchor distT="0" distB="0" distL="114300" distR="114300" simplePos="0" relativeHeight="251658242" behindDoc="1" locked="0" layoutInCell="1" allowOverlap="1" wp14:anchorId="19223601" wp14:editId="2A4FE71F">
                  <wp:simplePos x="0" y="0"/>
                  <wp:positionH relativeFrom="column">
                    <wp:posOffset>5672455</wp:posOffset>
                  </wp:positionH>
                  <wp:positionV relativeFrom="paragraph">
                    <wp:posOffset>168910</wp:posOffset>
                  </wp:positionV>
                  <wp:extent cx="456565" cy="279400"/>
                  <wp:effectExtent l="0" t="0" r="635" b="6350"/>
                  <wp:wrapNone/>
                  <wp:docPr id="12" name="Rounded Rectangle 12"/>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05C40D" id="Rounded Rectangle 12" o:spid="_x0000_s1026" style="position:absolute;margin-left:446.65pt;margin-top:13.3pt;width:35.95pt;height:22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" fillcolor="#dbe5f1 [660]" stroked="f" strokeweight="1pt">
                  <v:stroke dashstyle="dash"/>
                </v:roundrect>
              </w:pict>
            </mc:Fallback>
          </mc:AlternateContent>
        </w:r>
        <w:r w:rsidRPr="00BF73C5">
          <w:rPr>
            <w:noProof/>
            <w:lang w:eastAsia="lv-LV"/>
          </w:rPr>
          <mc:AlternateContent>
            <mc:Choice Requires="wps">
              <w:drawing>
                <wp:anchor distT="0" distB="0" distL="114300" distR="114300" simplePos="0" relativeHeight="251658241" behindDoc="0" locked="0" layoutInCell="1" allowOverlap="1" wp14:anchorId="68D380E8" wp14:editId="01A541AB">
                  <wp:simplePos x="0" y="0"/>
                  <wp:positionH relativeFrom="column">
                    <wp:posOffset>-289422</wp:posOffset>
                  </wp:positionH>
                  <wp:positionV relativeFrom="paragraph">
                    <wp:posOffset>64273</wp:posOffset>
                  </wp:positionV>
                  <wp:extent cx="5831840" cy="442800"/>
                  <wp:effectExtent l="0" t="0" r="0" b="8890"/>
                  <wp:wrapNone/>
                  <wp:docPr id="6" name="Rounded Rectangle 6"/>
                  <wp:cNvGraphicFramePr/>
                  <a:graphic xmlns:a="http://schemas.openxmlformats.org/drawingml/2006/main">
                    <a:graphicData uri="http://schemas.microsoft.com/office/word/2010/wordprocessingShape">
                      <wps:wsp>
                        <wps:cNvSpPr/>
                        <wps:spPr>
                          <a:xfrm>
                            <a:off x="0" y="0"/>
                            <a:ext cx="5831840" cy="4428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2F7D675E" w14:textId="1914601D" w:rsidR="00873568" w:rsidRPr="00D8601B" w:rsidRDefault="008515F0" w:rsidP="00292A3B">
                              <w:pPr>
                                <w:spacing w:line="240" w:lineRule="auto"/>
                                <w:jc w:val="center"/>
                                <w:rPr>
                                  <w:color w:val="17365D"/>
                                  <w:sz w:val="20"/>
                                  <w:szCs w:val="20"/>
                                </w:rPr>
                              </w:pPr>
                              <w:r>
                                <w:rPr>
                                  <w:color w:val="17365D"/>
                                  <w:sz w:val="20"/>
                                  <w:szCs w:val="20"/>
                                </w:rPr>
                                <w:t>1_07_FMInfp1_1</w:t>
                              </w:r>
                              <w:r w:rsidR="00602D03">
                                <w:rPr>
                                  <w:color w:val="17365D"/>
                                  <w:sz w:val="20"/>
                                  <w:szCs w:val="20"/>
                                </w:rPr>
                                <w:t>4</w:t>
                              </w:r>
                              <w:r>
                                <w:rPr>
                                  <w:color w:val="17365D"/>
                                  <w:sz w:val="20"/>
                                  <w:szCs w:val="20"/>
                                </w:rPr>
                                <w:t>0</w:t>
                              </w:r>
                              <w:r w:rsidR="00B97176">
                                <w:rPr>
                                  <w:color w:val="17365D"/>
                                  <w:sz w:val="20"/>
                                  <w:szCs w:val="20"/>
                                </w:rPr>
                                <w:t>9</w:t>
                              </w:r>
                              <w:r w:rsidR="00873568">
                                <w:rPr>
                                  <w:color w:val="17365D"/>
                                  <w:sz w:val="20"/>
                                  <w:szCs w:val="20"/>
                                </w:rPr>
                                <w:t>23_sk; Latvijas Republikas 2022</w:t>
                              </w:r>
                              <w:r w:rsidR="00873568" w:rsidRPr="00D8601B">
                                <w:rPr>
                                  <w:color w:val="17365D"/>
                                  <w:sz w:val="20"/>
                                  <w:szCs w:val="20"/>
                                </w:rPr>
                                <w:t>. gada pārskats par valsts budžeta izpildi un par pašvaldību budžetiem; 1. sējums</w:t>
                              </w:r>
                            </w:p>
                            <w:p w14:paraId="78F34900" w14:textId="77777777" w:rsidR="00873568" w:rsidRPr="004E5A5E" w:rsidRDefault="00873568" w:rsidP="00292A3B">
                              <w:pPr>
                                <w:jc w:val="center"/>
                                <w:rPr>
                                  <w:color w:val="17365D" w:themeColor="text2" w:themeShade="BF"/>
                                  <w:sz w:val="20"/>
                                  <w:szCs w:val="20"/>
                                </w:rPr>
                              </w:pPr>
                              <w:r w:rsidRPr="000847D9">
                                <w:rPr>
                                  <w:color w:val="17365D" w:themeColor="text2" w:themeShade="BF"/>
                                  <w:sz w:val="20"/>
                                  <w:szCs w:val="20"/>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D380E8" id="Rounded Rectangle 6" o:spid="_x0000_s1026" style="position:absolute;left:0;text-align:left;margin-left:-22.8pt;margin-top:5.05pt;width:459.2pt;height:34.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" fillcolor="#dbe5f1 [660]" stroked="f" strokeweight="1pt">
                  <v:stroke dashstyle="dash"/>
                  <v:textbox>
                    <w:txbxContent>
                      <w:p w14:paraId="2F7D675E" w14:textId="1914601D" w:rsidR="00873568" w:rsidRPr="00D8601B" w:rsidRDefault="008515F0" w:rsidP="00292A3B">
                        <w:pPr>
                          <w:spacing w:line="240" w:lineRule="auto"/>
                          <w:jc w:val="center"/>
                          <w:rPr>
                            <w:color w:val="17365D"/>
                            <w:sz w:val="20"/>
                            <w:szCs w:val="20"/>
                          </w:rPr>
                        </w:pPr>
                        <w:r>
                          <w:rPr>
                            <w:color w:val="17365D"/>
                            <w:sz w:val="20"/>
                            <w:szCs w:val="20"/>
                          </w:rPr>
                          <w:t>1_07_FMInfp1_1</w:t>
                        </w:r>
                        <w:r w:rsidR="00602D03">
                          <w:rPr>
                            <w:color w:val="17365D"/>
                            <w:sz w:val="20"/>
                            <w:szCs w:val="20"/>
                          </w:rPr>
                          <w:t>4</w:t>
                        </w:r>
                        <w:r>
                          <w:rPr>
                            <w:color w:val="17365D"/>
                            <w:sz w:val="20"/>
                            <w:szCs w:val="20"/>
                          </w:rPr>
                          <w:t>0</w:t>
                        </w:r>
                        <w:r w:rsidR="00B97176">
                          <w:rPr>
                            <w:color w:val="17365D"/>
                            <w:sz w:val="20"/>
                            <w:szCs w:val="20"/>
                          </w:rPr>
                          <w:t>9</w:t>
                        </w:r>
                        <w:r w:rsidR="00873568">
                          <w:rPr>
                            <w:color w:val="17365D"/>
                            <w:sz w:val="20"/>
                            <w:szCs w:val="20"/>
                          </w:rPr>
                          <w:t>23_sk; Latvijas Republikas 2022</w:t>
                        </w:r>
                        <w:r w:rsidR="00873568" w:rsidRPr="00D8601B">
                          <w:rPr>
                            <w:color w:val="17365D"/>
                            <w:sz w:val="20"/>
                            <w:szCs w:val="20"/>
                          </w:rPr>
                          <w:t>. gada pārskats par valsts budžeta izpildi un par pašvaldību budžetiem; 1. sējums</w:t>
                        </w:r>
                      </w:p>
                      <w:p w14:paraId="78F34900" w14:textId="77777777" w:rsidR="00873568" w:rsidRPr="004E5A5E" w:rsidRDefault="00873568" w:rsidP="00292A3B">
                        <w:pPr>
                          <w:jc w:val="center"/>
                          <w:rPr>
                            <w:color w:val="17365D" w:themeColor="text2" w:themeShade="BF"/>
                            <w:sz w:val="20"/>
                            <w:szCs w:val="20"/>
                          </w:rPr>
                        </w:pPr>
                        <w:r w:rsidRPr="000847D9">
                          <w:rPr>
                            <w:color w:val="17365D" w:themeColor="text2" w:themeShade="BF"/>
                            <w:sz w:val="20"/>
                            <w:szCs w:val="20"/>
                          </w:rPr>
                          <w:tab/>
                        </w:r>
                      </w:p>
                    </w:txbxContent>
                  </v:textbox>
                </v:roundrect>
              </w:pict>
            </mc:Fallback>
          </mc:AlternateContent>
        </w:r>
        <w:r w:rsidRPr="00292A3B">
          <w:rPr>
            <w:noProof/>
            <w:color w:val="17365D"/>
            <w:sz w:val="20"/>
          </w:rPr>
          <w:fldChar w:fldCharType="begin"/>
        </w:r>
        <w:r w:rsidRPr="00292A3B">
          <w:rPr>
            <w:noProof/>
            <w:color w:val="17365D"/>
            <w:sz w:val="20"/>
          </w:rPr>
          <w:instrText xml:space="preserve"> PAGE   \* MERGEFORMAT </w:instrText>
        </w:r>
        <w:r w:rsidRPr="00292A3B">
          <w:rPr>
            <w:noProof/>
            <w:color w:val="17365D"/>
            <w:sz w:val="20"/>
          </w:rPr>
          <w:fldChar w:fldCharType="separate"/>
        </w:r>
        <w:r w:rsidR="00602D03">
          <w:rPr>
            <w:noProof/>
            <w:color w:val="17365D"/>
            <w:sz w:val="20"/>
          </w:rPr>
          <w:t>32</w:t>
        </w:r>
        <w:r w:rsidRPr="00292A3B">
          <w:rPr>
            <w:noProof/>
            <w:color w:val="17365D"/>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8AA13" w14:textId="597A0E5A" w:rsidR="00873568" w:rsidRPr="00292A3B" w:rsidRDefault="00873568" w:rsidP="00D91E6F">
    <w:pPr>
      <w:pStyle w:val="Footer"/>
      <w:tabs>
        <w:tab w:val="clear" w:pos="4153"/>
        <w:tab w:val="clear" w:pos="8306"/>
        <w:tab w:val="right" w:pos="9637"/>
      </w:tabs>
      <w:spacing w:before="120"/>
      <w:jc w:val="right"/>
      <w:rPr>
        <w:color w:val="17365D"/>
        <w:sz w:val="20"/>
      </w:rPr>
    </w:pPr>
    <w:r w:rsidRPr="00BF73C5">
      <w:rPr>
        <w:noProof/>
        <w:lang w:eastAsia="lv-LV"/>
      </w:rPr>
      <mc:AlternateContent>
        <mc:Choice Requires="wps">
          <w:drawing>
            <wp:anchor distT="0" distB="0" distL="114300" distR="114300" simplePos="0" relativeHeight="251658240" behindDoc="0" locked="0" layoutInCell="1" allowOverlap="1" wp14:anchorId="5DA73F1E" wp14:editId="4022277C">
              <wp:simplePos x="0" y="0"/>
              <wp:positionH relativeFrom="column">
                <wp:posOffset>-165735</wp:posOffset>
              </wp:positionH>
              <wp:positionV relativeFrom="paragraph">
                <wp:posOffset>-51110</wp:posOffset>
              </wp:positionV>
              <wp:extent cx="5630545" cy="435935"/>
              <wp:effectExtent l="0" t="0" r="8255" b="2540"/>
              <wp:wrapNone/>
              <wp:docPr id="9" name="Rounded Rectangle 9"/>
              <wp:cNvGraphicFramePr/>
              <a:graphic xmlns:a="http://schemas.openxmlformats.org/drawingml/2006/main">
                <a:graphicData uri="http://schemas.microsoft.com/office/word/2010/wordprocessingShape">
                  <wps:wsp>
                    <wps:cNvSpPr/>
                    <wps:spPr>
                      <a:xfrm>
                        <a:off x="0" y="0"/>
                        <a:ext cx="5630545" cy="435935"/>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496ADF01" w14:textId="0E2F6097" w:rsidR="00873568" w:rsidRDefault="008515F0" w:rsidP="00292A3B">
                          <w:pPr>
                            <w:spacing w:line="240" w:lineRule="auto"/>
                            <w:jc w:val="center"/>
                            <w:rPr>
                              <w:color w:val="17365D"/>
                              <w:sz w:val="20"/>
                              <w:szCs w:val="20"/>
                            </w:rPr>
                          </w:pPr>
                          <w:r>
                            <w:rPr>
                              <w:color w:val="17365D"/>
                              <w:sz w:val="20"/>
                              <w:szCs w:val="20"/>
                            </w:rPr>
                            <w:t>1_07_FMInfp1_1</w:t>
                          </w:r>
                          <w:r w:rsidR="00602D03">
                            <w:rPr>
                              <w:color w:val="17365D"/>
                              <w:sz w:val="20"/>
                              <w:szCs w:val="20"/>
                            </w:rPr>
                            <w:t>4</w:t>
                          </w:r>
                          <w:r>
                            <w:rPr>
                              <w:color w:val="17365D"/>
                              <w:sz w:val="20"/>
                              <w:szCs w:val="20"/>
                            </w:rPr>
                            <w:t>0</w:t>
                          </w:r>
                          <w:r w:rsidR="00B97176">
                            <w:rPr>
                              <w:color w:val="17365D"/>
                              <w:sz w:val="20"/>
                              <w:szCs w:val="20"/>
                            </w:rPr>
                            <w:t>9</w:t>
                          </w:r>
                          <w:r w:rsidR="00873568">
                            <w:rPr>
                              <w:color w:val="17365D"/>
                              <w:sz w:val="20"/>
                              <w:szCs w:val="20"/>
                            </w:rPr>
                            <w:t>23_sk; Latvijas Republikas 2022</w:t>
                          </w:r>
                          <w:r w:rsidR="00873568" w:rsidRPr="00D8601B">
                            <w:rPr>
                              <w:color w:val="17365D"/>
                              <w:sz w:val="20"/>
                              <w:szCs w:val="20"/>
                            </w:rPr>
                            <w:t>. gada pārskats par valsts budžeta izpildi un par pašvaldību budžetiem; 1. sējums</w:t>
                          </w:r>
                        </w:p>
                        <w:p w14:paraId="45131968" w14:textId="77777777" w:rsidR="00873568" w:rsidRPr="00D8601B" w:rsidRDefault="00873568" w:rsidP="00292A3B">
                          <w:pPr>
                            <w:spacing w:line="240" w:lineRule="auto"/>
                            <w:jc w:val="center"/>
                            <w:rPr>
                              <w:color w:val="17365D"/>
                              <w:sz w:val="20"/>
                              <w:szCs w:val="20"/>
                            </w:rPr>
                          </w:pPr>
                        </w:p>
                        <w:p w14:paraId="23FA14BD" w14:textId="77777777" w:rsidR="00873568" w:rsidRPr="004E5A5E" w:rsidRDefault="00873568" w:rsidP="00292A3B">
                          <w:pPr>
                            <w:jc w:val="center"/>
                            <w:rPr>
                              <w:color w:val="17365D" w:themeColor="text2" w:themeShade="BF"/>
                              <w:sz w:val="20"/>
                              <w:szCs w:val="20"/>
                            </w:rPr>
                          </w:pPr>
                          <w:r w:rsidRPr="000847D9">
                            <w:rPr>
                              <w:color w:val="17365D" w:themeColor="text2" w:themeShade="BF"/>
                              <w:sz w:val="20"/>
                              <w:szCs w:val="20"/>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A73F1E" id="Rounded Rectangle 9" o:spid="_x0000_s1027" style="position:absolute;left:0;text-align:left;margin-left:-13.05pt;margin-top:-4pt;width:443.35pt;height:3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" fillcolor="#dbe5f1 [660]" stroked="f" strokeweight="1pt">
              <v:stroke dashstyle="dash"/>
              <v:textbox>
                <w:txbxContent>
                  <w:p w14:paraId="496ADF01" w14:textId="0E2F6097" w:rsidR="00873568" w:rsidRDefault="008515F0" w:rsidP="00292A3B">
                    <w:pPr>
                      <w:spacing w:line="240" w:lineRule="auto"/>
                      <w:jc w:val="center"/>
                      <w:rPr>
                        <w:color w:val="17365D"/>
                        <w:sz w:val="20"/>
                        <w:szCs w:val="20"/>
                      </w:rPr>
                    </w:pPr>
                    <w:r>
                      <w:rPr>
                        <w:color w:val="17365D"/>
                        <w:sz w:val="20"/>
                        <w:szCs w:val="20"/>
                      </w:rPr>
                      <w:t>1_07_FMInfp1_1</w:t>
                    </w:r>
                    <w:r w:rsidR="00602D03">
                      <w:rPr>
                        <w:color w:val="17365D"/>
                        <w:sz w:val="20"/>
                        <w:szCs w:val="20"/>
                      </w:rPr>
                      <w:t>4</w:t>
                    </w:r>
                    <w:r>
                      <w:rPr>
                        <w:color w:val="17365D"/>
                        <w:sz w:val="20"/>
                        <w:szCs w:val="20"/>
                      </w:rPr>
                      <w:t>0</w:t>
                    </w:r>
                    <w:r w:rsidR="00B97176">
                      <w:rPr>
                        <w:color w:val="17365D"/>
                        <w:sz w:val="20"/>
                        <w:szCs w:val="20"/>
                      </w:rPr>
                      <w:t>9</w:t>
                    </w:r>
                    <w:r w:rsidR="00873568">
                      <w:rPr>
                        <w:color w:val="17365D"/>
                        <w:sz w:val="20"/>
                        <w:szCs w:val="20"/>
                      </w:rPr>
                      <w:t>23_sk; Latvijas Republikas 2022</w:t>
                    </w:r>
                    <w:r w:rsidR="00873568" w:rsidRPr="00D8601B">
                      <w:rPr>
                        <w:color w:val="17365D"/>
                        <w:sz w:val="20"/>
                        <w:szCs w:val="20"/>
                      </w:rPr>
                      <w:t>. gada pārskats par valsts budžeta izpildi un par pašvaldību budžetiem; 1. sējums</w:t>
                    </w:r>
                  </w:p>
                  <w:p w14:paraId="45131968" w14:textId="77777777" w:rsidR="00873568" w:rsidRPr="00D8601B" w:rsidRDefault="00873568" w:rsidP="00292A3B">
                    <w:pPr>
                      <w:spacing w:line="240" w:lineRule="auto"/>
                      <w:jc w:val="center"/>
                      <w:rPr>
                        <w:color w:val="17365D"/>
                        <w:sz w:val="20"/>
                        <w:szCs w:val="20"/>
                      </w:rPr>
                    </w:pPr>
                  </w:p>
                  <w:p w14:paraId="23FA14BD" w14:textId="77777777" w:rsidR="00873568" w:rsidRPr="004E5A5E" w:rsidRDefault="00873568" w:rsidP="00292A3B">
                    <w:pPr>
                      <w:jc w:val="center"/>
                      <w:rPr>
                        <w:color w:val="17365D" w:themeColor="text2" w:themeShade="BF"/>
                        <w:sz w:val="20"/>
                        <w:szCs w:val="20"/>
                      </w:rPr>
                    </w:pPr>
                    <w:r w:rsidRPr="000847D9">
                      <w:rPr>
                        <w:color w:val="17365D" w:themeColor="text2" w:themeShade="BF"/>
                        <w:sz w:val="20"/>
                        <w:szCs w:val="20"/>
                      </w:rPr>
                      <w:tab/>
                    </w:r>
                  </w:p>
                </w:txbxContent>
              </v:textbox>
            </v:roundrect>
          </w:pict>
        </mc:Fallback>
      </mc:AlternateContent>
    </w:r>
    <w:r w:rsidRPr="00292A3B">
      <w:rPr>
        <w:noProof/>
        <w:color w:val="17365D"/>
        <w:sz w:val="16"/>
        <w:lang w:eastAsia="lv-LV"/>
      </w:rPr>
      <mc:AlternateContent>
        <mc:Choice Requires="wps">
          <w:drawing>
            <wp:anchor distT="0" distB="0" distL="114300" distR="114300" simplePos="0" relativeHeight="251658243" behindDoc="1" locked="0" layoutInCell="1" allowOverlap="1" wp14:anchorId="0ADE82DC" wp14:editId="75214B58">
              <wp:simplePos x="0" y="0"/>
              <wp:positionH relativeFrom="column">
                <wp:posOffset>5634355</wp:posOffset>
              </wp:positionH>
              <wp:positionV relativeFrom="paragraph">
                <wp:posOffset>44450</wp:posOffset>
              </wp:positionV>
              <wp:extent cx="456565" cy="279400"/>
              <wp:effectExtent l="0" t="0" r="635" b="6350"/>
              <wp:wrapNone/>
              <wp:docPr id="13" name="Rounded Rectangle 13"/>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BF2CF4" id="Rounded Rectangle 13" o:spid="_x0000_s1026" style="position:absolute;margin-left:443.65pt;margin-top:3.5pt;width:35.95pt;height:22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" fillcolor="#dbe5f1 [660]" stroked="f" strokeweight="1pt">
              <v:stroke dashstyle="dash"/>
            </v:roundrect>
          </w:pict>
        </mc:Fallback>
      </mc:AlternateContent>
    </w:r>
    <w:sdt>
      <w:sdtPr>
        <w:id w:val="1192042700"/>
        <w:docPartObj>
          <w:docPartGallery w:val="Page Numbers (Bottom of Page)"/>
          <w:docPartUnique/>
        </w:docPartObj>
      </w:sdtPr>
      <w:sdtEndPr>
        <w:rPr>
          <w:noProof/>
          <w:color w:val="17365D"/>
          <w:sz w:val="20"/>
        </w:rPr>
      </w:sdtEndPr>
      <w:sdtContent>
        <w:r w:rsidRPr="00292A3B">
          <w:rPr>
            <w:color w:val="17365D"/>
            <w:sz w:val="20"/>
          </w:rPr>
          <w:fldChar w:fldCharType="begin"/>
        </w:r>
        <w:r w:rsidRPr="00292A3B">
          <w:rPr>
            <w:color w:val="17365D"/>
            <w:sz w:val="20"/>
          </w:rPr>
          <w:instrText xml:space="preserve"> PAGE   \* MERGEFORMAT </w:instrText>
        </w:r>
        <w:r w:rsidRPr="00292A3B">
          <w:rPr>
            <w:color w:val="17365D"/>
            <w:sz w:val="20"/>
          </w:rPr>
          <w:fldChar w:fldCharType="separate"/>
        </w:r>
        <w:r w:rsidR="00602D03">
          <w:rPr>
            <w:noProof/>
            <w:color w:val="17365D"/>
            <w:sz w:val="20"/>
          </w:rPr>
          <w:t>13</w:t>
        </w:r>
        <w:r w:rsidRPr="00292A3B">
          <w:rPr>
            <w:noProof/>
            <w:color w:val="17365D"/>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25D10" w14:textId="77777777" w:rsidR="00873568" w:rsidRPr="009A3D4A" w:rsidRDefault="00873568" w:rsidP="00C25339">
      <w:pPr>
        <w:spacing w:after="0"/>
        <w:rPr>
          <w:color w:val="17365D"/>
        </w:rPr>
      </w:pPr>
      <w:r w:rsidRPr="009A3D4A">
        <w:rPr>
          <w:color w:val="17365D"/>
        </w:rPr>
        <w:separator/>
      </w:r>
    </w:p>
  </w:footnote>
  <w:footnote w:type="continuationSeparator" w:id="0">
    <w:p w14:paraId="0F5C8D6C" w14:textId="77777777" w:rsidR="00873568" w:rsidRDefault="00873568" w:rsidP="00C25339">
      <w:pPr>
        <w:spacing w:after="0"/>
      </w:pPr>
      <w:r>
        <w:continuationSeparator/>
      </w:r>
    </w:p>
  </w:footnote>
  <w:footnote w:type="continuationNotice" w:id="1">
    <w:p w14:paraId="55072603" w14:textId="77777777" w:rsidR="00873568" w:rsidRDefault="00873568">
      <w:pPr>
        <w:spacing w:after="0" w:line="240" w:lineRule="auto"/>
      </w:pPr>
    </w:p>
  </w:footnote>
  <w:footnote w:id="2">
    <w:p w14:paraId="64F0CB03" w14:textId="77777777" w:rsidR="00873568" w:rsidRPr="006068DD" w:rsidRDefault="00873568" w:rsidP="00954F0C">
      <w:pPr>
        <w:pStyle w:val="FootnoteText"/>
        <w:spacing w:line="240" w:lineRule="auto"/>
        <w:rPr>
          <w:color w:val="17365D"/>
        </w:rPr>
      </w:pPr>
      <w:r w:rsidRPr="006068DD">
        <w:rPr>
          <w:rStyle w:val="FootnoteReference"/>
          <w:color w:val="17365D"/>
        </w:rPr>
        <w:footnoteRef/>
      </w:r>
      <w:r w:rsidRPr="006068DD">
        <w:rPr>
          <w:color w:val="17365D"/>
        </w:rPr>
        <w:t xml:space="preserve"> Saeima un Valsts kontrole</w:t>
      </w:r>
    </w:p>
  </w:footnote>
  <w:footnote w:id="3">
    <w:p w14:paraId="04A92BED" w14:textId="1FD35945" w:rsidR="00873568" w:rsidRDefault="00873568" w:rsidP="00954F0C">
      <w:pPr>
        <w:pStyle w:val="FootnoteText"/>
      </w:pPr>
      <w:r w:rsidRPr="00465C57">
        <w:rPr>
          <w:rStyle w:val="FootnoteReference"/>
          <w:color w:val="17365D"/>
        </w:rPr>
        <w:footnoteRef/>
      </w:r>
      <w:r>
        <w:t xml:space="preserve"> </w:t>
      </w:r>
      <w:r w:rsidRPr="00465C57">
        <w:rPr>
          <w:rFonts w:cs="Times New Roman"/>
          <w:color w:val="17365D"/>
        </w:rPr>
        <w:t>Aizsardzības ministrija, Finanšu ministrija</w:t>
      </w:r>
      <w:r w:rsidR="00780659">
        <w:rPr>
          <w:rFonts w:cs="Times New Roman"/>
          <w:color w:val="17365D"/>
        </w:rPr>
        <w:t>, Ekonomikas ministrija</w:t>
      </w:r>
      <w:r>
        <w:rPr>
          <w:rFonts w:cs="Times New Roman"/>
          <w:color w:val="17365D"/>
        </w:rPr>
        <w:t xml:space="preserve"> un</w:t>
      </w:r>
      <w:r w:rsidRPr="00465C57">
        <w:rPr>
          <w:rFonts w:cs="Times New Roman"/>
          <w:color w:val="17365D"/>
        </w:rPr>
        <w:t xml:space="preserve"> </w:t>
      </w:r>
      <w:r>
        <w:rPr>
          <w:rFonts w:cs="Times New Roman"/>
          <w:color w:val="17365D"/>
        </w:rPr>
        <w:t>Kultūras</w:t>
      </w:r>
      <w:r w:rsidRPr="00465C57">
        <w:rPr>
          <w:rFonts w:cs="Times New Roman"/>
          <w:color w:val="17365D"/>
        </w:rPr>
        <w:t xml:space="preserve"> ministrija</w:t>
      </w:r>
    </w:p>
  </w:footnote>
  <w:footnote w:id="4">
    <w:p w14:paraId="6906E3E9" w14:textId="27425E9E" w:rsidR="00873568" w:rsidRPr="006068DD" w:rsidRDefault="00873568" w:rsidP="00954F0C">
      <w:pPr>
        <w:pStyle w:val="CommentText"/>
        <w:spacing w:after="0" w:line="240" w:lineRule="auto"/>
        <w:jc w:val="both"/>
        <w:rPr>
          <w:rFonts w:cs="Times New Roman"/>
          <w:color w:val="17365D"/>
        </w:rPr>
      </w:pPr>
      <w:r w:rsidRPr="006068DD">
        <w:rPr>
          <w:rStyle w:val="FootnoteReference"/>
          <w:rFonts w:cs="Times New Roman"/>
          <w:color w:val="17365D"/>
        </w:rPr>
        <w:footnoteRef/>
      </w:r>
      <w:r w:rsidRPr="006068DD">
        <w:rPr>
          <w:rFonts w:cs="Times New Roman"/>
          <w:color w:val="17365D"/>
        </w:rPr>
        <w:t xml:space="preserve"> </w:t>
      </w:r>
      <w:r>
        <w:rPr>
          <w:rFonts w:cs="Times New Roman"/>
          <w:color w:val="17365D"/>
        </w:rPr>
        <w:t>Valsts Prezidenta kanceleja</w:t>
      </w:r>
    </w:p>
  </w:footnote>
  <w:footnote w:id="5">
    <w:p w14:paraId="4862400E" w14:textId="4BC48633" w:rsidR="00873568" w:rsidRPr="006068DD" w:rsidRDefault="00873568" w:rsidP="00954F0C">
      <w:pPr>
        <w:pStyle w:val="FootnoteText"/>
        <w:spacing w:line="240" w:lineRule="auto"/>
        <w:jc w:val="both"/>
        <w:rPr>
          <w:color w:val="17365D"/>
        </w:rPr>
      </w:pPr>
      <w:r w:rsidRPr="006068DD">
        <w:rPr>
          <w:rStyle w:val="FootnoteReference"/>
          <w:color w:val="17365D"/>
        </w:rPr>
        <w:footnoteRef/>
      </w:r>
      <w:r w:rsidRPr="006068DD">
        <w:rPr>
          <w:color w:val="17365D"/>
        </w:rPr>
        <w:t xml:space="preserve"> </w:t>
      </w:r>
      <w:r>
        <w:rPr>
          <w:color w:val="17365D"/>
        </w:rPr>
        <w:t>Balvu novada pašvaldība un Līvānu novada pašvaldība</w:t>
      </w:r>
    </w:p>
  </w:footnote>
  <w:footnote w:id="6">
    <w:p w14:paraId="7C402DD4" w14:textId="1CCA6E11" w:rsidR="00873568" w:rsidRPr="006068DD" w:rsidRDefault="00873568" w:rsidP="00954F0C">
      <w:pPr>
        <w:pStyle w:val="FootnoteText"/>
        <w:spacing w:line="240" w:lineRule="auto"/>
        <w:jc w:val="both"/>
        <w:rPr>
          <w:color w:val="17365D"/>
        </w:rPr>
      </w:pPr>
      <w:r w:rsidRPr="006068DD">
        <w:rPr>
          <w:rStyle w:val="FootnoteReference"/>
          <w:color w:val="17365D"/>
        </w:rPr>
        <w:footnoteRef/>
      </w:r>
      <w:r w:rsidRPr="006068DD">
        <w:rPr>
          <w:color w:val="17365D"/>
        </w:rPr>
        <w:t xml:space="preserve"> Liepājas </w:t>
      </w:r>
      <w:proofErr w:type="spellStart"/>
      <w:r>
        <w:rPr>
          <w:color w:val="17365D"/>
        </w:rPr>
        <w:t>valsts</w:t>
      </w:r>
      <w:r w:rsidRPr="006068DD">
        <w:rPr>
          <w:color w:val="17365D"/>
        </w:rPr>
        <w:t>pilsētas</w:t>
      </w:r>
      <w:proofErr w:type="spellEnd"/>
      <w:r w:rsidRPr="006068DD">
        <w:rPr>
          <w:color w:val="17365D"/>
        </w:rPr>
        <w:t xml:space="preserve"> pašvaldība</w:t>
      </w:r>
    </w:p>
  </w:footnote>
  <w:footnote w:id="7">
    <w:p w14:paraId="452B0890" w14:textId="103B2648" w:rsidR="00873568" w:rsidRPr="006068DD" w:rsidRDefault="00873568" w:rsidP="00954F0C">
      <w:pPr>
        <w:pStyle w:val="FootnoteText"/>
        <w:spacing w:line="240" w:lineRule="auto"/>
        <w:jc w:val="both"/>
        <w:rPr>
          <w:color w:val="17365D"/>
        </w:rPr>
      </w:pPr>
      <w:r w:rsidRPr="006068DD">
        <w:rPr>
          <w:rStyle w:val="FootnoteReference"/>
          <w:color w:val="17365D"/>
        </w:rPr>
        <w:footnoteRef/>
      </w:r>
      <w:r w:rsidRPr="006068DD">
        <w:rPr>
          <w:color w:val="17365D"/>
        </w:rPr>
        <w:t xml:space="preserve"> </w:t>
      </w:r>
      <w:r>
        <w:rPr>
          <w:color w:val="17365D"/>
        </w:rPr>
        <w:t>Ogres</w:t>
      </w:r>
      <w:r w:rsidRPr="006068DD">
        <w:rPr>
          <w:color w:val="17365D"/>
        </w:rPr>
        <w:t xml:space="preserve"> novada pašvaldība</w:t>
      </w:r>
      <w:r>
        <w:rPr>
          <w:color w:val="17365D"/>
        </w:rPr>
        <w:t>, Ropažu novada pašvaldība, Preiļu novada pašvaldība</w:t>
      </w:r>
    </w:p>
  </w:footnote>
  <w:footnote w:id="8">
    <w:p w14:paraId="12E3977E" w14:textId="48B39DD3" w:rsidR="00873568" w:rsidRPr="00DB0E31" w:rsidRDefault="00873568" w:rsidP="00AB2439">
      <w:pPr>
        <w:pStyle w:val="FootnoteText"/>
      </w:pPr>
      <w:r>
        <w:rPr>
          <w:rStyle w:val="FootnoteReference"/>
        </w:rPr>
        <w:footnoteRef/>
      </w:r>
      <w:r>
        <w:t xml:space="preserve"> </w:t>
      </w:r>
      <w:r w:rsidRPr="000355A9">
        <w:rPr>
          <w:color w:val="17365D"/>
        </w:rPr>
        <w:t>VK stratēģija publicēta:</w:t>
      </w:r>
      <w:r w:rsidRPr="000355A9">
        <w:t xml:space="preserve"> </w:t>
      </w:r>
      <w:hyperlink r:id="rId1" w:history="1">
        <w:r w:rsidRPr="00B1393D">
          <w:rPr>
            <w:rStyle w:val="Hyperlink"/>
            <w:color w:val="17365D"/>
            <w:u w:color="17365D"/>
          </w:rPr>
          <w:t>https://www.kase.gov.lv/sites/default/files/public/SSD/PVNLVS/PVNLVS_2018.pdf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252BA" w14:textId="77777777" w:rsidR="00873568" w:rsidRPr="00AE79FE" w:rsidRDefault="00873568" w:rsidP="000B5A76">
    <w:pPr>
      <w:pStyle w:val="Header"/>
      <w:jc w:val="center"/>
      <w:rPr>
        <w:caps/>
        <w:color w:val="17365D"/>
        <w:sz w:val="20"/>
        <w:szCs w:val="20"/>
      </w:rPr>
    </w:pPr>
    <w:r>
      <w:rPr>
        <w:caps/>
        <w:color w:val="17365D"/>
        <w:sz w:val="20"/>
        <w:szCs w:val="20"/>
      </w:rPr>
      <w:t>finanšu pārskata pielikums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2AA8C" w14:textId="77777777" w:rsidR="00873568" w:rsidRPr="00AE79FE" w:rsidRDefault="00873568" w:rsidP="000B5A76">
    <w:pPr>
      <w:pStyle w:val="Header"/>
      <w:jc w:val="center"/>
      <w:rPr>
        <w:caps/>
        <w:color w:val="17365D"/>
        <w:sz w:val="20"/>
        <w:szCs w:val="20"/>
      </w:rPr>
    </w:pPr>
    <w:r>
      <w:rPr>
        <w:caps/>
        <w:color w:val="17365D"/>
        <w:sz w:val="20"/>
        <w:szCs w:val="20"/>
      </w:rPr>
      <w:t>finanšu pārskata pielikums</w:t>
    </w:r>
  </w:p>
  <w:p w14:paraId="4EE585C4" w14:textId="2968152B" w:rsidR="00873568" w:rsidRDefault="00873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3441"/>
    <w:multiLevelType w:val="hybridMultilevel"/>
    <w:tmpl w:val="DFD22E44"/>
    <w:lvl w:ilvl="0" w:tplc="04260001">
      <w:start w:val="1"/>
      <w:numFmt w:val="bullet"/>
      <w:lvlText w:val=""/>
      <w:lvlJc w:val="left"/>
      <w:pPr>
        <w:ind w:left="2880" w:hanging="360"/>
      </w:pPr>
      <w:rPr>
        <w:rFonts w:ascii="Symbol" w:hAnsi="Symbol" w:hint="default"/>
      </w:rPr>
    </w:lvl>
    <w:lvl w:ilvl="1" w:tplc="04260003" w:tentative="1">
      <w:start w:val="1"/>
      <w:numFmt w:val="bullet"/>
      <w:lvlText w:val="o"/>
      <w:lvlJc w:val="left"/>
      <w:pPr>
        <w:ind w:left="3600" w:hanging="360"/>
      </w:pPr>
      <w:rPr>
        <w:rFonts w:ascii="Courier New" w:hAnsi="Courier New" w:cs="Courier New" w:hint="default"/>
      </w:rPr>
    </w:lvl>
    <w:lvl w:ilvl="2" w:tplc="04260005" w:tentative="1">
      <w:start w:val="1"/>
      <w:numFmt w:val="bullet"/>
      <w:lvlText w:val=""/>
      <w:lvlJc w:val="left"/>
      <w:pPr>
        <w:ind w:left="4320" w:hanging="360"/>
      </w:pPr>
      <w:rPr>
        <w:rFonts w:ascii="Wingdings" w:hAnsi="Wingdings" w:hint="default"/>
      </w:rPr>
    </w:lvl>
    <w:lvl w:ilvl="3" w:tplc="04260001" w:tentative="1">
      <w:start w:val="1"/>
      <w:numFmt w:val="bullet"/>
      <w:lvlText w:val=""/>
      <w:lvlJc w:val="left"/>
      <w:pPr>
        <w:ind w:left="5040" w:hanging="360"/>
      </w:pPr>
      <w:rPr>
        <w:rFonts w:ascii="Symbol" w:hAnsi="Symbol" w:hint="default"/>
      </w:rPr>
    </w:lvl>
    <w:lvl w:ilvl="4" w:tplc="04260003" w:tentative="1">
      <w:start w:val="1"/>
      <w:numFmt w:val="bullet"/>
      <w:lvlText w:val="o"/>
      <w:lvlJc w:val="left"/>
      <w:pPr>
        <w:ind w:left="5760" w:hanging="360"/>
      </w:pPr>
      <w:rPr>
        <w:rFonts w:ascii="Courier New" w:hAnsi="Courier New" w:cs="Courier New" w:hint="default"/>
      </w:rPr>
    </w:lvl>
    <w:lvl w:ilvl="5" w:tplc="04260005" w:tentative="1">
      <w:start w:val="1"/>
      <w:numFmt w:val="bullet"/>
      <w:lvlText w:val=""/>
      <w:lvlJc w:val="left"/>
      <w:pPr>
        <w:ind w:left="6480" w:hanging="360"/>
      </w:pPr>
      <w:rPr>
        <w:rFonts w:ascii="Wingdings" w:hAnsi="Wingdings" w:hint="default"/>
      </w:rPr>
    </w:lvl>
    <w:lvl w:ilvl="6" w:tplc="04260001" w:tentative="1">
      <w:start w:val="1"/>
      <w:numFmt w:val="bullet"/>
      <w:lvlText w:val=""/>
      <w:lvlJc w:val="left"/>
      <w:pPr>
        <w:ind w:left="7200" w:hanging="360"/>
      </w:pPr>
      <w:rPr>
        <w:rFonts w:ascii="Symbol" w:hAnsi="Symbol" w:hint="default"/>
      </w:rPr>
    </w:lvl>
    <w:lvl w:ilvl="7" w:tplc="04260003" w:tentative="1">
      <w:start w:val="1"/>
      <w:numFmt w:val="bullet"/>
      <w:lvlText w:val="o"/>
      <w:lvlJc w:val="left"/>
      <w:pPr>
        <w:ind w:left="7920" w:hanging="360"/>
      </w:pPr>
      <w:rPr>
        <w:rFonts w:ascii="Courier New" w:hAnsi="Courier New" w:cs="Courier New" w:hint="default"/>
      </w:rPr>
    </w:lvl>
    <w:lvl w:ilvl="8" w:tplc="04260005" w:tentative="1">
      <w:start w:val="1"/>
      <w:numFmt w:val="bullet"/>
      <w:lvlText w:val=""/>
      <w:lvlJc w:val="left"/>
      <w:pPr>
        <w:ind w:left="8640" w:hanging="360"/>
      </w:pPr>
      <w:rPr>
        <w:rFonts w:ascii="Wingdings" w:hAnsi="Wingdings" w:hint="default"/>
      </w:rPr>
    </w:lvl>
  </w:abstractNum>
  <w:abstractNum w:abstractNumId="1" w15:restartNumberingAfterBreak="0">
    <w:nsid w:val="02EC3B77"/>
    <w:multiLevelType w:val="hybridMultilevel"/>
    <w:tmpl w:val="02885E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4072E52"/>
    <w:multiLevelType w:val="hybridMultilevel"/>
    <w:tmpl w:val="6F88552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53E3A78"/>
    <w:multiLevelType w:val="hybridMultilevel"/>
    <w:tmpl w:val="AB2E7EBA"/>
    <w:lvl w:ilvl="0" w:tplc="04260001">
      <w:start w:val="1"/>
      <w:numFmt w:val="bullet"/>
      <w:lvlText w:val=""/>
      <w:lvlJc w:val="left"/>
      <w:pPr>
        <w:ind w:left="1344" w:hanging="360"/>
      </w:pPr>
      <w:rPr>
        <w:rFonts w:ascii="Symbol" w:hAnsi="Symbol" w:hint="default"/>
      </w:rPr>
    </w:lvl>
    <w:lvl w:ilvl="1" w:tplc="04260003" w:tentative="1">
      <w:start w:val="1"/>
      <w:numFmt w:val="bullet"/>
      <w:lvlText w:val="o"/>
      <w:lvlJc w:val="left"/>
      <w:pPr>
        <w:ind w:left="2064" w:hanging="360"/>
      </w:pPr>
      <w:rPr>
        <w:rFonts w:ascii="Courier New" w:hAnsi="Courier New" w:cs="Courier New" w:hint="default"/>
      </w:rPr>
    </w:lvl>
    <w:lvl w:ilvl="2" w:tplc="04260005" w:tentative="1">
      <w:start w:val="1"/>
      <w:numFmt w:val="bullet"/>
      <w:lvlText w:val=""/>
      <w:lvlJc w:val="left"/>
      <w:pPr>
        <w:ind w:left="2784" w:hanging="360"/>
      </w:pPr>
      <w:rPr>
        <w:rFonts w:ascii="Wingdings" w:hAnsi="Wingdings" w:hint="default"/>
      </w:rPr>
    </w:lvl>
    <w:lvl w:ilvl="3" w:tplc="04260001" w:tentative="1">
      <w:start w:val="1"/>
      <w:numFmt w:val="bullet"/>
      <w:lvlText w:val=""/>
      <w:lvlJc w:val="left"/>
      <w:pPr>
        <w:ind w:left="3504" w:hanging="360"/>
      </w:pPr>
      <w:rPr>
        <w:rFonts w:ascii="Symbol" w:hAnsi="Symbol" w:hint="default"/>
      </w:rPr>
    </w:lvl>
    <w:lvl w:ilvl="4" w:tplc="04260003" w:tentative="1">
      <w:start w:val="1"/>
      <w:numFmt w:val="bullet"/>
      <w:lvlText w:val="o"/>
      <w:lvlJc w:val="left"/>
      <w:pPr>
        <w:ind w:left="4224" w:hanging="360"/>
      </w:pPr>
      <w:rPr>
        <w:rFonts w:ascii="Courier New" w:hAnsi="Courier New" w:cs="Courier New" w:hint="default"/>
      </w:rPr>
    </w:lvl>
    <w:lvl w:ilvl="5" w:tplc="04260005" w:tentative="1">
      <w:start w:val="1"/>
      <w:numFmt w:val="bullet"/>
      <w:lvlText w:val=""/>
      <w:lvlJc w:val="left"/>
      <w:pPr>
        <w:ind w:left="4944" w:hanging="360"/>
      </w:pPr>
      <w:rPr>
        <w:rFonts w:ascii="Wingdings" w:hAnsi="Wingdings" w:hint="default"/>
      </w:rPr>
    </w:lvl>
    <w:lvl w:ilvl="6" w:tplc="04260001" w:tentative="1">
      <w:start w:val="1"/>
      <w:numFmt w:val="bullet"/>
      <w:lvlText w:val=""/>
      <w:lvlJc w:val="left"/>
      <w:pPr>
        <w:ind w:left="5664" w:hanging="360"/>
      </w:pPr>
      <w:rPr>
        <w:rFonts w:ascii="Symbol" w:hAnsi="Symbol" w:hint="default"/>
      </w:rPr>
    </w:lvl>
    <w:lvl w:ilvl="7" w:tplc="04260003" w:tentative="1">
      <w:start w:val="1"/>
      <w:numFmt w:val="bullet"/>
      <w:lvlText w:val="o"/>
      <w:lvlJc w:val="left"/>
      <w:pPr>
        <w:ind w:left="6384" w:hanging="360"/>
      </w:pPr>
      <w:rPr>
        <w:rFonts w:ascii="Courier New" w:hAnsi="Courier New" w:cs="Courier New" w:hint="default"/>
      </w:rPr>
    </w:lvl>
    <w:lvl w:ilvl="8" w:tplc="04260005" w:tentative="1">
      <w:start w:val="1"/>
      <w:numFmt w:val="bullet"/>
      <w:lvlText w:val=""/>
      <w:lvlJc w:val="left"/>
      <w:pPr>
        <w:ind w:left="7104" w:hanging="360"/>
      </w:pPr>
      <w:rPr>
        <w:rFonts w:ascii="Wingdings" w:hAnsi="Wingdings" w:hint="default"/>
      </w:rPr>
    </w:lvl>
  </w:abstractNum>
  <w:abstractNum w:abstractNumId="4" w15:restartNumberingAfterBreak="0">
    <w:nsid w:val="060E64CE"/>
    <w:multiLevelType w:val="hybridMultilevel"/>
    <w:tmpl w:val="D15C669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76F5CF6"/>
    <w:multiLevelType w:val="hybridMultilevel"/>
    <w:tmpl w:val="255466CC"/>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6" w15:restartNumberingAfterBreak="0">
    <w:nsid w:val="08920727"/>
    <w:multiLevelType w:val="hybridMultilevel"/>
    <w:tmpl w:val="38EE6FA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08AC5EA3"/>
    <w:multiLevelType w:val="multilevel"/>
    <w:tmpl w:val="B64277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4."/>
      <w:lvlJc w:val="left"/>
      <w:pPr>
        <w:tabs>
          <w:tab w:val="num" w:pos="864"/>
        </w:tabs>
        <w:ind w:left="864" w:hanging="864"/>
      </w:pPr>
    </w:lvl>
    <w:lvl w:ilvl="4">
      <w:start w:val="1"/>
      <w:numFmt w:val="decimal"/>
      <w:lvlText w:val="%1.%2.%5."/>
      <w:lvlJc w:val="left"/>
      <w:pPr>
        <w:tabs>
          <w:tab w:val="num" w:pos="1008"/>
        </w:tabs>
        <w:ind w:left="1008" w:hanging="1008"/>
      </w:pPr>
    </w:lvl>
    <w:lvl w:ilvl="5">
      <w:start w:val="1"/>
      <w:numFmt w:val="decimal"/>
      <w:pStyle w:val="BodyText3"/>
      <w:lvlText w:val="%1.%2.%3.%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D477CDC"/>
    <w:multiLevelType w:val="hybridMultilevel"/>
    <w:tmpl w:val="ACD4AC16"/>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9" w15:restartNumberingAfterBreak="0">
    <w:nsid w:val="0D4E16BF"/>
    <w:multiLevelType w:val="hybridMultilevel"/>
    <w:tmpl w:val="93B891D4"/>
    <w:lvl w:ilvl="0" w:tplc="04260001">
      <w:start w:val="1"/>
      <w:numFmt w:val="bullet"/>
      <w:lvlText w:val=""/>
      <w:lvlJc w:val="left"/>
      <w:pPr>
        <w:ind w:left="1146" w:hanging="360"/>
      </w:pPr>
      <w:rPr>
        <w:rFonts w:ascii="Symbol" w:hAnsi="Symbol" w:hint="default"/>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10" w15:restartNumberingAfterBreak="0">
    <w:nsid w:val="0EC67138"/>
    <w:multiLevelType w:val="hybridMultilevel"/>
    <w:tmpl w:val="A7D07732"/>
    <w:lvl w:ilvl="0" w:tplc="04260001">
      <w:start w:val="1"/>
      <w:numFmt w:val="bullet"/>
      <w:lvlText w:val=""/>
      <w:lvlJc w:val="left"/>
      <w:pPr>
        <w:ind w:left="1724" w:hanging="360"/>
      </w:pPr>
      <w:rPr>
        <w:rFonts w:ascii="Symbol" w:hAnsi="Symbol" w:hint="default"/>
      </w:rPr>
    </w:lvl>
    <w:lvl w:ilvl="1" w:tplc="04260003" w:tentative="1">
      <w:start w:val="1"/>
      <w:numFmt w:val="bullet"/>
      <w:lvlText w:val="o"/>
      <w:lvlJc w:val="left"/>
      <w:pPr>
        <w:ind w:left="2444" w:hanging="360"/>
      </w:pPr>
      <w:rPr>
        <w:rFonts w:ascii="Courier New" w:hAnsi="Courier New" w:cs="Courier New" w:hint="default"/>
      </w:rPr>
    </w:lvl>
    <w:lvl w:ilvl="2" w:tplc="04260005" w:tentative="1">
      <w:start w:val="1"/>
      <w:numFmt w:val="bullet"/>
      <w:lvlText w:val=""/>
      <w:lvlJc w:val="left"/>
      <w:pPr>
        <w:ind w:left="3164" w:hanging="360"/>
      </w:pPr>
      <w:rPr>
        <w:rFonts w:ascii="Wingdings" w:hAnsi="Wingdings" w:hint="default"/>
      </w:rPr>
    </w:lvl>
    <w:lvl w:ilvl="3" w:tplc="04260001" w:tentative="1">
      <w:start w:val="1"/>
      <w:numFmt w:val="bullet"/>
      <w:lvlText w:val=""/>
      <w:lvlJc w:val="left"/>
      <w:pPr>
        <w:ind w:left="3884" w:hanging="360"/>
      </w:pPr>
      <w:rPr>
        <w:rFonts w:ascii="Symbol" w:hAnsi="Symbol" w:hint="default"/>
      </w:rPr>
    </w:lvl>
    <w:lvl w:ilvl="4" w:tplc="04260003" w:tentative="1">
      <w:start w:val="1"/>
      <w:numFmt w:val="bullet"/>
      <w:lvlText w:val="o"/>
      <w:lvlJc w:val="left"/>
      <w:pPr>
        <w:ind w:left="4604" w:hanging="360"/>
      </w:pPr>
      <w:rPr>
        <w:rFonts w:ascii="Courier New" w:hAnsi="Courier New" w:cs="Courier New" w:hint="default"/>
      </w:rPr>
    </w:lvl>
    <w:lvl w:ilvl="5" w:tplc="04260005" w:tentative="1">
      <w:start w:val="1"/>
      <w:numFmt w:val="bullet"/>
      <w:lvlText w:val=""/>
      <w:lvlJc w:val="left"/>
      <w:pPr>
        <w:ind w:left="5324" w:hanging="360"/>
      </w:pPr>
      <w:rPr>
        <w:rFonts w:ascii="Wingdings" w:hAnsi="Wingdings" w:hint="default"/>
      </w:rPr>
    </w:lvl>
    <w:lvl w:ilvl="6" w:tplc="04260001" w:tentative="1">
      <w:start w:val="1"/>
      <w:numFmt w:val="bullet"/>
      <w:lvlText w:val=""/>
      <w:lvlJc w:val="left"/>
      <w:pPr>
        <w:ind w:left="6044" w:hanging="360"/>
      </w:pPr>
      <w:rPr>
        <w:rFonts w:ascii="Symbol" w:hAnsi="Symbol" w:hint="default"/>
      </w:rPr>
    </w:lvl>
    <w:lvl w:ilvl="7" w:tplc="04260003" w:tentative="1">
      <w:start w:val="1"/>
      <w:numFmt w:val="bullet"/>
      <w:lvlText w:val="o"/>
      <w:lvlJc w:val="left"/>
      <w:pPr>
        <w:ind w:left="6764" w:hanging="360"/>
      </w:pPr>
      <w:rPr>
        <w:rFonts w:ascii="Courier New" w:hAnsi="Courier New" w:cs="Courier New" w:hint="default"/>
      </w:rPr>
    </w:lvl>
    <w:lvl w:ilvl="8" w:tplc="04260005" w:tentative="1">
      <w:start w:val="1"/>
      <w:numFmt w:val="bullet"/>
      <w:lvlText w:val=""/>
      <w:lvlJc w:val="left"/>
      <w:pPr>
        <w:ind w:left="7484" w:hanging="360"/>
      </w:pPr>
      <w:rPr>
        <w:rFonts w:ascii="Wingdings" w:hAnsi="Wingdings" w:hint="default"/>
      </w:rPr>
    </w:lvl>
  </w:abstractNum>
  <w:abstractNum w:abstractNumId="11" w15:restartNumberingAfterBreak="0">
    <w:nsid w:val="12987848"/>
    <w:multiLevelType w:val="hybridMultilevel"/>
    <w:tmpl w:val="2D2C5344"/>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12" w15:restartNumberingAfterBreak="0">
    <w:nsid w:val="148D0C24"/>
    <w:multiLevelType w:val="hybridMultilevel"/>
    <w:tmpl w:val="EA984E78"/>
    <w:lvl w:ilvl="0" w:tplc="04260001">
      <w:start w:val="1"/>
      <w:numFmt w:val="bullet"/>
      <w:lvlText w:val=""/>
      <w:lvlJc w:val="left"/>
      <w:pPr>
        <w:ind w:left="1287"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3" w15:restartNumberingAfterBreak="0">
    <w:nsid w:val="15AC28AC"/>
    <w:multiLevelType w:val="hybridMultilevel"/>
    <w:tmpl w:val="FDEAC076"/>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14" w15:restartNumberingAfterBreak="0">
    <w:nsid w:val="26E85DE8"/>
    <w:multiLevelType w:val="hybridMultilevel"/>
    <w:tmpl w:val="3410A588"/>
    <w:lvl w:ilvl="0" w:tplc="04260001">
      <w:start w:val="1"/>
      <w:numFmt w:val="bullet"/>
      <w:lvlText w:val=""/>
      <w:lvlJc w:val="left"/>
      <w:pPr>
        <w:ind w:left="1080" w:hanging="360"/>
      </w:pPr>
      <w:rPr>
        <w:rFonts w:ascii="Symbol" w:hAnsi="Symbol" w:hint="default"/>
      </w:rPr>
    </w:lvl>
    <w:lvl w:ilvl="1" w:tplc="04260003">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5" w15:restartNumberingAfterBreak="0">
    <w:nsid w:val="28B558EE"/>
    <w:multiLevelType w:val="multilevel"/>
    <w:tmpl w:val="64684FCC"/>
    <w:styleLink w:val="Numercij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BC01D20"/>
    <w:multiLevelType w:val="hybridMultilevel"/>
    <w:tmpl w:val="2BDACAB6"/>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7" w15:restartNumberingAfterBreak="0">
    <w:nsid w:val="2BC02EAD"/>
    <w:multiLevelType w:val="hybridMultilevel"/>
    <w:tmpl w:val="2E409536"/>
    <w:lvl w:ilvl="0" w:tplc="BBFE7870">
      <w:start w:val="1"/>
      <w:numFmt w:val="bullet"/>
      <w:lvlText w:val=""/>
      <w:lvlJc w:val="left"/>
      <w:pPr>
        <w:ind w:left="1287" w:hanging="360"/>
      </w:pPr>
      <w:rPr>
        <w:rFonts w:ascii="Symbol" w:hAnsi="Symbol" w:hint="default"/>
        <w:color w:val="17365D"/>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8" w15:restartNumberingAfterBreak="0">
    <w:nsid w:val="2F7B4672"/>
    <w:multiLevelType w:val="hybridMultilevel"/>
    <w:tmpl w:val="534E673C"/>
    <w:lvl w:ilvl="0" w:tplc="04260001">
      <w:start w:val="1"/>
      <w:numFmt w:val="bullet"/>
      <w:lvlText w:val=""/>
      <w:lvlJc w:val="left"/>
      <w:pPr>
        <w:ind w:left="2007" w:hanging="360"/>
      </w:pPr>
      <w:rPr>
        <w:rFonts w:ascii="Symbol" w:hAnsi="Symbol" w:hint="default"/>
      </w:rPr>
    </w:lvl>
    <w:lvl w:ilvl="1" w:tplc="04260003" w:tentative="1">
      <w:start w:val="1"/>
      <w:numFmt w:val="bullet"/>
      <w:lvlText w:val="o"/>
      <w:lvlJc w:val="left"/>
      <w:pPr>
        <w:ind w:left="2727" w:hanging="360"/>
      </w:pPr>
      <w:rPr>
        <w:rFonts w:ascii="Courier New" w:hAnsi="Courier New" w:cs="Courier New" w:hint="default"/>
      </w:rPr>
    </w:lvl>
    <w:lvl w:ilvl="2" w:tplc="04260005" w:tentative="1">
      <w:start w:val="1"/>
      <w:numFmt w:val="bullet"/>
      <w:lvlText w:val=""/>
      <w:lvlJc w:val="left"/>
      <w:pPr>
        <w:ind w:left="3447" w:hanging="360"/>
      </w:pPr>
      <w:rPr>
        <w:rFonts w:ascii="Wingdings" w:hAnsi="Wingdings" w:hint="default"/>
      </w:rPr>
    </w:lvl>
    <w:lvl w:ilvl="3" w:tplc="04260001" w:tentative="1">
      <w:start w:val="1"/>
      <w:numFmt w:val="bullet"/>
      <w:lvlText w:val=""/>
      <w:lvlJc w:val="left"/>
      <w:pPr>
        <w:ind w:left="4167" w:hanging="360"/>
      </w:pPr>
      <w:rPr>
        <w:rFonts w:ascii="Symbol" w:hAnsi="Symbol" w:hint="default"/>
      </w:rPr>
    </w:lvl>
    <w:lvl w:ilvl="4" w:tplc="04260003" w:tentative="1">
      <w:start w:val="1"/>
      <w:numFmt w:val="bullet"/>
      <w:lvlText w:val="o"/>
      <w:lvlJc w:val="left"/>
      <w:pPr>
        <w:ind w:left="4887" w:hanging="360"/>
      </w:pPr>
      <w:rPr>
        <w:rFonts w:ascii="Courier New" w:hAnsi="Courier New" w:cs="Courier New" w:hint="default"/>
      </w:rPr>
    </w:lvl>
    <w:lvl w:ilvl="5" w:tplc="04260005" w:tentative="1">
      <w:start w:val="1"/>
      <w:numFmt w:val="bullet"/>
      <w:lvlText w:val=""/>
      <w:lvlJc w:val="left"/>
      <w:pPr>
        <w:ind w:left="5607" w:hanging="360"/>
      </w:pPr>
      <w:rPr>
        <w:rFonts w:ascii="Wingdings" w:hAnsi="Wingdings" w:hint="default"/>
      </w:rPr>
    </w:lvl>
    <w:lvl w:ilvl="6" w:tplc="04260001" w:tentative="1">
      <w:start w:val="1"/>
      <w:numFmt w:val="bullet"/>
      <w:lvlText w:val=""/>
      <w:lvlJc w:val="left"/>
      <w:pPr>
        <w:ind w:left="6327" w:hanging="360"/>
      </w:pPr>
      <w:rPr>
        <w:rFonts w:ascii="Symbol" w:hAnsi="Symbol" w:hint="default"/>
      </w:rPr>
    </w:lvl>
    <w:lvl w:ilvl="7" w:tplc="04260003" w:tentative="1">
      <w:start w:val="1"/>
      <w:numFmt w:val="bullet"/>
      <w:lvlText w:val="o"/>
      <w:lvlJc w:val="left"/>
      <w:pPr>
        <w:ind w:left="7047" w:hanging="360"/>
      </w:pPr>
      <w:rPr>
        <w:rFonts w:ascii="Courier New" w:hAnsi="Courier New" w:cs="Courier New" w:hint="default"/>
      </w:rPr>
    </w:lvl>
    <w:lvl w:ilvl="8" w:tplc="04260005" w:tentative="1">
      <w:start w:val="1"/>
      <w:numFmt w:val="bullet"/>
      <w:lvlText w:val=""/>
      <w:lvlJc w:val="left"/>
      <w:pPr>
        <w:ind w:left="7767" w:hanging="360"/>
      </w:pPr>
      <w:rPr>
        <w:rFonts w:ascii="Wingdings" w:hAnsi="Wingdings" w:hint="default"/>
      </w:rPr>
    </w:lvl>
  </w:abstractNum>
  <w:abstractNum w:abstractNumId="19" w15:restartNumberingAfterBreak="0">
    <w:nsid w:val="2FCD78EA"/>
    <w:multiLevelType w:val="multilevel"/>
    <w:tmpl w:val="63CAD210"/>
    <w:styleLink w:val="StyleOutlinenumberedLeft0cmHanging063cm"/>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ind w:left="4320" w:hanging="2052"/>
      </w:pPr>
      <w:rPr>
        <w:rFonts w:hint="default"/>
      </w:rPr>
    </w:lvl>
  </w:abstractNum>
  <w:abstractNum w:abstractNumId="20" w15:restartNumberingAfterBreak="0">
    <w:nsid w:val="34E617B7"/>
    <w:multiLevelType w:val="multilevel"/>
    <w:tmpl w:val="7A28ED92"/>
    <w:lvl w:ilvl="0">
      <w:start w:val="1"/>
      <w:numFmt w:val="decimal"/>
      <w:pStyle w:val="Lielievirsraksti"/>
      <w:lvlText w:val="%1."/>
      <w:lvlJc w:val="left"/>
      <w:pPr>
        <w:tabs>
          <w:tab w:val="num" w:pos="360"/>
        </w:tabs>
        <w:ind w:left="360" w:hanging="360"/>
      </w:pPr>
      <w:rPr>
        <w:rFonts w:hint="default"/>
      </w:rPr>
    </w:lvl>
    <w:lvl w:ilvl="1">
      <w:start w:val="1"/>
      <w:numFmt w:val="decimal"/>
      <w:pStyle w:val="Apakvirsraksti"/>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CFA7597"/>
    <w:multiLevelType w:val="hybridMultilevel"/>
    <w:tmpl w:val="CF767D0A"/>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22" w15:restartNumberingAfterBreak="0">
    <w:nsid w:val="3EFB59E9"/>
    <w:multiLevelType w:val="hybridMultilevel"/>
    <w:tmpl w:val="EDD8FD6E"/>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23" w15:restartNumberingAfterBreak="0">
    <w:nsid w:val="3FB41CC5"/>
    <w:multiLevelType w:val="hybridMultilevel"/>
    <w:tmpl w:val="5D2A98EE"/>
    <w:lvl w:ilvl="0" w:tplc="836E78EC">
      <w:start w:val="1"/>
      <w:numFmt w:val="bullet"/>
      <w:lvlText w:val=""/>
      <w:lvlJc w:val="left"/>
      <w:pPr>
        <w:ind w:left="1778" w:hanging="360"/>
      </w:pPr>
      <w:rPr>
        <w:rFonts w:ascii="Symbol" w:hAnsi="Symbol" w:hint="default"/>
        <w:color w:val="17365D"/>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3FEC0AF6"/>
    <w:multiLevelType w:val="hybridMultilevel"/>
    <w:tmpl w:val="819EF38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1E8338F"/>
    <w:multiLevelType w:val="hybridMultilevel"/>
    <w:tmpl w:val="A2F88390"/>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26" w15:restartNumberingAfterBreak="0">
    <w:nsid w:val="442F0764"/>
    <w:multiLevelType w:val="hybridMultilevel"/>
    <w:tmpl w:val="657EF280"/>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7" w15:restartNumberingAfterBreak="0">
    <w:nsid w:val="44732B43"/>
    <w:multiLevelType w:val="multilevel"/>
    <w:tmpl w:val="0426001F"/>
    <w:styleLink w:val="Secganumercij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5AF1680"/>
    <w:multiLevelType w:val="hybridMultilevel"/>
    <w:tmpl w:val="CEE4BF0C"/>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29" w15:restartNumberingAfterBreak="0">
    <w:nsid w:val="46C70D1C"/>
    <w:multiLevelType w:val="hybridMultilevel"/>
    <w:tmpl w:val="48F8AA6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4C790C4B"/>
    <w:multiLevelType w:val="hybridMultilevel"/>
    <w:tmpl w:val="7A2EB218"/>
    <w:lvl w:ilvl="0" w:tplc="BDBA19AE">
      <w:start w:val="1"/>
      <w:numFmt w:val="bullet"/>
      <w:lvlText w:val=""/>
      <w:lvlJc w:val="left"/>
      <w:pPr>
        <w:ind w:left="1287" w:hanging="360"/>
      </w:pPr>
      <w:rPr>
        <w:rFonts w:ascii="Symbol" w:hAnsi="Symbol" w:hint="default"/>
        <w:color w:val="17365D"/>
      </w:rPr>
    </w:lvl>
    <w:lvl w:ilvl="1" w:tplc="04260003">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31" w15:restartNumberingAfterBreak="0">
    <w:nsid w:val="4C84398B"/>
    <w:multiLevelType w:val="hybridMultilevel"/>
    <w:tmpl w:val="9A54333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4ECB75B0"/>
    <w:multiLevelType w:val="hybridMultilevel"/>
    <w:tmpl w:val="6660DD9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5593434A"/>
    <w:multiLevelType w:val="hybridMultilevel"/>
    <w:tmpl w:val="412CB498"/>
    <w:lvl w:ilvl="0" w:tplc="04260003">
      <w:start w:val="1"/>
      <w:numFmt w:val="bullet"/>
      <w:lvlText w:val="o"/>
      <w:lvlJc w:val="left"/>
      <w:pPr>
        <w:ind w:left="1004" w:hanging="360"/>
      </w:pPr>
      <w:rPr>
        <w:rFonts w:ascii="Courier New" w:hAnsi="Courier New" w:cs="Courier New"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4" w15:restartNumberingAfterBreak="0">
    <w:nsid w:val="57A650BF"/>
    <w:multiLevelType w:val="multilevel"/>
    <w:tmpl w:val="F0E643E6"/>
    <w:styleLink w:val="StyleOutlinenumberedLeft0cmHanging063cm1"/>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tabs>
          <w:tab w:val="num" w:pos="17577"/>
        </w:tabs>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tabs>
          <w:tab w:val="num" w:pos="4536"/>
        </w:tabs>
        <w:ind w:left="4320" w:hanging="2052"/>
      </w:pPr>
      <w:rPr>
        <w:rFonts w:hint="default"/>
      </w:rPr>
    </w:lvl>
  </w:abstractNum>
  <w:abstractNum w:abstractNumId="35" w15:restartNumberingAfterBreak="0">
    <w:nsid w:val="5A331AD7"/>
    <w:multiLevelType w:val="hybridMultilevel"/>
    <w:tmpl w:val="C35EA11E"/>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6" w15:restartNumberingAfterBreak="0">
    <w:nsid w:val="5B3F4ABA"/>
    <w:multiLevelType w:val="hybridMultilevel"/>
    <w:tmpl w:val="3202FEDC"/>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7" w15:restartNumberingAfterBreak="0">
    <w:nsid w:val="5CF270D4"/>
    <w:multiLevelType w:val="hybridMultilevel"/>
    <w:tmpl w:val="5E488AB4"/>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38" w15:restartNumberingAfterBreak="0">
    <w:nsid w:val="5F7B492C"/>
    <w:multiLevelType w:val="hybridMultilevel"/>
    <w:tmpl w:val="C76624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5FA50A4D"/>
    <w:multiLevelType w:val="hybridMultilevel"/>
    <w:tmpl w:val="D4C05A44"/>
    <w:lvl w:ilvl="0" w:tplc="04260001">
      <w:start w:val="1"/>
      <w:numFmt w:val="bullet"/>
      <w:lvlText w:val=""/>
      <w:lvlJc w:val="left"/>
      <w:pPr>
        <w:ind w:left="786" w:hanging="360"/>
      </w:pPr>
      <w:rPr>
        <w:rFonts w:ascii="Symbol" w:hAnsi="Symbol"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40" w15:restartNumberingAfterBreak="0">
    <w:nsid w:val="68537F97"/>
    <w:multiLevelType w:val="hybridMultilevel"/>
    <w:tmpl w:val="333CE0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6CD87632"/>
    <w:multiLevelType w:val="hybridMultilevel"/>
    <w:tmpl w:val="7B668F08"/>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42" w15:restartNumberingAfterBreak="0">
    <w:nsid w:val="70886490"/>
    <w:multiLevelType w:val="hybridMultilevel"/>
    <w:tmpl w:val="63B0DDAC"/>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43" w15:restartNumberingAfterBreak="0">
    <w:nsid w:val="70E0196F"/>
    <w:multiLevelType w:val="hybridMultilevel"/>
    <w:tmpl w:val="CBF629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71A17522"/>
    <w:multiLevelType w:val="hybridMultilevel"/>
    <w:tmpl w:val="CEFC41C4"/>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5" w15:restartNumberingAfterBreak="0">
    <w:nsid w:val="74BD3535"/>
    <w:multiLevelType w:val="hybridMultilevel"/>
    <w:tmpl w:val="E55ECEB6"/>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46" w15:restartNumberingAfterBreak="0">
    <w:nsid w:val="75016831"/>
    <w:multiLevelType w:val="hybridMultilevel"/>
    <w:tmpl w:val="CDE67F2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7CA34A37"/>
    <w:multiLevelType w:val="hybridMultilevel"/>
    <w:tmpl w:val="A37434BC"/>
    <w:lvl w:ilvl="0" w:tplc="04260001">
      <w:start w:val="1"/>
      <w:numFmt w:val="bullet"/>
      <w:lvlText w:val=""/>
      <w:lvlJc w:val="left"/>
      <w:pPr>
        <w:ind w:left="785"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8" w15:restartNumberingAfterBreak="0">
    <w:nsid w:val="7DFB54BD"/>
    <w:multiLevelType w:val="hybridMultilevel"/>
    <w:tmpl w:val="C84A6D06"/>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num w:numId="1">
    <w:abstractNumId w:val="20"/>
  </w:num>
  <w:num w:numId="2">
    <w:abstractNumId w:val="37"/>
  </w:num>
  <w:num w:numId="3">
    <w:abstractNumId w:val="17"/>
  </w:num>
  <w:num w:numId="4">
    <w:abstractNumId w:val="30"/>
  </w:num>
  <w:num w:numId="5">
    <w:abstractNumId w:val="23"/>
  </w:num>
  <w:num w:numId="6">
    <w:abstractNumId w:val="44"/>
  </w:num>
  <w:num w:numId="7">
    <w:abstractNumId w:val="3"/>
  </w:num>
  <w:num w:numId="8">
    <w:abstractNumId w:val="38"/>
  </w:num>
  <w:num w:numId="9">
    <w:abstractNumId w:val="39"/>
  </w:num>
  <w:num w:numId="10">
    <w:abstractNumId w:val="1"/>
  </w:num>
  <w:num w:numId="11">
    <w:abstractNumId w:val="4"/>
  </w:num>
  <w:num w:numId="12">
    <w:abstractNumId w:val="43"/>
  </w:num>
  <w:num w:numId="13">
    <w:abstractNumId w:val="32"/>
  </w:num>
  <w:num w:numId="14">
    <w:abstractNumId w:val="6"/>
  </w:num>
  <w:num w:numId="15">
    <w:abstractNumId w:val="26"/>
  </w:num>
  <w:num w:numId="16">
    <w:abstractNumId w:val="10"/>
  </w:num>
  <w:num w:numId="17">
    <w:abstractNumId w:val="8"/>
  </w:num>
  <w:num w:numId="18">
    <w:abstractNumId w:val="18"/>
  </w:num>
  <w:num w:numId="19">
    <w:abstractNumId w:val="25"/>
  </w:num>
  <w:num w:numId="20">
    <w:abstractNumId w:val="47"/>
  </w:num>
  <w:num w:numId="21">
    <w:abstractNumId w:val="27"/>
  </w:num>
  <w:num w:numId="22">
    <w:abstractNumId w:val="15"/>
  </w:num>
  <w:num w:numId="23">
    <w:abstractNumId w:val="19"/>
  </w:num>
  <w:num w:numId="24">
    <w:abstractNumId w:val="34"/>
  </w:num>
  <w:num w:numId="25">
    <w:abstractNumId w:val="7"/>
  </w:num>
  <w:num w:numId="26">
    <w:abstractNumId w:val="14"/>
  </w:num>
  <w:num w:numId="27">
    <w:abstractNumId w:val="40"/>
  </w:num>
  <w:num w:numId="28">
    <w:abstractNumId w:val="12"/>
  </w:num>
  <w:num w:numId="29">
    <w:abstractNumId w:val="11"/>
  </w:num>
  <w:num w:numId="30">
    <w:abstractNumId w:val="45"/>
  </w:num>
  <w:num w:numId="31">
    <w:abstractNumId w:val="46"/>
  </w:num>
  <w:num w:numId="32">
    <w:abstractNumId w:val="0"/>
  </w:num>
  <w:num w:numId="33">
    <w:abstractNumId w:val="16"/>
  </w:num>
  <w:num w:numId="34">
    <w:abstractNumId w:val="9"/>
  </w:num>
  <w:num w:numId="35">
    <w:abstractNumId w:val="33"/>
  </w:num>
  <w:num w:numId="36">
    <w:abstractNumId w:val="21"/>
  </w:num>
  <w:num w:numId="37">
    <w:abstractNumId w:val="42"/>
  </w:num>
  <w:num w:numId="38">
    <w:abstractNumId w:val="24"/>
  </w:num>
  <w:num w:numId="39">
    <w:abstractNumId w:val="29"/>
  </w:num>
  <w:num w:numId="40">
    <w:abstractNumId w:val="35"/>
  </w:num>
  <w:num w:numId="41">
    <w:abstractNumId w:val="22"/>
  </w:num>
  <w:num w:numId="42">
    <w:abstractNumId w:val="48"/>
  </w:num>
  <w:num w:numId="43">
    <w:abstractNumId w:val="31"/>
  </w:num>
  <w:num w:numId="44">
    <w:abstractNumId w:val="36"/>
  </w:num>
  <w:num w:numId="45">
    <w:abstractNumId w:val="2"/>
  </w:num>
  <w:num w:numId="46">
    <w:abstractNumId w:val="13"/>
  </w:num>
  <w:num w:numId="47">
    <w:abstractNumId w:val="41"/>
  </w:num>
  <w:num w:numId="48">
    <w:abstractNumId w:val="5"/>
  </w:num>
  <w:num w:numId="49">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defaultTabStop w:val="720"/>
  <w:characterSpacingControl w:val="doNotCompress"/>
  <w:hdrShapeDefaults>
    <o:shapedefaults v:ext="edit" spidmax="6144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E4"/>
    <w:rsid w:val="00000001"/>
    <w:rsid w:val="0000008E"/>
    <w:rsid w:val="00000328"/>
    <w:rsid w:val="000008CF"/>
    <w:rsid w:val="00000A59"/>
    <w:rsid w:val="00000E17"/>
    <w:rsid w:val="00000F2D"/>
    <w:rsid w:val="0000105F"/>
    <w:rsid w:val="0000111B"/>
    <w:rsid w:val="00001125"/>
    <w:rsid w:val="000013D0"/>
    <w:rsid w:val="000013FA"/>
    <w:rsid w:val="00001445"/>
    <w:rsid w:val="00001521"/>
    <w:rsid w:val="00001522"/>
    <w:rsid w:val="000023EA"/>
    <w:rsid w:val="000024CD"/>
    <w:rsid w:val="000024DF"/>
    <w:rsid w:val="00002781"/>
    <w:rsid w:val="000027A4"/>
    <w:rsid w:val="00002972"/>
    <w:rsid w:val="00002F52"/>
    <w:rsid w:val="00002FCF"/>
    <w:rsid w:val="00003177"/>
    <w:rsid w:val="000033B7"/>
    <w:rsid w:val="000038EC"/>
    <w:rsid w:val="00003B3C"/>
    <w:rsid w:val="00003D86"/>
    <w:rsid w:val="00003F54"/>
    <w:rsid w:val="00003FDF"/>
    <w:rsid w:val="000042BE"/>
    <w:rsid w:val="00004529"/>
    <w:rsid w:val="000049E2"/>
    <w:rsid w:val="00004DC5"/>
    <w:rsid w:val="00005096"/>
    <w:rsid w:val="00005555"/>
    <w:rsid w:val="00005653"/>
    <w:rsid w:val="00005A46"/>
    <w:rsid w:val="00005ABE"/>
    <w:rsid w:val="00005EE2"/>
    <w:rsid w:val="0000624B"/>
    <w:rsid w:val="00006251"/>
    <w:rsid w:val="00006619"/>
    <w:rsid w:val="00006841"/>
    <w:rsid w:val="00006A79"/>
    <w:rsid w:val="00006F2A"/>
    <w:rsid w:val="00007237"/>
    <w:rsid w:val="00010527"/>
    <w:rsid w:val="00010E05"/>
    <w:rsid w:val="000110F9"/>
    <w:rsid w:val="000119DF"/>
    <w:rsid w:val="00011AA9"/>
    <w:rsid w:val="00011ABD"/>
    <w:rsid w:val="00011C10"/>
    <w:rsid w:val="00011C95"/>
    <w:rsid w:val="00011CB8"/>
    <w:rsid w:val="00011E6C"/>
    <w:rsid w:val="00011FF5"/>
    <w:rsid w:val="0001214B"/>
    <w:rsid w:val="000122F8"/>
    <w:rsid w:val="0001234B"/>
    <w:rsid w:val="00012374"/>
    <w:rsid w:val="000123E8"/>
    <w:rsid w:val="0001240E"/>
    <w:rsid w:val="000124B7"/>
    <w:rsid w:val="00012F09"/>
    <w:rsid w:val="000133F2"/>
    <w:rsid w:val="00013627"/>
    <w:rsid w:val="000137B7"/>
    <w:rsid w:val="00013ACC"/>
    <w:rsid w:val="00013D34"/>
    <w:rsid w:val="00013E48"/>
    <w:rsid w:val="00013E56"/>
    <w:rsid w:val="000140A1"/>
    <w:rsid w:val="000149EA"/>
    <w:rsid w:val="00014D97"/>
    <w:rsid w:val="0001537A"/>
    <w:rsid w:val="00015887"/>
    <w:rsid w:val="00015935"/>
    <w:rsid w:val="00015C68"/>
    <w:rsid w:val="000160FF"/>
    <w:rsid w:val="0001614D"/>
    <w:rsid w:val="0001633D"/>
    <w:rsid w:val="00016CA6"/>
    <w:rsid w:val="000170A3"/>
    <w:rsid w:val="000170FB"/>
    <w:rsid w:val="00017139"/>
    <w:rsid w:val="000172D5"/>
    <w:rsid w:val="00017D74"/>
    <w:rsid w:val="0002009C"/>
    <w:rsid w:val="00020BEA"/>
    <w:rsid w:val="00020F9F"/>
    <w:rsid w:val="000210C9"/>
    <w:rsid w:val="0002130D"/>
    <w:rsid w:val="000213C7"/>
    <w:rsid w:val="000216CA"/>
    <w:rsid w:val="000216E7"/>
    <w:rsid w:val="000217AB"/>
    <w:rsid w:val="00021888"/>
    <w:rsid w:val="00021D82"/>
    <w:rsid w:val="000221BB"/>
    <w:rsid w:val="000224DA"/>
    <w:rsid w:val="000229AE"/>
    <w:rsid w:val="00022BBC"/>
    <w:rsid w:val="00022DCB"/>
    <w:rsid w:val="00022F69"/>
    <w:rsid w:val="0002364E"/>
    <w:rsid w:val="00023C18"/>
    <w:rsid w:val="00024295"/>
    <w:rsid w:val="00024381"/>
    <w:rsid w:val="00024816"/>
    <w:rsid w:val="00024886"/>
    <w:rsid w:val="00024954"/>
    <w:rsid w:val="0002504C"/>
    <w:rsid w:val="0002545D"/>
    <w:rsid w:val="0002547D"/>
    <w:rsid w:val="00025567"/>
    <w:rsid w:val="000255D8"/>
    <w:rsid w:val="000259E5"/>
    <w:rsid w:val="00025ADD"/>
    <w:rsid w:val="00025C56"/>
    <w:rsid w:val="00025E41"/>
    <w:rsid w:val="00025EA0"/>
    <w:rsid w:val="00026438"/>
    <w:rsid w:val="00026896"/>
    <w:rsid w:val="00026D12"/>
    <w:rsid w:val="0002716E"/>
    <w:rsid w:val="000274D8"/>
    <w:rsid w:val="00027C0A"/>
    <w:rsid w:val="00027CB9"/>
    <w:rsid w:val="00027ED5"/>
    <w:rsid w:val="000303CA"/>
    <w:rsid w:val="00030F16"/>
    <w:rsid w:val="00030FB1"/>
    <w:rsid w:val="0003117E"/>
    <w:rsid w:val="00031243"/>
    <w:rsid w:val="000313B4"/>
    <w:rsid w:val="000313F4"/>
    <w:rsid w:val="00031494"/>
    <w:rsid w:val="0003199C"/>
    <w:rsid w:val="00031A92"/>
    <w:rsid w:val="00031CD6"/>
    <w:rsid w:val="00032212"/>
    <w:rsid w:val="000324D8"/>
    <w:rsid w:val="00032734"/>
    <w:rsid w:val="0003276A"/>
    <w:rsid w:val="00032826"/>
    <w:rsid w:val="00032AC7"/>
    <w:rsid w:val="00032D0E"/>
    <w:rsid w:val="00032EC5"/>
    <w:rsid w:val="0003311F"/>
    <w:rsid w:val="000335FD"/>
    <w:rsid w:val="00033667"/>
    <w:rsid w:val="000336E2"/>
    <w:rsid w:val="0003417F"/>
    <w:rsid w:val="00034307"/>
    <w:rsid w:val="00034416"/>
    <w:rsid w:val="00034664"/>
    <w:rsid w:val="000346D3"/>
    <w:rsid w:val="00034B3C"/>
    <w:rsid w:val="0003548F"/>
    <w:rsid w:val="000356D0"/>
    <w:rsid w:val="00035B49"/>
    <w:rsid w:val="00035C14"/>
    <w:rsid w:val="00035DD5"/>
    <w:rsid w:val="00035EBC"/>
    <w:rsid w:val="00035FEE"/>
    <w:rsid w:val="0003665E"/>
    <w:rsid w:val="00036A01"/>
    <w:rsid w:val="00036CE4"/>
    <w:rsid w:val="0003703F"/>
    <w:rsid w:val="000372B2"/>
    <w:rsid w:val="00037F1B"/>
    <w:rsid w:val="00037FD3"/>
    <w:rsid w:val="000401F8"/>
    <w:rsid w:val="000405B1"/>
    <w:rsid w:val="0004095E"/>
    <w:rsid w:val="00040BCE"/>
    <w:rsid w:val="00040FD3"/>
    <w:rsid w:val="000410BE"/>
    <w:rsid w:val="000413D4"/>
    <w:rsid w:val="00041679"/>
    <w:rsid w:val="00041992"/>
    <w:rsid w:val="00041B05"/>
    <w:rsid w:val="00042337"/>
    <w:rsid w:val="00042448"/>
    <w:rsid w:val="000425C4"/>
    <w:rsid w:val="000427F4"/>
    <w:rsid w:val="000427F8"/>
    <w:rsid w:val="0004314F"/>
    <w:rsid w:val="000435BB"/>
    <w:rsid w:val="000437AB"/>
    <w:rsid w:val="00043A5F"/>
    <w:rsid w:val="00043CBD"/>
    <w:rsid w:val="000445FD"/>
    <w:rsid w:val="00044BDF"/>
    <w:rsid w:val="00044BED"/>
    <w:rsid w:val="00044CB4"/>
    <w:rsid w:val="000450EA"/>
    <w:rsid w:val="000453DF"/>
    <w:rsid w:val="0004546E"/>
    <w:rsid w:val="00045683"/>
    <w:rsid w:val="0004596E"/>
    <w:rsid w:val="0004613A"/>
    <w:rsid w:val="00046187"/>
    <w:rsid w:val="00046A95"/>
    <w:rsid w:val="00046FB2"/>
    <w:rsid w:val="0004707B"/>
    <w:rsid w:val="000472F6"/>
    <w:rsid w:val="000474A0"/>
    <w:rsid w:val="000475C0"/>
    <w:rsid w:val="00047797"/>
    <w:rsid w:val="00047855"/>
    <w:rsid w:val="00047971"/>
    <w:rsid w:val="00047975"/>
    <w:rsid w:val="00047C30"/>
    <w:rsid w:val="00047F5E"/>
    <w:rsid w:val="00050102"/>
    <w:rsid w:val="00050441"/>
    <w:rsid w:val="00050486"/>
    <w:rsid w:val="00050688"/>
    <w:rsid w:val="000508E8"/>
    <w:rsid w:val="00050D0A"/>
    <w:rsid w:val="00050D67"/>
    <w:rsid w:val="00050E79"/>
    <w:rsid w:val="00050F2B"/>
    <w:rsid w:val="00051109"/>
    <w:rsid w:val="00051134"/>
    <w:rsid w:val="00051267"/>
    <w:rsid w:val="000515CA"/>
    <w:rsid w:val="00051615"/>
    <w:rsid w:val="00051850"/>
    <w:rsid w:val="00051A76"/>
    <w:rsid w:val="00051B75"/>
    <w:rsid w:val="00051CCD"/>
    <w:rsid w:val="00051E85"/>
    <w:rsid w:val="00052B6A"/>
    <w:rsid w:val="00052F2B"/>
    <w:rsid w:val="0005332C"/>
    <w:rsid w:val="00053435"/>
    <w:rsid w:val="00053768"/>
    <w:rsid w:val="0005400B"/>
    <w:rsid w:val="000541F4"/>
    <w:rsid w:val="0005465E"/>
    <w:rsid w:val="0005497E"/>
    <w:rsid w:val="00054CAF"/>
    <w:rsid w:val="00054DE1"/>
    <w:rsid w:val="00054E96"/>
    <w:rsid w:val="00054F37"/>
    <w:rsid w:val="000550B5"/>
    <w:rsid w:val="00055ADF"/>
    <w:rsid w:val="00055BCF"/>
    <w:rsid w:val="00056007"/>
    <w:rsid w:val="00056185"/>
    <w:rsid w:val="00056263"/>
    <w:rsid w:val="00056718"/>
    <w:rsid w:val="000568E7"/>
    <w:rsid w:val="00056900"/>
    <w:rsid w:val="00056A35"/>
    <w:rsid w:val="00056BFE"/>
    <w:rsid w:val="00057375"/>
    <w:rsid w:val="00057422"/>
    <w:rsid w:val="00057571"/>
    <w:rsid w:val="00057B34"/>
    <w:rsid w:val="00057C3A"/>
    <w:rsid w:val="00057D42"/>
    <w:rsid w:val="00057F21"/>
    <w:rsid w:val="00060097"/>
    <w:rsid w:val="000602E8"/>
    <w:rsid w:val="00060581"/>
    <w:rsid w:val="0006089E"/>
    <w:rsid w:val="00060E8A"/>
    <w:rsid w:val="000611C0"/>
    <w:rsid w:val="00061764"/>
    <w:rsid w:val="000619A5"/>
    <w:rsid w:val="00061DE5"/>
    <w:rsid w:val="00061E50"/>
    <w:rsid w:val="0006202A"/>
    <w:rsid w:val="0006211C"/>
    <w:rsid w:val="0006225B"/>
    <w:rsid w:val="0006229F"/>
    <w:rsid w:val="00062531"/>
    <w:rsid w:val="0006282A"/>
    <w:rsid w:val="00062857"/>
    <w:rsid w:val="00062925"/>
    <w:rsid w:val="00062B90"/>
    <w:rsid w:val="00062BFC"/>
    <w:rsid w:val="00062CB6"/>
    <w:rsid w:val="00062E00"/>
    <w:rsid w:val="00062F4A"/>
    <w:rsid w:val="000632F2"/>
    <w:rsid w:val="00063A3F"/>
    <w:rsid w:val="00063ECA"/>
    <w:rsid w:val="00063F08"/>
    <w:rsid w:val="000640DC"/>
    <w:rsid w:val="00064409"/>
    <w:rsid w:val="000646CE"/>
    <w:rsid w:val="000654F0"/>
    <w:rsid w:val="000655A7"/>
    <w:rsid w:val="00065653"/>
    <w:rsid w:val="00065690"/>
    <w:rsid w:val="000656E5"/>
    <w:rsid w:val="0006599F"/>
    <w:rsid w:val="00065E74"/>
    <w:rsid w:val="00065F41"/>
    <w:rsid w:val="000661AE"/>
    <w:rsid w:val="00066459"/>
    <w:rsid w:val="0006686D"/>
    <w:rsid w:val="0006693C"/>
    <w:rsid w:val="00066AA7"/>
    <w:rsid w:val="000674FC"/>
    <w:rsid w:val="00067DA1"/>
    <w:rsid w:val="00067DF7"/>
    <w:rsid w:val="0007020B"/>
    <w:rsid w:val="00070451"/>
    <w:rsid w:val="0007046D"/>
    <w:rsid w:val="000708CF"/>
    <w:rsid w:val="00070AB7"/>
    <w:rsid w:val="000716C3"/>
    <w:rsid w:val="000719EF"/>
    <w:rsid w:val="00071C47"/>
    <w:rsid w:val="0007200C"/>
    <w:rsid w:val="000722EE"/>
    <w:rsid w:val="000724ED"/>
    <w:rsid w:val="00072691"/>
    <w:rsid w:val="000727EF"/>
    <w:rsid w:val="000729C9"/>
    <w:rsid w:val="00072BDE"/>
    <w:rsid w:val="00072BFE"/>
    <w:rsid w:val="00072D90"/>
    <w:rsid w:val="00072DD6"/>
    <w:rsid w:val="00073034"/>
    <w:rsid w:val="00073C2F"/>
    <w:rsid w:val="00073EFC"/>
    <w:rsid w:val="000740F5"/>
    <w:rsid w:val="000749E6"/>
    <w:rsid w:val="00075193"/>
    <w:rsid w:val="00075EA0"/>
    <w:rsid w:val="0007616C"/>
    <w:rsid w:val="00076189"/>
    <w:rsid w:val="00076743"/>
    <w:rsid w:val="00076785"/>
    <w:rsid w:val="00076C85"/>
    <w:rsid w:val="000770C8"/>
    <w:rsid w:val="00077516"/>
    <w:rsid w:val="000778AF"/>
    <w:rsid w:val="00077E0F"/>
    <w:rsid w:val="000800E9"/>
    <w:rsid w:val="00080709"/>
    <w:rsid w:val="00080808"/>
    <w:rsid w:val="00081748"/>
    <w:rsid w:val="00081B49"/>
    <w:rsid w:val="00081CF6"/>
    <w:rsid w:val="00082FDD"/>
    <w:rsid w:val="00082FE6"/>
    <w:rsid w:val="0008310A"/>
    <w:rsid w:val="00083210"/>
    <w:rsid w:val="00083932"/>
    <w:rsid w:val="000839C6"/>
    <w:rsid w:val="00083FEA"/>
    <w:rsid w:val="0008423E"/>
    <w:rsid w:val="000842CA"/>
    <w:rsid w:val="000847D9"/>
    <w:rsid w:val="00084D80"/>
    <w:rsid w:val="000851EE"/>
    <w:rsid w:val="00085314"/>
    <w:rsid w:val="00085381"/>
    <w:rsid w:val="0008545A"/>
    <w:rsid w:val="000857C8"/>
    <w:rsid w:val="00085C64"/>
    <w:rsid w:val="00085CCE"/>
    <w:rsid w:val="00085CF8"/>
    <w:rsid w:val="00085EF2"/>
    <w:rsid w:val="00086259"/>
    <w:rsid w:val="00086656"/>
    <w:rsid w:val="0008675F"/>
    <w:rsid w:val="000869D9"/>
    <w:rsid w:val="00086E7F"/>
    <w:rsid w:val="000871BF"/>
    <w:rsid w:val="0008722E"/>
    <w:rsid w:val="00087402"/>
    <w:rsid w:val="00087562"/>
    <w:rsid w:val="000878AD"/>
    <w:rsid w:val="00087BAE"/>
    <w:rsid w:val="00087CD2"/>
    <w:rsid w:val="00087D54"/>
    <w:rsid w:val="00087F53"/>
    <w:rsid w:val="00087F64"/>
    <w:rsid w:val="0009071D"/>
    <w:rsid w:val="000909F3"/>
    <w:rsid w:val="00090D03"/>
    <w:rsid w:val="00090D7E"/>
    <w:rsid w:val="00090F83"/>
    <w:rsid w:val="00090FA7"/>
    <w:rsid w:val="00091349"/>
    <w:rsid w:val="00091687"/>
    <w:rsid w:val="00091699"/>
    <w:rsid w:val="000917F7"/>
    <w:rsid w:val="00091A0E"/>
    <w:rsid w:val="00091FCD"/>
    <w:rsid w:val="000928E6"/>
    <w:rsid w:val="00092C56"/>
    <w:rsid w:val="00092E52"/>
    <w:rsid w:val="0009307A"/>
    <w:rsid w:val="0009366B"/>
    <w:rsid w:val="00093D1F"/>
    <w:rsid w:val="00094142"/>
    <w:rsid w:val="000942B4"/>
    <w:rsid w:val="000942BF"/>
    <w:rsid w:val="00094491"/>
    <w:rsid w:val="000946B7"/>
    <w:rsid w:val="000946DD"/>
    <w:rsid w:val="00094873"/>
    <w:rsid w:val="00094A96"/>
    <w:rsid w:val="00094BEB"/>
    <w:rsid w:val="00094C3A"/>
    <w:rsid w:val="00094C43"/>
    <w:rsid w:val="00094C97"/>
    <w:rsid w:val="00094FA0"/>
    <w:rsid w:val="00094FEC"/>
    <w:rsid w:val="0009509F"/>
    <w:rsid w:val="000959AC"/>
    <w:rsid w:val="00095A1B"/>
    <w:rsid w:val="00095A44"/>
    <w:rsid w:val="00095DE2"/>
    <w:rsid w:val="0009610A"/>
    <w:rsid w:val="00096410"/>
    <w:rsid w:val="00096570"/>
    <w:rsid w:val="00096631"/>
    <w:rsid w:val="00097834"/>
    <w:rsid w:val="00097908"/>
    <w:rsid w:val="0009793A"/>
    <w:rsid w:val="00097AAA"/>
    <w:rsid w:val="000A029B"/>
    <w:rsid w:val="000A062F"/>
    <w:rsid w:val="000A0835"/>
    <w:rsid w:val="000A1089"/>
    <w:rsid w:val="000A1309"/>
    <w:rsid w:val="000A14D4"/>
    <w:rsid w:val="000A189C"/>
    <w:rsid w:val="000A19A5"/>
    <w:rsid w:val="000A1BB5"/>
    <w:rsid w:val="000A1BDE"/>
    <w:rsid w:val="000A1BF6"/>
    <w:rsid w:val="000A1E5D"/>
    <w:rsid w:val="000A222D"/>
    <w:rsid w:val="000A278D"/>
    <w:rsid w:val="000A2CA2"/>
    <w:rsid w:val="000A2D46"/>
    <w:rsid w:val="000A2D83"/>
    <w:rsid w:val="000A2DE1"/>
    <w:rsid w:val="000A3051"/>
    <w:rsid w:val="000A309F"/>
    <w:rsid w:val="000A33E9"/>
    <w:rsid w:val="000A35FF"/>
    <w:rsid w:val="000A37F8"/>
    <w:rsid w:val="000A3982"/>
    <w:rsid w:val="000A3AE2"/>
    <w:rsid w:val="000A4636"/>
    <w:rsid w:val="000A4669"/>
    <w:rsid w:val="000A4870"/>
    <w:rsid w:val="000A4CD7"/>
    <w:rsid w:val="000A5706"/>
    <w:rsid w:val="000A5CA9"/>
    <w:rsid w:val="000A5DCC"/>
    <w:rsid w:val="000A606B"/>
    <w:rsid w:val="000A62FE"/>
    <w:rsid w:val="000A6608"/>
    <w:rsid w:val="000A67B3"/>
    <w:rsid w:val="000A6976"/>
    <w:rsid w:val="000A699E"/>
    <w:rsid w:val="000A69F5"/>
    <w:rsid w:val="000A6DE9"/>
    <w:rsid w:val="000A7D1A"/>
    <w:rsid w:val="000B0096"/>
    <w:rsid w:val="000B0620"/>
    <w:rsid w:val="000B073F"/>
    <w:rsid w:val="000B0DEA"/>
    <w:rsid w:val="000B1030"/>
    <w:rsid w:val="000B11E2"/>
    <w:rsid w:val="000B120F"/>
    <w:rsid w:val="000B14AB"/>
    <w:rsid w:val="000B2091"/>
    <w:rsid w:val="000B21C8"/>
    <w:rsid w:val="000B22D1"/>
    <w:rsid w:val="000B2314"/>
    <w:rsid w:val="000B2BFF"/>
    <w:rsid w:val="000B303F"/>
    <w:rsid w:val="000B3065"/>
    <w:rsid w:val="000B3492"/>
    <w:rsid w:val="000B3783"/>
    <w:rsid w:val="000B378A"/>
    <w:rsid w:val="000B37CE"/>
    <w:rsid w:val="000B37DA"/>
    <w:rsid w:val="000B381D"/>
    <w:rsid w:val="000B3883"/>
    <w:rsid w:val="000B3DE5"/>
    <w:rsid w:val="000B4141"/>
    <w:rsid w:val="000B4236"/>
    <w:rsid w:val="000B4349"/>
    <w:rsid w:val="000B4731"/>
    <w:rsid w:val="000B4A18"/>
    <w:rsid w:val="000B51B9"/>
    <w:rsid w:val="000B51F9"/>
    <w:rsid w:val="000B524C"/>
    <w:rsid w:val="000B52A4"/>
    <w:rsid w:val="000B535E"/>
    <w:rsid w:val="000B53D6"/>
    <w:rsid w:val="000B56C3"/>
    <w:rsid w:val="000B56D2"/>
    <w:rsid w:val="000B573A"/>
    <w:rsid w:val="000B5A76"/>
    <w:rsid w:val="000B5F62"/>
    <w:rsid w:val="000B60B2"/>
    <w:rsid w:val="000B6B34"/>
    <w:rsid w:val="000B7364"/>
    <w:rsid w:val="000B73EB"/>
    <w:rsid w:val="000C01EE"/>
    <w:rsid w:val="000C1009"/>
    <w:rsid w:val="000C1053"/>
    <w:rsid w:val="000C13EB"/>
    <w:rsid w:val="000C146A"/>
    <w:rsid w:val="000C195C"/>
    <w:rsid w:val="000C1A3F"/>
    <w:rsid w:val="000C20C0"/>
    <w:rsid w:val="000C2626"/>
    <w:rsid w:val="000C271B"/>
    <w:rsid w:val="000C2907"/>
    <w:rsid w:val="000C2984"/>
    <w:rsid w:val="000C2BAB"/>
    <w:rsid w:val="000C30A0"/>
    <w:rsid w:val="000C3468"/>
    <w:rsid w:val="000C34EB"/>
    <w:rsid w:val="000C39F7"/>
    <w:rsid w:val="000C4597"/>
    <w:rsid w:val="000C47E3"/>
    <w:rsid w:val="000C4839"/>
    <w:rsid w:val="000C4A13"/>
    <w:rsid w:val="000C4B81"/>
    <w:rsid w:val="000C4BE8"/>
    <w:rsid w:val="000C4E08"/>
    <w:rsid w:val="000C5034"/>
    <w:rsid w:val="000C50A1"/>
    <w:rsid w:val="000C5392"/>
    <w:rsid w:val="000C5AD2"/>
    <w:rsid w:val="000C5D9A"/>
    <w:rsid w:val="000C5EBC"/>
    <w:rsid w:val="000C5F9D"/>
    <w:rsid w:val="000C60E3"/>
    <w:rsid w:val="000C6FC9"/>
    <w:rsid w:val="000C73B4"/>
    <w:rsid w:val="000C7533"/>
    <w:rsid w:val="000D0C2D"/>
    <w:rsid w:val="000D0D03"/>
    <w:rsid w:val="000D1165"/>
    <w:rsid w:val="000D155F"/>
    <w:rsid w:val="000D195A"/>
    <w:rsid w:val="000D1DD2"/>
    <w:rsid w:val="000D225D"/>
    <w:rsid w:val="000D277E"/>
    <w:rsid w:val="000D2A1B"/>
    <w:rsid w:val="000D2A4B"/>
    <w:rsid w:val="000D2AAB"/>
    <w:rsid w:val="000D2C5D"/>
    <w:rsid w:val="000D303F"/>
    <w:rsid w:val="000D308E"/>
    <w:rsid w:val="000D33D3"/>
    <w:rsid w:val="000D349A"/>
    <w:rsid w:val="000D3D27"/>
    <w:rsid w:val="000D4581"/>
    <w:rsid w:val="000D4945"/>
    <w:rsid w:val="000D4A34"/>
    <w:rsid w:val="000D50DD"/>
    <w:rsid w:val="000D5363"/>
    <w:rsid w:val="000D538E"/>
    <w:rsid w:val="000D54E5"/>
    <w:rsid w:val="000D60A6"/>
    <w:rsid w:val="000D6100"/>
    <w:rsid w:val="000D62CB"/>
    <w:rsid w:val="000D678C"/>
    <w:rsid w:val="000D68E5"/>
    <w:rsid w:val="000D6E6C"/>
    <w:rsid w:val="000D70C8"/>
    <w:rsid w:val="000D713A"/>
    <w:rsid w:val="000D7375"/>
    <w:rsid w:val="000D7BBC"/>
    <w:rsid w:val="000D7F42"/>
    <w:rsid w:val="000E0120"/>
    <w:rsid w:val="000E0731"/>
    <w:rsid w:val="000E07FE"/>
    <w:rsid w:val="000E0D3C"/>
    <w:rsid w:val="000E0ECD"/>
    <w:rsid w:val="000E159E"/>
    <w:rsid w:val="000E179D"/>
    <w:rsid w:val="000E189A"/>
    <w:rsid w:val="000E1DEC"/>
    <w:rsid w:val="000E2447"/>
    <w:rsid w:val="000E2547"/>
    <w:rsid w:val="000E268B"/>
    <w:rsid w:val="000E2985"/>
    <w:rsid w:val="000E29EC"/>
    <w:rsid w:val="000E2C45"/>
    <w:rsid w:val="000E2C51"/>
    <w:rsid w:val="000E2C5D"/>
    <w:rsid w:val="000E2E97"/>
    <w:rsid w:val="000E3091"/>
    <w:rsid w:val="000E385E"/>
    <w:rsid w:val="000E3AEC"/>
    <w:rsid w:val="000E3E15"/>
    <w:rsid w:val="000E42DD"/>
    <w:rsid w:val="000E44E9"/>
    <w:rsid w:val="000E451C"/>
    <w:rsid w:val="000E4716"/>
    <w:rsid w:val="000E48D0"/>
    <w:rsid w:val="000E4976"/>
    <w:rsid w:val="000E4B09"/>
    <w:rsid w:val="000E5114"/>
    <w:rsid w:val="000E5350"/>
    <w:rsid w:val="000E5450"/>
    <w:rsid w:val="000E5E14"/>
    <w:rsid w:val="000E662D"/>
    <w:rsid w:val="000E677D"/>
    <w:rsid w:val="000E6A4D"/>
    <w:rsid w:val="000E6BA5"/>
    <w:rsid w:val="000E6E37"/>
    <w:rsid w:val="000E7171"/>
    <w:rsid w:val="000E72D4"/>
    <w:rsid w:val="000E74ED"/>
    <w:rsid w:val="000E754D"/>
    <w:rsid w:val="000F01CC"/>
    <w:rsid w:val="000F0325"/>
    <w:rsid w:val="000F04D0"/>
    <w:rsid w:val="000F075E"/>
    <w:rsid w:val="000F096C"/>
    <w:rsid w:val="000F0A35"/>
    <w:rsid w:val="000F0ECB"/>
    <w:rsid w:val="000F0F6B"/>
    <w:rsid w:val="000F0FB8"/>
    <w:rsid w:val="000F128D"/>
    <w:rsid w:val="000F1A51"/>
    <w:rsid w:val="000F20AF"/>
    <w:rsid w:val="000F2199"/>
    <w:rsid w:val="000F21BF"/>
    <w:rsid w:val="000F2559"/>
    <w:rsid w:val="000F2671"/>
    <w:rsid w:val="000F27A1"/>
    <w:rsid w:val="000F2836"/>
    <w:rsid w:val="000F2AF2"/>
    <w:rsid w:val="000F31B2"/>
    <w:rsid w:val="000F3D81"/>
    <w:rsid w:val="000F3FC7"/>
    <w:rsid w:val="000F420B"/>
    <w:rsid w:val="000F4C6F"/>
    <w:rsid w:val="000F51EF"/>
    <w:rsid w:val="000F5216"/>
    <w:rsid w:val="000F5273"/>
    <w:rsid w:val="000F53B8"/>
    <w:rsid w:val="000F553A"/>
    <w:rsid w:val="000F5DAE"/>
    <w:rsid w:val="000F5FC3"/>
    <w:rsid w:val="000F5FEB"/>
    <w:rsid w:val="000F64B5"/>
    <w:rsid w:val="000F68C1"/>
    <w:rsid w:val="000F69F0"/>
    <w:rsid w:val="000F6A12"/>
    <w:rsid w:val="000F6A77"/>
    <w:rsid w:val="000F6E15"/>
    <w:rsid w:val="000F7141"/>
    <w:rsid w:val="000F77E3"/>
    <w:rsid w:val="000F7A41"/>
    <w:rsid w:val="000F7E21"/>
    <w:rsid w:val="0010012D"/>
    <w:rsid w:val="001009E2"/>
    <w:rsid w:val="00100A4B"/>
    <w:rsid w:val="00100EA1"/>
    <w:rsid w:val="00100F62"/>
    <w:rsid w:val="00101052"/>
    <w:rsid w:val="00101408"/>
    <w:rsid w:val="001016B2"/>
    <w:rsid w:val="001018DE"/>
    <w:rsid w:val="00101FAF"/>
    <w:rsid w:val="0010281D"/>
    <w:rsid w:val="00102889"/>
    <w:rsid w:val="00102999"/>
    <w:rsid w:val="00103143"/>
    <w:rsid w:val="0010326E"/>
    <w:rsid w:val="001032C5"/>
    <w:rsid w:val="001038A9"/>
    <w:rsid w:val="00103B0C"/>
    <w:rsid w:val="00103C62"/>
    <w:rsid w:val="00103F62"/>
    <w:rsid w:val="001040AE"/>
    <w:rsid w:val="00104282"/>
    <w:rsid w:val="00104966"/>
    <w:rsid w:val="00104A9B"/>
    <w:rsid w:val="00104AD6"/>
    <w:rsid w:val="00104C4E"/>
    <w:rsid w:val="00104D23"/>
    <w:rsid w:val="00105075"/>
    <w:rsid w:val="0010514B"/>
    <w:rsid w:val="001054F2"/>
    <w:rsid w:val="00105781"/>
    <w:rsid w:val="0010599C"/>
    <w:rsid w:val="00105B04"/>
    <w:rsid w:val="0010646B"/>
    <w:rsid w:val="00106AD2"/>
    <w:rsid w:val="00106D77"/>
    <w:rsid w:val="00107086"/>
    <w:rsid w:val="001073FA"/>
    <w:rsid w:val="00107C41"/>
    <w:rsid w:val="00107CFD"/>
    <w:rsid w:val="001105FB"/>
    <w:rsid w:val="001108EB"/>
    <w:rsid w:val="00110F31"/>
    <w:rsid w:val="00111025"/>
    <w:rsid w:val="00111197"/>
    <w:rsid w:val="0011149B"/>
    <w:rsid w:val="00111D69"/>
    <w:rsid w:val="00111F29"/>
    <w:rsid w:val="00111FF1"/>
    <w:rsid w:val="001123E9"/>
    <w:rsid w:val="00112811"/>
    <w:rsid w:val="001129D7"/>
    <w:rsid w:val="00112B93"/>
    <w:rsid w:val="00112BEA"/>
    <w:rsid w:val="00112C53"/>
    <w:rsid w:val="00112F9D"/>
    <w:rsid w:val="001133DD"/>
    <w:rsid w:val="0011340E"/>
    <w:rsid w:val="00113459"/>
    <w:rsid w:val="00113727"/>
    <w:rsid w:val="00113A8A"/>
    <w:rsid w:val="00113CBB"/>
    <w:rsid w:val="00113DA1"/>
    <w:rsid w:val="001144AB"/>
    <w:rsid w:val="001144C9"/>
    <w:rsid w:val="00114518"/>
    <w:rsid w:val="00114A5A"/>
    <w:rsid w:val="0011570D"/>
    <w:rsid w:val="00115FA7"/>
    <w:rsid w:val="00115FC3"/>
    <w:rsid w:val="001160FD"/>
    <w:rsid w:val="00116450"/>
    <w:rsid w:val="0011677D"/>
    <w:rsid w:val="00116D71"/>
    <w:rsid w:val="00116E0B"/>
    <w:rsid w:val="00116E4C"/>
    <w:rsid w:val="00117027"/>
    <w:rsid w:val="00117203"/>
    <w:rsid w:val="00117873"/>
    <w:rsid w:val="001178C7"/>
    <w:rsid w:val="00117CE0"/>
    <w:rsid w:val="001200D8"/>
    <w:rsid w:val="001203E0"/>
    <w:rsid w:val="00120716"/>
    <w:rsid w:val="00120A0D"/>
    <w:rsid w:val="00121318"/>
    <w:rsid w:val="00121381"/>
    <w:rsid w:val="0012148F"/>
    <w:rsid w:val="001216B3"/>
    <w:rsid w:val="00121AAE"/>
    <w:rsid w:val="00121C8A"/>
    <w:rsid w:val="00121F7D"/>
    <w:rsid w:val="00122319"/>
    <w:rsid w:val="0012247B"/>
    <w:rsid w:val="001224CF"/>
    <w:rsid w:val="001224F4"/>
    <w:rsid w:val="00122AC1"/>
    <w:rsid w:val="00122D6B"/>
    <w:rsid w:val="00122D7D"/>
    <w:rsid w:val="00122EB8"/>
    <w:rsid w:val="001230B4"/>
    <w:rsid w:val="00123226"/>
    <w:rsid w:val="00123493"/>
    <w:rsid w:val="00123C03"/>
    <w:rsid w:val="00124059"/>
    <w:rsid w:val="001244B4"/>
    <w:rsid w:val="001247F7"/>
    <w:rsid w:val="001248F4"/>
    <w:rsid w:val="00124A57"/>
    <w:rsid w:val="00124CC1"/>
    <w:rsid w:val="00124E3D"/>
    <w:rsid w:val="00125133"/>
    <w:rsid w:val="001252D4"/>
    <w:rsid w:val="001254DC"/>
    <w:rsid w:val="00125900"/>
    <w:rsid w:val="00125BDF"/>
    <w:rsid w:val="001261A0"/>
    <w:rsid w:val="0012634D"/>
    <w:rsid w:val="001264D2"/>
    <w:rsid w:val="0012662D"/>
    <w:rsid w:val="0012677E"/>
    <w:rsid w:val="00126906"/>
    <w:rsid w:val="00126ADD"/>
    <w:rsid w:val="00126AFA"/>
    <w:rsid w:val="00127466"/>
    <w:rsid w:val="0012758A"/>
    <w:rsid w:val="001276F0"/>
    <w:rsid w:val="00127D2E"/>
    <w:rsid w:val="00130046"/>
    <w:rsid w:val="0013018E"/>
    <w:rsid w:val="0013060D"/>
    <w:rsid w:val="00130909"/>
    <w:rsid w:val="00130AB8"/>
    <w:rsid w:val="00130E03"/>
    <w:rsid w:val="00130F4C"/>
    <w:rsid w:val="001310C4"/>
    <w:rsid w:val="0013145F"/>
    <w:rsid w:val="00131D6B"/>
    <w:rsid w:val="00132392"/>
    <w:rsid w:val="001324D5"/>
    <w:rsid w:val="001324EA"/>
    <w:rsid w:val="001325F2"/>
    <w:rsid w:val="00132F96"/>
    <w:rsid w:val="00132FF7"/>
    <w:rsid w:val="001330B6"/>
    <w:rsid w:val="00133AC1"/>
    <w:rsid w:val="00133B2E"/>
    <w:rsid w:val="00133B39"/>
    <w:rsid w:val="00133D77"/>
    <w:rsid w:val="001347EA"/>
    <w:rsid w:val="00134B42"/>
    <w:rsid w:val="00135B97"/>
    <w:rsid w:val="00135FA0"/>
    <w:rsid w:val="00135FC1"/>
    <w:rsid w:val="001363AD"/>
    <w:rsid w:val="00136CB8"/>
    <w:rsid w:val="00136DD6"/>
    <w:rsid w:val="001377F9"/>
    <w:rsid w:val="00137CFE"/>
    <w:rsid w:val="001401BD"/>
    <w:rsid w:val="00140A16"/>
    <w:rsid w:val="00140EE3"/>
    <w:rsid w:val="00140FE1"/>
    <w:rsid w:val="00141269"/>
    <w:rsid w:val="00141313"/>
    <w:rsid w:val="00141376"/>
    <w:rsid w:val="00141378"/>
    <w:rsid w:val="0014143A"/>
    <w:rsid w:val="00141609"/>
    <w:rsid w:val="00142069"/>
    <w:rsid w:val="001420EE"/>
    <w:rsid w:val="001423FB"/>
    <w:rsid w:val="0014260C"/>
    <w:rsid w:val="001426AD"/>
    <w:rsid w:val="0014280E"/>
    <w:rsid w:val="00142C43"/>
    <w:rsid w:val="00142F45"/>
    <w:rsid w:val="00143140"/>
    <w:rsid w:val="001438F5"/>
    <w:rsid w:val="0014394B"/>
    <w:rsid w:val="0014395A"/>
    <w:rsid w:val="00144CE3"/>
    <w:rsid w:val="0014502D"/>
    <w:rsid w:val="0014537C"/>
    <w:rsid w:val="0014583A"/>
    <w:rsid w:val="00146461"/>
    <w:rsid w:val="001469A4"/>
    <w:rsid w:val="00146B22"/>
    <w:rsid w:val="00146B5D"/>
    <w:rsid w:val="00146BD9"/>
    <w:rsid w:val="00147047"/>
    <w:rsid w:val="00147400"/>
    <w:rsid w:val="0014776F"/>
    <w:rsid w:val="00147E17"/>
    <w:rsid w:val="00147E18"/>
    <w:rsid w:val="00147FB0"/>
    <w:rsid w:val="00150177"/>
    <w:rsid w:val="001506C8"/>
    <w:rsid w:val="0015070E"/>
    <w:rsid w:val="001520C7"/>
    <w:rsid w:val="001521F6"/>
    <w:rsid w:val="0015239B"/>
    <w:rsid w:val="001523BD"/>
    <w:rsid w:val="001524E2"/>
    <w:rsid w:val="001526F3"/>
    <w:rsid w:val="00152729"/>
    <w:rsid w:val="001528F5"/>
    <w:rsid w:val="00152D77"/>
    <w:rsid w:val="00152E04"/>
    <w:rsid w:val="00153525"/>
    <w:rsid w:val="001538C1"/>
    <w:rsid w:val="00153C3F"/>
    <w:rsid w:val="00153D07"/>
    <w:rsid w:val="00153DC3"/>
    <w:rsid w:val="00153E38"/>
    <w:rsid w:val="001543A8"/>
    <w:rsid w:val="001549BE"/>
    <w:rsid w:val="00154C14"/>
    <w:rsid w:val="00154C29"/>
    <w:rsid w:val="00155F21"/>
    <w:rsid w:val="00155F29"/>
    <w:rsid w:val="00156186"/>
    <w:rsid w:val="001562B3"/>
    <w:rsid w:val="00156375"/>
    <w:rsid w:val="00156AE4"/>
    <w:rsid w:val="00156EE4"/>
    <w:rsid w:val="001578FB"/>
    <w:rsid w:val="00157972"/>
    <w:rsid w:val="00157FB5"/>
    <w:rsid w:val="00160063"/>
    <w:rsid w:val="00160314"/>
    <w:rsid w:val="001605F0"/>
    <w:rsid w:val="0016061B"/>
    <w:rsid w:val="0016069A"/>
    <w:rsid w:val="00160926"/>
    <w:rsid w:val="00160F92"/>
    <w:rsid w:val="0016122A"/>
    <w:rsid w:val="001615EC"/>
    <w:rsid w:val="00161757"/>
    <w:rsid w:val="00161B29"/>
    <w:rsid w:val="00161F29"/>
    <w:rsid w:val="0016204A"/>
    <w:rsid w:val="00162214"/>
    <w:rsid w:val="001625B7"/>
    <w:rsid w:val="001628B0"/>
    <w:rsid w:val="00162BD6"/>
    <w:rsid w:val="00162DBF"/>
    <w:rsid w:val="00162F0D"/>
    <w:rsid w:val="00163372"/>
    <w:rsid w:val="0016344A"/>
    <w:rsid w:val="00163554"/>
    <w:rsid w:val="00163BA8"/>
    <w:rsid w:val="00163F5A"/>
    <w:rsid w:val="00164203"/>
    <w:rsid w:val="00164B96"/>
    <w:rsid w:val="00164E45"/>
    <w:rsid w:val="00164E93"/>
    <w:rsid w:val="001651EB"/>
    <w:rsid w:val="0016534C"/>
    <w:rsid w:val="001654FD"/>
    <w:rsid w:val="001655DA"/>
    <w:rsid w:val="00165814"/>
    <w:rsid w:val="0016591D"/>
    <w:rsid w:val="00165D3D"/>
    <w:rsid w:val="00166B4B"/>
    <w:rsid w:val="00166B96"/>
    <w:rsid w:val="00166ED5"/>
    <w:rsid w:val="0016701E"/>
    <w:rsid w:val="001672A1"/>
    <w:rsid w:val="00167E3F"/>
    <w:rsid w:val="001703E7"/>
    <w:rsid w:val="00170582"/>
    <w:rsid w:val="00170ED6"/>
    <w:rsid w:val="00170FDB"/>
    <w:rsid w:val="00171026"/>
    <w:rsid w:val="00171391"/>
    <w:rsid w:val="0017143D"/>
    <w:rsid w:val="00171CE9"/>
    <w:rsid w:val="00171DFD"/>
    <w:rsid w:val="00171FDE"/>
    <w:rsid w:val="001720B2"/>
    <w:rsid w:val="001722CA"/>
    <w:rsid w:val="0017259F"/>
    <w:rsid w:val="00172952"/>
    <w:rsid w:val="00172B4D"/>
    <w:rsid w:val="00172C19"/>
    <w:rsid w:val="00172E90"/>
    <w:rsid w:val="00173267"/>
    <w:rsid w:val="001735BE"/>
    <w:rsid w:val="001749DD"/>
    <w:rsid w:val="00174E67"/>
    <w:rsid w:val="00174F2B"/>
    <w:rsid w:val="00175097"/>
    <w:rsid w:val="001750B3"/>
    <w:rsid w:val="001752E9"/>
    <w:rsid w:val="00175F59"/>
    <w:rsid w:val="001760A3"/>
    <w:rsid w:val="00176739"/>
    <w:rsid w:val="0017673B"/>
    <w:rsid w:val="00176783"/>
    <w:rsid w:val="00176986"/>
    <w:rsid w:val="001769BB"/>
    <w:rsid w:val="00176F71"/>
    <w:rsid w:val="00176FE2"/>
    <w:rsid w:val="001772E1"/>
    <w:rsid w:val="00177438"/>
    <w:rsid w:val="00177656"/>
    <w:rsid w:val="0017772A"/>
    <w:rsid w:val="0017783A"/>
    <w:rsid w:val="00177952"/>
    <w:rsid w:val="001801A6"/>
    <w:rsid w:val="00180471"/>
    <w:rsid w:val="001806D9"/>
    <w:rsid w:val="00180A33"/>
    <w:rsid w:val="00180BA9"/>
    <w:rsid w:val="001810E7"/>
    <w:rsid w:val="0018110E"/>
    <w:rsid w:val="00181464"/>
    <w:rsid w:val="00181A43"/>
    <w:rsid w:val="00182BB6"/>
    <w:rsid w:val="00182E93"/>
    <w:rsid w:val="00183653"/>
    <w:rsid w:val="0018382B"/>
    <w:rsid w:val="001841D3"/>
    <w:rsid w:val="00184615"/>
    <w:rsid w:val="00184786"/>
    <w:rsid w:val="00184DC6"/>
    <w:rsid w:val="00185020"/>
    <w:rsid w:val="00185040"/>
    <w:rsid w:val="00185443"/>
    <w:rsid w:val="001858ED"/>
    <w:rsid w:val="00185AA1"/>
    <w:rsid w:val="00185DCE"/>
    <w:rsid w:val="00185E10"/>
    <w:rsid w:val="001860B6"/>
    <w:rsid w:val="001864B0"/>
    <w:rsid w:val="00186738"/>
    <w:rsid w:val="00186831"/>
    <w:rsid w:val="001871E5"/>
    <w:rsid w:val="00187B63"/>
    <w:rsid w:val="00187BA6"/>
    <w:rsid w:val="00187BBC"/>
    <w:rsid w:val="00187DD8"/>
    <w:rsid w:val="001900AA"/>
    <w:rsid w:val="00190B8A"/>
    <w:rsid w:val="00190BC7"/>
    <w:rsid w:val="0019147C"/>
    <w:rsid w:val="00191DF3"/>
    <w:rsid w:val="00191F1F"/>
    <w:rsid w:val="00192154"/>
    <w:rsid w:val="001924AF"/>
    <w:rsid w:val="00192566"/>
    <w:rsid w:val="001925F2"/>
    <w:rsid w:val="00192D70"/>
    <w:rsid w:val="00192FAE"/>
    <w:rsid w:val="001932BA"/>
    <w:rsid w:val="001937C5"/>
    <w:rsid w:val="001937F7"/>
    <w:rsid w:val="00193AC0"/>
    <w:rsid w:val="00193C1E"/>
    <w:rsid w:val="00193CA7"/>
    <w:rsid w:val="0019458D"/>
    <w:rsid w:val="00194A2E"/>
    <w:rsid w:val="00194C6B"/>
    <w:rsid w:val="00194DFE"/>
    <w:rsid w:val="00194E1A"/>
    <w:rsid w:val="00195028"/>
    <w:rsid w:val="00195053"/>
    <w:rsid w:val="00195223"/>
    <w:rsid w:val="00195239"/>
    <w:rsid w:val="001952CC"/>
    <w:rsid w:val="0019534D"/>
    <w:rsid w:val="00195757"/>
    <w:rsid w:val="0019588C"/>
    <w:rsid w:val="00195BB8"/>
    <w:rsid w:val="00195E46"/>
    <w:rsid w:val="001960AF"/>
    <w:rsid w:val="00196178"/>
    <w:rsid w:val="001963E7"/>
    <w:rsid w:val="00196552"/>
    <w:rsid w:val="00196775"/>
    <w:rsid w:val="00196DB6"/>
    <w:rsid w:val="00196E59"/>
    <w:rsid w:val="001970F1"/>
    <w:rsid w:val="001974B0"/>
    <w:rsid w:val="00197542"/>
    <w:rsid w:val="00197579"/>
    <w:rsid w:val="00197771"/>
    <w:rsid w:val="00197DAF"/>
    <w:rsid w:val="00197EE4"/>
    <w:rsid w:val="001A01FF"/>
    <w:rsid w:val="001A0370"/>
    <w:rsid w:val="001A0415"/>
    <w:rsid w:val="001A087B"/>
    <w:rsid w:val="001A0BDB"/>
    <w:rsid w:val="001A0FDC"/>
    <w:rsid w:val="001A10D7"/>
    <w:rsid w:val="001A15D7"/>
    <w:rsid w:val="001A178A"/>
    <w:rsid w:val="001A17FB"/>
    <w:rsid w:val="001A1897"/>
    <w:rsid w:val="001A1A3C"/>
    <w:rsid w:val="001A1C19"/>
    <w:rsid w:val="001A1CE8"/>
    <w:rsid w:val="001A21C9"/>
    <w:rsid w:val="001A228D"/>
    <w:rsid w:val="001A22F8"/>
    <w:rsid w:val="001A2C93"/>
    <w:rsid w:val="001A2E24"/>
    <w:rsid w:val="001A3B06"/>
    <w:rsid w:val="001A3B4D"/>
    <w:rsid w:val="001A3B5C"/>
    <w:rsid w:val="001A3C50"/>
    <w:rsid w:val="001A405D"/>
    <w:rsid w:val="001A4069"/>
    <w:rsid w:val="001A41C9"/>
    <w:rsid w:val="001A4CA2"/>
    <w:rsid w:val="001A4CA3"/>
    <w:rsid w:val="001A4DE9"/>
    <w:rsid w:val="001A50C6"/>
    <w:rsid w:val="001A52D4"/>
    <w:rsid w:val="001A5351"/>
    <w:rsid w:val="001A5698"/>
    <w:rsid w:val="001A5C3A"/>
    <w:rsid w:val="001A5C57"/>
    <w:rsid w:val="001A5DE7"/>
    <w:rsid w:val="001A60F1"/>
    <w:rsid w:val="001A6852"/>
    <w:rsid w:val="001A6E00"/>
    <w:rsid w:val="001A6EA6"/>
    <w:rsid w:val="001A7224"/>
    <w:rsid w:val="001A761C"/>
    <w:rsid w:val="001A77C6"/>
    <w:rsid w:val="001B0A7C"/>
    <w:rsid w:val="001B0F9D"/>
    <w:rsid w:val="001B0FFD"/>
    <w:rsid w:val="001B1512"/>
    <w:rsid w:val="001B198F"/>
    <w:rsid w:val="001B1CC5"/>
    <w:rsid w:val="001B1EC7"/>
    <w:rsid w:val="001B1EFB"/>
    <w:rsid w:val="001B2098"/>
    <w:rsid w:val="001B219F"/>
    <w:rsid w:val="001B23B3"/>
    <w:rsid w:val="001B2488"/>
    <w:rsid w:val="001B26C6"/>
    <w:rsid w:val="001B2A1A"/>
    <w:rsid w:val="001B3068"/>
    <w:rsid w:val="001B36FA"/>
    <w:rsid w:val="001B38FC"/>
    <w:rsid w:val="001B4087"/>
    <w:rsid w:val="001B49E4"/>
    <w:rsid w:val="001B49EA"/>
    <w:rsid w:val="001B4C00"/>
    <w:rsid w:val="001B4CB0"/>
    <w:rsid w:val="001B502E"/>
    <w:rsid w:val="001B503E"/>
    <w:rsid w:val="001B51C6"/>
    <w:rsid w:val="001B5853"/>
    <w:rsid w:val="001B5EA5"/>
    <w:rsid w:val="001B610A"/>
    <w:rsid w:val="001B693A"/>
    <w:rsid w:val="001B6C1F"/>
    <w:rsid w:val="001B6CF1"/>
    <w:rsid w:val="001B6D33"/>
    <w:rsid w:val="001B6D64"/>
    <w:rsid w:val="001B6DA2"/>
    <w:rsid w:val="001B7132"/>
    <w:rsid w:val="001B74DE"/>
    <w:rsid w:val="001B77E4"/>
    <w:rsid w:val="001B7C70"/>
    <w:rsid w:val="001B7CAC"/>
    <w:rsid w:val="001C02DA"/>
    <w:rsid w:val="001C0C3D"/>
    <w:rsid w:val="001C0D0B"/>
    <w:rsid w:val="001C12BA"/>
    <w:rsid w:val="001C131F"/>
    <w:rsid w:val="001C1A8D"/>
    <w:rsid w:val="001C1C3A"/>
    <w:rsid w:val="001C222B"/>
    <w:rsid w:val="001C23FC"/>
    <w:rsid w:val="001C2627"/>
    <w:rsid w:val="001C2646"/>
    <w:rsid w:val="001C2A8F"/>
    <w:rsid w:val="001C2BA6"/>
    <w:rsid w:val="001C33E5"/>
    <w:rsid w:val="001C346C"/>
    <w:rsid w:val="001C35C3"/>
    <w:rsid w:val="001C3A22"/>
    <w:rsid w:val="001C3C16"/>
    <w:rsid w:val="001C4075"/>
    <w:rsid w:val="001C44C1"/>
    <w:rsid w:val="001C4B85"/>
    <w:rsid w:val="001C4C4B"/>
    <w:rsid w:val="001C4F74"/>
    <w:rsid w:val="001C52C0"/>
    <w:rsid w:val="001C5461"/>
    <w:rsid w:val="001C56FB"/>
    <w:rsid w:val="001C5A1A"/>
    <w:rsid w:val="001C5CAB"/>
    <w:rsid w:val="001C5EAA"/>
    <w:rsid w:val="001C5F83"/>
    <w:rsid w:val="001C6071"/>
    <w:rsid w:val="001C6525"/>
    <w:rsid w:val="001C6539"/>
    <w:rsid w:val="001C6602"/>
    <w:rsid w:val="001C67F2"/>
    <w:rsid w:val="001C6E01"/>
    <w:rsid w:val="001C744F"/>
    <w:rsid w:val="001C77E9"/>
    <w:rsid w:val="001C78E4"/>
    <w:rsid w:val="001C7C68"/>
    <w:rsid w:val="001C7D4C"/>
    <w:rsid w:val="001D0011"/>
    <w:rsid w:val="001D0B35"/>
    <w:rsid w:val="001D0FE5"/>
    <w:rsid w:val="001D1116"/>
    <w:rsid w:val="001D12BF"/>
    <w:rsid w:val="001D1454"/>
    <w:rsid w:val="001D154F"/>
    <w:rsid w:val="001D1962"/>
    <w:rsid w:val="001D1A6D"/>
    <w:rsid w:val="001D1B9C"/>
    <w:rsid w:val="001D208E"/>
    <w:rsid w:val="001D22F5"/>
    <w:rsid w:val="001D2967"/>
    <w:rsid w:val="001D30EE"/>
    <w:rsid w:val="001D3508"/>
    <w:rsid w:val="001D3684"/>
    <w:rsid w:val="001D3BFC"/>
    <w:rsid w:val="001D3DA5"/>
    <w:rsid w:val="001D3F84"/>
    <w:rsid w:val="001D4A3E"/>
    <w:rsid w:val="001D4D11"/>
    <w:rsid w:val="001D4D3D"/>
    <w:rsid w:val="001D4E4F"/>
    <w:rsid w:val="001D5098"/>
    <w:rsid w:val="001D545B"/>
    <w:rsid w:val="001D5556"/>
    <w:rsid w:val="001D55CD"/>
    <w:rsid w:val="001D5776"/>
    <w:rsid w:val="001D58F5"/>
    <w:rsid w:val="001D591F"/>
    <w:rsid w:val="001D5A4B"/>
    <w:rsid w:val="001D60CA"/>
    <w:rsid w:val="001D6217"/>
    <w:rsid w:val="001D6265"/>
    <w:rsid w:val="001D62F2"/>
    <w:rsid w:val="001D63DA"/>
    <w:rsid w:val="001D6512"/>
    <w:rsid w:val="001D6796"/>
    <w:rsid w:val="001D6E49"/>
    <w:rsid w:val="001D7232"/>
    <w:rsid w:val="001D7570"/>
    <w:rsid w:val="001D7631"/>
    <w:rsid w:val="001D7A84"/>
    <w:rsid w:val="001D7B48"/>
    <w:rsid w:val="001D7BA4"/>
    <w:rsid w:val="001D7D9D"/>
    <w:rsid w:val="001D7E77"/>
    <w:rsid w:val="001E0064"/>
    <w:rsid w:val="001E0749"/>
    <w:rsid w:val="001E0A0D"/>
    <w:rsid w:val="001E0ABF"/>
    <w:rsid w:val="001E0B5E"/>
    <w:rsid w:val="001E0D5F"/>
    <w:rsid w:val="001E1748"/>
    <w:rsid w:val="001E1BB0"/>
    <w:rsid w:val="001E1C49"/>
    <w:rsid w:val="001E2446"/>
    <w:rsid w:val="001E2D29"/>
    <w:rsid w:val="001E2E14"/>
    <w:rsid w:val="001E3129"/>
    <w:rsid w:val="001E32D6"/>
    <w:rsid w:val="001E33B4"/>
    <w:rsid w:val="001E3E60"/>
    <w:rsid w:val="001E419F"/>
    <w:rsid w:val="001E422F"/>
    <w:rsid w:val="001E4344"/>
    <w:rsid w:val="001E437B"/>
    <w:rsid w:val="001E453A"/>
    <w:rsid w:val="001E4D3F"/>
    <w:rsid w:val="001E4DF8"/>
    <w:rsid w:val="001E4E97"/>
    <w:rsid w:val="001E4F8D"/>
    <w:rsid w:val="001E563B"/>
    <w:rsid w:val="001E57A9"/>
    <w:rsid w:val="001E5B85"/>
    <w:rsid w:val="001E62E5"/>
    <w:rsid w:val="001E64F9"/>
    <w:rsid w:val="001E6962"/>
    <w:rsid w:val="001E6F19"/>
    <w:rsid w:val="001E6F63"/>
    <w:rsid w:val="001E71E6"/>
    <w:rsid w:val="001E74C9"/>
    <w:rsid w:val="001E787D"/>
    <w:rsid w:val="001E791B"/>
    <w:rsid w:val="001E79BA"/>
    <w:rsid w:val="001E7E83"/>
    <w:rsid w:val="001F0006"/>
    <w:rsid w:val="001F0296"/>
    <w:rsid w:val="001F0DE8"/>
    <w:rsid w:val="001F0F65"/>
    <w:rsid w:val="001F1056"/>
    <w:rsid w:val="001F11FC"/>
    <w:rsid w:val="001F1207"/>
    <w:rsid w:val="001F12AE"/>
    <w:rsid w:val="001F1DC7"/>
    <w:rsid w:val="001F1F09"/>
    <w:rsid w:val="001F2268"/>
    <w:rsid w:val="001F2764"/>
    <w:rsid w:val="001F27CB"/>
    <w:rsid w:val="001F27DC"/>
    <w:rsid w:val="001F2B12"/>
    <w:rsid w:val="001F2FE2"/>
    <w:rsid w:val="001F3502"/>
    <w:rsid w:val="001F36B8"/>
    <w:rsid w:val="001F3857"/>
    <w:rsid w:val="001F3A7C"/>
    <w:rsid w:val="001F3D28"/>
    <w:rsid w:val="001F3D80"/>
    <w:rsid w:val="001F45DE"/>
    <w:rsid w:val="001F4E5E"/>
    <w:rsid w:val="001F552E"/>
    <w:rsid w:val="001F557E"/>
    <w:rsid w:val="001F5A30"/>
    <w:rsid w:val="001F5D07"/>
    <w:rsid w:val="001F60F8"/>
    <w:rsid w:val="001F62BD"/>
    <w:rsid w:val="001F6809"/>
    <w:rsid w:val="001F713B"/>
    <w:rsid w:val="001F768B"/>
    <w:rsid w:val="001F76EB"/>
    <w:rsid w:val="001F786D"/>
    <w:rsid w:val="001F7D6F"/>
    <w:rsid w:val="001F7F83"/>
    <w:rsid w:val="00200042"/>
    <w:rsid w:val="0020074D"/>
    <w:rsid w:val="00200CD6"/>
    <w:rsid w:val="00200EB6"/>
    <w:rsid w:val="0020116D"/>
    <w:rsid w:val="002012AC"/>
    <w:rsid w:val="00201D85"/>
    <w:rsid w:val="002020FF"/>
    <w:rsid w:val="00202100"/>
    <w:rsid w:val="00202407"/>
    <w:rsid w:val="00202945"/>
    <w:rsid w:val="00202B38"/>
    <w:rsid w:val="00202CF6"/>
    <w:rsid w:val="0020364F"/>
    <w:rsid w:val="0020383C"/>
    <w:rsid w:val="00203B13"/>
    <w:rsid w:val="00203DA3"/>
    <w:rsid w:val="00203FA0"/>
    <w:rsid w:val="002043CA"/>
    <w:rsid w:val="00204574"/>
    <w:rsid w:val="0020476F"/>
    <w:rsid w:val="00204B11"/>
    <w:rsid w:val="00204CC8"/>
    <w:rsid w:val="00205953"/>
    <w:rsid w:val="00205BEB"/>
    <w:rsid w:val="00205BED"/>
    <w:rsid w:val="00206100"/>
    <w:rsid w:val="002061B8"/>
    <w:rsid w:val="00207021"/>
    <w:rsid w:val="0020710E"/>
    <w:rsid w:val="002074E7"/>
    <w:rsid w:val="00207717"/>
    <w:rsid w:val="00207723"/>
    <w:rsid w:val="00207CD1"/>
    <w:rsid w:val="00207F87"/>
    <w:rsid w:val="002102C4"/>
    <w:rsid w:val="002109ED"/>
    <w:rsid w:val="0021111A"/>
    <w:rsid w:val="0021162E"/>
    <w:rsid w:val="0021171F"/>
    <w:rsid w:val="00211789"/>
    <w:rsid w:val="002119CE"/>
    <w:rsid w:val="00211AA6"/>
    <w:rsid w:val="00211B59"/>
    <w:rsid w:val="002122C8"/>
    <w:rsid w:val="00212335"/>
    <w:rsid w:val="0021236D"/>
    <w:rsid w:val="002123C1"/>
    <w:rsid w:val="00212423"/>
    <w:rsid w:val="002125A6"/>
    <w:rsid w:val="00212614"/>
    <w:rsid w:val="0021263A"/>
    <w:rsid w:val="002127A0"/>
    <w:rsid w:val="00212DF3"/>
    <w:rsid w:val="0021326D"/>
    <w:rsid w:val="00213770"/>
    <w:rsid w:val="00213BDF"/>
    <w:rsid w:val="00213BF7"/>
    <w:rsid w:val="00213EDB"/>
    <w:rsid w:val="002140F3"/>
    <w:rsid w:val="0021414E"/>
    <w:rsid w:val="00214853"/>
    <w:rsid w:val="00214C1C"/>
    <w:rsid w:val="00214E4E"/>
    <w:rsid w:val="002151C7"/>
    <w:rsid w:val="002152BD"/>
    <w:rsid w:val="00215439"/>
    <w:rsid w:val="00215551"/>
    <w:rsid w:val="00215C7A"/>
    <w:rsid w:val="0021657A"/>
    <w:rsid w:val="00216951"/>
    <w:rsid w:val="00216AA0"/>
    <w:rsid w:val="00216B0A"/>
    <w:rsid w:val="00216C15"/>
    <w:rsid w:val="00216CC0"/>
    <w:rsid w:val="00216ED4"/>
    <w:rsid w:val="00216EF0"/>
    <w:rsid w:val="002172EC"/>
    <w:rsid w:val="0021730D"/>
    <w:rsid w:val="002175CC"/>
    <w:rsid w:val="00217776"/>
    <w:rsid w:val="002177C6"/>
    <w:rsid w:val="00217CD3"/>
    <w:rsid w:val="002200C0"/>
    <w:rsid w:val="0022056B"/>
    <w:rsid w:val="00220C50"/>
    <w:rsid w:val="00220C57"/>
    <w:rsid w:val="00220F02"/>
    <w:rsid w:val="0022146C"/>
    <w:rsid w:val="00221572"/>
    <w:rsid w:val="0022188C"/>
    <w:rsid w:val="002218C0"/>
    <w:rsid w:val="00221D24"/>
    <w:rsid w:val="00221F58"/>
    <w:rsid w:val="00221FDC"/>
    <w:rsid w:val="002221F1"/>
    <w:rsid w:val="002222AB"/>
    <w:rsid w:val="00222346"/>
    <w:rsid w:val="002225B1"/>
    <w:rsid w:val="00222609"/>
    <w:rsid w:val="00222797"/>
    <w:rsid w:val="00222B22"/>
    <w:rsid w:val="00222C91"/>
    <w:rsid w:val="00222E25"/>
    <w:rsid w:val="00222F81"/>
    <w:rsid w:val="0022338D"/>
    <w:rsid w:val="002235AD"/>
    <w:rsid w:val="0022365D"/>
    <w:rsid w:val="002236F2"/>
    <w:rsid w:val="00223B91"/>
    <w:rsid w:val="002247FA"/>
    <w:rsid w:val="0022497D"/>
    <w:rsid w:val="00224D83"/>
    <w:rsid w:val="0022512A"/>
    <w:rsid w:val="00225344"/>
    <w:rsid w:val="00225748"/>
    <w:rsid w:val="00225F55"/>
    <w:rsid w:val="002261B1"/>
    <w:rsid w:val="00226B3B"/>
    <w:rsid w:val="00226E9F"/>
    <w:rsid w:val="00226F7C"/>
    <w:rsid w:val="00227FBE"/>
    <w:rsid w:val="00230531"/>
    <w:rsid w:val="00230894"/>
    <w:rsid w:val="00230BBB"/>
    <w:rsid w:val="00230DC6"/>
    <w:rsid w:val="00231078"/>
    <w:rsid w:val="0023120C"/>
    <w:rsid w:val="002313A8"/>
    <w:rsid w:val="00231541"/>
    <w:rsid w:val="002315AC"/>
    <w:rsid w:val="00231B94"/>
    <w:rsid w:val="00232279"/>
    <w:rsid w:val="0023246F"/>
    <w:rsid w:val="00232772"/>
    <w:rsid w:val="00232DD9"/>
    <w:rsid w:val="00232EBB"/>
    <w:rsid w:val="00232F00"/>
    <w:rsid w:val="00233421"/>
    <w:rsid w:val="002335D5"/>
    <w:rsid w:val="002335EE"/>
    <w:rsid w:val="00233B8E"/>
    <w:rsid w:val="00233DCB"/>
    <w:rsid w:val="00233FFD"/>
    <w:rsid w:val="002343B7"/>
    <w:rsid w:val="0023447B"/>
    <w:rsid w:val="002346C1"/>
    <w:rsid w:val="0023491E"/>
    <w:rsid w:val="002352AF"/>
    <w:rsid w:val="00235448"/>
    <w:rsid w:val="002354F0"/>
    <w:rsid w:val="00236209"/>
    <w:rsid w:val="0023632A"/>
    <w:rsid w:val="002363FD"/>
    <w:rsid w:val="002365B6"/>
    <w:rsid w:val="00237038"/>
    <w:rsid w:val="00237404"/>
    <w:rsid w:val="00237D91"/>
    <w:rsid w:val="00237ED9"/>
    <w:rsid w:val="00240048"/>
    <w:rsid w:val="00240240"/>
    <w:rsid w:val="00240261"/>
    <w:rsid w:val="00240376"/>
    <w:rsid w:val="00240936"/>
    <w:rsid w:val="00240E3E"/>
    <w:rsid w:val="00240EB3"/>
    <w:rsid w:val="00241091"/>
    <w:rsid w:val="00241184"/>
    <w:rsid w:val="002414BB"/>
    <w:rsid w:val="002415B2"/>
    <w:rsid w:val="002416D0"/>
    <w:rsid w:val="002419BA"/>
    <w:rsid w:val="00241C87"/>
    <w:rsid w:val="00241FC4"/>
    <w:rsid w:val="00241FF9"/>
    <w:rsid w:val="002426B5"/>
    <w:rsid w:val="00242950"/>
    <w:rsid w:val="00242EA6"/>
    <w:rsid w:val="00242F2A"/>
    <w:rsid w:val="002433C5"/>
    <w:rsid w:val="00243531"/>
    <w:rsid w:val="0024395B"/>
    <w:rsid w:val="00243DBC"/>
    <w:rsid w:val="00243DBD"/>
    <w:rsid w:val="00243F7C"/>
    <w:rsid w:val="0024463D"/>
    <w:rsid w:val="0024474C"/>
    <w:rsid w:val="00244965"/>
    <w:rsid w:val="00244A72"/>
    <w:rsid w:val="00244DF5"/>
    <w:rsid w:val="00244F99"/>
    <w:rsid w:val="00245253"/>
    <w:rsid w:val="00246173"/>
    <w:rsid w:val="002465F1"/>
    <w:rsid w:val="002465FC"/>
    <w:rsid w:val="0024663C"/>
    <w:rsid w:val="00246AE6"/>
    <w:rsid w:val="00246C02"/>
    <w:rsid w:val="00246C99"/>
    <w:rsid w:val="0024703A"/>
    <w:rsid w:val="002474F9"/>
    <w:rsid w:val="002476B8"/>
    <w:rsid w:val="00247792"/>
    <w:rsid w:val="00250017"/>
    <w:rsid w:val="002508A5"/>
    <w:rsid w:val="00250939"/>
    <w:rsid w:val="00250E13"/>
    <w:rsid w:val="0025160B"/>
    <w:rsid w:val="00251DDC"/>
    <w:rsid w:val="00252620"/>
    <w:rsid w:val="002527CA"/>
    <w:rsid w:val="0025284E"/>
    <w:rsid w:val="00252B28"/>
    <w:rsid w:val="00252FF6"/>
    <w:rsid w:val="00253291"/>
    <w:rsid w:val="002535FA"/>
    <w:rsid w:val="002536FC"/>
    <w:rsid w:val="002538B5"/>
    <w:rsid w:val="00253AE4"/>
    <w:rsid w:val="0025409F"/>
    <w:rsid w:val="002547B7"/>
    <w:rsid w:val="00254C6B"/>
    <w:rsid w:val="00254C84"/>
    <w:rsid w:val="0025501D"/>
    <w:rsid w:val="00255323"/>
    <w:rsid w:val="0025574D"/>
    <w:rsid w:val="00255926"/>
    <w:rsid w:val="002559CD"/>
    <w:rsid w:val="00255CA5"/>
    <w:rsid w:val="00256031"/>
    <w:rsid w:val="0025613F"/>
    <w:rsid w:val="00256728"/>
    <w:rsid w:val="002568B8"/>
    <w:rsid w:val="00256B28"/>
    <w:rsid w:val="00256BC8"/>
    <w:rsid w:val="00256F4F"/>
    <w:rsid w:val="00257905"/>
    <w:rsid w:val="0026031E"/>
    <w:rsid w:val="002603E3"/>
    <w:rsid w:val="0026041A"/>
    <w:rsid w:val="0026043C"/>
    <w:rsid w:val="002607E0"/>
    <w:rsid w:val="00260DAB"/>
    <w:rsid w:val="00261492"/>
    <w:rsid w:val="00261596"/>
    <w:rsid w:val="0026260D"/>
    <w:rsid w:val="0026296F"/>
    <w:rsid w:val="00262A9E"/>
    <w:rsid w:val="00262E53"/>
    <w:rsid w:val="00262F3E"/>
    <w:rsid w:val="00262FC6"/>
    <w:rsid w:val="00262FE6"/>
    <w:rsid w:val="00262FF9"/>
    <w:rsid w:val="0026328D"/>
    <w:rsid w:val="002633C0"/>
    <w:rsid w:val="00263400"/>
    <w:rsid w:val="002638EB"/>
    <w:rsid w:val="00263F25"/>
    <w:rsid w:val="002640DD"/>
    <w:rsid w:val="002647A5"/>
    <w:rsid w:val="00264841"/>
    <w:rsid w:val="002648D6"/>
    <w:rsid w:val="00264931"/>
    <w:rsid w:val="00264B37"/>
    <w:rsid w:val="00265061"/>
    <w:rsid w:val="00265155"/>
    <w:rsid w:val="00265FD2"/>
    <w:rsid w:val="0026661F"/>
    <w:rsid w:val="002669CB"/>
    <w:rsid w:val="0026708C"/>
    <w:rsid w:val="00267147"/>
    <w:rsid w:val="00267165"/>
    <w:rsid w:val="002672A4"/>
    <w:rsid w:val="002672B0"/>
    <w:rsid w:val="002672EF"/>
    <w:rsid w:val="00267700"/>
    <w:rsid w:val="002679B1"/>
    <w:rsid w:val="0027004A"/>
    <w:rsid w:val="0027019F"/>
    <w:rsid w:val="002701DA"/>
    <w:rsid w:val="00270365"/>
    <w:rsid w:val="0027063E"/>
    <w:rsid w:val="002709BA"/>
    <w:rsid w:val="00270B17"/>
    <w:rsid w:val="00270CC1"/>
    <w:rsid w:val="00270FF1"/>
    <w:rsid w:val="00271032"/>
    <w:rsid w:val="002710EC"/>
    <w:rsid w:val="002710FB"/>
    <w:rsid w:val="002715CD"/>
    <w:rsid w:val="002717E1"/>
    <w:rsid w:val="002719DB"/>
    <w:rsid w:val="00271A28"/>
    <w:rsid w:val="00271B73"/>
    <w:rsid w:val="00272009"/>
    <w:rsid w:val="00272158"/>
    <w:rsid w:val="002722C9"/>
    <w:rsid w:val="002725D3"/>
    <w:rsid w:val="0027275F"/>
    <w:rsid w:val="00272A58"/>
    <w:rsid w:val="00272DFE"/>
    <w:rsid w:val="00272E16"/>
    <w:rsid w:val="00272FDB"/>
    <w:rsid w:val="002733B0"/>
    <w:rsid w:val="00273775"/>
    <w:rsid w:val="002737C1"/>
    <w:rsid w:val="00273802"/>
    <w:rsid w:val="00273CE6"/>
    <w:rsid w:val="00273ECF"/>
    <w:rsid w:val="002741DF"/>
    <w:rsid w:val="002743AB"/>
    <w:rsid w:val="0027444A"/>
    <w:rsid w:val="002744E3"/>
    <w:rsid w:val="00274713"/>
    <w:rsid w:val="00274781"/>
    <w:rsid w:val="00274CD9"/>
    <w:rsid w:val="00275301"/>
    <w:rsid w:val="00275C3B"/>
    <w:rsid w:val="00275D8E"/>
    <w:rsid w:val="00275D95"/>
    <w:rsid w:val="00275F16"/>
    <w:rsid w:val="00275FA9"/>
    <w:rsid w:val="002760B4"/>
    <w:rsid w:val="0027610E"/>
    <w:rsid w:val="002763A2"/>
    <w:rsid w:val="00276C09"/>
    <w:rsid w:val="00277134"/>
    <w:rsid w:val="002774D2"/>
    <w:rsid w:val="002778F9"/>
    <w:rsid w:val="0028040C"/>
    <w:rsid w:val="002804BD"/>
    <w:rsid w:val="002804E7"/>
    <w:rsid w:val="00280A39"/>
    <w:rsid w:val="00280B46"/>
    <w:rsid w:val="00280F1A"/>
    <w:rsid w:val="00280F28"/>
    <w:rsid w:val="00280F53"/>
    <w:rsid w:val="002810F6"/>
    <w:rsid w:val="0028127D"/>
    <w:rsid w:val="002813E0"/>
    <w:rsid w:val="002813ED"/>
    <w:rsid w:val="00281697"/>
    <w:rsid w:val="00281811"/>
    <w:rsid w:val="00282143"/>
    <w:rsid w:val="00282717"/>
    <w:rsid w:val="002832DE"/>
    <w:rsid w:val="00283424"/>
    <w:rsid w:val="002835E3"/>
    <w:rsid w:val="00283709"/>
    <w:rsid w:val="00283869"/>
    <w:rsid w:val="0028389A"/>
    <w:rsid w:val="00283A48"/>
    <w:rsid w:val="00283B7C"/>
    <w:rsid w:val="00283CE1"/>
    <w:rsid w:val="002844C7"/>
    <w:rsid w:val="0028450F"/>
    <w:rsid w:val="0028452D"/>
    <w:rsid w:val="00284AB3"/>
    <w:rsid w:val="00284B66"/>
    <w:rsid w:val="00284D17"/>
    <w:rsid w:val="00284D6E"/>
    <w:rsid w:val="00284F8A"/>
    <w:rsid w:val="0028506B"/>
    <w:rsid w:val="00285369"/>
    <w:rsid w:val="00285C6B"/>
    <w:rsid w:val="00285D40"/>
    <w:rsid w:val="00285DB2"/>
    <w:rsid w:val="00285F95"/>
    <w:rsid w:val="002860D7"/>
    <w:rsid w:val="002864C1"/>
    <w:rsid w:val="002865B9"/>
    <w:rsid w:val="00286779"/>
    <w:rsid w:val="00286B6E"/>
    <w:rsid w:val="00286D0F"/>
    <w:rsid w:val="00286DBE"/>
    <w:rsid w:val="002871D2"/>
    <w:rsid w:val="00287604"/>
    <w:rsid w:val="00287848"/>
    <w:rsid w:val="00287A35"/>
    <w:rsid w:val="00287A71"/>
    <w:rsid w:val="00287BFF"/>
    <w:rsid w:val="00287CCA"/>
    <w:rsid w:val="00287FAB"/>
    <w:rsid w:val="00287FD8"/>
    <w:rsid w:val="002913B7"/>
    <w:rsid w:val="0029195F"/>
    <w:rsid w:val="00291FCC"/>
    <w:rsid w:val="002926E7"/>
    <w:rsid w:val="00292A3B"/>
    <w:rsid w:val="00293160"/>
    <w:rsid w:val="00293177"/>
    <w:rsid w:val="00293228"/>
    <w:rsid w:val="00293326"/>
    <w:rsid w:val="00293ABC"/>
    <w:rsid w:val="00293AC9"/>
    <w:rsid w:val="00293C61"/>
    <w:rsid w:val="00293DB7"/>
    <w:rsid w:val="00293F99"/>
    <w:rsid w:val="0029465A"/>
    <w:rsid w:val="00294670"/>
    <w:rsid w:val="002948C2"/>
    <w:rsid w:val="00294B1A"/>
    <w:rsid w:val="00294FEE"/>
    <w:rsid w:val="002951F9"/>
    <w:rsid w:val="00295C0E"/>
    <w:rsid w:val="00295C41"/>
    <w:rsid w:val="00295DE6"/>
    <w:rsid w:val="00295E2B"/>
    <w:rsid w:val="00296290"/>
    <w:rsid w:val="002964B6"/>
    <w:rsid w:val="002972CD"/>
    <w:rsid w:val="002977DA"/>
    <w:rsid w:val="00297A8D"/>
    <w:rsid w:val="00297B78"/>
    <w:rsid w:val="00297C12"/>
    <w:rsid w:val="00297D82"/>
    <w:rsid w:val="002A044C"/>
    <w:rsid w:val="002A04BC"/>
    <w:rsid w:val="002A0BFD"/>
    <w:rsid w:val="002A0D23"/>
    <w:rsid w:val="002A111C"/>
    <w:rsid w:val="002A1642"/>
    <w:rsid w:val="002A18D0"/>
    <w:rsid w:val="002A1908"/>
    <w:rsid w:val="002A2780"/>
    <w:rsid w:val="002A2916"/>
    <w:rsid w:val="002A2936"/>
    <w:rsid w:val="002A295C"/>
    <w:rsid w:val="002A3058"/>
    <w:rsid w:val="002A31DC"/>
    <w:rsid w:val="002A3AA7"/>
    <w:rsid w:val="002A3E4A"/>
    <w:rsid w:val="002A3F49"/>
    <w:rsid w:val="002A4526"/>
    <w:rsid w:val="002A4556"/>
    <w:rsid w:val="002A488E"/>
    <w:rsid w:val="002A4C58"/>
    <w:rsid w:val="002A50DA"/>
    <w:rsid w:val="002A5780"/>
    <w:rsid w:val="002A58A9"/>
    <w:rsid w:val="002A5F20"/>
    <w:rsid w:val="002A602A"/>
    <w:rsid w:val="002A60D7"/>
    <w:rsid w:val="002A6221"/>
    <w:rsid w:val="002A649E"/>
    <w:rsid w:val="002A65C9"/>
    <w:rsid w:val="002A685B"/>
    <w:rsid w:val="002A692B"/>
    <w:rsid w:val="002A7090"/>
    <w:rsid w:val="002A71C9"/>
    <w:rsid w:val="002A73AF"/>
    <w:rsid w:val="002A7A67"/>
    <w:rsid w:val="002A7DEB"/>
    <w:rsid w:val="002B04C0"/>
    <w:rsid w:val="002B1420"/>
    <w:rsid w:val="002B1503"/>
    <w:rsid w:val="002B15CA"/>
    <w:rsid w:val="002B15F5"/>
    <w:rsid w:val="002B16F0"/>
    <w:rsid w:val="002B1832"/>
    <w:rsid w:val="002B196D"/>
    <w:rsid w:val="002B1B27"/>
    <w:rsid w:val="002B2B21"/>
    <w:rsid w:val="002B2BA9"/>
    <w:rsid w:val="002B2C17"/>
    <w:rsid w:val="002B3511"/>
    <w:rsid w:val="002B35F7"/>
    <w:rsid w:val="002B3837"/>
    <w:rsid w:val="002B3950"/>
    <w:rsid w:val="002B3A63"/>
    <w:rsid w:val="002B3B00"/>
    <w:rsid w:val="002B404B"/>
    <w:rsid w:val="002B43AD"/>
    <w:rsid w:val="002B4962"/>
    <w:rsid w:val="002B4B85"/>
    <w:rsid w:val="002B4CDB"/>
    <w:rsid w:val="002B4D72"/>
    <w:rsid w:val="002B4E49"/>
    <w:rsid w:val="002B51AA"/>
    <w:rsid w:val="002B5272"/>
    <w:rsid w:val="002B58FA"/>
    <w:rsid w:val="002B5935"/>
    <w:rsid w:val="002B5DD6"/>
    <w:rsid w:val="002B6198"/>
    <w:rsid w:val="002B61E7"/>
    <w:rsid w:val="002B6495"/>
    <w:rsid w:val="002B65EB"/>
    <w:rsid w:val="002B68E0"/>
    <w:rsid w:val="002B6B76"/>
    <w:rsid w:val="002B6E37"/>
    <w:rsid w:val="002B6EA9"/>
    <w:rsid w:val="002B72EF"/>
    <w:rsid w:val="002B78DC"/>
    <w:rsid w:val="002B7C68"/>
    <w:rsid w:val="002B7D91"/>
    <w:rsid w:val="002C0286"/>
    <w:rsid w:val="002C0313"/>
    <w:rsid w:val="002C0384"/>
    <w:rsid w:val="002C0552"/>
    <w:rsid w:val="002C0871"/>
    <w:rsid w:val="002C11C0"/>
    <w:rsid w:val="002C123C"/>
    <w:rsid w:val="002C165B"/>
    <w:rsid w:val="002C1862"/>
    <w:rsid w:val="002C1B9C"/>
    <w:rsid w:val="002C2386"/>
    <w:rsid w:val="002C25EF"/>
    <w:rsid w:val="002C277E"/>
    <w:rsid w:val="002C31AA"/>
    <w:rsid w:val="002C3740"/>
    <w:rsid w:val="002C3A6C"/>
    <w:rsid w:val="002C3EDC"/>
    <w:rsid w:val="002C40E1"/>
    <w:rsid w:val="002C42F0"/>
    <w:rsid w:val="002C51E6"/>
    <w:rsid w:val="002C5730"/>
    <w:rsid w:val="002C58E3"/>
    <w:rsid w:val="002C5934"/>
    <w:rsid w:val="002C5969"/>
    <w:rsid w:val="002C5F68"/>
    <w:rsid w:val="002C64EE"/>
    <w:rsid w:val="002C6860"/>
    <w:rsid w:val="002C6B58"/>
    <w:rsid w:val="002C6ED6"/>
    <w:rsid w:val="002C71ED"/>
    <w:rsid w:val="002C72AC"/>
    <w:rsid w:val="002C752A"/>
    <w:rsid w:val="002C7C5C"/>
    <w:rsid w:val="002C7E5A"/>
    <w:rsid w:val="002C7EF3"/>
    <w:rsid w:val="002D0369"/>
    <w:rsid w:val="002D0503"/>
    <w:rsid w:val="002D0611"/>
    <w:rsid w:val="002D0F36"/>
    <w:rsid w:val="002D1FB0"/>
    <w:rsid w:val="002D217E"/>
    <w:rsid w:val="002D240F"/>
    <w:rsid w:val="002D2711"/>
    <w:rsid w:val="002D2A0D"/>
    <w:rsid w:val="002D2DEA"/>
    <w:rsid w:val="002D3024"/>
    <w:rsid w:val="002D319E"/>
    <w:rsid w:val="002D34A2"/>
    <w:rsid w:val="002D3552"/>
    <w:rsid w:val="002D39D0"/>
    <w:rsid w:val="002D3AC8"/>
    <w:rsid w:val="002D3B54"/>
    <w:rsid w:val="002D3CC4"/>
    <w:rsid w:val="002D3FE6"/>
    <w:rsid w:val="002D50E3"/>
    <w:rsid w:val="002D515E"/>
    <w:rsid w:val="002D51CB"/>
    <w:rsid w:val="002D526A"/>
    <w:rsid w:val="002D5735"/>
    <w:rsid w:val="002D5929"/>
    <w:rsid w:val="002D5B5B"/>
    <w:rsid w:val="002D5E95"/>
    <w:rsid w:val="002D6192"/>
    <w:rsid w:val="002D6245"/>
    <w:rsid w:val="002D6889"/>
    <w:rsid w:val="002D692E"/>
    <w:rsid w:val="002D69D9"/>
    <w:rsid w:val="002D6A28"/>
    <w:rsid w:val="002D6AD4"/>
    <w:rsid w:val="002D6B8D"/>
    <w:rsid w:val="002D6F7B"/>
    <w:rsid w:val="002D763F"/>
    <w:rsid w:val="002D7C41"/>
    <w:rsid w:val="002E038A"/>
    <w:rsid w:val="002E0D8F"/>
    <w:rsid w:val="002E15CF"/>
    <w:rsid w:val="002E1C59"/>
    <w:rsid w:val="002E1CE4"/>
    <w:rsid w:val="002E1CEA"/>
    <w:rsid w:val="002E22F9"/>
    <w:rsid w:val="002E2324"/>
    <w:rsid w:val="002E2490"/>
    <w:rsid w:val="002E260F"/>
    <w:rsid w:val="002E267F"/>
    <w:rsid w:val="002E2B41"/>
    <w:rsid w:val="002E2CFA"/>
    <w:rsid w:val="002E2D7E"/>
    <w:rsid w:val="002E2E6E"/>
    <w:rsid w:val="002E2F00"/>
    <w:rsid w:val="002E3037"/>
    <w:rsid w:val="002E361C"/>
    <w:rsid w:val="002E3918"/>
    <w:rsid w:val="002E40B1"/>
    <w:rsid w:val="002E4276"/>
    <w:rsid w:val="002E4977"/>
    <w:rsid w:val="002E49EF"/>
    <w:rsid w:val="002E4D57"/>
    <w:rsid w:val="002E57BC"/>
    <w:rsid w:val="002E5B32"/>
    <w:rsid w:val="002E5BB7"/>
    <w:rsid w:val="002E5D28"/>
    <w:rsid w:val="002E5E35"/>
    <w:rsid w:val="002E6393"/>
    <w:rsid w:val="002E6CA6"/>
    <w:rsid w:val="002E6FD5"/>
    <w:rsid w:val="002E7294"/>
    <w:rsid w:val="002E74BE"/>
    <w:rsid w:val="002E78F1"/>
    <w:rsid w:val="002E7B9A"/>
    <w:rsid w:val="002E7C05"/>
    <w:rsid w:val="002E7D6B"/>
    <w:rsid w:val="002E7D81"/>
    <w:rsid w:val="002E7DDC"/>
    <w:rsid w:val="002F0819"/>
    <w:rsid w:val="002F093F"/>
    <w:rsid w:val="002F0F89"/>
    <w:rsid w:val="002F1432"/>
    <w:rsid w:val="002F1ADB"/>
    <w:rsid w:val="002F1E82"/>
    <w:rsid w:val="002F20C6"/>
    <w:rsid w:val="002F21E6"/>
    <w:rsid w:val="002F229F"/>
    <w:rsid w:val="002F25FB"/>
    <w:rsid w:val="002F27AA"/>
    <w:rsid w:val="002F290A"/>
    <w:rsid w:val="002F2C76"/>
    <w:rsid w:val="002F2D05"/>
    <w:rsid w:val="002F329E"/>
    <w:rsid w:val="002F3500"/>
    <w:rsid w:val="002F3833"/>
    <w:rsid w:val="002F3893"/>
    <w:rsid w:val="002F38DE"/>
    <w:rsid w:val="002F3C07"/>
    <w:rsid w:val="002F3E3E"/>
    <w:rsid w:val="002F402D"/>
    <w:rsid w:val="002F40AA"/>
    <w:rsid w:val="002F4BA6"/>
    <w:rsid w:val="002F4CCD"/>
    <w:rsid w:val="002F4DD8"/>
    <w:rsid w:val="002F5912"/>
    <w:rsid w:val="002F5AEF"/>
    <w:rsid w:val="002F5AFE"/>
    <w:rsid w:val="002F5BF4"/>
    <w:rsid w:val="002F5E87"/>
    <w:rsid w:val="002F5F95"/>
    <w:rsid w:val="002F6132"/>
    <w:rsid w:val="002F68AC"/>
    <w:rsid w:val="002F6918"/>
    <w:rsid w:val="002F6A38"/>
    <w:rsid w:val="002F6A83"/>
    <w:rsid w:val="002F6AB6"/>
    <w:rsid w:val="002F72A8"/>
    <w:rsid w:val="002F75E9"/>
    <w:rsid w:val="002F7877"/>
    <w:rsid w:val="002F7891"/>
    <w:rsid w:val="002F7C98"/>
    <w:rsid w:val="0030001F"/>
    <w:rsid w:val="0030012B"/>
    <w:rsid w:val="003004FD"/>
    <w:rsid w:val="00300993"/>
    <w:rsid w:val="00300AF5"/>
    <w:rsid w:val="00300ED8"/>
    <w:rsid w:val="00300F02"/>
    <w:rsid w:val="00300F6D"/>
    <w:rsid w:val="0030101B"/>
    <w:rsid w:val="00301319"/>
    <w:rsid w:val="0030176B"/>
    <w:rsid w:val="003018CE"/>
    <w:rsid w:val="00301A6B"/>
    <w:rsid w:val="00301B31"/>
    <w:rsid w:val="00301CCE"/>
    <w:rsid w:val="003021FC"/>
    <w:rsid w:val="003027D7"/>
    <w:rsid w:val="003028BC"/>
    <w:rsid w:val="003029D0"/>
    <w:rsid w:val="00302BE2"/>
    <w:rsid w:val="00302E18"/>
    <w:rsid w:val="00303009"/>
    <w:rsid w:val="0030312D"/>
    <w:rsid w:val="003033B3"/>
    <w:rsid w:val="0030341C"/>
    <w:rsid w:val="00303985"/>
    <w:rsid w:val="00303A35"/>
    <w:rsid w:val="00303A90"/>
    <w:rsid w:val="00303B9D"/>
    <w:rsid w:val="00304100"/>
    <w:rsid w:val="0030415E"/>
    <w:rsid w:val="0030423F"/>
    <w:rsid w:val="00304751"/>
    <w:rsid w:val="00304946"/>
    <w:rsid w:val="0030494B"/>
    <w:rsid w:val="00304FE6"/>
    <w:rsid w:val="003055A0"/>
    <w:rsid w:val="003058F9"/>
    <w:rsid w:val="003061DA"/>
    <w:rsid w:val="0030630A"/>
    <w:rsid w:val="00306854"/>
    <w:rsid w:val="00306DD2"/>
    <w:rsid w:val="00306EB5"/>
    <w:rsid w:val="0030796E"/>
    <w:rsid w:val="00307B57"/>
    <w:rsid w:val="00307CDA"/>
    <w:rsid w:val="003107C9"/>
    <w:rsid w:val="00310B3B"/>
    <w:rsid w:val="00310B67"/>
    <w:rsid w:val="00310BDE"/>
    <w:rsid w:val="0031106C"/>
    <w:rsid w:val="00311079"/>
    <w:rsid w:val="00311165"/>
    <w:rsid w:val="00311180"/>
    <w:rsid w:val="00311295"/>
    <w:rsid w:val="003115B3"/>
    <w:rsid w:val="0031192A"/>
    <w:rsid w:val="00311DED"/>
    <w:rsid w:val="003127B9"/>
    <w:rsid w:val="003127E8"/>
    <w:rsid w:val="00312865"/>
    <w:rsid w:val="00313235"/>
    <w:rsid w:val="00313654"/>
    <w:rsid w:val="003137D2"/>
    <w:rsid w:val="0031405E"/>
    <w:rsid w:val="003142A1"/>
    <w:rsid w:val="00314441"/>
    <w:rsid w:val="00314509"/>
    <w:rsid w:val="00314705"/>
    <w:rsid w:val="00314835"/>
    <w:rsid w:val="00314931"/>
    <w:rsid w:val="00314A1D"/>
    <w:rsid w:val="00314E5A"/>
    <w:rsid w:val="00314F0B"/>
    <w:rsid w:val="0031529D"/>
    <w:rsid w:val="0031535D"/>
    <w:rsid w:val="003153FA"/>
    <w:rsid w:val="003154D9"/>
    <w:rsid w:val="00315A27"/>
    <w:rsid w:val="00315CB8"/>
    <w:rsid w:val="00315ED7"/>
    <w:rsid w:val="00315F81"/>
    <w:rsid w:val="00315F8A"/>
    <w:rsid w:val="003165C5"/>
    <w:rsid w:val="003165C6"/>
    <w:rsid w:val="00316848"/>
    <w:rsid w:val="003168CB"/>
    <w:rsid w:val="00316F3A"/>
    <w:rsid w:val="003174D4"/>
    <w:rsid w:val="0031782C"/>
    <w:rsid w:val="00320268"/>
    <w:rsid w:val="003205AE"/>
    <w:rsid w:val="00320A8B"/>
    <w:rsid w:val="00320B79"/>
    <w:rsid w:val="00320CB1"/>
    <w:rsid w:val="00320D03"/>
    <w:rsid w:val="00320D22"/>
    <w:rsid w:val="00320DE8"/>
    <w:rsid w:val="00320F7D"/>
    <w:rsid w:val="003214FC"/>
    <w:rsid w:val="00321507"/>
    <w:rsid w:val="00321529"/>
    <w:rsid w:val="00321B50"/>
    <w:rsid w:val="0032253A"/>
    <w:rsid w:val="003225AA"/>
    <w:rsid w:val="00322CB1"/>
    <w:rsid w:val="00322DAE"/>
    <w:rsid w:val="00322F7E"/>
    <w:rsid w:val="003235DC"/>
    <w:rsid w:val="00323644"/>
    <w:rsid w:val="00323749"/>
    <w:rsid w:val="00323758"/>
    <w:rsid w:val="003238D9"/>
    <w:rsid w:val="003239A2"/>
    <w:rsid w:val="00323A7A"/>
    <w:rsid w:val="00324160"/>
    <w:rsid w:val="003245E6"/>
    <w:rsid w:val="003247CC"/>
    <w:rsid w:val="00324B90"/>
    <w:rsid w:val="0032510E"/>
    <w:rsid w:val="0032524D"/>
    <w:rsid w:val="003255BB"/>
    <w:rsid w:val="00325A1E"/>
    <w:rsid w:val="00325AE1"/>
    <w:rsid w:val="00325E7E"/>
    <w:rsid w:val="00326142"/>
    <w:rsid w:val="0032670B"/>
    <w:rsid w:val="003269FF"/>
    <w:rsid w:val="00326B2F"/>
    <w:rsid w:val="00326DB6"/>
    <w:rsid w:val="00326E35"/>
    <w:rsid w:val="00326EE9"/>
    <w:rsid w:val="00326F76"/>
    <w:rsid w:val="003271D2"/>
    <w:rsid w:val="00327936"/>
    <w:rsid w:val="00327B2D"/>
    <w:rsid w:val="00327B7B"/>
    <w:rsid w:val="00327D45"/>
    <w:rsid w:val="00327DB0"/>
    <w:rsid w:val="00330376"/>
    <w:rsid w:val="0033056C"/>
    <w:rsid w:val="003306C8"/>
    <w:rsid w:val="0033071A"/>
    <w:rsid w:val="00330828"/>
    <w:rsid w:val="00330B42"/>
    <w:rsid w:val="00330BEF"/>
    <w:rsid w:val="0033100D"/>
    <w:rsid w:val="003310C7"/>
    <w:rsid w:val="003314E4"/>
    <w:rsid w:val="0033169D"/>
    <w:rsid w:val="00331F08"/>
    <w:rsid w:val="003324DA"/>
    <w:rsid w:val="003326A6"/>
    <w:rsid w:val="00332710"/>
    <w:rsid w:val="00332AFC"/>
    <w:rsid w:val="00332D8D"/>
    <w:rsid w:val="00333927"/>
    <w:rsid w:val="003339CE"/>
    <w:rsid w:val="003348EF"/>
    <w:rsid w:val="003350FD"/>
    <w:rsid w:val="0033533F"/>
    <w:rsid w:val="0033537C"/>
    <w:rsid w:val="00335490"/>
    <w:rsid w:val="003357F4"/>
    <w:rsid w:val="003358B9"/>
    <w:rsid w:val="003358F7"/>
    <w:rsid w:val="00335E55"/>
    <w:rsid w:val="00335E6F"/>
    <w:rsid w:val="003362DF"/>
    <w:rsid w:val="0033667D"/>
    <w:rsid w:val="00336B9C"/>
    <w:rsid w:val="00336CF4"/>
    <w:rsid w:val="0033707E"/>
    <w:rsid w:val="0033766F"/>
    <w:rsid w:val="0033772A"/>
    <w:rsid w:val="00337AD1"/>
    <w:rsid w:val="00337E32"/>
    <w:rsid w:val="00337E8F"/>
    <w:rsid w:val="003400E0"/>
    <w:rsid w:val="00340325"/>
    <w:rsid w:val="003403E0"/>
    <w:rsid w:val="003405BC"/>
    <w:rsid w:val="00340D9B"/>
    <w:rsid w:val="00341778"/>
    <w:rsid w:val="00341865"/>
    <w:rsid w:val="00341DE0"/>
    <w:rsid w:val="00342182"/>
    <w:rsid w:val="00342325"/>
    <w:rsid w:val="00342618"/>
    <w:rsid w:val="003428F3"/>
    <w:rsid w:val="003429DD"/>
    <w:rsid w:val="00342D06"/>
    <w:rsid w:val="00342EA5"/>
    <w:rsid w:val="00343287"/>
    <w:rsid w:val="00343C0A"/>
    <w:rsid w:val="00343DA1"/>
    <w:rsid w:val="00344771"/>
    <w:rsid w:val="003448D9"/>
    <w:rsid w:val="0034515C"/>
    <w:rsid w:val="00345286"/>
    <w:rsid w:val="0034535F"/>
    <w:rsid w:val="00345634"/>
    <w:rsid w:val="00345BCC"/>
    <w:rsid w:val="00345EBD"/>
    <w:rsid w:val="00345F26"/>
    <w:rsid w:val="00346152"/>
    <w:rsid w:val="003462C8"/>
    <w:rsid w:val="003465A0"/>
    <w:rsid w:val="0034666F"/>
    <w:rsid w:val="0034670B"/>
    <w:rsid w:val="003469BE"/>
    <w:rsid w:val="00346FB8"/>
    <w:rsid w:val="003475FA"/>
    <w:rsid w:val="00347935"/>
    <w:rsid w:val="00350062"/>
    <w:rsid w:val="00350384"/>
    <w:rsid w:val="0035039B"/>
    <w:rsid w:val="00350716"/>
    <w:rsid w:val="0035073E"/>
    <w:rsid w:val="00350985"/>
    <w:rsid w:val="00350B35"/>
    <w:rsid w:val="00350C18"/>
    <w:rsid w:val="00350FE2"/>
    <w:rsid w:val="0035181C"/>
    <w:rsid w:val="00351872"/>
    <w:rsid w:val="00351A14"/>
    <w:rsid w:val="00351DCE"/>
    <w:rsid w:val="003521B1"/>
    <w:rsid w:val="003522D6"/>
    <w:rsid w:val="00352348"/>
    <w:rsid w:val="0035263B"/>
    <w:rsid w:val="003526E3"/>
    <w:rsid w:val="00352FB3"/>
    <w:rsid w:val="00352FEE"/>
    <w:rsid w:val="003536E9"/>
    <w:rsid w:val="003538AA"/>
    <w:rsid w:val="00353A33"/>
    <w:rsid w:val="00354272"/>
    <w:rsid w:val="003542BC"/>
    <w:rsid w:val="003546B7"/>
    <w:rsid w:val="003549AA"/>
    <w:rsid w:val="003549D2"/>
    <w:rsid w:val="00354B09"/>
    <w:rsid w:val="003551BD"/>
    <w:rsid w:val="003555D0"/>
    <w:rsid w:val="00355F4A"/>
    <w:rsid w:val="00355F74"/>
    <w:rsid w:val="003560EF"/>
    <w:rsid w:val="00356385"/>
    <w:rsid w:val="00356501"/>
    <w:rsid w:val="0035662F"/>
    <w:rsid w:val="00356708"/>
    <w:rsid w:val="0035677C"/>
    <w:rsid w:val="003569CE"/>
    <w:rsid w:val="00356D63"/>
    <w:rsid w:val="00356DAD"/>
    <w:rsid w:val="00357190"/>
    <w:rsid w:val="003574B5"/>
    <w:rsid w:val="00357510"/>
    <w:rsid w:val="00357744"/>
    <w:rsid w:val="0035786A"/>
    <w:rsid w:val="00357A44"/>
    <w:rsid w:val="00357A6C"/>
    <w:rsid w:val="00357FA6"/>
    <w:rsid w:val="0036009C"/>
    <w:rsid w:val="00360320"/>
    <w:rsid w:val="003606E5"/>
    <w:rsid w:val="0036087C"/>
    <w:rsid w:val="00360C40"/>
    <w:rsid w:val="00360D67"/>
    <w:rsid w:val="00360EBA"/>
    <w:rsid w:val="0036115C"/>
    <w:rsid w:val="0036121B"/>
    <w:rsid w:val="00361264"/>
    <w:rsid w:val="003612DD"/>
    <w:rsid w:val="003617AF"/>
    <w:rsid w:val="003618CF"/>
    <w:rsid w:val="00361D22"/>
    <w:rsid w:val="00361DC1"/>
    <w:rsid w:val="00362191"/>
    <w:rsid w:val="00362198"/>
    <w:rsid w:val="003624B3"/>
    <w:rsid w:val="003625A5"/>
    <w:rsid w:val="00362EF1"/>
    <w:rsid w:val="003634ED"/>
    <w:rsid w:val="00363537"/>
    <w:rsid w:val="003635ED"/>
    <w:rsid w:val="0036382B"/>
    <w:rsid w:val="00363BB2"/>
    <w:rsid w:val="00363D00"/>
    <w:rsid w:val="00363E14"/>
    <w:rsid w:val="003642E5"/>
    <w:rsid w:val="003646FD"/>
    <w:rsid w:val="003647AA"/>
    <w:rsid w:val="00364A13"/>
    <w:rsid w:val="00364A3E"/>
    <w:rsid w:val="003650BC"/>
    <w:rsid w:val="003651E6"/>
    <w:rsid w:val="00365661"/>
    <w:rsid w:val="003658A2"/>
    <w:rsid w:val="00365955"/>
    <w:rsid w:val="0036596C"/>
    <w:rsid w:val="00365C65"/>
    <w:rsid w:val="00365C8B"/>
    <w:rsid w:val="00365D5E"/>
    <w:rsid w:val="00365E1D"/>
    <w:rsid w:val="00365ED8"/>
    <w:rsid w:val="0036606D"/>
    <w:rsid w:val="003661F7"/>
    <w:rsid w:val="003662E2"/>
    <w:rsid w:val="003663ED"/>
    <w:rsid w:val="00366656"/>
    <w:rsid w:val="00366771"/>
    <w:rsid w:val="003667F8"/>
    <w:rsid w:val="00366893"/>
    <w:rsid w:val="00366AA1"/>
    <w:rsid w:val="00366B55"/>
    <w:rsid w:val="00366C14"/>
    <w:rsid w:val="0036720C"/>
    <w:rsid w:val="00367750"/>
    <w:rsid w:val="00367875"/>
    <w:rsid w:val="00367928"/>
    <w:rsid w:val="00367B78"/>
    <w:rsid w:val="003702A3"/>
    <w:rsid w:val="00370832"/>
    <w:rsid w:val="00370A1F"/>
    <w:rsid w:val="00370B15"/>
    <w:rsid w:val="00370E09"/>
    <w:rsid w:val="00371450"/>
    <w:rsid w:val="00371554"/>
    <w:rsid w:val="0037157E"/>
    <w:rsid w:val="003719EF"/>
    <w:rsid w:val="00371BD9"/>
    <w:rsid w:val="00371C64"/>
    <w:rsid w:val="003721D0"/>
    <w:rsid w:val="0037241E"/>
    <w:rsid w:val="00372442"/>
    <w:rsid w:val="0037261F"/>
    <w:rsid w:val="00372AB6"/>
    <w:rsid w:val="00372C0C"/>
    <w:rsid w:val="00372DBB"/>
    <w:rsid w:val="0037300E"/>
    <w:rsid w:val="003731A4"/>
    <w:rsid w:val="003731AE"/>
    <w:rsid w:val="003736EB"/>
    <w:rsid w:val="00373723"/>
    <w:rsid w:val="003738F4"/>
    <w:rsid w:val="00374153"/>
    <w:rsid w:val="00374299"/>
    <w:rsid w:val="003745BA"/>
    <w:rsid w:val="00374732"/>
    <w:rsid w:val="00374C7B"/>
    <w:rsid w:val="00374D53"/>
    <w:rsid w:val="003753CF"/>
    <w:rsid w:val="003757E8"/>
    <w:rsid w:val="003761B8"/>
    <w:rsid w:val="0037654F"/>
    <w:rsid w:val="00376EBB"/>
    <w:rsid w:val="0037754C"/>
    <w:rsid w:val="00377603"/>
    <w:rsid w:val="003777C5"/>
    <w:rsid w:val="003778AF"/>
    <w:rsid w:val="00377A4B"/>
    <w:rsid w:val="00377A66"/>
    <w:rsid w:val="00377B9A"/>
    <w:rsid w:val="003808D7"/>
    <w:rsid w:val="003809FA"/>
    <w:rsid w:val="00380B79"/>
    <w:rsid w:val="00380BEF"/>
    <w:rsid w:val="00380DC7"/>
    <w:rsid w:val="00381572"/>
    <w:rsid w:val="00381575"/>
    <w:rsid w:val="003817E3"/>
    <w:rsid w:val="00381A5A"/>
    <w:rsid w:val="00381A77"/>
    <w:rsid w:val="00381BD2"/>
    <w:rsid w:val="00381DCA"/>
    <w:rsid w:val="00381FDE"/>
    <w:rsid w:val="003825CF"/>
    <w:rsid w:val="00382FA8"/>
    <w:rsid w:val="0038309F"/>
    <w:rsid w:val="0038361B"/>
    <w:rsid w:val="0038381F"/>
    <w:rsid w:val="00383910"/>
    <w:rsid w:val="003848E2"/>
    <w:rsid w:val="00384A7A"/>
    <w:rsid w:val="00384B94"/>
    <w:rsid w:val="00384C23"/>
    <w:rsid w:val="00384D96"/>
    <w:rsid w:val="00384E29"/>
    <w:rsid w:val="00384E3B"/>
    <w:rsid w:val="00385016"/>
    <w:rsid w:val="0038554F"/>
    <w:rsid w:val="003855C4"/>
    <w:rsid w:val="00385680"/>
    <w:rsid w:val="00385862"/>
    <w:rsid w:val="0038592D"/>
    <w:rsid w:val="003859CB"/>
    <w:rsid w:val="003859F9"/>
    <w:rsid w:val="00386414"/>
    <w:rsid w:val="003865E8"/>
    <w:rsid w:val="003866CC"/>
    <w:rsid w:val="0038675E"/>
    <w:rsid w:val="0038679A"/>
    <w:rsid w:val="00386AE4"/>
    <w:rsid w:val="00386D0F"/>
    <w:rsid w:val="00386D22"/>
    <w:rsid w:val="003870F6"/>
    <w:rsid w:val="00387242"/>
    <w:rsid w:val="0038757C"/>
    <w:rsid w:val="0038758B"/>
    <w:rsid w:val="0038773D"/>
    <w:rsid w:val="003877C0"/>
    <w:rsid w:val="00387B35"/>
    <w:rsid w:val="00387B53"/>
    <w:rsid w:val="00387CD0"/>
    <w:rsid w:val="00387FDD"/>
    <w:rsid w:val="003903B6"/>
    <w:rsid w:val="003906B2"/>
    <w:rsid w:val="0039076C"/>
    <w:rsid w:val="00390DE8"/>
    <w:rsid w:val="00390F05"/>
    <w:rsid w:val="003914A5"/>
    <w:rsid w:val="00391546"/>
    <w:rsid w:val="003916B0"/>
    <w:rsid w:val="00391B88"/>
    <w:rsid w:val="00391C00"/>
    <w:rsid w:val="003921B7"/>
    <w:rsid w:val="00392403"/>
    <w:rsid w:val="0039245B"/>
    <w:rsid w:val="0039246B"/>
    <w:rsid w:val="003927D8"/>
    <w:rsid w:val="00392882"/>
    <w:rsid w:val="00392BA6"/>
    <w:rsid w:val="00392C0E"/>
    <w:rsid w:val="00392F37"/>
    <w:rsid w:val="00392F85"/>
    <w:rsid w:val="0039300D"/>
    <w:rsid w:val="003930F5"/>
    <w:rsid w:val="00393D99"/>
    <w:rsid w:val="00393F2A"/>
    <w:rsid w:val="00394111"/>
    <w:rsid w:val="003941C3"/>
    <w:rsid w:val="003941D2"/>
    <w:rsid w:val="00394239"/>
    <w:rsid w:val="0039438F"/>
    <w:rsid w:val="003947B5"/>
    <w:rsid w:val="003949A7"/>
    <w:rsid w:val="003949F7"/>
    <w:rsid w:val="00394B0E"/>
    <w:rsid w:val="0039537D"/>
    <w:rsid w:val="00395487"/>
    <w:rsid w:val="003955E3"/>
    <w:rsid w:val="00395699"/>
    <w:rsid w:val="0039582A"/>
    <w:rsid w:val="00395C1B"/>
    <w:rsid w:val="00395D7B"/>
    <w:rsid w:val="00396318"/>
    <w:rsid w:val="003963FD"/>
    <w:rsid w:val="00396709"/>
    <w:rsid w:val="00396732"/>
    <w:rsid w:val="00396C04"/>
    <w:rsid w:val="00396F2E"/>
    <w:rsid w:val="00397647"/>
    <w:rsid w:val="003A030B"/>
    <w:rsid w:val="003A0352"/>
    <w:rsid w:val="003A099D"/>
    <w:rsid w:val="003A0AD4"/>
    <w:rsid w:val="003A0D66"/>
    <w:rsid w:val="003A0FE6"/>
    <w:rsid w:val="003A106C"/>
    <w:rsid w:val="003A1480"/>
    <w:rsid w:val="003A15E8"/>
    <w:rsid w:val="003A16BB"/>
    <w:rsid w:val="003A1968"/>
    <w:rsid w:val="003A19B7"/>
    <w:rsid w:val="003A1A74"/>
    <w:rsid w:val="003A202E"/>
    <w:rsid w:val="003A2094"/>
    <w:rsid w:val="003A2177"/>
    <w:rsid w:val="003A228D"/>
    <w:rsid w:val="003A306F"/>
    <w:rsid w:val="003A335E"/>
    <w:rsid w:val="003A37C0"/>
    <w:rsid w:val="003A3BFF"/>
    <w:rsid w:val="003A3FBB"/>
    <w:rsid w:val="003A428F"/>
    <w:rsid w:val="003A4CA5"/>
    <w:rsid w:val="003A4CE1"/>
    <w:rsid w:val="003A5152"/>
    <w:rsid w:val="003A57BA"/>
    <w:rsid w:val="003A57DB"/>
    <w:rsid w:val="003A58BC"/>
    <w:rsid w:val="003A5F63"/>
    <w:rsid w:val="003A5FE1"/>
    <w:rsid w:val="003A693D"/>
    <w:rsid w:val="003A6BAC"/>
    <w:rsid w:val="003A6E5B"/>
    <w:rsid w:val="003A6EA1"/>
    <w:rsid w:val="003A70C8"/>
    <w:rsid w:val="003A78A9"/>
    <w:rsid w:val="003A793E"/>
    <w:rsid w:val="003A7A1A"/>
    <w:rsid w:val="003B01CE"/>
    <w:rsid w:val="003B07E1"/>
    <w:rsid w:val="003B1148"/>
    <w:rsid w:val="003B1310"/>
    <w:rsid w:val="003B1620"/>
    <w:rsid w:val="003B1918"/>
    <w:rsid w:val="003B199D"/>
    <w:rsid w:val="003B22DE"/>
    <w:rsid w:val="003B238A"/>
    <w:rsid w:val="003B239A"/>
    <w:rsid w:val="003B24CC"/>
    <w:rsid w:val="003B255E"/>
    <w:rsid w:val="003B268C"/>
    <w:rsid w:val="003B2D3B"/>
    <w:rsid w:val="003B30A0"/>
    <w:rsid w:val="003B3144"/>
    <w:rsid w:val="003B3389"/>
    <w:rsid w:val="003B3C09"/>
    <w:rsid w:val="003B3F10"/>
    <w:rsid w:val="003B452F"/>
    <w:rsid w:val="003B475A"/>
    <w:rsid w:val="003B4764"/>
    <w:rsid w:val="003B487A"/>
    <w:rsid w:val="003B4E80"/>
    <w:rsid w:val="003B52FA"/>
    <w:rsid w:val="003B558A"/>
    <w:rsid w:val="003B5A8C"/>
    <w:rsid w:val="003B5CE1"/>
    <w:rsid w:val="003B5F90"/>
    <w:rsid w:val="003B66B8"/>
    <w:rsid w:val="003B6914"/>
    <w:rsid w:val="003B6915"/>
    <w:rsid w:val="003B6C31"/>
    <w:rsid w:val="003B6C8A"/>
    <w:rsid w:val="003B6EC1"/>
    <w:rsid w:val="003B71B8"/>
    <w:rsid w:val="003B7209"/>
    <w:rsid w:val="003B75BA"/>
    <w:rsid w:val="003B7970"/>
    <w:rsid w:val="003B7EBF"/>
    <w:rsid w:val="003C02FE"/>
    <w:rsid w:val="003C0388"/>
    <w:rsid w:val="003C0390"/>
    <w:rsid w:val="003C05CB"/>
    <w:rsid w:val="003C0ED1"/>
    <w:rsid w:val="003C0F6B"/>
    <w:rsid w:val="003C10D7"/>
    <w:rsid w:val="003C13DC"/>
    <w:rsid w:val="003C162D"/>
    <w:rsid w:val="003C191A"/>
    <w:rsid w:val="003C1BA2"/>
    <w:rsid w:val="003C1D64"/>
    <w:rsid w:val="003C2248"/>
    <w:rsid w:val="003C2480"/>
    <w:rsid w:val="003C2CD6"/>
    <w:rsid w:val="003C2D2C"/>
    <w:rsid w:val="003C3565"/>
    <w:rsid w:val="003C37C1"/>
    <w:rsid w:val="003C37DB"/>
    <w:rsid w:val="003C3841"/>
    <w:rsid w:val="003C3B93"/>
    <w:rsid w:val="003C3BF2"/>
    <w:rsid w:val="003C3C94"/>
    <w:rsid w:val="003C419D"/>
    <w:rsid w:val="003C4D84"/>
    <w:rsid w:val="003C4E23"/>
    <w:rsid w:val="003C5020"/>
    <w:rsid w:val="003C5125"/>
    <w:rsid w:val="003C5248"/>
    <w:rsid w:val="003C5C74"/>
    <w:rsid w:val="003C5F99"/>
    <w:rsid w:val="003C618F"/>
    <w:rsid w:val="003C61C9"/>
    <w:rsid w:val="003C61E7"/>
    <w:rsid w:val="003C6452"/>
    <w:rsid w:val="003C6E84"/>
    <w:rsid w:val="003C744A"/>
    <w:rsid w:val="003C7887"/>
    <w:rsid w:val="003C7DEA"/>
    <w:rsid w:val="003C7E38"/>
    <w:rsid w:val="003D001E"/>
    <w:rsid w:val="003D041D"/>
    <w:rsid w:val="003D0871"/>
    <w:rsid w:val="003D0B97"/>
    <w:rsid w:val="003D0DDE"/>
    <w:rsid w:val="003D1107"/>
    <w:rsid w:val="003D13B0"/>
    <w:rsid w:val="003D13BF"/>
    <w:rsid w:val="003D15F9"/>
    <w:rsid w:val="003D1830"/>
    <w:rsid w:val="003D1ECC"/>
    <w:rsid w:val="003D299D"/>
    <w:rsid w:val="003D2ACE"/>
    <w:rsid w:val="003D2AD6"/>
    <w:rsid w:val="003D2CC9"/>
    <w:rsid w:val="003D35C3"/>
    <w:rsid w:val="003D3F41"/>
    <w:rsid w:val="003D40BA"/>
    <w:rsid w:val="003D4112"/>
    <w:rsid w:val="003D4218"/>
    <w:rsid w:val="003D4437"/>
    <w:rsid w:val="003D453C"/>
    <w:rsid w:val="003D45B4"/>
    <w:rsid w:val="003D4996"/>
    <w:rsid w:val="003D4C30"/>
    <w:rsid w:val="003D4D4A"/>
    <w:rsid w:val="003D4F94"/>
    <w:rsid w:val="003D5062"/>
    <w:rsid w:val="003D5086"/>
    <w:rsid w:val="003D5407"/>
    <w:rsid w:val="003D5463"/>
    <w:rsid w:val="003D5706"/>
    <w:rsid w:val="003D5973"/>
    <w:rsid w:val="003D5BA4"/>
    <w:rsid w:val="003D61EC"/>
    <w:rsid w:val="003D637D"/>
    <w:rsid w:val="003D6387"/>
    <w:rsid w:val="003D645D"/>
    <w:rsid w:val="003D6623"/>
    <w:rsid w:val="003D6C9B"/>
    <w:rsid w:val="003D7258"/>
    <w:rsid w:val="003D76C8"/>
    <w:rsid w:val="003E0121"/>
    <w:rsid w:val="003E01A7"/>
    <w:rsid w:val="003E02B8"/>
    <w:rsid w:val="003E05A2"/>
    <w:rsid w:val="003E09D9"/>
    <w:rsid w:val="003E0A80"/>
    <w:rsid w:val="003E0CD4"/>
    <w:rsid w:val="003E1736"/>
    <w:rsid w:val="003E1807"/>
    <w:rsid w:val="003E1869"/>
    <w:rsid w:val="003E1895"/>
    <w:rsid w:val="003E189A"/>
    <w:rsid w:val="003E1D8D"/>
    <w:rsid w:val="003E1F16"/>
    <w:rsid w:val="003E21F2"/>
    <w:rsid w:val="003E23A8"/>
    <w:rsid w:val="003E2DFD"/>
    <w:rsid w:val="003E305E"/>
    <w:rsid w:val="003E3069"/>
    <w:rsid w:val="003E3209"/>
    <w:rsid w:val="003E3225"/>
    <w:rsid w:val="003E38F9"/>
    <w:rsid w:val="003E39F2"/>
    <w:rsid w:val="003E4135"/>
    <w:rsid w:val="003E48CF"/>
    <w:rsid w:val="003E4CEE"/>
    <w:rsid w:val="003E4ED1"/>
    <w:rsid w:val="003E58FB"/>
    <w:rsid w:val="003E5FB6"/>
    <w:rsid w:val="003E60CC"/>
    <w:rsid w:val="003E614A"/>
    <w:rsid w:val="003E61FC"/>
    <w:rsid w:val="003E67C4"/>
    <w:rsid w:val="003E69E5"/>
    <w:rsid w:val="003E6A63"/>
    <w:rsid w:val="003E6D34"/>
    <w:rsid w:val="003E6E2D"/>
    <w:rsid w:val="003E6EE0"/>
    <w:rsid w:val="003E7261"/>
    <w:rsid w:val="003E74F8"/>
    <w:rsid w:val="003E7825"/>
    <w:rsid w:val="003E78A0"/>
    <w:rsid w:val="003E78BA"/>
    <w:rsid w:val="003E7A47"/>
    <w:rsid w:val="003E7B67"/>
    <w:rsid w:val="003E7B98"/>
    <w:rsid w:val="003E7CEB"/>
    <w:rsid w:val="003F0332"/>
    <w:rsid w:val="003F04AF"/>
    <w:rsid w:val="003F0695"/>
    <w:rsid w:val="003F0922"/>
    <w:rsid w:val="003F0951"/>
    <w:rsid w:val="003F09F4"/>
    <w:rsid w:val="003F0D49"/>
    <w:rsid w:val="003F1059"/>
    <w:rsid w:val="003F1135"/>
    <w:rsid w:val="003F12CF"/>
    <w:rsid w:val="003F12DE"/>
    <w:rsid w:val="003F12E1"/>
    <w:rsid w:val="003F1338"/>
    <w:rsid w:val="003F14E4"/>
    <w:rsid w:val="003F155D"/>
    <w:rsid w:val="003F15C6"/>
    <w:rsid w:val="003F166B"/>
    <w:rsid w:val="003F17BB"/>
    <w:rsid w:val="003F182E"/>
    <w:rsid w:val="003F18D6"/>
    <w:rsid w:val="003F1AEC"/>
    <w:rsid w:val="003F2820"/>
    <w:rsid w:val="003F2DB9"/>
    <w:rsid w:val="003F2E6D"/>
    <w:rsid w:val="003F3087"/>
    <w:rsid w:val="003F3156"/>
    <w:rsid w:val="003F3289"/>
    <w:rsid w:val="003F3609"/>
    <w:rsid w:val="003F397C"/>
    <w:rsid w:val="003F3B19"/>
    <w:rsid w:val="003F3EC5"/>
    <w:rsid w:val="003F3EE5"/>
    <w:rsid w:val="003F4529"/>
    <w:rsid w:val="003F49D0"/>
    <w:rsid w:val="003F50AE"/>
    <w:rsid w:val="003F5182"/>
    <w:rsid w:val="003F53DE"/>
    <w:rsid w:val="003F54AA"/>
    <w:rsid w:val="003F551C"/>
    <w:rsid w:val="003F5775"/>
    <w:rsid w:val="003F5E9C"/>
    <w:rsid w:val="003F6235"/>
    <w:rsid w:val="003F62C0"/>
    <w:rsid w:val="003F63FE"/>
    <w:rsid w:val="003F6472"/>
    <w:rsid w:val="003F6C71"/>
    <w:rsid w:val="003F6C84"/>
    <w:rsid w:val="003F6DEA"/>
    <w:rsid w:val="003F7524"/>
    <w:rsid w:val="003F7650"/>
    <w:rsid w:val="003F7B81"/>
    <w:rsid w:val="003F7BCD"/>
    <w:rsid w:val="00400118"/>
    <w:rsid w:val="004003B1"/>
    <w:rsid w:val="0040054A"/>
    <w:rsid w:val="00400804"/>
    <w:rsid w:val="00400D2A"/>
    <w:rsid w:val="004011E0"/>
    <w:rsid w:val="004015F3"/>
    <w:rsid w:val="004016E7"/>
    <w:rsid w:val="00401F50"/>
    <w:rsid w:val="00402048"/>
    <w:rsid w:val="004020F0"/>
    <w:rsid w:val="0040248A"/>
    <w:rsid w:val="00402515"/>
    <w:rsid w:val="00402939"/>
    <w:rsid w:val="00402DE4"/>
    <w:rsid w:val="00403126"/>
    <w:rsid w:val="004038C1"/>
    <w:rsid w:val="004040EC"/>
    <w:rsid w:val="0040457A"/>
    <w:rsid w:val="00404816"/>
    <w:rsid w:val="00404B09"/>
    <w:rsid w:val="004051AB"/>
    <w:rsid w:val="004054F9"/>
    <w:rsid w:val="00405AD7"/>
    <w:rsid w:val="00405C88"/>
    <w:rsid w:val="00405FE3"/>
    <w:rsid w:val="00406053"/>
    <w:rsid w:val="0040615D"/>
    <w:rsid w:val="00406531"/>
    <w:rsid w:val="004069DE"/>
    <w:rsid w:val="00406A91"/>
    <w:rsid w:val="004071BD"/>
    <w:rsid w:val="004074B8"/>
    <w:rsid w:val="00407689"/>
    <w:rsid w:val="00407831"/>
    <w:rsid w:val="00407A63"/>
    <w:rsid w:val="00407AFB"/>
    <w:rsid w:val="004109EA"/>
    <w:rsid w:val="00410B08"/>
    <w:rsid w:val="004112B3"/>
    <w:rsid w:val="004115A8"/>
    <w:rsid w:val="00411954"/>
    <w:rsid w:val="0041198A"/>
    <w:rsid w:val="00411A43"/>
    <w:rsid w:val="00411A90"/>
    <w:rsid w:val="004121DB"/>
    <w:rsid w:val="00412440"/>
    <w:rsid w:val="004131B5"/>
    <w:rsid w:val="004135F2"/>
    <w:rsid w:val="004137E9"/>
    <w:rsid w:val="00413A33"/>
    <w:rsid w:val="00413E6B"/>
    <w:rsid w:val="00413EC1"/>
    <w:rsid w:val="004140AC"/>
    <w:rsid w:val="0041410B"/>
    <w:rsid w:val="00414252"/>
    <w:rsid w:val="004143E8"/>
    <w:rsid w:val="00414B4E"/>
    <w:rsid w:val="00414E65"/>
    <w:rsid w:val="00414EAE"/>
    <w:rsid w:val="00415130"/>
    <w:rsid w:val="00415385"/>
    <w:rsid w:val="004153D2"/>
    <w:rsid w:val="00415A0A"/>
    <w:rsid w:val="00415B9A"/>
    <w:rsid w:val="00415D18"/>
    <w:rsid w:val="00415E13"/>
    <w:rsid w:val="004164D9"/>
    <w:rsid w:val="0041652D"/>
    <w:rsid w:val="004168B4"/>
    <w:rsid w:val="004178AA"/>
    <w:rsid w:val="00420195"/>
    <w:rsid w:val="00420270"/>
    <w:rsid w:val="00420286"/>
    <w:rsid w:val="004204A0"/>
    <w:rsid w:val="004206A3"/>
    <w:rsid w:val="00420BCE"/>
    <w:rsid w:val="0042123C"/>
    <w:rsid w:val="004212D2"/>
    <w:rsid w:val="004214E1"/>
    <w:rsid w:val="00421CE0"/>
    <w:rsid w:val="00422631"/>
    <w:rsid w:val="00422A9E"/>
    <w:rsid w:val="00422AC7"/>
    <w:rsid w:val="00422BC0"/>
    <w:rsid w:val="00422BF2"/>
    <w:rsid w:val="00423317"/>
    <w:rsid w:val="00423745"/>
    <w:rsid w:val="00423A6A"/>
    <w:rsid w:val="00424463"/>
    <w:rsid w:val="004245F3"/>
    <w:rsid w:val="00424EA8"/>
    <w:rsid w:val="00425251"/>
    <w:rsid w:val="00425320"/>
    <w:rsid w:val="00425328"/>
    <w:rsid w:val="00425C03"/>
    <w:rsid w:val="00425E12"/>
    <w:rsid w:val="00425E3D"/>
    <w:rsid w:val="00425E54"/>
    <w:rsid w:val="0042600A"/>
    <w:rsid w:val="004279C7"/>
    <w:rsid w:val="00427CF2"/>
    <w:rsid w:val="0043024B"/>
    <w:rsid w:val="00430BE9"/>
    <w:rsid w:val="00430D2B"/>
    <w:rsid w:val="0043108A"/>
    <w:rsid w:val="0043132C"/>
    <w:rsid w:val="00431446"/>
    <w:rsid w:val="00431785"/>
    <w:rsid w:val="004317FD"/>
    <w:rsid w:val="00431DA5"/>
    <w:rsid w:val="00431F8E"/>
    <w:rsid w:val="004322AA"/>
    <w:rsid w:val="00432367"/>
    <w:rsid w:val="004323FF"/>
    <w:rsid w:val="004324DD"/>
    <w:rsid w:val="00432761"/>
    <w:rsid w:val="004328E8"/>
    <w:rsid w:val="0043294D"/>
    <w:rsid w:val="00432BBE"/>
    <w:rsid w:val="00432D94"/>
    <w:rsid w:val="0043339F"/>
    <w:rsid w:val="004334CE"/>
    <w:rsid w:val="004334E7"/>
    <w:rsid w:val="00433785"/>
    <w:rsid w:val="00433E7C"/>
    <w:rsid w:val="004340A9"/>
    <w:rsid w:val="004344BB"/>
    <w:rsid w:val="00434EB6"/>
    <w:rsid w:val="004350EA"/>
    <w:rsid w:val="0043576F"/>
    <w:rsid w:val="00435F16"/>
    <w:rsid w:val="004363A4"/>
    <w:rsid w:val="004368D0"/>
    <w:rsid w:val="00436AD6"/>
    <w:rsid w:val="00436AFD"/>
    <w:rsid w:val="00436B67"/>
    <w:rsid w:val="00436DEE"/>
    <w:rsid w:val="00437245"/>
    <w:rsid w:val="004372BD"/>
    <w:rsid w:val="00437550"/>
    <w:rsid w:val="004403F1"/>
    <w:rsid w:val="004407E1"/>
    <w:rsid w:val="004414B4"/>
    <w:rsid w:val="004414BB"/>
    <w:rsid w:val="00441766"/>
    <w:rsid w:val="0044187F"/>
    <w:rsid w:val="00441883"/>
    <w:rsid w:val="00441B8B"/>
    <w:rsid w:val="00441C65"/>
    <w:rsid w:val="00441FB6"/>
    <w:rsid w:val="00442090"/>
    <w:rsid w:val="004421BC"/>
    <w:rsid w:val="004428DB"/>
    <w:rsid w:val="004428E1"/>
    <w:rsid w:val="0044299E"/>
    <w:rsid w:val="00442A77"/>
    <w:rsid w:val="00442B2A"/>
    <w:rsid w:val="00442BFB"/>
    <w:rsid w:val="00442CA7"/>
    <w:rsid w:val="00442CB4"/>
    <w:rsid w:val="00442DAA"/>
    <w:rsid w:val="00443E95"/>
    <w:rsid w:val="00444108"/>
    <w:rsid w:val="00444BFD"/>
    <w:rsid w:val="00444E87"/>
    <w:rsid w:val="00444FA9"/>
    <w:rsid w:val="00445216"/>
    <w:rsid w:val="00445299"/>
    <w:rsid w:val="004453EF"/>
    <w:rsid w:val="004455F7"/>
    <w:rsid w:val="00445787"/>
    <w:rsid w:val="00445925"/>
    <w:rsid w:val="00445A3F"/>
    <w:rsid w:val="00445E54"/>
    <w:rsid w:val="0044651C"/>
    <w:rsid w:val="004466A0"/>
    <w:rsid w:val="00446917"/>
    <w:rsid w:val="004469F5"/>
    <w:rsid w:val="00446C17"/>
    <w:rsid w:val="00446CEB"/>
    <w:rsid w:val="00446D89"/>
    <w:rsid w:val="004473E0"/>
    <w:rsid w:val="0044789F"/>
    <w:rsid w:val="00447A4F"/>
    <w:rsid w:val="00447A9B"/>
    <w:rsid w:val="00447BC6"/>
    <w:rsid w:val="00447C83"/>
    <w:rsid w:val="00447CED"/>
    <w:rsid w:val="004503D2"/>
    <w:rsid w:val="0045081D"/>
    <w:rsid w:val="00450A63"/>
    <w:rsid w:val="00450BFF"/>
    <w:rsid w:val="00451931"/>
    <w:rsid w:val="00451B7B"/>
    <w:rsid w:val="00451C29"/>
    <w:rsid w:val="00451CA4"/>
    <w:rsid w:val="00451F6A"/>
    <w:rsid w:val="0045219A"/>
    <w:rsid w:val="00452298"/>
    <w:rsid w:val="00452397"/>
    <w:rsid w:val="00452A9A"/>
    <w:rsid w:val="00453020"/>
    <w:rsid w:val="004531EB"/>
    <w:rsid w:val="004536B8"/>
    <w:rsid w:val="004539EC"/>
    <w:rsid w:val="00453FC4"/>
    <w:rsid w:val="00454836"/>
    <w:rsid w:val="004548EE"/>
    <w:rsid w:val="00454C4C"/>
    <w:rsid w:val="00454FFE"/>
    <w:rsid w:val="0045502E"/>
    <w:rsid w:val="00455069"/>
    <w:rsid w:val="00455112"/>
    <w:rsid w:val="0045513E"/>
    <w:rsid w:val="004556D9"/>
    <w:rsid w:val="0045572C"/>
    <w:rsid w:val="004557A8"/>
    <w:rsid w:val="00455ABD"/>
    <w:rsid w:val="00455CBB"/>
    <w:rsid w:val="00455E94"/>
    <w:rsid w:val="00455F4E"/>
    <w:rsid w:val="00456350"/>
    <w:rsid w:val="00456841"/>
    <w:rsid w:val="004568C1"/>
    <w:rsid w:val="004576D5"/>
    <w:rsid w:val="00457922"/>
    <w:rsid w:val="00457B38"/>
    <w:rsid w:val="00457E6D"/>
    <w:rsid w:val="00457EFA"/>
    <w:rsid w:val="00460012"/>
    <w:rsid w:val="00460497"/>
    <w:rsid w:val="00460912"/>
    <w:rsid w:val="00461297"/>
    <w:rsid w:val="00461522"/>
    <w:rsid w:val="00461A74"/>
    <w:rsid w:val="00461A75"/>
    <w:rsid w:val="00461B50"/>
    <w:rsid w:val="00462224"/>
    <w:rsid w:val="0046232D"/>
    <w:rsid w:val="00462421"/>
    <w:rsid w:val="004624B8"/>
    <w:rsid w:val="00462547"/>
    <w:rsid w:val="004626BD"/>
    <w:rsid w:val="00462A3C"/>
    <w:rsid w:val="00462FFF"/>
    <w:rsid w:val="00463162"/>
    <w:rsid w:val="004631B1"/>
    <w:rsid w:val="00463969"/>
    <w:rsid w:val="00463993"/>
    <w:rsid w:val="00463AF5"/>
    <w:rsid w:val="00463B71"/>
    <w:rsid w:val="00463FD8"/>
    <w:rsid w:val="00463FE5"/>
    <w:rsid w:val="00464208"/>
    <w:rsid w:val="0046489D"/>
    <w:rsid w:val="00464B46"/>
    <w:rsid w:val="00464D6C"/>
    <w:rsid w:val="00464E6C"/>
    <w:rsid w:val="004650C7"/>
    <w:rsid w:val="0046567F"/>
    <w:rsid w:val="00465933"/>
    <w:rsid w:val="00465AC7"/>
    <w:rsid w:val="00465C57"/>
    <w:rsid w:val="00465D6B"/>
    <w:rsid w:val="00465EE1"/>
    <w:rsid w:val="00466B3D"/>
    <w:rsid w:val="00467017"/>
    <w:rsid w:val="0046714B"/>
    <w:rsid w:val="004675D4"/>
    <w:rsid w:val="004676DD"/>
    <w:rsid w:val="004679BA"/>
    <w:rsid w:val="00467C39"/>
    <w:rsid w:val="004702EF"/>
    <w:rsid w:val="00470658"/>
    <w:rsid w:val="0047150E"/>
    <w:rsid w:val="00471871"/>
    <w:rsid w:val="00471D61"/>
    <w:rsid w:val="00471F2C"/>
    <w:rsid w:val="00472325"/>
    <w:rsid w:val="004726F6"/>
    <w:rsid w:val="00472714"/>
    <w:rsid w:val="00472A58"/>
    <w:rsid w:val="00472EAD"/>
    <w:rsid w:val="0047302B"/>
    <w:rsid w:val="0047316F"/>
    <w:rsid w:val="004733B1"/>
    <w:rsid w:val="004733E4"/>
    <w:rsid w:val="00473572"/>
    <w:rsid w:val="004736A7"/>
    <w:rsid w:val="00474105"/>
    <w:rsid w:val="00474138"/>
    <w:rsid w:val="00474148"/>
    <w:rsid w:val="00474286"/>
    <w:rsid w:val="0047494C"/>
    <w:rsid w:val="00474CB0"/>
    <w:rsid w:val="00474D10"/>
    <w:rsid w:val="00474E8F"/>
    <w:rsid w:val="004752F4"/>
    <w:rsid w:val="0047551B"/>
    <w:rsid w:val="00475A80"/>
    <w:rsid w:val="00475E0D"/>
    <w:rsid w:val="00476215"/>
    <w:rsid w:val="004763A2"/>
    <w:rsid w:val="00476505"/>
    <w:rsid w:val="00476671"/>
    <w:rsid w:val="00476E51"/>
    <w:rsid w:val="00476EC3"/>
    <w:rsid w:val="00476F4F"/>
    <w:rsid w:val="00477259"/>
    <w:rsid w:val="004772DF"/>
    <w:rsid w:val="004772E0"/>
    <w:rsid w:val="00477571"/>
    <w:rsid w:val="004776C7"/>
    <w:rsid w:val="00477828"/>
    <w:rsid w:val="00477936"/>
    <w:rsid w:val="00477BE7"/>
    <w:rsid w:val="00477D6F"/>
    <w:rsid w:val="00477DBB"/>
    <w:rsid w:val="004800E3"/>
    <w:rsid w:val="00480326"/>
    <w:rsid w:val="00480962"/>
    <w:rsid w:val="00480B09"/>
    <w:rsid w:val="00480C5A"/>
    <w:rsid w:val="00480FEB"/>
    <w:rsid w:val="004813F2"/>
    <w:rsid w:val="00481444"/>
    <w:rsid w:val="00481AA3"/>
    <w:rsid w:val="0048216E"/>
    <w:rsid w:val="004821BD"/>
    <w:rsid w:val="00483530"/>
    <w:rsid w:val="00483969"/>
    <w:rsid w:val="00483A59"/>
    <w:rsid w:val="00483BB1"/>
    <w:rsid w:val="00483E00"/>
    <w:rsid w:val="00483FBA"/>
    <w:rsid w:val="00483FFD"/>
    <w:rsid w:val="004842C4"/>
    <w:rsid w:val="00484324"/>
    <w:rsid w:val="0048474D"/>
    <w:rsid w:val="0048475B"/>
    <w:rsid w:val="004848FE"/>
    <w:rsid w:val="00484961"/>
    <w:rsid w:val="0048498A"/>
    <w:rsid w:val="00484ACA"/>
    <w:rsid w:val="00484C99"/>
    <w:rsid w:val="00484D2F"/>
    <w:rsid w:val="00484DF4"/>
    <w:rsid w:val="0048504B"/>
    <w:rsid w:val="004851DC"/>
    <w:rsid w:val="004854F7"/>
    <w:rsid w:val="00485A23"/>
    <w:rsid w:val="00485B2E"/>
    <w:rsid w:val="00485BD4"/>
    <w:rsid w:val="00485E18"/>
    <w:rsid w:val="00486063"/>
    <w:rsid w:val="00486070"/>
    <w:rsid w:val="0048671B"/>
    <w:rsid w:val="0048672F"/>
    <w:rsid w:val="00486B84"/>
    <w:rsid w:val="00486E1E"/>
    <w:rsid w:val="00486FD8"/>
    <w:rsid w:val="004873EA"/>
    <w:rsid w:val="004875EB"/>
    <w:rsid w:val="00487767"/>
    <w:rsid w:val="00487AC2"/>
    <w:rsid w:val="00487C51"/>
    <w:rsid w:val="00487D37"/>
    <w:rsid w:val="0049016D"/>
    <w:rsid w:val="00490263"/>
    <w:rsid w:val="00490264"/>
    <w:rsid w:val="00490C78"/>
    <w:rsid w:val="0049100E"/>
    <w:rsid w:val="004910AB"/>
    <w:rsid w:val="00491109"/>
    <w:rsid w:val="004911AC"/>
    <w:rsid w:val="004911CA"/>
    <w:rsid w:val="00491299"/>
    <w:rsid w:val="0049135D"/>
    <w:rsid w:val="00491452"/>
    <w:rsid w:val="004916DA"/>
    <w:rsid w:val="0049189C"/>
    <w:rsid w:val="0049200A"/>
    <w:rsid w:val="004923D8"/>
    <w:rsid w:val="004925EC"/>
    <w:rsid w:val="00492724"/>
    <w:rsid w:val="00492881"/>
    <w:rsid w:val="00492B99"/>
    <w:rsid w:val="004935AF"/>
    <w:rsid w:val="004937D0"/>
    <w:rsid w:val="004937FE"/>
    <w:rsid w:val="00493F1C"/>
    <w:rsid w:val="004942C7"/>
    <w:rsid w:val="0049451D"/>
    <w:rsid w:val="004957AA"/>
    <w:rsid w:val="00495A42"/>
    <w:rsid w:val="00495BDC"/>
    <w:rsid w:val="00495BF2"/>
    <w:rsid w:val="00495CD3"/>
    <w:rsid w:val="00495E4C"/>
    <w:rsid w:val="00495F94"/>
    <w:rsid w:val="0049604D"/>
    <w:rsid w:val="00496230"/>
    <w:rsid w:val="00496D2A"/>
    <w:rsid w:val="0049722E"/>
    <w:rsid w:val="004975A9"/>
    <w:rsid w:val="00497A39"/>
    <w:rsid w:val="004A00D0"/>
    <w:rsid w:val="004A0420"/>
    <w:rsid w:val="004A0E26"/>
    <w:rsid w:val="004A0F54"/>
    <w:rsid w:val="004A0FF6"/>
    <w:rsid w:val="004A1249"/>
    <w:rsid w:val="004A12AD"/>
    <w:rsid w:val="004A1881"/>
    <w:rsid w:val="004A1A4C"/>
    <w:rsid w:val="004A1F37"/>
    <w:rsid w:val="004A1FF2"/>
    <w:rsid w:val="004A2384"/>
    <w:rsid w:val="004A259F"/>
    <w:rsid w:val="004A2779"/>
    <w:rsid w:val="004A2B38"/>
    <w:rsid w:val="004A2D35"/>
    <w:rsid w:val="004A2DE6"/>
    <w:rsid w:val="004A2DF9"/>
    <w:rsid w:val="004A2F45"/>
    <w:rsid w:val="004A317B"/>
    <w:rsid w:val="004A38CD"/>
    <w:rsid w:val="004A3C4B"/>
    <w:rsid w:val="004A3DC3"/>
    <w:rsid w:val="004A4458"/>
    <w:rsid w:val="004A4A3E"/>
    <w:rsid w:val="004A4B69"/>
    <w:rsid w:val="004A4E8E"/>
    <w:rsid w:val="004A5242"/>
    <w:rsid w:val="004A526E"/>
    <w:rsid w:val="004A5430"/>
    <w:rsid w:val="004A54D2"/>
    <w:rsid w:val="004A55BE"/>
    <w:rsid w:val="004A6291"/>
    <w:rsid w:val="004A64D3"/>
    <w:rsid w:val="004A66B0"/>
    <w:rsid w:val="004A6F7E"/>
    <w:rsid w:val="004A701E"/>
    <w:rsid w:val="004A7182"/>
    <w:rsid w:val="004A71B2"/>
    <w:rsid w:val="004A7297"/>
    <w:rsid w:val="004A7653"/>
    <w:rsid w:val="004A776C"/>
    <w:rsid w:val="004A789D"/>
    <w:rsid w:val="004A7B30"/>
    <w:rsid w:val="004A7FBA"/>
    <w:rsid w:val="004B012D"/>
    <w:rsid w:val="004B024E"/>
    <w:rsid w:val="004B0452"/>
    <w:rsid w:val="004B0466"/>
    <w:rsid w:val="004B05AE"/>
    <w:rsid w:val="004B09E9"/>
    <w:rsid w:val="004B1463"/>
    <w:rsid w:val="004B1FFF"/>
    <w:rsid w:val="004B2088"/>
    <w:rsid w:val="004B21BA"/>
    <w:rsid w:val="004B2265"/>
    <w:rsid w:val="004B2527"/>
    <w:rsid w:val="004B3096"/>
    <w:rsid w:val="004B30C4"/>
    <w:rsid w:val="004B31D0"/>
    <w:rsid w:val="004B321C"/>
    <w:rsid w:val="004B36EF"/>
    <w:rsid w:val="004B3E3B"/>
    <w:rsid w:val="004B3F3C"/>
    <w:rsid w:val="004B3FB7"/>
    <w:rsid w:val="004B4BD8"/>
    <w:rsid w:val="004B4CCD"/>
    <w:rsid w:val="004B4E11"/>
    <w:rsid w:val="004B5A2E"/>
    <w:rsid w:val="004B5E6C"/>
    <w:rsid w:val="004B60FA"/>
    <w:rsid w:val="004B6226"/>
    <w:rsid w:val="004B641C"/>
    <w:rsid w:val="004B6785"/>
    <w:rsid w:val="004B68FE"/>
    <w:rsid w:val="004B6BAC"/>
    <w:rsid w:val="004B6BD5"/>
    <w:rsid w:val="004B7131"/>
    <w:rsid w:val="004B7430"/>
    <w:rsid w:val="004B75EE"/>
    <w:rsid w:val="004B764E"/>
    <w:rsid w:val="004B7690"/>
    <w:rsid w:val="004B76B8"/>
    <w:rsid w:val="004B7D5C"/>
    <w:rsid w:val="004C01A2"/>
    <w:rsid w:val="004C09F2"/>
    <w:rsid w:val="004C0D83"/>
    <w:rsid w:val="004C0E40"/>
    <w:rsid w:val="004C0E88"/>
    <w:rsid w:val="004C0EAD"/>
    <w:rsid w:val="004C14FE"/>
    <w:rsid w:val="004C15E9"/>
    <w:rsid w:val="004C2253"/>
    <w:rsid w:val="004C22EC"/>
    <w:rsid w:val="004C3BF7"/>
    <w:rsid w:val="004C3C41"/>
    <w:rsid w:val="004C3D33"/>
    <w:rsid w:val="004C42E4"/>
    <w:rsid w:val="004C431A"/>
    <w:rsid w:val="004C440E"/>
    <w:rsid w:val="004C46B4"/>
    <w:rsid w:val="004C47BA"/>
    <w:rsid w:val="004C49B9"/>
    <w:rsid w:val="004C4CCA"/>
    <w:rsid w:val="004C514C"/>
    <w:rsid w:val="004C5244"/>
    <w:rsid w:val="004C52D3"/>
    <w:rsid w:val="004C5DA1"/>
    <w:rsid w:val="004C5E58"/>
    <w:rsid w:val="004C5ECB"/>
    <w:rsid w:val="004C602E"/>
    <w:rsid w:val="004C68CD"/>
    <w:rsid w:val="004C68E5"/>
    <w:rsid w:val="004C7039"/>
    <w:rsid w:val="004C704C"/>
    <w:rsid w:val="004C71AD"/>
    <w:rsid w:val="004C74EE"/>
    <w:rsid w:val="004C7911"/>
    <w:rsid w:val="004C7DD0"/>
    <w:rsid w:val="004C7F08"/>
    <w:rsid w:val="004D0873"/>
    <w:rsid w:val="004D0A23"/>
    <w:rsid w:val="004D0AE6"/>
    <w:rsid w:val="004D17AD"/>
    <w:rsid w:val="004D18A2"/>
    <w:rsid w:val="004D20EA"/>
    <w:rsid w:val="004D2462"/>
    <w:rsid w:val="004D28F8"/>
    <w:rsid w:val="004D2975"/>
    <w:rsid w:val="004D2DE3"/>
    <w:rsid w:val="004D30EC"/>
    <w:rsid w:val="004D3666"/>
    <w:rsid w:val="004D38A7"/>
    <w:rsid w:val="004D3A0B"/>
    <w:rsid w:val="004D3C90"/>
    <w:rsid w:val="004D3E34"/>
    <w:rsid w:val="004D3ED4"/>
    <w:rsid w:val="004D4021"/>
    <w:rsid w:val="004D4316"/>
    <w:rsid w:val="004D4438"/>
    <w:rsid w:val="004D4547"/>
    <w:rsid w:val="004D4935"/>
    <w:rsid w:val="004D4B72"/>
    <w:rsid w:val="004D4B79"/>
    <w:rsid w:val="004D4FB0"/>
    <w:rsid w:val="004D50C6"/>
    <w:rsid w:val="004D515A"/>
    <w:rsid w:val="004D577C"/>
    <w:rsid w:val="004D6101"/>
    <w:rsid w:val="004D620E"/>
    <w:rsid w:val="004D6365"/>
    <w:rsid w:val="004D6A07"/>
    <w:rsid w:val="004D6AC2"/>
    <w:rsid w:val="004D6B05"/>
    <w:rsid w:val="004D6B97"/>
    <w:rsid w:val="004D6DA6"/>
    <w:rsid w:val="004D6E58"/>
    <w:rsid w:val="004D76F9"/>
    <w:rsid w:val="004D7D54"/>
    <w:rsid w:val="004D7E11"/>
    <w:rsid w:val="004D7F66"/>
    <w:rsid w:val="004D7FF7"/>
    <w:rsid w:val="004E007E"/>
    <w:rsid w:val="004E008A"/>
    <w:rsid w:val="004E05AE"/>
    <w:rsid w:val="004E07C3"/>
    <w:rsid w:val="004E07CD"/>
    <w:rsid w:val="004E099D"/>
    <w:rsid w:val="004E1311"/>
    <w:rsid w:val="004E1414"/>
    <w:rsid w:val="004E162E"/>
    <w:rsid w:val="004E1716"/>
    <w:rsid w:val="004E25F6"/>
    <w:rsid w:val="004E2ED4"/>
    <w:rsid w:val="004E314E"/>
    <w:rsid w:val="004E3537"/>
    <w:rsid w:val="004E371E"/>
    <w:rsid w:val="004E3D30"/>
    <w:rsid w:val="004E3E0B"/>
    <w:rsid w:val="004E3E31"/>
    <w:rsid w:val="004E4166"/>
    <w:rsid w:val="004E4263"/>
    <w:rsid w:val="004E4513"/>
    <w:rsid w:val="004E45C8"/>
    <w:rsid w:val="004E49A7"/>
    <w:rsid w:val="004E4A08"/>
    <w:rsid w:val="004E4AD8"/>
    <w:rsid w:val="004E4C00"/>
    <w:rsid w:val="004E4F74"/>
    <w:rsid w:val="004E4FCA"/>
    <w:rsid w:val="004E51BC"/>
    <w:rsid w:val="004E5918"/>
    <w:rsid w:val="004E5B4F"/>
    <w:rsid w:val="004E5D9D"/>
    <w:rsid w:val="004E5E24"/>
    <w:rsid w:val="004E5EAB"/>
    <w:rsid w:val="004E6557"/>
    <w:rsid w:val="004E666A"/>
    <w:rsid w:val="004E6764"/>
    <w:rsid w:val="004E682D"/>
    <w:rsid w:val="004E6E33"/>
    <w:rsid w:val="004E6F9C"/>
    <w:rsid w:val="004E702D"/>
    <w:rsid w:val="004E769A"/>
    <w:rsid w:val="004E79A8"/>
    <w:rsid w:val="004E7DAA"/>
    <w:rsid w:val="004F05F1"/>
    <w:rsid w:val="004F07AD"/>
    <w:rsid w:val="004F0921"/>
    <w:rsid w:val="004F098F"/>
    <w:rsid w:val="004F0B4D"/>
    <w:rsid w:val="004F0E5C"/>
    <w:rsid w:val="004F0EF2"/>
    <w:rsid w:val="004F10F4"/>
    <w:rsid w:val="004F1284"/>
    <w:rsid w:val="004F17A3"/>
    <w:rsid w:val="004F185D"/>
    <w:rsid w:val="004F1F45"/>
    <w:rsid w:val="004F27BE"/>
    <w:rsid w:val="004F2C4C"/>
    <w:rsid w:val="004F2DA3"/>
    <w:rsid w:val="004F3003"/>
    <w:rsid w:val="004F314D"/>
    <w:rsid w:val="004F317C"/>
    <w:rsid w:val="004F36B3"/>
    <w:rsid w:val="004F36FE"/>
    <w:rsid w:val="004F3CAB"/>
    <w:rsid w:val="004F3F9F"/>
    <w:rsid w:val="004F45F5"/>
    <w:rsid w:val="004F465D"/>
    <w:rsid w:val="004F470B"/>
    <w:rsid w:val="004F4916"/>
    <w:rsid w:val="004F4A38"/>
    <w:rsid w:val="004F4F61"/>
    <w:rsid w:val="004F5493"/>
    <w:rsid w:val="004F5B81"/>
    <w:rsid w:val="004F5C5A"/>
    <w:rsid w:val="004F5E2B"/>
    <w:rsid w:val="004F65D5"/>
    <w:rsid w:val="004F672D"/>
    <w:rsid w:val="004F67BD"/>
    <w:rsid w:val="004F7241"/>
    <w:rsid w:val="004F7A41"/>
    <w:rsid w:val="004F7E41"/>
    <w:rsid w:val="004F7F9B"/>
    <w:rsid w:val="005001DE"/>
    <w:rsid w:val="00500452"/>
    <w:rsid w:val="00500486"/>
    <w:rsid w:val="005006A4"/>
    <w:rsid w:val="00500C8C"/>
    <w:rsid w:val="00500CEE"/>
    <w:rsid w:val="00500DDE"/>
    <w:rsid w:val="00501332"/>
    <w:rsid w:val="005013EE"/>
    <w:rsid w:val="005013EF"/>
    <w:rsid w:val="005015E9"/>
    <w:rsid w:val="005019B4"/>
    <w:rsid w:val="00501C29"/>
    <w:rsid w:val="00501C48"/>
    <w:rsid w:val="00501C78"/>
    <w:rsid w:val="00501DC1"/>
    <w:rsid w:val="0050223E"/>
    <w:rsid w:val="005023E7"/>
    <w:rsid w:val="005026E3"/>
    <w:rsid w:val="005027E5"/>
    <w:rsid w:val="0050289F"/>
    <w:rsid w:val="00502A25"/>
    <w:rsid w:val="00503547"/>
    <w:rsid w:val="00503744"/>
    <w:rsid w:val="00503820"/>
    <w:rsid w:val="005047F9"/>
    <w:rsid w:val="00504EFB"/>
    <w:rsid w:val="00504F54"/>
    <w:rsid w:val="0050500A"/>
    <w:rsid w:val="00505A18"/>
    <w:rsid w:val="00505D3B"/>
    <w:rsid w:val="005064F5"/>
    <w:rsid w:val="005068C1"/>
    <w:rsid w:val="0050693C"/>
    <w:rsid w:val="005069CE"/>
    <w:rsid w:val="00506EE3"/>
    <w:rsid w:val="00506F4E"/>
    <w:rsid w:val="005072AA"/>
    <w:rsid w:val="00507311"/>
    <w:rsid w:val="0050737E"/>
    <w:rsid w:val="00507BA3"/>
    <w:rsid w:val="00507CFE"/>
    <w:rsid w:val="00507E3D"/>
    <w:rsid w:val="0051052A"/>
    <w:rsid w:val="005106A2"/>
    <w:rsid w:val="00510AA7"/>
    <w:rsid w:val="00510CFB"/>
    <w:rsid w:val="00510EAB"/>
    <w:rsid w:val="00511131"/>
    <w:rsid w:val="00511771"/>
    <w:rsid w:val="00511A79"/>
    <w:rsid w:val="00511D9E"/>
    <w:rsid w:val="00512033"/>
    <w:rsid w:val="00512439"/>
    <w:rsid w:val="00512BB8"/>
    <w:rsid w:val="00512CBA"/>
    <w:rsid w:val="0051319F"/>
    <w:rsid w:val="005132F0"/>
    <w:rsid w:val="00513621"/>
    <w:rsid w:val="00513743"/>
    <w:rsid w:val="00513F64"/>
    <w:rsid w:val="00514031"/>
    <w:rsid w:val="00514151"/>
    <w:rsid w:val="005144CB"/>
    <w:rsid w:val="00514614"/>
    <w:rsid w:val="00514659"/>
    <w:rsid w:val="0051465E"/>
    <w:rsid w:val="00514C3E"/>
    <w:rsid w:val="00514E47"/>
    <w:rsid w:val="00514FA7"/>
    <w:rsid w:val="00515258"/>
    <w:rsid w:val="00515BD5"/>
    <w:rsid w:val="00515C89"/>
    <w:rsid w:val="0051612F"/>
    <w:rsid w:val="00516E7F"/>
    <w:rsid w:val="00516FF5"/>
    <w:rsid w:val="005175D4"/>
    <w:rsid w:val="00517A9A"/>
    <w:rsid w:val="005204C5"/>
    <w:rsid w:val="005204C7"/>
    <w:rsid w:val="0052065D"/>
    <w:rsid w:val="005207DC"/>
    <w:rsid w:val="00520F9F"/>
    <w:rsid w:val="005211A7"/>
    <w:rsid w:val="00521789"/>
    <w:rsid w:val="00521AE3"/>
    <w:rsid w:val="00522100"/>
    <w:rsid w:val="0052247B"/>
    <w:rsid w:val="005224DE"/>
    <w:rsid w:val="0052299C"/>
    <w:rsid w:val="00522C06"/>
    <w:rsid w:val="005233DD"/>
    <w:rsid w:val="0052340B"/>
    <w:rsid w:val="005234F0"/>
    <w:rsid w:val="005235E5"/>
    <w:rsid w:val="005236F4"/>
    <w:rsid w:val="0052374F"/>
    <w:rsid w:val="00523E39"/>
    <w:rsid w:val="00524331"/>
    <w:rsid w:val="0052490E"/>
    <w:rsid w:val="00524C3A"/>
    <w:rsid w:val="00524F46"/>
    <w:rsid w:val="005253E2"/>
    <w:rsid w:val="00525DC1"/>
    <w:rsid w:val="00525FDD"/>
    <w:rsid w:val="0052646C"/>
    <w:rsid w:val="005268A4"/>
    <w:rsid w:val="005269DC"/>
    <w:rsid w:val="00526B89"/>
    <w:rsid w:val="00526E83"/>
    <w:rsid w:val="00526FD4"/>
    <w:rsid w:val="00527066"/>
    <w:rsid w:val="005272DB"/>
    <w:rsid w:val="0052761A"/>
    <w:rsid w:val="0053007A"/>
    <w:rsid w:val="005300B2"/>
    <w:rsid w:val="005301E2"/>
    <w:rsid w:val="00530292"/>
    <w:rsid w:val="00530751"/>
    <w:rsid w:val="0053077A"/>
    <w:rsid w:val="0053082C"/>
    <w:rsid w:val="005311AD"/>
    <w:rsid w:val="005311E7"/>
    <w:rsid w:val="0053139B"/>
    <w:rsid w:val="0053155D"/>
    <w:rsid w:val="00531581"/>
    <w:rsid w:val="0053172D"/>
    <w:rsid w:val="00531EF9"/>
    <w:rsid w:val="00532188"/>
    <w:rsid w:val="00532AAC"/>
    <w:rsid w:val="00533296"/>
    <w:rsid w:val="005333D1"/>
    <w:rsid w:val="0053344E"/>
    <w:rsid w:val="00533956"/>
    <w:rsid w:val="0053417E"/>
    <w:rsid w:val="00534294"/>
    <w:rsid w:val="005343D3"/>
    <w:rsid w:val="005347A7"/>
    <w:rsid w:val="005347B9"/>
    <w:rsid w:val="005347EA"/>
    <w:rsid w:val="00534DDE"/>
    <w:rsid w:val="00534F63"/>
    <w:rsid w:val="00535413"/>
    <w:rsid w:val="005354F3"/>
    <w:rsid w:val="0053554A"/>
    <w:rsid w:val="0053567C"/>
    <w:rsid w:val="005356FE"/>
    <w:rsid w:val="00535AFD"/>
    <w:rsid w:val="005368D3"/>
    <w:rsid w:val="00536A29"/>
    <w:rsid w:val="00536A85"/>
    <w:rsid w:val="00536F4F"/>
    <w:rsid w:val="00537A4A"/>
    <w:rsid w:val="00537C53"/>
    <w:rsid w:val="00537E2A"/>
    <w:rsid w:val="00540008"/>
    <w:rsid w:val="005403A5"/>
    <w:rsid w:val="005406D4"/>
    <w:rsid w:val="005407B2"/>
    <w:rsid w:val="005407B8"/>
    <w:rsid w:val="005407EC"/>
    <w:rsid w:val="005411FB"/>
    <w:rsid w:val="0054155D"/>
    <w:rsid w:val="005418F4"/>
    <w:rsid w:val="00542556"/>
    <w:rsid w:val="00542659"/>
    <w:rsid w:val="005427F8"/>
    <w:rsid w:val="00542F01"/>
    <w:rsid w:val="0054346C"/>
    <w:rsid w:val="0054357D"/>
    <w:rsid w:val="00543AAF"/>
    <w:rsid w:val="005440A7"/>
    <w:rsid w:val="00544808"/>
    <w:rsid w:val="00544DF3"/>
    <w:rsid w:val="00545BC0"/>
    <w:rsid w:val="00545CDA"/>
    <w:rsid w:val="00545E14"/>
    <w:rsid w:val="00545F5F"/>
    <w:rsid w:val="005460D0"/>
    <w:rsid w:val="0054631F"/>
    <w:rsid w:val="005463D4"/>
    <w:rsid w:val="00546844"/>
    <w:rsid w:val="00546F5A"/>
    <w:rsid w:val="00546FA3"/>
    <w:rsid w:val="005470E4"/>
    <w:rsid w:val="005470F8"/>
    <w:rsid w:val="005471DE"/>
    <w:rsid w:val="00547565"/>
    <w:rsid w:val="005478E9"/>
    <w:rsid w:val="00547AC7"/>
    <w:rsid w:val="00547ACD"/>
    <w:rsid w:val="00547F8D"/>
    <w:rsid w:val="00550113"/>
    <w:rsid w:val="00550124"/>
    <w:rsid w:val="00550B7A"/>
    <w:rsid w:val="005512D2"/>
    <w:rsid w:val="005519F3"/>
    <w:rsid w:val="00551C85"/>
    <w:rsid w:val="005521B9"/>
    <w:rsid w:val="005522A6"/>
    <w:rsid w:val="00552554"/>
    <w:rsid w:val="0055273D"/>
    <w:rsid w:val="005528D1"/>
    <w:rsid w:val="00552AE7"/>
    <w:rsid w:val="00552BFA"/>
    <w:rsid w:val="00552E9D"/>
    <w:rsid w:val="00552F44"/>
    <w:rsid w:val="00553047"/>
    <w:rsid w:val="0055314C"/>
    <w:rsid w:val="005539B3"/>
    <w:rsid w:val="00553A08"/>
    <w:rsid w:val="00553B07"/>
    <w:rsid w:val="00554372"/>
    <w:rsid w:val="00554481"/>
    <w:rsid w:val="00554F93"/>
    <w:rsid w:val="00555045"/>
    <w:rsid w:val="00555424"/>
    <w:rsid w:val="00555445"/>
    <w:rsid w:val="00555579"/>
    <w:rsid w:val="005558C9"/>
    <w:rsid w:val="00555BA9"/>
    <w:rsid w:val="00555FCA"/>
    <w:rsid w:val="00556288"/>
    <w:rsid w:val="005562E1"/>
    <w:rsid w:val="00556516"/>
    <w:rsid w:val="00556854"/>
    <w:rsid w:val="0055687E"/>
    <w:rsid w:val="005568BA"/>
    <w:rsid w:val="005569CD"/>
    <w:rsid w:val="00557080"/>
    <w:rsid w:val="00557187"/>
    <w:rsid w:val="005571D6"/>
    <w:rsid w:val="0055743A"/>
    <w:rsid w:val="00557641"/>
    <w:rsid w:val="00557817"/>
    <w:rsid w:val="00557CBA"/>
    <w:rsid w:val="00557FF4"/>
    <w:rsid w:val="00560530"/>
    <w:rsid w:val="0056093F"/>
    <w:rsid w:val="00560E2F"/>
    <w:rsid w:val="00560F69"/>
    <w:rsid w:val="00561047"/>
    <w:rsid w:val="005610D4"/>
    <w:rsid w:val="005612BC"/>
    <w:rsid w:val="005618B7"/>
    <w:rsid w:val="00561C99"/>
    <w:rsid w:val="005622E0"/>
    <w:rsid w:val="005625BD"/>
    <w:rsid w:val="0056265F"/>
    <w:rsid w:val="005626CE"/>
    <w:rsid w:val="0056281F"/>
    <w:rsid w:val="00562976"/>
    <w:rsid w:val="00562B1F"/>
    <w:rsid w:val="00562B7A"/>
    <w:rsid w:val="00562C82"/>
    <w:rsid w:val="00562EE0"/>
    <w:rsid w:val="005630DD"/>
    <w:rsid w:val="00563256"/>
    <w:rsid w:val="00563901"/>
    <w:rsid w:val="00563CC1"/>
    <w:rsid w:val="00563F29"/>
    <w:rsid w:val="00563F68"/>
    <w:rsid w:val="00563FEA"/>
    <w:rsid w:val="00564096"/>
    <w:rsid w:val="0056414E"/>
    <w:rsid w:val="00564A75"/>
    <w:rsid w:val="00564C9F"/>
    <w:rsid w:val="00564D3D"/>
    <w:rsid w:val="00564F62"/>
    <w:rsid w:val="00565545"/>
    <w:rsid w:val="00565991"/>
    <w:rsid w:val="00565BD7"/>
    <w:rsid w:val="00565F72"/>
    <w:rsid w:val="005665C5"/>
    <w:rsid w:val="00566787"/>
    <w:rsid w:val="005667C3"/>
    <w:rsid w:val="00566A56"/>
    <w:rsid w:val="00567397"/>
    <w:rsid w:val="0056789D"/>
    <w:rsid w:val="005678DC"/>
    <w:rsid w:val="005678DE"/>
    <w:rsid w:val="00567B6F"/>
    <w:rsid w:val="00567FBE"/>
    <w:rsid w:val="005702CE"/>
    <w:rsid w:val="00570313"/>
    <w:rsid w:val="00570452"/>
    <w:rsid w:val="0057059C"/>
    <w:rsid w:val="00570981"/>
    <w:rsid w:val="00570CF5"/>
    <w:rsid w:val="00570D08"/>
    <w:rsid w:val="00571581"/>
    <w:rsid w:val="00571594"/>
    <w:rsid w:val="00571B1D"/>
    <w:rsid w:val="00571CE2"/>
    <w:rsid w:val="00571D62"/>
    <w:rsid w:val="005720BD"/>
    <w:rsid w:val="00572202"/>
    <w:rsid w:val="0057250C"/>
    <w:rsid w:val="00572541"/>
    <w:rsid w:val="00572775"/>
    <w:rsid w:val="005727B9"/>
    <w:rsid w:val="00572A54"/>
    <w:rsid w:val="00572E34"/>
    <w:rsid w:val="00572E7A"/>
    <w:rsid w:val="0057305A"/>
    <w:rsid w:val="005732A1"/>
    <w:rsid w:val="00573FF2"/>
    <w:rsid w:val="00574563"/>
    <w:rsid w:val="00574659"/>
    <w:rsid w:val="0057470D"/>
    <w:rsid w:val="00574801"/>
    <w:rsid w:val="00574DDC"/>
    <w:rsid w:val="00575056"/>
    <w:rsid w:val="0057518D"/>
    <w:rsid w:val="0057588C"/>
    <w:rsid w:val="0057595B"/>
    <w:rsid w:val="00575BF2"/>
    <w:rsid w:val="00575D43"/>
    <w:rsid w:val="00575EBF"/>
    <w:rsid w:val="005761F2"/>
    <w:rsid w:val="005766EA"/>
    <w:rsid w:val="00576934"/>
    <w:rsid w:val="00576D71"/>
    <w:rsid w:val="00576F84"/>
    <w:rsid w:val="00576F9F"/>
    <w:rsid w:val="0057759A"/>
    <w:rsid w:val="00577C3E"/>
    <w:rsid w:val="00577C56"/>
    <w:rsid w:val="00577EE2"/>
    <w:rsid w:val="00580126"/>
    <w:rsid w:val="00580229"/>
    <w:rsid w:val="005804AF"/>
    <w:rsid w:val="005807C9"/>
    <w:rsid w:val="005807D6"/>
    <w:rsid w:val="005809D5"/>
    <w:rsid w:val="0058152B"/>
    <w:rsid w:val="00581682"/>
    <w:rsid w:val="005817B4"/>
    <w:rsid w:val="00581818"/>
    <w:rsid w:val="0058198E"/>
    <w:rsid w:val="00581A1D"/>
    <w:rsid w:val="00581A8F"/>
    <w:rsid w:val="00581E96"/>
    <w:rsid w:val="00581FED"/>
    <w:rsid w:val="005825D7"/>
    <w:rsid w:val="0058281F"/>
    <w:rsid w:val="00582894"/>
    <w:rsid w:val="00582A76"/>
    <w:rsid w:val="00582FAB"/>
    <w:rsid w:val="0058330B"/>
    <w:rsid w:val="0058332E"/>
    <w:rsid w:val="00583A48"/>
    <w:rsid w:val="00583B99"/>
    <w:rsid w:val="005840B9"/>
    <w:rsid w:val="00584321"/>
    <w:rsid w:val="0058446A"/>
    <w:rsid w:val="005844BA"/>
    <w:rsid w:val="0058453D"/>
    <w:rsid w:val="00584A37"/>
    <w:rsid w:val="00584F66"/>
    <w:rsid w:val="0058552D"/>
    <w:rsid w:val="00585531"/>
    <w:rsid w:val="005855FD"/>
    <w:rsid w:val="00585888"/>
    <w:rsid w:val="00585B1F"/>
    <w:rsid w:val="00585D5E"/>
    <w:rsid w:val="00585E9B"/>
    <w:rsid w:val="00585FE0"/>
    <w:rsid w:val="005861EC"/>
    <w:rsid w:val="00586499"/>
    <w:rsid w:val="005867CA"/>
    <w:rsid w:val="0058683D"/>
    <w:rsid w:val="005869BF"/>
    <w:rsid w:val="00586A9E"/>
    <w:rsid w:val="00586B8D"/>
    <w:rsid w:val="00586FE1"/>
    <w:rsid w:val="00587013"/>
    <w:rsid w:val="0058737B"/>
    <w:rsid w:val="00587DD0"/>
    <w:rsid w:val="00587FD7"/>
    <w:rsid w:val="00590AF1"/>
    <w:rsid w:val="00590E1A"/>
    <w:rsid w:val="005912C0"/>
    <w:rsid w:val="00591328"/>
    <w:rsid w:val="00591469"/>
    <w:rsid w:val="0059174C"/>
    <w:rsid w:val="00592705"/>
    <w:rsid w:val="00592BA7"/>
    <w:rsid w:val="00592C1E"/>
    <w:rsid w:val="00592C27"/>
    <w:rsid w:val="00593006"/>
    <w:rsid w:val="00593165"/>
    <w:rsid w:val="00593782"/>
    <w:rsid w:val="00593F68"/>
    <w:rsid w:val="00594155"/>
    <w:rsid w:val="00594287"/>
    <w:rsid w:val="005946F6"/>
    <w:rsid w:val="00594AC2"/>
    <w:rsid w:val="00595078"/>
    <w:rsid w:val="00595209"/>
    <w:rsid w:val="005952C7"/>
    <w:rsid w:val="0059552A"/>
    <w:rsid w:val="00595B2B"/>
    <w:rsid w:val="00595B48"/>
    <w:rsid w:val="00596033"/>
    <w:rsid w:val="005964B2"/>
    <w:rsid w:val="00596945"/>
    <w:rsid w:val="00596B3C"/>
    <w:rsid w:val="00596EDF"/>
    <w:rsid w:val="00597152"/>
    <w:rsid w:val="005971D0"/>
    <w:rsid w:val="0059742F"/>
    <w:rsid w:val="005975D0"/>
    <w:rsid w:val="005976B6"/>
    <w:rsid w:val="0059795F"/>
    <w:rsid w:val="0059799E"/>
    <w:rsid w:val="00597B90"/>
    <w:rsid w:val="00597EB9"/>
    <w:rsid w:val="00597FA2"/>
    <w:rsid w:val="005A010F"/>
    <w:rsid w:val="005A044F"/>
    <w:rsid w:val="005A0861"/>
    <w:rsid w:val="005A0C98"/>
    <w:rsid w:val="005A0CFD"/>
    <w:rsid w:val="005A1903"/>
    <w:rsid w:val="005A19CD"/>
    <w:rsid w:val="005A1EA8"/>
    <w:rsid w:val="005A1FA3"/>
    <w:rsid w:val="005A2175"/>
    <w:rsid w:val="005A291B"/>
    <w:rsid w:val="005A2C2B"/>
    <w:rsid w:val="005A2D55"/>
    <w:rsid w:val="005A2E64"/>
    <w:rsid w:val="005A324E"/>
    <w:rsid w:val="005A328C"/>
    <w:rsid w:val="005A3758"/>
    <w:rsid w:val="005A3844"/>
    <w:rsid w:val="005A397C"/>
    <w:rsid w:val="005A3AE2"/>
    <w:rsid w:val="005A4057"/>
    <w:rsid w:val="005A47D0"/>
    <w:rsid w:val="005A49A4"/>
    <w:rsid w:val="005A4A31"/>
    <w:rsid w:val="005A4D05"/>
    <w:rsid w:val="005A4D3B"/>
    <w:rsid w:val="005A4E12"/>
    <w:rsid w:val="005A5197"/>
    <w:rsid w:val="005A5B34"/>
    <w:rsid w:val="005A6305"/>
    <w:rsid w:val="005A6323"/>
    <w:rsid w:val="005A6467"/>
    <w:rsid w:val="005A6743"/>
    <w:rsid w:val="005A6D45"/>
    <w:rsid w:val="005A6E00"/>
    <w:rsid w:val="005A6FF6"/>
    <w:rsid w:val="005A7117"/>
    <w:rsid w:val="005A71E9"/>
    <w:rsid w:val="005B0C31"/>
    <w:rsid w:val="005B0F4C"/>
    <w:rsid w:val="005B1AD5"/>
    <w:rsid w:val="005B2501"/>
    <w:rsid w:val="005B2705"/>
    <w:rsid w:val="005B2EAD"/>
    <w:rsid w:val="005B2EBA"/>
    <w:rsid w:val="005B2F38"/>
    <w:rsid w:val="005B2FF4"/>
    <w:rsid w:val="005B3D90"/>
    <w:rsid w:val="005B40AF"/>
    <w:rsid w:val="005B446D"/>
    <w:rsid w:val="005B4776"/>
    <w:rsid w:val="005B508B"/>
    <w:rsid w:val="005B596D"/>
    <w:rsid w:val="005B5D45"/>
    <w:rsid w:val="005B6245"/>
    <w:rsid w:val="005B6252"/>
    <w:rsid w:val="005B6A97"/>
    <w:rsid w:val="005B6D47"/>
    <w:rsid w:val="005B7048"/>
    <w:rsid w:val="005B72C0"/>
    <w:rsid w:val="005B75B2"/>
    <w:rsid w:val="005B764F"/>
    <w:rsid w:val="005B7D42"/>
    <w:rsid w:val="005C000D"/>
    <w:rsid w:val="005C093C"/>
    <w:rsid w:val="005C1374"/>
    <w:rsid w:val="005C15A2"/>
    <w:rsid w:val="005C15D8"/>
    <w:rsid w:val="005C1762"/>
    <w:rsid w:val="005C1BD9"/>
    <w:rsid w:val="005C1BE8"/>
    <w:rsid w:val="005C239B"/>
    <w:rsid w:val="005C24A4"/>
    <w:rsid w:val="005C257A"/>
    <w:rsid w:val="005C2EA2"/>
    <w:rsid w:val="005C2FC0"/>
    <w:rsid w:val="005C320A"/>
    <w:rsid w:val="005C3212"/>
    <w:rsid w:val="005C38FA"/>
    <w:rsid w:val="005C3DE8"/>
    <w:rsid w:val="005C459E"/>
    <w:rsid w:val="005C4693"/>
    <w:rsid w:val="005C5065"/>
    <w:rsid w:val="005C51F0"/>
    <w:rsid w:val="005C53A8"/>
    <w:rsid w:val="005C569F"/>
    <w:rsid w:val="005C5AD9"/>
    <w:rsid w:val="005C5AF6"/>
    <w:rsid w:val="005C5B2B"/>
    <w:rsid w:val="005C5C24"/>
    <w:rsid w:val="005C628B"/>
    <w:rsid w:val="005C67B2"/>
    <w:rsid w:val="005C6A1F"/>
    <w:rsid w:val="005C6A50"/>
    <w:rsid w:val="005C71FA"/>
    <w:rsid w:val="005C75BB"/>
    <w:rsid w:val="005D01CA"/>
    <w:rsid w:val="005D03F3"/>
    <w:rsid w:val="005D0683"/>
    <w:rsid w:val="005D0E67"/>
    <w:rsid w:val="005D200E"/>
    <w:rsid w:val="005D2046"/>
    <w:rsid w:val="005D23ED"/>
    <w:rsid w:val="005D25CC"/>
    <w:rsid w:val="005D2C0F"/>
    <w:rsid w:val="005D2E74"/>
    <w:rsid w:val="005D330D"/>
    <w:rsid w:val="005D3437"/>
    <w:rsid w:val="005D36D2"/>
    <w:rsid w:val="005D389A"/>
    <w:rsid w:val="005D3D58"/>
    <w:rsid w:val="005D41BB"/>
    <w:rsid w:val="005D41C3"/>
    <w:rsid w:val="005D4C94"/>
    <w:rsid w:val="005D4EFA"/>
    <w:rsid w:val="005D4F13"/>
    <w:rsid w:val="005D56E1"/>
    <w:rsid w:val="005D5CA4"/>
    <w:rsid w:val="005D603F"/>
    <w:rsid w:val="005D60D0"/>
    <w:rsid w:val="005D639F"/>
    <w:rsid w:val="005D65DC"/>
    <w:rsid w:val="005D6A76"/>
    <w:rsid w:val="005D7216"/>
    <w:rsid w:val="005D73E9"/>
    <w:rsid w:val="005D755E"/>
    <w:rsid w:val="005D75B6"/>
    <w:rsid w:val="005D78A7"/>
    <w:rsid w:val="005D7FA5"/>
    <w:rsid w:val="005E0171"/>
    <w:rsid w:val="005E0278"/>
    <w:rsid w:val="005E0393"/>
    <w:rsid w:val="005E05EF"/>
    <w:rsid w:val="005E0917"/>
    <w:rsid w:val="005E1029"/>
    <w:rsid w:val="005E127B"/>
    <w:rsid w:val="005E177D"/>
    <w:rsid w:val="005E17C4"/>
    <w:rsid w:val="005E1956"/>
    <w:rsid w:val="005E1BDF"/>
    <w:rsid w:val="005E1E4B"/>
    <w:rsid w:val="005E2663"/>
    <w:rsid w:val="005E26F9"/>
    <w:rsid w:val="005E2AAF"/>
    <w:rsid w:val="005E2BB1"/>
    <w:rsid w:val="005E3124"/>
    <w:rsid w:val="005E32C7"/>
    <w:rsid w:val="005E3A38"/>
    <w:rsid w:val="005E3BFA"/>
    <w:rsid w:val="005E3C84"/>
    <w:rsid w:val="005E3D32"/>
    <w:rsid w:val="005E3E61"/>
    <w:rsid w:val="005E3FC3"/>
    <w:rsid w:val="005E44E9"/>
    <w:rsid w:val="005E473E"/>
    <w:rsid w:val="005E4C5D"/>
    <w:rsid w:val="005E504A"/>
    <w:rsid w:val="005E51BD"/>
    <w:rsid w:val="005E574A"/>
    <w:rsid w:val="005E5801"/>
    <w:rsid w:val="005E5E10"/>
    <w:rsid w:val="005E5E50"/>
    <w:rsid w:val="005E5F4E"/>
    <w:rsid w:val="005E606B"/>
    <w:rsid w:val="005E64B3"/>
    <w:rsid w:val="005E66FF"/>
    <w:rsid w:val="005E685D"/>
    <w:rsid w:val="005E6945"/>
    <w:rsid w:val="005E6ADF"/>
    <w:rsid w:val="005E7172"/>
    <w:rsid w:val="005E74FA"/>
    <w:rsid w:val="005E780D"/>
    <w:rsid w:val="005E7BDE"/>
    <w:rsid w:val="005F0035"/>
    <w:rsid w:val="005F0416"/>
    <w:rsid w:val="005F0666"/>
    <w:rsid w:val="005F099D"/>
    <w:rsid w:val="005F09D7"/>
    <w:rsid w:val="005F1199"/>
    <w:rsid w:val="005F1CF6"/>
    <w:rsid w:val="005F1E64"/>
    <w:rsid w:val="005F1F9D"/>
    <w:rsid w:val="005F24FE"/>
    <w:rsid w:val="005F26F7"/>
    <w:rsid w:val="005F2923"/>
    <w:rsid w:val="005F2FCB"/>
    <w:rsid w:val="005F2FD4"/>
    <w:rsid w:val="005F300D"/>
    <w:rsid w:val="005F3016"/>
    <w:rsid w:val="005F3125"/>
    <w:rsid w:val="005F3732"/>
    <w:rsid w:val="005F3736"/>
    <w:rsid w:val="005F37B7"/>
    <w:rsid w:val="005F387A"/>
    <w:rsid w:val="005F3A1A"/>
    <w:rsid w:val="005F426E"/>
    <w:rsid w:val="005F4BA4"/>
    <w:rsid w:val="005F4C3B"/>
    <w:rsid w:val="005F503D"/>
    <w:rsid w:val="005F5299"/>
    <w:rsid w:val="005F536C"/>
    <w:rsid w:val="005F550C"/>
    <w:rsid w:val="005F5845"/>
    <w:rsid w:val="005F595B"/>
    <w:rsid w:val="005F5BD4"/>
    <w:rsid w:val="005F5C32"/>
    <w:rsid w:val="005F5E0A"/>
    <w:rsid w:val="005F5E1C"/>
    <w:rsid w:val="005F5E76"/>
    <w:rsid w:val="005F6183"/>
    <w:rsid w:val="005F6442"/>
    <w:rsid w:val="005F6799"/>
    <w:rsid w:val="005F6D1F"/>
    <w:rsid w:val="005F70E2"/>
    <w:rsid w:val="005F79CD"/>
    <w:rsid w:val="005F7A15"/>
    <w:rsid w:val="005F7B7D"/>
    <w:rsid w:val="00600B61"/>
    <w:rsid w:val="00600BB5"/>
    <w:rsid w:val="00600C2C"/>
    <w:rsid w:val="00600C4F"/>
    <w:rsid w:val="00600E0E"/>
    <w:rsid w:val="00600E97"/>
    <w:rsid w:val="006010C8"/>
    <w:rsid w:val="0060113E"/>
    <w:rsid w:val="006012E4"/>
    <w:rsid w:val="00601839"/>
    <w:rsid w:val="00601E0F"/>
    <w:rsid w:val="0060258E"/>
    <w:rsid w:val="00602882"/>
    <w:rsid w:val="00602D03"/>
    <w:rsid w:val="006033B9"/>
    <w:rsid w:val="006036F6"/>
    <w:rsid w:val="006037DD"/>
    <w:rsid w:val="00603FE0"/>
    <w:rsid w:val="0060409C"/>
    <w:rsid w:val="0060497B"/>
    <w:rsid w:val="00604C0B"/>
    <w:rsid w:val="00604FC3"/>
    <w:rsid w:val="00605306"/>
    <w:rsid w:val="0060587A"/>
    <w:rsid w:val="00605AB5"/>
    <w:rsid w:val="00605CD0"/>
    <w:rsid w:val="00605F48"/>
    <w:rsid w:val="00606093"/>
    <w:rsid w:val="00606177"/>
    <w:rsid w:val="00606264"/>
    <w:rsid w:val="00606734"/>
    <w:rsid w:val="006068DD"/>
    <w:rsid w:val="00606DDC"/>
    <w:rsid w:val="00606F95"/>
    <w:rsid w:val="00607373"/>
    <w:rsid w:val="0060756E"/>
    <w:rsid w:val="00607591"/>
    <w:rsid w:val="00607777"/>
    <w:rsid w:val="006078D9"/>
    <w:rsid w:val="00607A65"/>
    <w:rsid w:val="00607C0F"/>
    <w:rsid w:val="00607E85"/>
    <w:rsid w:val="006103C3"/>
    <w:rsid w:val="006106CB"/>
    <w:rsid w:val="00610A09"/>
    <w:rsid w:val="00610A3E"/>
    <w:rsid w:val="00610B54"/>
    <w:rsid w:val="00610E56"/>
    <w:rsid w:val="00610E9A"/>
    <w:rsid w:val="00611391"/>
    <w:rsid w:val="0061154F"/>
    <w:rsid w:val="00611693"/>
    <w:rsid w:val="00611704"/>
    <w:rsid w:val="00611B77"/>
    <w:rsid w:val="00611BFB"/>
    <w:rsid w:val="00611C75"/>
    <w:rsid w:val="00612436"/>
    <w:rsid w:val="00612528"/>
    <w:rsid w:val="00612922"/>
    <w:rsid w:val="00612C98"/>
    <w:rsid w:val="00612D4C"/>
    <w:rsid w:val="00612EC3"/>
    <w:rsid w:val="00613206"/>
    <w:rsid w:val="006137C1"/>
    <w:rsid w:val="006138D3"/>
    <w:rsid w:val="0061437B"/>
    <w:rsid w:val="00614431"/>
    <w:rsid w:val="006144F1"/>
    <w:rsid w:val="00614D18"/>
    <w:rsid w:val="00614DBD"/>
    <w:rsid w:val="006151F9"/>
    <w:rsid w:val="00615CC9"/>
    <w:rsid w:val="00615E1E"/>
    <w:rsid w:val="00615E8B"/>
    <w:rsid w:val="00615FD7"/>
    <w:rsid w:val="0061602C"/>
    <w:rsid w:val="00616585"/>
    <w:rsid w:val="0061666A"/>
    <w:rsid w:val="00616694"/>
    <w:rsid w:val="006168AE"/>
    <w:rsid w:val="006178D3"/>
    <w:rsid w:val="00617B08"/>
    <w:rsid w:val="00617B2D"/>
    <w:rsid w:val="00617FDA"/>
    <w:rsid w:val="006202C6"/>
    <w:rsid w:val="00620636"/>
    <w:rsid w:val="00620981"/>
    <w:rsid w:val="00620DDE"/>
    <w:rsid w:val="00621710"/>
    <w:rsid w:val="00621A78"/>
    <w:rsid w:val="00621B77"/>
    <w:rsid w:val="00621EFC"/>
    <w:rsid w:val="00622070"/>
    <w:rsid w:val="00622C6C"/>
    <w:rsid w:val="00623071"/>
    <w:rsid w:val="006230A0"/>
    <w:rsid w:val="00623724"/>
    <w:rsid w:val="00623E93"/>
    <w:rsid w:val="00624006"/>
    <w:rsid w:val="0062438E"/>
    <w:rsid w:val="00624421"/>
    <w:rsid w:val="00624458"/>
    <w:rsid w:val="0062564E"/>
    <w:rsid w:val="00625676"/>
    <w:rsid w:val="006257EE"/>
    <w:rsid w:val="006258A6"/>
    <w:rsid w:val="006259D0"/>
    <w:rsid w:val="00625AA1"/>
    <w:rsid w:val="00625ADF"/>
    <w:rsid w:val="00625DB3"/>
    <w:rsid w:val="006263A0"/>
    <w:rsid w:val="00626770"/>
    <w:rsid w:val="006268B9"/>
    <w:rsid w:val="00626D43"/>
    <w:rsid w:val="00626EF6"/>
    <w:rsid w:val="006270BE"/>
    <w:rsid w:val="00627188"/>
    <w:rsid w:val="006271A4"/>
    <w:rsid w:val="00627254"/>
    <w:rsid w:val="0062725E"/>
    <w:rsid w:val="0062778B"/>
    <w:rsid w:val="0062786A"/>
    <w:rsid w:val="00627925"/>
    <w:rsid w:val="00627A38"/>
    <w:rsid w:val="00627C71"/>
    <w:rsid w:val="0063088E"/>
    <w:rsid w:val="00631082"/>
    <w:rsid w:val="00631D81"/>
    <w:rsid w:val="00631D8A"/>
    <w:rsid w:val="00631FD1"/>
    <w:rsid w:val="00632415"/>
    <w:rsid w:val="0063242A"/>
    <w:rsid w:val="0063247A"/>
    <w:rsid w:val="00632710"/>
    <w:rsid w:val="006327CB"/>
    <w:rsid w:val="00632948"/>
    <w:rsid w:val="00632A92"/>
    <w:rsid w:val="00632C3E"/>
    <w:rsid w:val="00632F4B"/>
    <w:rsid w:val="0063310A"/>
    <w:rsid w:val="00633139"/>
    <w:rsid w:val="006338BD"/>
    <w:rsid w:val="00633EA9"/>
    <w:rsid w:val="006341E0"/>
    <w:rsid w:val="006342AC"/>
    <w:rsid w:val="006343E6"/>
    <w:rsid w:val="00634607"/>
    <w:rsid w:val="00634971"/>
    <w:rsid w:val="00634E37"/>
    <w:rsid w:val="00634ECE"/>
    <w:rsid w:val="00635052"/>
    <w:rsid w:val="00635D1C"/>
    <w:rsid w:val="00635EA0"/>
    <w:rsid w:val="00636599"/>
    <w:rsid w:val="0063692C"/>
    <w:rsid w:val="006369F0"/>
    <w:rsid w:val="00636CE3"/>
    <w:rsid w:val="00636EBC"/>
    <w:rsid w:val="006370A8"/>
    <w:rsid w:val="006370DD"/>
    <w:rsid w:val="00637469"/>
    <w:rsid w:val="0063747C"/>
    <w:rsid w:val="00637662"/>
    <w:rsid w:val="00637765"/>
    <w:rsid w:val="00637A22"/>
    <w:rsid w:val="00637A5F"/>
    <w:rsid w:val="00637EA7"/>
    <w:rsid w:val="00640219"/>
    <w:rsid w:val="00640256"/>
    <w:rsid w:val="00640280"/>
    <w:rsid w:val="006411CF"/>
    <w:rsid w:val="0064183C"/>
    <w:rsid w:val="0064191B"/>
    <w:rsid w:val="006419A1"/>
    <w:rsid w:val="00642214"/>
    <w:rsid w:val="006423F9"/>
    <w:rsid w:val="00642617"/>
    <w:rsid w:val="0064290D"/>
    <w:rsid w:val="0064305C"/>
    <w:rsid w:val="00643148"/>
    <w:rsid w:val="006434D2"/>
    <w:rsid w:val="00643ADA"/>
    <w:rsid w:val="00644339"/>
    <w:rsid w:val="00644358"/>
    <w:rsid w:val="00644B2C"/>
    <w:rsid w:val="00644BA4"/>
    <w:rsid w:val="00644D06"/>
    <w:rsid w:val="00644E79"/>
    <w:rsid w:val="006453FC"/>
    <w:rsid w:val="006456D2"/>
    <w:rsid w:val="0064605A"/>
    <w:rsid w:val="006464D1"/>
    <w:rsid w:val="00646714"/>
    <w:rsid w:val="00646A6B"/>
    <w:rsid w:val="00646BD3"/>
    <w:rsid w:val="006473C4"/>
    <w:rsid w:val="0065006C"/>
    <w:rsid w:val="006504B2"/>
    <w:rsid w:val="00650966"/>
    <w:rsid w:val="00650BA6"/>
    <w:rsid w:val="0065128C"/>
    <w:rsid w:val="006512D6"/>
    <w:rsid w:val="0065153B"/>
    <w:rsid w:val="006519EB"/>
    <w:rsid w:val="00651A01"/>
    <w:rsid w:val="00651D4F"/>
    <w:rsid w:val="00651EF9"/>
    <w:rsid w:val="00652188"/>
    <w:rsid w:val="00652461"/>
    <w:rsid w:val="0065247D"/>
    <w:rsid w:val="00652534"/>
    <w:rsid w:val="006527E7"/>
    <w:rsid w:val="00652B3F"/>
    <w:rsid w:val="00652C85"/>
    <w:rsid w:val="006533D6"/>
    <w:rsid w:val="00653412"/>
    <w:rsid w:val="006536BF"/>
    <w:rsid w:val="0065385F"/>
    <w:rsid w:val="00653A6F"/>
    <w:rsid w:val="00653D17"/>
    <w:rsid w:val="00653DA8"/>
    <w:rsid w:val="0065401A"/>
    <w:rsid w:val="0065404B"/>
    <w:rsid w:val="00654D31"/>
    <w:rsid w:val="00655288"/>
    <w:rsid w:val="00655757"/>
    <w:rsid w:val="006557EB"/>
    <w:rsid w:val="00655C2E"/>
    <w:rsid w:val="006563EC"/>
    <w:rsid w:val="00656600"/>
    <w:rsid w:val="00656C5E"/>
    <w:rsid w:val="00656C91"/>
    <w:rsid w:val="006570CF"/>
    <w:rsid w:val="006573C2"/>
    <w:rsid w:val="00657614"/>
    <w:rsid w:val="00657B77"/>
    <w:rsid w:val="00657C45"/>
    <w:rsid w:val="00657E64"/>
    <w:rsid w:val="00657EE6"/>
    <w:rsid w:val="00660CD3"/>
    <w:rsid w:val="00660EE4"/>
    <w:rsid w:val="0066108A"/>
    <w:rsid w:val="006612DB"/>
    <w:rsid w:val="00661363"/>
    <w:rsid w:val="006613D3"/>
    <w:rsid w:val="0066146D"/>
    <w:rsid w:val="00661E90"/>
    <w:rsid w:val="00661F4F"/>
    <w:rsid w:val="00661F72"/>
    <w:rsid w:val="00662562"/>
    <w:rsid w:val="00662660"/>
    <w:rsid w:val="006629F7"/>
    <w:rsid w:val="00662AB4"/>
    <w:rsid w:val="006634EB"/>
    <w:rsid w:val="00663524"/>
    <w:rsid w:val="006636F2"/>
    <w:rsid w:val="006639F2"/>
    <w:rsid w:val="00663A6D"/>
    <w:rsid w:val="00663BD1"/>
    <w:rsid w:val="00663C69"/>
    <w:rsid w:val="00663D4B"/>
    <w:rsid w:val="00664387"/>
    <w:rsid w:val="006644A1"/>
    <w:rsid w:val="0066488D"/>
    <w:rsid w:val="00664CB1"/>
    <w:rsid w:val="00664D68"/>
    <w:rsid w:val="00664ED1"/>
    <w:rsid w:val="0066540B"/>
    <w:rsid w:val="00665518"/>
    <w:rsid w:val="00665B36"/>
    <w:rsid w:val="00665D7E"/>
    <w:rsid w:val="006660E4"/>
    <w:rsid w:val="00666209"/>
    <w:rsid w:val="0066627C"/>
    <w:rsid w:val="00666C27"/>
    <w:rsid w:val="00666CE5"/>
    <w:rsid w:val="00666EBB"/>
    <w:rsid w:val="0066705E"/>
    <w:rsid w:val="00667515"/>
    <w:rsid w:val="00667FE5"/>
    <w:rsid w:val="00670036"/>
    <w:rsid w:val="00670338"/>
    <w:rsid w:val="00670924"/>
    <w:rsid w:val="00670A6B"/>
    <w:rsid w:val="00670C5E"/>
    <w:rsid w:val="00670DA7"/>
    <w:rsid w:val="006718C2"/>
    <w:rsid w:val="006718FA"/>
    <w:rsid w:val="00671D05"/>
    <w:rsid w:val="006720C9"/>
    <w:rsid w:val="00672357"/>
    <w:rsid w:val="006727CB"/>
    <w:rsid w:val="00672937"/>
    <w:rsid w:val="006730C1"/>
    <w:rsid w:val="00673A1A"/>
    <w:rsid w:val="00673AE2"/>
    <w:rsid w:val="00674038"/>
    <w:rsid w:val="00674191"/>
    <w:rsid w:val="006746BC"/>
    <w:rsid w:val="006746DD"/>
    <w:rsid w:val="00674D4F"/>
    <w:rsid w:val="00675213"/>
    <w:rsid w:val="0067530C"/>
    <w:rsid w:val="0067556B"/>
    <w:rsid w:val="006758E4"/>
    <w:rsid w:val="00675B35"/>
    <w:rsid w:val="00675FE3"/>
    <w:rsid w:val="00675FED"/>
    <w:rsid w:val="00675FFD"/>
    <w:rsid w:val="0067624F"/>
    <w:rsid w:val="006766A1"/>
    <w:rsid w:val="00676CA4"/>
    <w:rsid w:val="006772CE"/>
    <w:rsid w:val="006776A9"/>
    <w:rsid w:val="0067772B"/>
    <w:rsid w:val="006778FD"/>
    <w:rsid w:val="00677BAF"/>
    <w:rsid w:val="00677CC6"/>
    <w:rsid w:val="00677F52"/>
    <w:rsid w:val="00680055"/>
    <w:rsid w:val="006804BF"/>
    <w:rsid w:val="006805A5"/>
    <w:rsid w:val="00680755"/>
    <w:rsid w:val="00680855"/>
    <w:rsid w:val="00681182"/>
    <w:rsid w:val="00681537"/>
    <w:rsid w:val="006815E2"/>
    <w:rsid w:val="006819B2"/>
    <w:rsid w:val="00681A09"/>
    <w:rsid w:val="00681C0E"/>
    <w:rsid w:val="00681CCB"/>
    <w:rsid w:val="00681F00"/>
    <w:rsid w:val="00682CE0"/>
    <w:rsid w:val="006832C0"/>
    <w:rsid w:val="00683457"/>
    <w:rsid w:val="00683462"/>
    <w:rsid w:val="006835B9"/>
    <w:rsid w:val="00683A9E"/>
    <w:rsid w:val="00683D8C"/>
    <w:rsid w:val="0068413B"/>
    <w:rsid w:val="0068485C"/>
    <w:rsid w:val="00684C54"/>
    <w:rsid w:val="00684DCB"/>
    <w:rsid w:val="006853EF"/>
    <w:rsid w:val="00685872"/>
    <w:rsid w:val="00685C2D"/>
    <w:rsid w:val="00686079"/>
    <w:rsid w:val="00686095"/>
    <w:rsid w:val="006869A6"/>
    <w:rsid w:val="00686E7A"/>
    <w:rsid w:val="00686E8E"/>
    <w:rsid w:val="00686F84"/>
    <w:rsid w:val="006870AB"/>
    <w:rsid w:val="006873EE"/>
    <w:rsid w:val="00687923"/>
    <w:rsid w:val="00687A58"/>
    <w:rsid w:val="00687E7F"/>
    <w:rsid w:val="00690020"/>
    <w:rsid w:val="006904E5"/>
    <w:rsid w:val="006904EB"/>
    <w:rsid w:val="00690A1C"/>
    <w:rsid w:val="00690F00"/>
    <w:rsid w:val="006911FB"/>
    <w:rsid w:val="00691771"/>
    <w:rsid w:val="00691C8A"/>
    <w:rsid w:val="00692024"/>
    <w:rsid w:val="0069270C"/>
    <w:rsid w:val="00692C75"/>
    <w:rsid w:val="00692E4C"/>
    <w:rsid w:val="00692E81"/>
    <w:rsid w:val="006931A9"/>
    <w:rsid w:val="00693293"/>
    <w:rsid w:val="00693406"/>
    <w:rsid w:val="00693782"/>
    <w:rsid w:val="00693C45"/>
    <w:rsid w:val="00693D32"/>
    <w:rsid w:val="00694B57"/>
    <w:rsid w:val="00694FC8"/>
    <w:rsid w:val="0069525E"/>
    <w:rsid w:val="006952AE"/>
    <w:rsid w:val="006953B8"/>
    <w:rsid w:val="00695DE3"/>
    <w:rsid w:val="00696155"/>
    <w:rsid w:val="0069618E"/>
    <w:rsid w:val="00696343"/>
    <w:rsid w:val="006964DA"/>
    <w:rsid w:val="00696A29"/>
    <w:rsid w:val="00696DB3"/>
    <w:rsid w:val="006971C6"/>
    <w:rsid w:val="006973BF"/>
    <w:rsid w:val="0069748A"/>
    <w:rsid w:val="00697BEA"/>
    <w:rsid w:val="00697C6C"/>
    <w:rsid w:val="006A00CA"/>
    <w:rsid w:val="006A0BD9"/>
    <w:rsid w:val="006A1131"/>
    <w:rsid w:val="006A116B"/>
    <w:rsid w:val="006A1284"/>
    <w:rsid w:val="006A13AB"/>
    <w:rsid w:val="006A13CA"/>
    <w:rsid w:val="006A1B79"/>
    <w:rsid w:val="006A2189"/>
    <w:rsid w:val="006A218A"/>
    <w:rsid w:val="006A2415"/>
    <w:rsid w:val="006A25DE"/>
    <w:rsid w:val="006A2914"/>
    <w:rsid w:val="006A2A60"/>
    <w:rsid w:val="006A2EAB"/>
    <w:rsid w:val="006A3516"/>
    <w:rsid w:val="006A37A2"/>
    <w:rsid w:val="006A3A57"/>
    <w:rsid w:val="006A3B40"/>
    <w:rsid w:val="006A40B8"/>
    <w:rsid w:val="006A4138"/>
    <w:rsid w:val="006A4216"/>
    <w:rsid w:val="006A42A2"/>
    <w:rsid w:val="006A4337"/>
    <w:rsid w:val="006A4967"/>
    <w:rsid w:val="006A5608"/>
    <w:rsid w:val="006A57AA"/>
    <w:rsid w:val="006A5976"/>
    <w:rsid w:val="006A5CB6"/>
    <w:rsid w:val="006A5E66"/>
    <w:rsid w:val="006A63A7"/>
    <w:rsid w:val="006A64E6"/>
    <w:rsid w:val="006A6747"/>
    <w:rsid w:val="006A6BEA"/>
    <w:rsid w:val="006A7196"/>
    <w:rsid w:val="006A7363"/>
    <w:rsid w:val="006B001A"/>
    <w:rsid w:val="006B049F"/>
    <w:rsid w:val="006B0607"/>
    <w:rsid w:val="006B0774"/>
    <w:rsid w:val="006B078A"/>
    <w:rsid w:val="006B08D5"/>
    <w:rsid w:val="006B0B1C"/>
    <w:rsid w:val="006B0BBF"/>
    <w:rsid w:val="006B11E9"/>
    <w:rsid w:val="006B12AA"/>
    <w:rsid w:val="006B1341"/>
    <w:rsid w:val="006B198E"/>
    <w:rsid w:val="006B1B55"/>
    <w:rsid w:val="006B1FE1"/>
    <w:rsid w:val="006B239D"/>
    <w:rsid w:val="006B2A0D"/>
    <w:rsid w:val="006B352C"/>
    <w:rsid w:val="006B376F"/>
    <w:rsid w:val="006B3F64"/>
    <w:rsid w:val="006B3F84"/>
    <w:rsid w:val="006B3FA1"/>
    <w:rsid w:val="006B4279"/>
    <w:rsid w:val="006B4511"/>
    <w:rsid w:val="006B4D98"/>
    <w:rsid w:val="006B4E70"/>
    <w:rsid w:val="006B5171"/>
    <w:rsid w:val="006B5912"/>
    <w:rsid w:val="006B5B03"/>
    <w:rsid w:val="006B6324"/>
    <w:rsid w:val="006B636A"/>
    <w:rsid w:val="006B63F5"/>
    <w:rsid w:val="006B6410"/>
    <w:rsid w:val="006B6731"/>
    <w:rsid w:val="006B69BD"/>
    <w:rsid w:val="006B69DC"/>
    <w:rsid w:val="006B6C2C"/>
    <w:rsid w:val="006B6DD5"/>
    <w:rsid w:val="006B6ED6"/>
    <w:rsid w:val="006B6F15"/>
    <w:rsid w:val="006B6FC4"/>
    <w:rsid w:val="006B6FE4"/>
    <w:rsid w:val="006B7618"/>
    <w:rsid w:val="006B79CD"/>
    <w:rsid w:val="006C01F4"/>
    <w:rsid w:val="006C04BC"/>
    <w:rsid w:val="006C05F4"/>
    <w:rsid w:val="006C0B08"/>
    <w:rsid w:val="006C0B8D"/>
    <w:rsid w:val="006C0C46"/>
    <w:rsid w:val="006C10BE"/>
    <w:rsid w:val="006C13DD"/>
    <w:rsid w:val="006C1AA7"/>
    <w:rsid w:val="006C1B61"/>
    <w:rsid w:val="006C20FF"/>
    <w:rsid w:val="006C2170"/>
    <w:rsid w:val="006C21A3"/>
    <w:rsid w:val="006C224C"/>
    <w:rsid w:val="006C2354"/>
    <w:rsid w:val="006C23AD"/>
    <w:rsid w:val="006C2B0F"/>
    <w:rsid w:val="006C2B8C"/>
    <w:rsid w:val="006C2BF2"/>
    <w:rsid w:val="006C2C33"/>
    <w:rsid w:val="006C2F08"/>
    <w:rsid w:val="006C2F1E"/>
    <w:rsid w:val="006C32DF"/>
    <w:rsid w:val="006C3E9B"/>
    <w:rsid w:val="006C40F0"/>
    <w:rsid w:val="006C4110"/>
    <w:rsid w:val="006C41B0"/>
    <w:rsid w:val="006C4479"/>
    <w:rsid w:val="006C49AD"/>
    <w:rsid w:val="006C5062"/>
    <w:rsid w:val="006C5598"/>
    <w:rsid w:val="006C55DF"/>
    <w:rsid w:val="006C56E4"/>
    <w:rsid w:val="006C5CC9"/>
    <w:rsid w:val="006C65D0"/>
    <w:rsid w:val="006C68FF"/>
    <w:rsid w:val="006C6CCE"/>
    <w:rsid w:val="006C6F27"/>
    <w:rsid w:val="006C70C6"/>
    <w:rsid w:val="006C72E5"/>
    <w:rsid w:val="006C76FE"/>
    <w:rsid w:val="006C792B"/>
    <w:rsid w:val="006C7BA8"/>
    <w:rsid w:val="006C7FA2"/>
    <w:rsid w:val="006D00A0"/>
    <w:rsid w:val="006D00DF"/>
    <w:rsid w:val="006D03F6"/>
    <w:rsid w:val="006D0B78"/>
    <w:rsid w:val="006D13F9"/>
    <w:rsid w:val="006D1487"/>
    <w:rsid w:val="006D1505"/>
    <w:rsid w:val="006D1511"/>
    <w:rsid w:val="006D16A1"/>
    <w:rsid w:val="006D1712"/>
    <w:rsid w:val="006D17B7"/>
    <w:rsid w:val="006D184C"/>
    <w:rsid w:val="006D1A08"/>
    <w:rsid w:val="006D1C00"/>
    <w:rsid w:val="006D2089"/>
    <w:rsid w:val="006D3433"/>
    <w:rsid w:val="006D35DB"/>
    <w:rsid w:val="006D36DA"/>
    <w:rsid w:val="006D3DDE"/>
    <w:rsid w:val="006D4102"/>
    <w:rsid w:val="006D439B"/>
    <w:rsid w:val="006D4886"/>
    <w:rsid w:val="006D4944"/>
    <w:rsid w:val="006D4DD8"/>
    <w:rsid w:val="006D51AB"/>
    <w:rsid w:val="006D545E"/>
    <w:rsid w:val="006D5800"/>
    <w:rsid w:val="006D5FC8"/>
    <w:rsid w:val="006D6074"/>
    <w:rsid w:val="006D6175"/>
    <w:rsid w:val="006D6CDC"/>
    <w:rsid w:val="006D6DD7"/>
    <w:rsid w:val="006D6E0E"/>
    <w:rsid w:val="006D729A"/>
    <w:rsid w:val="006D7454"/>
    <w:rsid w:val="006E0063"/>
    <w:rsid w:val="006E018D"/>
    <w:rsid w:val="006E0214"/>
    <w:rsid w:val="006E06C0"/>
    <w:rsid w:val="006E098C"/>
    <w:rsid w:val="006E0B1B"/>
    <w:rsid w:val="006E0D7E"/>
    <w:rsid w:val="006E0F17"/>
    <w:rsid w:val="006E1414"/>
    <w:rsid w:val="006E1A62"/>
    <w:rsid w:val="006E1BE7"/>
    <w:rsid w:val="006E1C3B"/>
    <w:rsid w:val="006E1D41"/>
    <w:rsid w:val="006E1D65"/>
    <w:rsid w:val="006E1EAE"/>
    <w:rsid w:val="006E2684"/>
    <w:rsid w:val="006E313C"/>
    <w:rsid w:val="006E3217"/>
    <w:rsid w:val="006E3568"/>
    <w:rsid w:val="006E3D68"/>
    <w:rsid w:val="006E3E05"/>
    <w:rsid w:val="006E3FD2"/>
    <w:rsid w:val="006E490F"/>
    <w:rsid w:val="006E53F8"/>
    <w:rsid w:val="006E54A9"/>
    <w:rsid w:val="006E5550"/>
    <w:rsid w:val="006E5987"/>
    <w:rsid w:val="006E5A22"/>
    <w:rsid w:val="006E5B95"/>
    <w:rsid w:val="006E6315"/>
    <w:rsid w:val="006E6D10"/>
    <w:rsid w:val="006E7343"/>
    <w:rsid w:val="006E7756"/>
    <w:rsid w:val="006E7CA4"/>
    <w:rsid w:val="006F028B"/>
    <w:rsid w:val="006F02B7"/>
    <w:rsid w:val="006F03FF"/>
    <w:rsid w:val="006F0F46"/>
    <w:rsid w:val="006F1095"/>
    <w:rsid w:val="006F12AB"/>
    <w:rsid w:val="006F1395"/>
    <w:rsid w:val="006F17E4"/>
    <w:rsid w:val="006F1961"/>
    <w:rsid w:val="006F19A6"/>
    <w:rsid w:val="006F1B1D"/>
    <w:rsid w:val="006F1D6A"/>
    <w:rsid w:val="006F1E3C"/>
    <w:rsid w:val="006F1E4D"/>
    <w:rsid w:val="006F1F09"/>
    <w:rsid w:val="006F1FBF"/>
    <w:rsid w:val="006F2094"/>
    <w:rsid w:val="006F215F"/>
    <w:rsid w:val="006F22AC"/>
    <w:rsid w:val="006F2541"/>
    <w:rsid w:val="006F263F"/>
    <w:rsid w:val="006F280B"/>
    <w:rsid w:val="006F2EA6"/>
    <w:rsid w:val="006F2FAD"/>
    <w:rsid w:val="006F312D"/>
    <w:rsid w:val="006F3CF8"/>
    <w:rsid w:val="006F3DC9"/>
    <w:rsid w:val="006F3F9C"/>
    <w:rsid w:val="006F45DC"/>
    <w:rsid w:val="006F4B05"/>
    <w:rsid w:val="006F4BCF"/>
    <w:rsid w:val="006F50DE"/>
    <w:rsid w:val="006F51E3"/>
    <w:rsid w:val="006F52F6"/>
    <w:rsid w:val="006F585F"/>
    <w:rsid w:val="006F5A34"/>
    <w:rsid w:val="006F5C20"/>
    <w:rsid w:val="006F5DCC"/>
    <w:rsid w:val="006F5EA6"/>
    <w:rsid w:val="006F6C58"/>
    <w:rsid w:val="006F7136"/>
    <w:rsid w:val="006F7773"/>
    <w:rsid w:val="006F7A1A"/>
    <w:rsid w:val="006F7CBB"/>
    <w:rsid w:val="006F7F57"/>
    <w:rsid w:val="00700106"/>
    <w:rsid w:val="007002F8"/>
    <w:rsid w:val="007003EE"/>
    <w:rsid w:val="0070057A"/>
    <w:rsid w:val="007007B6"/>
    <w:rsid w:val="0070096C"/>
    <w:rsid w:val="00700C5B"/>
    <w:rsid w:val="007011A8"/>
    <w:rsid w:val="0070137D"/>
    <w:rsid w:val="00701710"/>
    <w:rsid w:val="007018E2"/>
    <w:rsid w:val="00701C6E"/>
    <w:rsid w:val="007021E9"/>
    <w:rsid w:val="00702255"/>
    <w:rsid w:val="00702563"/>
    <w:rsid w:val="0070260E"/>
    <w:rsid w:val="00702CAF"/>
    <w:rsid w:val="00703336"/>
    <w:rsid w:val="007033E9"/>
    <w:rsid w:val="0070362E"/>
    <w:rsid w:val="00703637"/>
    <w:rsid w:val="0070395C"/>
    <w:rsid w:val="00703E67"/>
    <w:rsid w:val="007040B2"/>
    <w:rsid w:val="00704311"/>
    <w:rsid w:val="00704381"/>
    <w:rsid w:val="007047E8"/>
    <w:rsid w:val="00704D47"/>
    <w:rsid w:val="00704E96"/>
    <w:rsid w:val="007052DC"/>
    <w:rsid w:val="007055C5"/>
    <w:rsid w:val="007055CC"/>
    <w:rsid w:val="00705793"/>
    <w:rsid w:val="0070580E"/>
    <w:rsid w:val="00705988"/>
    <w:rsid w:val="00705AC5"/>
    <w:rsid w:val="00705EE9"/>
    <w:rsid w:val="00705F27"/>
    <w:rsid w:val="00705F53"/>
    <w:rsid w:val="00705F6D"/>
    <w:rsid w:val="00705F9F"/>
    <w:rsid w:val="00706279"/>
    <w:rsid w:val="007062B2"/>
    <w:rsid w:val="007062E3"/>
    <w:rsid w:val="0070639C"/>
    <w:rsid w:val="007063E5"/>
    <w:rsid w:val="00706534"/>
    <w:rsid w:val="00706B01"/>
    <w:rsid w:val="00706C8F"/>
    <w:rsid w:val="00706F1E"/>
    <w:rsid w:val="007070BD"/>
    <w:rsid w:val="007072AC"/>
    <w:rsid w:val="0070730E"/>
    <w:rsid w:val="00707CF2"/>
    <w:rsid w:val="00707DF3"/>
    <w:rsid w:val="00707F5E"/>
    <w:rsid w:val="00710534"/>
    <w:rsid w:val="00710730"/>
    <w:rsid w:val="0071086F"/>
    <w:rsid w:val="00710F48"/>
    <w:rsid w:val="00711923"/>
    <w:rsid w:val="00711B65"/>
    <w:rsid w:val="00712599"/>
    <w:rsid w:val="007127D2"/>
    <w:rsid w:val="007128AC"/>
    <w:rsid w:val="007128B4"/>
    <w:rsid w:val="00712973"/>
    <w:rsid w:val="00712E96"/>
    <w:rsid w:val="007130AA"/>
    <w:rsid w:val="007133A9"/>
    <w:rsid w:val="00713477"/>
    <w:rsid w:val="007134F4"/>
    <w:rsid w:val="007137AD"/>
    <w:rsid w:val="00713B95"/>
    <w:rsid w:val="00713BBD"/>
    <w:rsid w:val="00713BEE"/>
    <w:rsid w:val="00713D41"/>
    <w:rsid w:val="00713D83"/>
    <w:rsid w:val="00713FA4"/>
    <w:rsid w:val="00714F6A"/>
    <w:rsid w:val="007152C9"/>
    <w:rsid w:val="00715490"/>
    <w:rsid w:val="0071549A"/>
    <w:rsid w:val="00715595"/>
    <w:rsid w:val="00715739"/>
    <w:rsid w:val="00715B9B"/>
    <w:rsid w:val="00715CB2"/>
    <w:rsid w:val="00715EF2"/>
    <w:rsid w:val="0071639C"/>
    <w:rsid w:val="00716743"/>
    <w:rsid w:val="00716A9F"/>
    <w:rsid w:val="00716B0B"/>
    <w:rsid w:val="00716DC7"/>
    <w:rsid w:val="00716F00"/>
    <w:rsid w:val="007171F6"/>
    <w:rsid w:val="00717535"/>
    <w:rsid w:val="00717F2A"/>
    <w:rsid w:val="00720110"/>
    <w:rsid w:val="00720630"/>
    <w:rsid w:val="0072064D"/>
    <w:rsid w:val="007207C3"/>
    <w:rsid w:val="00720A2C"/>
    <w:rsid w:val="00720AFA"/>
    <w:rsid w:val="00720CDA"/>
    <w:rsid w:val="00720F73"/>
    <w:rsid w:val="00720FBC"/>
    <w:rsid w:val="00721D75"/>
    <w:rsid w:val="00722271"/>
    <w:rsid w:val="00722B69"/>
    <w:rsid w:val="00722F2A"/>
    <w:rsid w:val="00723626"/>
    <w:rsid w:val="00723DB4"/>
    <w:rsid w:val="007241AB"/>
    <w:rsid w:val="007241CE"/>
    <w:rsid w:val="00724218"/>
    <w:rsid w:val="00724292"/>
    <w:rsid w:val="007244CB"/>
    <w:rsid w:val="00724752"/>
    <w:rsid w:val="007251EC"/>
    <w:rsid w:val="0072530E"/>
    <w:rsid w:val="0072540C"/>
    <w:rsid w:val="0072595E"/>
    <w:rsid w:val="00725A76"/>
    <w:rsid w:val="00725BE5"/>
    <w:rsid w:val="007269C2"/>
    <w:rsid w:val="00726D69"/>
    <w:rsid w:val="00726DCD"/>
    <w:rsid w:val="00727067"/>
    <w:rsid w:val="00727360"/>
    <w:rsid w:val="007276AD"/>
    <w:rsid w:val="0072789D"/>
    <w:rsid w:val="0072797C"/>
    <w:rsid w:val="00727B5A"/>
    <w:rsid w:val="00727ED6"/>
    <w:rsid w:val="00727F0F"/>
    <w:rsid w:val="0073065E"/>
    <w:rsid w:val="00730B8F"/>
    <w:rsid w:val="00730BD9"/>
    <w:rsid w:val="00730E22"/>
    <w:rsid w:val="00730EF6"/>
    <w:rsid w:val="00730FED"/>
    <w:rsid w:val="00731108"/>
    <w:rsid w:val="0073130D"/>
    <w:rsid w:val="007315CF"/>
    <w:rsid w:val="0073177C"/>
    <w:rsid w:val="00731BDB"/>
    <w:rsid w:val="00731D12"/>
    <w:rsid w:val="00731FEC"/>
    <w:rsid w:val="00732819"/>
    <w:rsid w:val="0073285F"/>
    <w:rsid w:val="00732B19"/>
    <w:rsid w:val="00732BAF"/>
    <w:rsid w:val="00732BF0"/>
    <w:rsid w:val="00732D7E"/>
    <w:rsid w:val="00732DC9"/>
    <w:rsid w:val="00733283"/>
    <w:rsid w:val="007332FF"/>
    <w:rsid w:val="00733F1A"/>
    <w:rsid w:val="00734752"/>
    <w:rsid w:val="00734786"/>
    <w:rsid w:val="00734B73"/>
    <w:rsid w:val="007351E3"/>
    <w:rsid w:val="00735542"/>
    <w:rsid w:val="00735A35"/>
    <w:rsid w:val="00735AE9"/>
    <w:rsid w:val="00735C41"/>
    <w:rsid w:val="007367F6"/>
    <w:rsid w:val="007368CC"/>
    <w:rsid w:val="00736919"/>
    <w:rsid w:val="0073691A"/>
    <w:rsid w:val="00736C9A"/>
    <w:rsid w:val="00737203"/>
    <w:rsid w:val="00737267"/>
    <w:rsid w:val="00737339"/>
    <w:rsid w:val="0073733D"/>
    <w:rsid w:val="007373F9"/>
    <w:rsid w:val="0073783A"/>
    <w:rsid w:val="007379EF"/>
    <w:rsid w:val="00737D86"/>
    <w:rsid w:val="007403D0"/>
    <w:rsid w:val="007405AC"/>
    <w:rsid w:val="0074086C"/>
    <w:rsid w:val="00740953"/>
    <w:rsid w:val="00740FC1"/>
    <w:rsid w:val="00740FE3"/>
    <w:rsid w:val="00741211"/>
    <w:rsid w:val="007413D8"/>
    <w:rsid w:val="00741AD1"/>
    <w:rsid w:val="00742018"/>
    <w:rsid w:val="00742076"/>
    <w:rsid w:val="007422CE"/>
    <w:rsid w:val="007425AD"/>
    <w:rsid w:val="0074274B"/>
    <w:rsid w:val="007430C7"/>
    <w:rsid w:val="00743262"/>
    <w:rsid w:val="007432BB"/>
    <w:rsid w:val="00743614"/>
    <w:rsid w:val="0074364F"/>
    <w:rsid w:val="007436C6"/>
    <w:rsid w:val="00743A8E"/>
    <w:rsid w:val="00743E0E"/>
    <w:rsid w:val="00744313"/>
    <w:rsid w:val="00744AE4"/>
    <w:rsid w:val="0074560D"/>
    <w:rsid w:val="00745963"/>
    <w:rsid w:val="00745A4C"/>
    <w:rsid w:val="00745C0F"/>
    <w:rsid w:val="00745C6C"/>
    <w:rsid w:val="00745DF0"/>
    <w:rsid w:val="00746521"/>
    <w:rsid w:val="00746529"/>
    <w:rsid w:val="00746603"/>
    <w:rsid w:val="0074698C"/>
    <w:rsid w:val="00746BA2"/>
    <w:rsid w:val="00746BD9"/>
    <w:rsid w:val="00746BEF"/>
    <w:rsid w:val="00746D51"/>
    <w:rsid w:val="00746FAB"/>
    <w:rsid w:val="00746FF4"/>
    <w:rsid w:val="00747107"/>
    <w:rsid w:val="0074714D"/>
    <w:rsid w:val="00747261"/>
    <w:rsid w:val="00747400"/>
    <w:rsid w:val="00747553"/>
    <w:rsid w:val="007479E7"/>
    <w:rsid w:val="00747E55"/>
    <w:rsid w:val="00750400"/>
    <w:rsid w:val="0075064B"/>
    <w:rsid w:val="007507FA"/>
    <w:rsid w:val="007508FA"/>
    <w:rsid w:val="00750EAC"/>
    <w:rsid w:val="00751073"/>
    <w:rsid w:val="00751141"/>
    <w:rsid w:val="00751550"/>
    <w:rsid w:val="007519C4"/>
    <w:rsid w:val="00752233"/>
    <w:rsid w:val="007523F3"/>
    <w:rsid w:val="007524B1"/>
    <w:rsid w:val="00752AA0"/>
    <w:rsid w:val="00752C92"/>
    <w:rsid w:val="00753217"/>
    <w:rsid w:val="00753280"/>
    <w:rsid w:val="007532E5"/>
    <w:rsid w:val="007532F0"/>
    <w:rsid w:val="0075331A"/>
    <w:rsid w:val="00753379"/>
    <w:rsid w:val="007533AB"/>
    <w:rsid w:val="00753ADE"/>
    <w:rsid w:val="00753B54"/>
    <w:rsid w:val="007546A8"/>
    <w:rsid w:val="00754873"/>
    <w:rsid w:val="00754973"/>
    <w:rsid w:val="00754EE1"/>
    <w:rsid w:val="007550CB"/>
    <w:rsid w:val="007555B2"/>
    <w:rsid w:val="00755798"/>
    <w:rsid w:val="00755A9E"/>
    <w:rsid w:val="00755DA3"/>
    <w:rsid w:val="00755F48"/>
    <w:rsid w:val="0075609C"/>
    <w:rsid w:val="007562F2"/>
    <w:rsid w:val="00756431"/>
    <w:rsid w:val="00756819"/>
    <w:rsid w:val="00756E95"/>
    <w:rsid w:val="00756F13"/>
    <w:rsid w:val="0075711E"/>
    <w:rsid w:val="0075768E"/>
    <w:rsid w:val="00757694"/>
    <w:rsid w:val="0075776C"/>
    <w:rsid w:val="00757F24"/>
    <w:rsid w:val="00757F99"/>
    <w:rsid w:val="00760019"/>
    <w:rsid w:val="0076084D"/>
    <w:rsid w:val="00760B0F"/>
    <w:rsid w:val="00760B49"/>
    <w:rsid w:val="007612AC"/>
    <w:rsid w:val="00761AC7"/>
    <w:rsid w:val="00761E25"/>
    <w:rsid w:val="00762255"/>
    <w:rsid w:val="00762793"/>
    <w:rsid w:val="00762B23"/>
    <w:rsid w:val="0076305A"/>
    <w:rsid w:val="00763539"/>
    <w:rsid w:val="00763D05"/>
    <w:rsid w:val="0076405B"/>
    <w:rsid w:val="007641CF"/>
    <w:rsid w:val="007647E7"/>
    <w:rsid w:val="00764892"/>
    <w:rsid w:val="0076491F"/>
    <w:rsid w:val="00764B74"/>
    <w:rsid w:val="00764C71"/>
    <w:rsid w:val="00764E64"/>
    <w:rsid w:val="00764F50"/>
    <w:rsid w:val="0076531E"/>
    <w:rsid w:val="0076561D"/>
    <w:rsid w:val="0076581B"/>
    <w:rsid w:val="00765884"/>
    <w:rsid w:val="00765EE4"/>
    <w:rsid w:val="00765FC6"/>
    <w:rsid w:val="00766831"/>
    <w:rsid w:val="00766A8C"/>
    <w:rsid w:val="00766C5C"/>
    <w:rsid w:val="00766E94"/>
    <w:rsid w:val="00767373"/>
    <w:rsid w:val="0076759A"/>
    <w:rsid w:val="00767783"/>
    <w:rsid w:val="00767C63"/>
    <w:rsid w:val="0077024B"/>
    <w:rsid w:val="00770B82"/>
    <w:rsid w:val="0077159C"/>
    <w:rsid w:val="00771823"/>
    <w:rsid w:val="00771943"/>
    <w:rsid w:val="00771B42"/>
    <w:rsid w:val="00771C0C"/>
    <w:rsid w:val="007722D2"/>
    <w:rsid w:val="007723DF"/>
    <w:rsid w:val="007726AC"/>
    <w:rsid w:val="00772BF4"/>
    <w:rsid w:val="00772C3F"/>
    <w:rsid w:val="00772CF8"/>
    <w:rsid w:val="00772F0E"/>
    <w:rsid w:val="00773027"/>
    <w:rsid w:val="007730AC"/>
    <w:rsid w:val="0077324D"/>
    <w:rsid w:val="007732C2"/>
    <w:rsid w:val="007733B4"/>
    <w:rsid w:val="00773B41"/>
    <w:rsid w:val="00773D9D"/>
    <w:rsid w:val="00773FB7"/>
    <w:rsid w:val="00774560"/>
    <w:rsid w:val="00774683"/>
    <w:rsid w:val="007750BA"/>
    <w:rsid w:val="007750DB"/>
    <w:rsid w:val="0077518F"/>
    <w:rsid w:val="00775780"/>
    <w:rsid w:val="00775802"/>
    <w:rsid w:val="00775855"/>
    <w:rsid w:val="00775B99"/>
    <w:rsid w:val="00775BD5"/>
    <w:rsid w:val="00775C62"/>
    <w:rsid w:val="00775FE9"/>
    <w:rsid w:val="007760F8"/>
    <w:rsid w:val="00776394"/>
    <w:rsid w:val="00776445"/>
    <w:rsid w:val="007768C1"/>
    <w:rsid w:val="0077692E"/>
    <w:rsid w:val="00776E94"/>
    <w:rsid w:val="00776ED6"/>
    <w:rsid w:val="00776FDF"/>
    <w:rsid w:val="0077710E"/>
    <w:rsid w:val="00777129"/>
    <w:rsid w:val="007774CA"/>
    <w:rsid w:val="0077771E"/>
    <w:rsid w:val="00777D42"/>
    <w:rsid w:val="00777F3F"/>
    <w:rsid w:val="007800A7"/>
    <w:rsid w:val="007802A5"/>
    <w:rsid w:val="00780430"/>
    <w:rsid w:val="00780497"/>
    <w:rsid w:val="00780601"/>
    <w:rsid w:val="00780659"/>
    <w:rsid w:val="00780764"/>
    <w:rsid w:val="00780A5F"/>
    <w:rsid w:val="00780BB8"/>
    <w:rsid w:val="00780FFB"/>
    <w:rsid w:val="007810DE"/>
    <w:rsid w:val="00781220"/>
    <w:rsid w:val="007816D4"/>
    <w:rsid w:val="007818C1"/>
    <w:rsid w:val="0078191F"/>
    <w:rsid w:val="007819F3"/>
    <w:rsid w:val="00781BDC"/>
    <w:rsid w:val="00781E3C"/>
    <w:rsid w:val="007822C4"/>
    <w:rsid w:val="00782C2A"/>
    <w:rsid w:val="0078304E"/>
    <w:rsid w:val="0078348D"/>
    <w:rsid w:val="007834AC"/>
    <w:rsid w:val="007834F0"/>
    <w:rsid w:val="007836CF"/>
    <w:rsid w:val="0078382C"/>
    <w:rsid w:val="00783AB6"/>
    <w:rsid w:val="00783C5F"/>
    <w:rsid w:val="00784262"/>
    <w:rsid w:val="00784AFF"/>
    <w:rsid w:val="00784B2F"/>
    <w:rsid w:val="007850F8"/>
    <w:rsid w:val="00785427"/>
    <w:rsid w:val="00785489"/>
    <w:rsid w:val="007857C3"/>
    <w:rsid w:val="007857D9"/>
    <w:rsid w:val="007859A7"/>
    <w:rsid w:val="00785B98"/>
    <w:rsid w:val="00785C0A"/>
    <w:rsid w:val="00785C1A"/>
    <w:rsid w:val="00785CC9"/>
    <w:rsid w:val="00786047"/>
    <w:rsid w:val="00786470"/>
    <w:rsid w:val="007864D5"/>
    <w:rsid w:val="007865DD"/>
    <w:rsid w:val="007869D4"/>
    <w:rsid w:val="00787029"/>
    <w:rsid w:val="007871B4"/>
    <w:rsid w:val="007871C4"/>
    <w:rsid w:val="007878E2"/>
    <w:rsid w:val="00787DF5"/>
    <w:rsid w:val="00790209"/>
    <w:rsid w:val="00790570"/>
    <w:rsid w:val="00790DA6"/>
    <w:rsid w:val="0079104B"/>
    <w:rsid w:val="007915C7"/>
    <w:rsid w:val="007917EB"/>
    <w:rsid w:val="00791813"/>
    <w:rsid w:val="00791B65"/>
    <w:rsid w:val="00791F6C"/>
    <w:rsid w:val="007921CE"/>
    <w:rsid w:val="0079220D"/>
    <w:rsid w:val="00792AE6"/>
    <w:rsid w:val="00792C29"/>
    <w:rsid w:val="00792D4C"/>
    <w:rsid w:val="00792FC6"/>
    <w:rsid w:val="0079398B"/>
    <w:rsid w:val="00793BE0"/>
    <w:rsid w:val="00793BE1"/>
    <w:rsid w:val="00793CFE"/>
    <w:rsid w:val="0079424A"/>
    <w:rsid w:val="00794627"/>
    <w:rsid w:val="00794F49"/>
    <w:rsid w:val="007951D8"/>
    <w:rsid w:val="007954C8"/>
    <w:rsid w:val="007954DF"/>
    <w:rsid w:val="00795CC9"/>
    <w:rsid w:val="0079634A"/>
    <w:rsid w:val="007966B5"/>
    <w:rsid w:val="007966F2"/>
    <w:rsid w:val="00796846"/>
    <w:rsid w:val="00796B4C"/>
    <w:rsid w:val="00796B8E"/>
    <w:rsid w:val="00796FBC"/>
    <w:rsid w:val="007972FA"/>
    <w:rsid w:val="00797462"/>
    <w:rsid w:val="00797B92"/>
    <w:rsid w:val="00797D28"/>
    <w:rsid w:val="007A01FF"/>
    <w:rsid w:val="007A0260"/>
    <w:rsid w:val="007A03DA"/>
    <w:rsid w:val="007A0B69"/>
    <w:rsid w:val="007A0E27"/>
    <w:rsid w:val="007A1AC4"/>
    <w:rsid w:val="007A1E6A"/>
    <w:rsid w:val="007A22F7"/>
    <w:rsid w:val="007A24F0"/>
    <w:rsid w:val="007A251F"/>
    <w:rsid w:val="007A2565"/>
    <w:rsid w:val="007A25BC"/>
    <w:rsid w:val="007A2CBF"/>
    <w:rsid w:val="007A2F09"/>
    <w:rsid w:val="007A3020"/>
    <w:rsid w:val="007A30AF"/>
    <w:rsid w:val="007A39CF"/>
    <w:rsid w:val="007A3B71"/>
    <w:rsid w:val="007A40E4"/>
    <w:rsid w:val="007A42A0"/>
    <w:rsid w:val="007A4746"/>
    <w:rsid w:val="007A4C77"/>
    <w:rsid w:val="007A5157"/>
    <w:rsid w:val="007A5235"/>
    <w:rsid w:val="007A584A"/>
    <w:rsid w:val="007A5DA3"/>
    <w:rsid w:val="007A6052"/>
    <w:rsid w:val="007A627A"/>
    <w:rsid w:val="007A641E"/>
    <w:rsid w:val="007A6AB1"/>
    <w:rsid w:val="007A7018"/>
    <w:rsid w:val="007A77C2"/>
    <w:rsid w:val="007A7BCC"/>
    <w:rsid w:val="007B0146"/>
    <w:rsid w:val="007B04B9"/>
    <w:rsid w:val="007B0B48"/>
    <w:rsid w:val="007B0D27"/>
    <w:rsid w:val="007B0D36"/>
    <w:rsid w:val="007B0D86"/>
    <w:rsid w:val="007B0DD3"/>
    <w:rsid w:val="007B0F3E"/>
    <w:rsid w:val="007B1178"/>
    <w:rsid w:val="007B14FC"/>
    <w:rsid w:val="007B178C"/>
    <w:rsid w:val="007B1A98"/>
    <w:rsid w:val="007B1F4F"/>
    <w:rsid w:val="007B29D7"/>
    <w:rsid w:val="007B2C71"/>
    <w:rsid w:val="007B2F50"/>
    <w:rsid w:val="007B30C5"/>
    <w:rsid w:val="007B3221"/>
    <w:rsid w:val="007B3322"/>
    <w:rsid w:val="007B37F3"/>
    <w:rsid w:val="007B3F33"/>
    <w:rsid w:val="007B3F5F"/>
    <w:rsid w:val="007B444C"/>
    <w:rsid w:val="007B446F"/>
    <w:rsid w:val="007B46F6"/>
    <w:rsid w:val="007B47C2"/>
    <w:rsid w:val="007B4951"/>
    <w:rsid w:val="007B49BC"/>
    <w:rsid w:val="007B4F30"/>
    <w:rsid w:val="007B501F"/>
    <w:rsid w:val="007B5315"/>
    <w:rsid w:val="007B5834"/>
    <w:rsid w:val="007B58F3"/>
    <w:rsid w:val="007B5BAE"/>
    <w:rsid w:val="007B5C34"/>
    <w:rsid w:val="007B6BEB"/>
    <w:rsid w:val="007B6D68"/>
    <w:rsid w:val="007B6F15"/>
    <w:rsid w:val="007B6F88"/>
    <w:rsid w:val="007B70FF"/>
    <w:rsid w:val="007B7239"/>
    <w:rsid w:val="007B74D9"/>
    <w:rsid w:val="007B7796"/>
    <w:rsid w:val="007B78B5"/>
    <w:rsid w:val="007B7B29"/>
    <w:rsid w:val="007B7BD7"/>
    <w:rsid w:val="007B7C14"/>
    <w:rsid w:val="007B7D77"/>
    <w:rsid w:val="007B7FF4"/>
    <w:rsid w:val="007C01C4"/>
    <w:rsid w:val="007C0466"/>
    <w:rsid w:val="007C0A8A"/>
    <w:rsid w:val="007C1030"/>
    <w:rsid w:val="007C13A8"/>
    <w:rsid w:val="007C15D6"/>
    <w:rsid w:val="007C186F"/>
    <w:rsid w:val="007C1C18"/>
    <w:rsid w:val="007C2682"/>
    <w:rsid w:val="007C26D3"/>
    <w:rsid w:val="007C2711"/>
    <w:rsid w:val="007C2791"/>
    <w:rsid w:val="007C2A70"/>
    <w:rsid w:val="007C3BB4"/>
    <w:rsid w:val="007C3D03"/>
    <w:rsid w:val="007C3F05"/>
    <w:rsid w:val="007C413D"/>
    <w:rsid w:val="007C43C2"/>
    <w:rsid w:val="007C43F5"/>
    <w:rsid w:val="007C4553"/>
    <w:rsid w:val="007C4556"/>
    <w:rsid w:val="007C53A7"/>
    <w:rsid w:val="007C5CE0"/>
    <w:rsid w:val="007C5D43"/>
    <w:rsid w:val="007C6204"/>
    <w:rsid w:val="007C6C15"/>
    <w:rsid w:val="007C6DFF"/>
    <w:rsid w:val="007C6FF5"/>
    <w:rsid w:val="007C7149"/>
    <w:rsid w:val="007C7370"/>
    <w:rsid w:val="007C79C0"/>
    <w:rsid w:val="007C7BFE"/>
    <w:rsid w:val="007D0374"/>
    <w:rsid w:val="007D0F3B"/>
    <w:rsid w:val="007D1840"/>
    <w:rsid w:val="007D18AF"/>
    <w:rsid w:val="007D1BF8"/>
    <w:rsid w:val="007D1C48"/>
    <w:rsid w:val="007D1D4B"/>
    <w:rsid w:val="007D260A"/>
    <w:rsid w:val="007D28C7"/>
    <w:rsid w:val="007D2A1A"/>
    <w:rsid w:val="007D2CB2"/>
    <w:rsid w:val="007D3644"/>
    <w:rsid w:val="007D39A9"/>
    <w:rsid w:val="007D3A1E"/>
    <w:rsid w:val="007D47AA"/>
    <w:rsid w:val="007D4A28"/>
    <w:rsid w:val="007D4BB5"/>
    <w:rsid w:val="007D4D92"/>
    <w:rsid w:val="007D4F66"/>
    <w:rsid w:val="007D51C6"/>
    <w:rsid w:val="007D56A3"/>
    <w:rsid w:val="007D5CA7"/>
    <w:rsid w:val="007D5CDB"/>
    <w:rsid w:val="007D5FEC"/>
    <w:rsid w:val="007D607C"/>
    <w:rsid w:val="007D6167"/>
    <w:rsid w:val="007D63CC"/>
    <w:rsid w:val="007D63EC"/>
    <w:rsid w:val="007D673A"/>
    <w:rsid w:val="007D71B9"/>
    <w:rsid w:val="007D749B"/>
    <w:rsid w:val="007D7764"/>
    <w:rsid w:val="007D799F"/>
    <w:rsid w:val="007D7CF0"/>
    <w:rsid w:val="007D7F1F"/>
    <w:rsid w:val="007E015D"/>
    <w:rsid w:val="007E01B8"/>
    <w:rsid w:val="007E0C8B"/>
    <w:rsid w:val="007E1431"/>
    <w:rsid w:val="007E1582"/>
    <w:rsid w:val="007E1951"/>
    <w:rsid w:val="007E196F"/>
    <w:rsid w:val="007E1CF7"/>
    <w:rsid w:val="007E2205"/>
    <w:rsid w:val="007E22D9"/>
    <w:rsid w:val="007E2567"/>
    <w:rsid w:val="007E266F"/>
    <w:rsid w:val="007E2F20"/>
    <w:rsid w:val="007E31E8"/>
    <w:rsid w:val="007E3222"/>
    <w:rsid w:val="007E45F9"/>
    <w:rsid w:val="007E480A"/>
    <w:rsid w:val="007E4A9D"/>
    <w:rsid w:val="007E4B48"/>
    <w:rsid w:val="007E4B5E"/>
    <w:rsid w:val="007E4FC6"/>
    <w:rsid w:val="007E4FF0"/>
    <w:rsid w:val="007E5016"/>
    <w:rsid w:val="007E5186"/>
    <w:rsid w:val="007E57EC"/>
    <w:rsid w:val="007E5913"/>
    <w:rsid w:val="007E5E24"/>
    <w:rsid w:val="007E66BC"/>
    <w:rsid w:val="007E66FC"/>
    <w:rsid w:val="007E69A5"/>
    <w:rsid w:val="007E70F3"/>
    <w:rsid w:val="007E7D5D"/>
    <w:rsid w:val="007E7D71"/>
    <w:rsid w:val="007F0224"/>
    <w:rsid w:val="007F03F3"/>
    <w:rsid w:val="007F057A"/>
    <w:rsid w:val="007F068B"/>
    <w:rsid w:val="007F073D"/>
    <w:rsid w:val="007F0770"/>
    <w:rsid w:val="007F0841"/>
    <w:rsid w:val="007F0D19"/>
    <w:rsid w:val="007F0E7B"/>
    <w:rsid w:val="007F11B4"/>
    <w:rsid w:val="007F159F"/>
    <w:rsid w:val="007F1606"/>
    <w:rsid w:val="007F1C84"/>
    <w:rsid w:val="007F1E6D"/>
    <w:rsid w:val="007F2556"/>
    <w:rsid w:val="007F2C61"/>
    <w:rsid w:val="007F309E"/>
    <w:rsid w:val="007F30E8"/>
    <w:rsid w:val="007F3352"/>
    <w:rsid w:val="007F3771"/>
    <w:rsid w:val="007F3C4C"/>
    <w:rsid w:val="007F3D3D"/>
    <w:rsid w:val="007F3DAB"/>
    <w:rsid w:val="007F47FB"/>
    <w:rsid w:val="007F4C5D"/>
    <w:rsid w:val="007F4FE1"/>
    <w:rsid w:val="007F5252"/>
    <w:rsid w:val="007F54C7"/>
    <w:rsid w:val="007F5A51"/>
    <w:rsid w:val="007F5DFA"/>
    <w:rsid w:val="007F5FC7"/>
    <w:rsid w:val="007F6EA6"/>
    <w:rsid w:val="007F7573"/>
    <w:rsid w:val="007F7759"/>
    <w:rsid w:val="007F7C91"/>
    <w:rsid w:val="007F7E51"/>
    <w:rsid w:val="007F7EC3"/>
    <w:rsid w:val="00800010"/>
    <w:rsid w:val="00800DCA"/>
    <w:rsid w:val="00801030"/>
    <w:rsid w:val="00801187"/>
    <w:rsid w:val="00801297"/>
    <w:rsid w:val="00801754"/>
    <w:rsid w:val="00801CED"/>
    <w:rsid w:val="00801DC7"/>
    <w:rsid w:val="008022DD"/>
    <w:rsid w:val="00802ACE"/>
    <w:rsid w:val="00802B6E"/>
    <w:rsid w:val="00802C5D"/>
    <w:rsid w:val="00803203"/>
    <w:rsid w:val="0080360C"/>
    <w:rsid w:val="008037B0"/>
    <w:rsid w:val="00803BBB"/>
    <w:rsid w:val="00803C46"/>
    <w:rsid w:val="00803E3A"/>
    <w:rsid w:val="00804D0A"/>
    <w:rsid w:val="00805111"/>
    <w:rsid w:val="008051C4"/>
    <w:rsid w:val="008052E6"/>
    <w:rsid w:val="00805BC1"/>
    <w:rsid w:val="00805DC3"/>
    <w:rsid w:val="00806201"/>
    <w:rsid w:val="00806202"/>
    <w:rsid w:val="00806961"/>
    <w:rsid w:val="008074F4"/>
    <w:rsid w:val="00810290"/>
    <w:rsid w:val="00810325"/>
    <w:rsid w:val="008105B1"/>
    <w:rsid w:val="008108BC"/>
    <w:rsid w:val="00810AB1"/>
    <w:rsid w:val="0081105E"/>
    <w:rsid w:val="00811615"/>
    <w:rsid w:val="00811956"/>
    <w:rsid w:val="00811BD1"/>
    <w:rsid w:val="00811F21"/>
    <w:rsid w:val="00812309"/>
    <w:rsid w:val="00812A9D"/>
    <w:rsid w:val="00812E0D"/>
    <w:rsid w:val="00813066"/>
    <w:rsid w:val="00813285"/>
    <w:rsid w:val="00813384"/>
    <w:rsid w:val="008138F9"/>
    <w:rsid w:val="00814354"/>
    <w:rsid w:val="0081449E"/>
    <w:rsid w:val="008144B1"/>
    <w:rsid w:val="008144DB"/>
    <w:rsid w:val="0081465F"/>
    <w:rsid w:val="00814830"/>
    <w:rsid w:val="00814FB5"/>
    <w:rsid w:val="00814FBF"/>
    <w:rsid w:val="00815152"/>
    <w:rsid w:val="008151F4"/>
    <w:rsid w:val="0081524B"/>
    <w:rsid w:val="00815314"/>
    <w:rsid w:val="0081545B"/>
    <w:rsid w:val="00815B09"/>
    <w:rsid w:val="00815D28"/>
    <w:rsid w:val="0081611F"/>
    <w:rsid w:val="00816147"/>
    <w:rsid w:val="00816274"/>
    <w:rsid w:val="00816325"/>
    <w:rsid w:val="008164C5"/>
    <w:rsid w:val="00816839"/>
    <w:rsid w:val="00816907"/>
    <w:rsid w:val="008171FD"/>
    <w:rsid w:val="0081727B"/>
    <w:rsid w:val="00817299"/>
    <w:rsid w:val="008175D6"/>
    <w:rsid w:val="0081788B"/>
    <w:rsid w:val="00817B1C"/>
    <w:rsid w:val="00820020"/>
    <w:rsid w:val="0082014D"/>
    <w:rsid w:val="0082029B"/>
    <w:rsid w:val="00820311"/>
    <w:rsid w:val="008206D4"/>
    <w:rsid w:val="00820FA8"/>
    <w:rsid w:val="0082101E"/>
    <w:rsid w:val="00821255"/>
    <w:rsid w:val="0082144B"/>
    <w:rsid w:val="0082178A"/>
    <w:rsid w:val="00821AAB"/>
    <w:rsid w:val="00821FBA"/>
    <w:rsid w:val="008220F5"/>
    <w:rsid w:val="00822160"/>
    <w:rsid w:val="0082218A"/>
    <w:rsid w:val="00822450"/>
    <w:rsid w:val="00822EF2"/>
    <w:rsid w:val="008233C3"/>
    <w:rsid w:val="00823821"/>
    <w:rsid w:val="00823834"/>
    <w:rsid w:val="0082400D"/>
    <w:rsid w:val="008240A4"/>
    <w:rsid w:val="008242AA"/>
    <w:rsid w:val="0082457A"/>
    <w:rsid w:val="00824901"/>
    <w:rsid w:val="00824FA8"/>
    <w:rsid w:val="008252E6"/>
    <w:rsid w:val="00825713"/>
    <w:rsid w:val="008257B6"/>
    <w:rsid w:val="00825FCD"/>
    <w:rsid w:val="0082617F"/>
    <w:rsid w:val="0082626A"/>
    <w:rsid w:val="008265C8"/>
    <w:rsid w:val="008267DF"/>
    <w:rsid w:val="0082685E"/>
    <w:rsid w:val="008268D3"/>
    <w:rsid w:val="00826A5A"/>
    <w:rsid w:val="00826D51"/>
    <w:rsid w:val="0082701F"/>
    <w:rsid w:val="008270A8"/>
    <w:rsid w:val="00827707"/>
    <w:rsid w:val="00827822"/>
    <w:rsid w:val="00827AC2"/>
    <w:rsid w:val="00827CF2"/>
    <w:rsid w:val="00827CFE"/>
    <w:rsid w:val="00827E0A"/>
    <w:rsid w:val="00827F87"/>
    <w:rsid w:val="00827FA1"/>
    <w:rsid w:val="0083082B"/>
    <w:rsid w:val="00830B01"/>
    <w:rsid w:val="00830E00"/>
    <w:rsid w:val="00831149"/>
    <w:rsid w:val="008311A4"/>
    <w:rsid w:val="008311FB"/>
    <w:rsid w:val="008313AE"/>
    <w:rsid w:val="00831516"/>
    <w:rsid w:val="00831911"/>
    <w:rsid w:val="00831AE7"/>
    <w:rsid w:val="00831D5D"/>
    <w:rsid w:val="00831DC9"/>
    <w:rsid w:val="008320EE"/>
    <w:rsid w:val="00832649"/>
    <w:rsid w:val="00832A69"/>
    <w:rsid w:val="00832D28"/>
    <w:rsid w:val="00832D2E"/>
    <w:rsid w:val="00833405"/>
    <w:rsid w:val="00833408"/>
    <w:rsid w:val="00833D4C"/>
    <w:rsid w:val="00833FAF"/>
    <w:rsid w:val="00833FD0"/>
    <w:rsid w:val="0083408F"/>
    <w:rsid w:val="008346A3"/>
    <w:rsid w:val="00834B87"/>
    <w:rsid w:val="00834DA1"/>
    <w:rsid w:val="00834E92"/>
    <w:rsid w:val="00835357"/>
    <w:rsid w:val="00835816"/>
    <w:rsid w:val="00835F7A"/>
    <w:rsid w:val="00836385"/>
    <w:rsid w:val="00836699"/>
    <w:rsid w:val="00836E30"/>
    <w:rsid w:val="00836F9B"/>
    <w:rsid w:val="00837934"/>
    <w:rsid w:val="00837A3F"/>
    <w:rsid w:val="00837AF5"/>
    <w:rsid w:val="00840051"/>
    <w:rsid w:val="00840771"/>
    <w:rsid w:val="00840953"/>
    <w:rsid w:val="008412DB"/>
    <w:rsid w:val="00841922"/>
    <w:rsid w:val="00841A1E"/>
    <w:rsid w:val="00841B0E"/>
    <w:rsid w:val="00841D16"/>
    <w:rsid w:val="00841D60"/>
    <w:rsid w:val="00841DD5"/>
    <w:rsid w:val="00841DFE"/>
    <w:rsid w:val="0084285F"/>
    <w:rsid w:val="00842D28"/>
    <w:rsid w:val="0084306E"/>
    <w:rsid w:val="00843504"/>
    <w:rsid w:val="00843560"/>
    <w:rsid w:val="0084370D"/>
    <w:rsid w:val="00843FB4"/>
    <w:rsid w:val="008440C3"/>
    <w:rsid w:val="0084412A"/>
    <w:rsid w:val="00844306"/>
    <w:rsid w:val="00844915"/>
    <w:rsid w:val="00844E05"/>
    <w:rsid w:val="00844F8A"/>
    <w:rsid w:val="008452D7"/>
    <w:rsid w:val="008456E3"/>
    <w:rsid w:val="0084579B"/>
    <w:rsid w:val="00845919"/>
    <w:rsid w:val="0084594C"/>
    <w:rsid w:val="00845B14"/>
    <w:rsid w:val="00845E0A"/>
    <w:rsid w:val="008464D9"/>
    <w:rsid w:val="0084666C"/>
    <w:rsid w:val="00846910"/>
    <w:rsid w:val="00847198"/>
    <w:rsid w:val="00847474"/>
    <w:rsid w:val="00847517"/>
    <w:rsid w:val="008500AC"/>
    <w:rsid w:val="00850115"/>
    <w:rsid w:val="008503BC"/>
    <w:rsid w:val="008507D2"/>
    <w:rsid w:val="00850F76"/>
    <w:rsid w:val="0085121B"/>
    <w:rsid w:val="008515B6"/>
    <w:rsid w:val="008515F0"/>
    <w:rsid w:val="0085170B"/>
    <w:rsid w:val="00851986"/>
    <w:rsid w:val="0085199D"/>
    <w:rsid w:val="00851D4E"/>
    <w:rsid w:val="00851D64"/>
    <w:rsid w:val="00851D9B"/>
    <w:rsid w:val="00851DDE"/>
    <w:rsid w:val="00852BE3"/>
    <w:rsid w:val="00852BF9"/>
    <w:rsid w:val="00852D89"/>
    <w:rsid w:val="00853028"/>
    <w:rsid w:val="00853879"/>
    <w:rsid w:val="00853977"/>
    <w:rsid w:val="0085408E"/>
    <w:rsid w:val="008542CB"/>
    <w:rsid w:val="00854392"/>
    <w:rsid w:val="008545BD"/>
    <w:rsid w:val="00854BF2"/>
    <w:rsid w:val="00854C4D"/>
    <w:rsid w:val="00854DD2"/>
    <w:rsid w:val="00854F57"/>
    <w:rsid w:val="008552C9"/>
    <w:rsid w:val="00855B07"/>
    <w:rsid w:val="00855D0D"/>
    <w:rsid w:val="0085604A"/>
    <w:rsid w:val="0085665C"/>
    <w:rsid w:val="00856EDB"/>
    <w:rsid w:val="00857259"/>
    <w:rsid w:val="0085747B"/>
    <w:rsid w:val="00857863"/>
    <w:rsid w:val="008579B8"/>
    <w:rsid w:val="00857D5D"/>
    <w:rsid w:val="00857F28"/>
    <w:rsid w:val="00860010"/>
    <w:rsid w:val="008601AC"/>
    <w:rsid w:val="008606EF"/>
    <w:rsid w:val="00860B56"/>
    <w:rsid w:val="00860FBD"/>
    <w:rsid w:val="0086118F"/>
    <w:rsid w:val="008611B1"/>
    <w:rsid w:val="00861B65"/>
    <w:rsid w:val="0086215C"/>
    <w:rsid w:val="00862691"/>
    <w:rsid w:val="00862E6C"/>
    <w:rsid w:val="00862EE6"/>
    <w:rsid w:val="008631B2"/>
    <w:rsid w:val="00863B4A"/>
    <w:rsid w:val="00863CEC"/>
    <w:rsid w:val="00864C9B"/>
    <w:rsid w:val="00864D0D"/>
    <w:rsid w:val="00865A9B"/>
    <w:rsid w:val="00866234"/>
    <w:rsid w:val="008665E2"/>
    <w:rsid w:val="00866935"/>
    <w:rsid w:val="008669A1"/>
    <w:rsid w:val="00866E17"/>
    <w:rsid w:val="00866FF3"/>
    <w:rsid w:val="00867272"/>
    <w:rsid w:val="008672EB"/>
    <w:rsid w:val="0086733D"/>
    <w:rsid w:val="0086752A"/>
    <w:rsid w:val="008679DC"/>
    <w:rsid w:val="00867C23"/>
    <w:rsid w:val="00867C3A"/>
    <w:rsid w:val="008700FB"/>
    <w:rsid w:val="00870421"/>
    <w:rsid w:val="008705B6"/>
    <w:rsid w:val="0087079F"/>
    <w:rsid w:val="00870BED"/>
    <w:rsid w:val="008710E2"/>
    <w:rsid w:val="0087140E"/>
    <w:rsid w:val="0087181E"/>
    <w:rsid w:val="00871A1F"/>
    <w:rsid w:val="00871C34"/>
    <w:rsid w:val="00871D2D"/>
    <w:rsid w:val="00872039"/>
    <w:rsid w:val="00872AE1"/>
    <w:rsid w:val="00872AF1"/>
    <w:rsid w:val="00872F98"/>
    <w:rsid w:val="008731C9"/>
    <w:rsid w:val="008734F2"/>
    <w:rsid w:val="0087351C"/>
    <w:rsid w:val="00873528"/>
    <w:rsid w:val="00873568"/>
    <w:rsid w:val="00873CFE"/>
    <w:rsid w:val="008741AC"/>
    <w:rsid w:val="008742A8"/>
    <w:rsid w:val="008742BF"/>
    <w:rsid w:val="00874654"/>
    <w:rsid w:val="00874AAD"/>
    <w:rsid w:val="00874CA4"/>
    <w:rsid w:val="00875331"/>
    <w:rsid w:val="0087580C"/>
    <w:rsid w:val="00875AEB"/>
    <w:rsid w:val="00875B89"/>
    <w:rsid w:val="00875D58"/>
    <w:rsid w:val="008760C9"/>
    <w:rsid w:val="008767AF"/>
    <w:rsid w:val="00876836"/>
    <w:rsid w:val="00876BB1"/>
    <w:rsid w:val="00876BCD"/>
    <w:rsid w:val="00876D45"/>
    <w:rsid w:val="00876E4C"/>
    <w:rsid w:val="00876ED0"/>
    <w:rsid w:val="00876FDF"/>
    <w:rsid w:val="00877498"/>
    <w:rsid w:val="00877BB4"/>
    <w:rsid w:val="00877FEC"/>
    <w:rsid w:val="0088054C"/>
    <w:rsid w:val="00881E36"/>
    <w:rsid w:val="00881F63"/>
    <w:rsid w:val="0088212E"/>
    <w:rsid w:val="008825F5"/>
    <w:rsid w:val="00882D93"/>
    <w:rsid w:val="00882E80"/>
    <w:rsid w:val="008830B2"/>
    <w:rsid w:val="00883399"/>
    <w:rsid w:val="008834F1"/>
    <w:rsid w:val="0088381C"/>
    <w:rsid w:val="00883B05"/>
    <w:rsid w:val="008846DA"/>
    <w:rsid w:val="00884E37"/>
    <w:rsid w:val="00885431"/>
    <w:rsid w:val="008854F2"/>
    <w:rsid w:val="00885645"/>
    <w:rsid w:val="008860C6"/>
    <w:rsid w:val="0088639D"/>
    <w:rsid w:val="00886413"/>
    <w:rsid w:val="0088647A"/>
    <w:rsid w:val="00886B52"/>
    <w:rsid w:val="00886CB8"/>
    <w:rsid w:val="00886F30"/>
    <w:rsid w:val="00887277"/>
    <w:rsid w:val="00887516"/>
    <w:rsid w:val="008878DA"/>
    <w:rsid w:val="00890261"/>
    <w:rsid w:val="00890698"/>
    <w:rsid w:val="0089084A"/>
    <w:rsid w:val="0089089C"/>
    <w:rsid w:val="00890D11"/>
    <w:rsid w:val="008911F1"/>
    <w:rsid w:val="00891679"/>
    <w:rsid w:val="008916F5"/>
    <w:rsid w:val="0089176E"/>
    <w:rsid w:val="00892DC2"/>
    <w:rsid w:val="008930E9"/>
    <w:rsid w:val="00893B24"/>
    <w:rsid w:val="00893B8A"/>
    <w:rsid w:val="00893B93"/>
    <w:rsid w:val="00893EA8"/>
    <w:rsid w:val="00894134"/>
    <w:rsid w:val="008942BA"/>
    <w:rsid w:val="008944A8"/>
    <w:rsid w:val="0089497C"/>
    <w:rsid w:val="00895526"/>
    <w:rsid w:val="0089580C"/>
    <w:rsid w:val="00895BC5"/>
    <w:rsid w:val="00895D99"/>
    <w:rsid w:val="00895EC5"/>
    <w:rsid w:val="00896097"/>
    <w:rsid w:val="008960F3"/>
    <w:rsid w:val="0089663F"/>
    <w:rsid w:val="00896715"/>
    <w:rsid w:val="0089674A"/>
    <w:rsid w:val="008968A9"/>
    <w:rsid w:val="008968F3"/>
    <w:rsid w:val="00896B76"/>
    <w:rsid w:val="00896BD2"/>
    <w:rsid w:val="00896C6E"/>
    <w:rsid w:val="00897D9D"/>
    <w:rsid w:val="00897FB5"/>
    <w:rsid w:val="008A003D"/>
    <w:rsid w:val="008A04FB"/>
    <w:rsid w:val="008A06D9"/>
    <w:rsid w:val="008A096E"/>
    <w:rsid w:val="008A09CC"/>
    <w:rsid w:val="008A0A06"/>
    <w:rsid w:val="008A0BD0"/>
    <w:rsid w:val="008A10D0"/>
    <w:rsid w:val="008A158E"/>
    <w:rsid w:val="008A15F2"/>
    <w:rsid w:val="008A19B4"/>
    <w:rsid w:val="008A1CB1"/>
    <w:rsid w:val="008A2150"/>
    <w:rsid w:val="008A2611"/>
    <w:rsid w:val="008A2773"/>
    <w:rsid w:val="008A2814"/>
    <w:rsid w:val="008A2DE2"/>
    <w:rsid w:val="008A37BB"/>
    <w:rsid w:val="008A3F70"/>
    <w:rsid w:val="008A46F2"/>
    <w:rsid w:val="008A4C9A"/>
    <w:rsid w:val="008A4E6C"/>
    <w:rsid w:val="008A4E88"/>
    <w:rsid w:val="008A5280"/>
    <w:rsid w:val="008A54C9"/>
    <w:rsid w:val="008A55DC"/>
    <w:rsid w:val="008A5612"/>
    <w:rsid w:val="008A5C87"/>
    <w:rsid w:val="008A5E83"/>
    <w:rsid w:val="008A5E9A"/>
    <w:rsid w:val="008A63EA"/>
    <w:rsid w:val="008A6836"/>
    <w:rsid w:val="008A72AD"/>
    <w:rsid w:val="008A736E"/>
    <w:rsid w:val="008A7804"/>
    <w:rsid w:val="008A7862"/>
    <w:rsid w:val="008A7FF6"/>
    <w:rsid w:val="008B00BC"/>
    <w:rsid w:val="008B076B"/>
    <w:rsid w:val="008B07C0"/>
    <w:rsid w:val="008B0D79"/>
    <w:rsid w:val="008B0FAB"/>
    <w:rsid w:val="008B112A"/>
    <w:rsid w:val="008B15CF"/>
    <w:rsid w:val="008B172A"/>
    <w:rsid w:val="008B193B"/>
    <w:rsid w:val="008B1A32"/>
    <w:rsid w:val="008B1C58"/>
    <w:rsid w:val="008B1E35"/>
    <w:rsid w:val="008B1E55"/>
    <w:rsid w:val="008B1E9F"/>
    <w:rsid w:val="008B1F4B"/>
    <w:rsid w:val="008B2084"/>
    <w:rsid w:val="008B2304"/>
    <w:rsid w:val="008B25A2"/>
    <w:rsid w:val="008B2CC4"/>
    <w:rsid w:val="008B2D76"/>
    <w:rsid w:val="008B32C4"/>
    <w:rsid w:val="008B3FB2"/>
    <w:rsid w:val="008B4719"/>
    <w:rsid w:val="008B4ADE"/>
    <w:rsid w:val="008B5050"/>
    <w:rsid w:val="008B5139"/>
    <w:rsid w:val="008B57EC"/>
    <w:rsid w:val="008B5981"/>
    <w:rsid w:val="008B5989"/>
    <w:rsid w:val="008B5A68"/>
    <w:rsid w:val="008B5A91"/>
    <w:rsid w:val="008B5B7B"/>
    <w:rsid w:val="008B5B8B"/>
    <w:rsid w:val="008B6166"/>
    <w:rsid w:val="008B65DC"/>
    <w:rsid w:val="008B74E1"/>
    <w:rsid w:val="008B787D"/>
    <w:rsid w:val="008B78B9"/>
    <w:rsid w:val="008B792F"/>
    <w:rsid w:val="008B79DC"/>
    <w:rsid w:val="008C0F8F"/>
    <w:rsid w:val="008C10F5"/>
    <w:rsid w:val="008C17F3"/>
    <w:rsid w:val="008C1AD0"/>
    <w:rsid w:val="008C1B67"/>
    <w:rsid w:val="008C1CA0"/>
    <w:rsid w:val="008C1DBA"/>
    <w:rsid w:val="008C1DE2"/>
    <w:rsid w:val="008C1E39"/>
    <w:rsid w:val="008C20C5"/>
    <w:rsid w:val="008C2225"/>
    <w:rsid w:val="008C238E"/>
    <w:rsid w:val="008C294B"/>
    <w:rsid w:val="008C2ACC"/>
    <w:rsid w:val="008C2D22"/>
    <w:rsid w:val="008C3045"/>
    <w:rsid w:val="008C3164"/>
    <w:rsid w:val="008C33BC"/>
    <w:rsid w:val="008C3AE8"/>
    <w:rsid w:val="008C3BA0"/>
    <w:rsid w:val="008C3D6D"/>
    <w:rsid w:val="008C3D98"/>
    <w:rsid w:val="008C46B5"/>
    <w:rsid w:val="008C4777"/>
    <w:rsid w:val="008C479D"/>
    <w:rsid w:val="008C4E9E"/>
    <w:rsid w:val="008C5066"/>
    <w:rsid w:val="008C5225"/>
    <w:rsid w:val="008C5D7D"/>
    <w:rsid w:val="008C6009"/>
    <w:rsid w:val="008C6044"/>
    <w:rsid w:val="008C6291"/>
    <w:rsid w:val="008C6AA8"/>
    <w:rsid w:val="008C7015"/>
    <w:rsid w:val="008C7533"/>
    <w:rsid w:val="008C778A"/>
    <w:rsid w:val="008C789D"/>
    <w:rsid w:val="008C79C2"/>
    <w:rsid w:val="008C79E2"/>
    <w:rsid w:val="008C7A01"/>
    <w:rsid w:val="008D052E"/>
    <w:rsid w:val="008D0563"/>
    <w:rsid w:val="008D0B14"/>
    <w:rsid w:val="008D0B96"/>
    <w:rsid w:val="008D0E6F"/>
    <w:rsid w:val="008D1B42"/>
    <w:rsid w:val="008D2039"/>
    <w:rsid w:val="008D3278"/>
    <w:rsid w:val="008D362B"/>
    <w:rsid w:val="008D36B1"/>
    <w:rsid w:val="008D37A9"/>
    <w:rsid w:val="008D3921"/>
    <w:rsid w:val="008D3B74"/>
    <w:rsid w:val="008D3BCD"/>
    <w:rsid w:val="008D4311"/>
    <w:rsid w:val="008D471C"/>
    <w:rsid w:val="008D4BD7"/>
    <w:rsid w:val="008D4DB3"/>
    <w:rsid w:val="008D53C9"/>
    <w:rsid w:val="008D562C"/>
    <w:rsid w:val="008D5857"/>
    <w:rsid w:val="008D6A21"/>
    <w:rsid w:val="008D6E7B"/>
    <w:rsid w:val="008D6F0F"/>
    <w:rsid w:val="008D7381"/>
    <w:rsid w:val="008D7489"/>
    <w:rsid w:val="008D7B9D"/>
    <w:rsid w:val="008D7DA8"/>
    <w:rsid w:val="008D7E9A"/>
    <w:rsid w:val="008E052E"/>
    <w:rsid w:val="008E08A5"/>
    <w:rsid w:val="008E0C00"/>
    <w:rsid w:val="008E10E0"/>
    <w:rsid w:val="008E1722"/>
    <w:rsid w:val="008E1A81"/>
    <w:rsid w:val="008E1A89"/>
    <w:rsid w:val="008E1DFC"/>
    <w:rsid w:val="008E1F9D"/>
    <w:rsid w:val="008E2227"/>
    <w:rsid w:val="008E2923"/>
    <w:rsid w:val="008E371F"/>
    <w:rsid w:val="008E3BB0"/>
    <w:rsid w:val="008E443B"/>
    <w:rsid w:val="008E4455"/>
    <w:rsid w:val="008E472F"/>
    <w:rsid w:val="008E49A2"/>
    <w:rsid w:val="008E4D3E"/>
    <w:rsid w:val="008E4D79"/>
    <w:rsid w:val="008E4DB7"/>
    <w:rsid w:val="008E5015"/>
    <w:rsid w:val="008E5FC0"/>
    <w:rsid w:val="008E5FE9"/>
    <w:rsid w:val="008E6133"/>
    <w:rsid w:val="008E6D14"/>
    <w:rsid w:val="008E6D63"/>
    <w:rsid w:val="008E6DF7"/>
    <w:rsid w:val="008E717C"/>
    <w:rsid w:val="008E71CE"/>
    <w:rsid w:val="008E722C"/>
    <w:rsid w:val="008E7298"/>
    <w:rsid w:val="008E79E8"/>
    <w:rsid w:val="008F037B"/>
    <w:rsid w:val="008F04E8"/>
    <w:rsid w:val="008F082C"/>
    <w:rsid w:val="008F0D7E"/>
    <w:rsid w:val="008F0EDC"/>
    <w:rsid w:val="008F1577"/>
    <w:rsid w:val="008F15FD"/>
    <w:rsid w:val="008F1DC5"/>
    <w:rsid w:val="008F2679"/>
    <w:rsid w:val="008F26E5"/>
    <w:rsid w:val="008F2B8C"/>
    <w:rsid w:val="008F2EAC"/>
    <w:rsid w:val="008F314E"/>
    <w:rsid w:val="008F3184"/>
    <w:rsid w:val="008F3443"/>
    <w:rsid w:val="008F3D70"/>
    <w:rsid w:val="008F43A4"/>
    <w:rsid w:val="008F4BE9"/>
    <w:rsid w:val="008F51EE"/>
    <w:rsid w:val="008F520B"/>
    <w:rsid w:val="008F55DB"/>
    <w:rsid w:val="008F5877"/>
    <w:rsid w:val="008F5993"/>
    <w:rsid w:val="008F5F38"/>
    <w:rsid w:val="008F5F48"/>
    <w:rsid w:val="008F612C"/>
    <w:rsid w:val="008F624D"/>
    <w:rsid w:val="008F6303"/>
    <w:rsid w:val="008F638E"/>
    <w:rsid w:val="008F642D"/>
    <w:rsid w:val="008F66DC"/>
    <w:rsid w:val="008F67E0"/>
    <w:rsid w:val="008F6C6A"/>
    <w:rsid w:val="008F6D80"/>
    <w:rsid w:val="008F72E5"/>
    <w:rsid w:val="008F7973"/>
    <w:rsid w:val="008F7AA3"/>
    <w:rsid w:val="008F7AD2"/>
    <w:rsid w:val="008F7D16"/>
    <w:rsid w:val="008F7DBD"/>
    <w:rsid w:val="008F7DD4"/>
    <w:rsid w:val="009001BC"/>
    <w:rsid w:val="009010EC"/>
    <w:rsid w:val="009013DC"/>
    <w:rsid w:val="00901887"/>
    <w:rsid w:val="00902911"/>
    <w:rsid w:val="00902943"/>
    <w:rsid w:val="00902AD9"/>
    <w:rsid w:val="00902B42"/>
    <w:rsid w:val="009030AC"/>
    <w:rsid w:val="009039B8"/>
    <w:rsid w:val="00903BE4"/>
    <w:rsid w:val="00903BFC"/>
    <w:rsid w:val="00903D2A"/>
    <w:rsid w:val="00903D83"/>
    <w:rsid w:val="00903DE6"/>
    <w:rsid w:val="00904247"/>
    <w:rsid w:val="009042E6"/>
    <w:rsid w:val="009043C1"/>
    <w:rsid w:val="0090448B"/>
    <w:rsid w:val="00904593"/>
    <w:rsid w:val="00904688"/>
    <w:rsid w:val="00904695"/>
    <w:rsid w:val="009048D9"/>
    <w:rsid w:val="009049FE"/>
    <w:rsid w:val="00904A2A"/>
    <w:rsid w:val="00904D27"/>
    <w:rsid w:val="00904F02"/>
    <w:rsid w:val="00904F4F"/>
    <w:rsid w:val="00905231"/>
    <w:rsid w:val="0090540D"/>
    <w:rsid w:val="0090558E"/>
    <w:rsid w:val="0090578E"/>
    <w:rsid w:val="00905AEC"/>
    <w:rsid w:val="00905B14"/>
    <w:rsid w:val="00905F3C"/>
    <w:rsid w:val="00905F72"/>
    <w:rsid w:val="009061D3"/>
    <w:rsid w:val="009069C8"/>
    <w:rsid w:val="00906BD2"/>
    <w:rsid w:val="00906C8F"/>
    <w:rsid w:val="00906DD8"/>
    <w:rsid w:val="00906E20"/>
    <w:rsid w:val="00907249"/>
    <w:rsid w:val="009072B7"/>
    <w:rsid w:val="009073DE"/>
    <w:rsid w:val="009075A0"/>
    <w:rsid w:val="00907B2A"/>
    <w:rsid w:val="009102AB"/>
    <w:rsid w:val="0091151F"/>
    <w:rsid w:val="00911B27"/>
    <w:rsid w:val="00911F9C"/>
    <w:rsid w:val="009121A4"/>
    <w:rsid w:val="00912248"/>
    <w:rsid w:val="00912672"/>
    <w:rsid w:val="009126B9"/>
    <w:rsid w:val="00912756"/>
    <w:rsid w:val="0091275A"/>
    <w:rsid w:val="0091293E"/>
    <w:rsid w:val="00912A3C"/>
    <w:rsid w:val="00912F05"/>
    <w:rsid w:val="00912FDE"/>
    <w:rsid w:val="00913221"/>
    <w:rsid w:val="0091325E"/>
    <w:rsid w:val="00913518"/>
    <w:rsid w:val="0091391C"/>
    <w:rsid w:val="00913C28"/>
    <w:rsid w:val="00913D3D"/>
    <w:rsid w:val="00913EC6"/>
    <w:rsid w:val="00913FE8"/>
    <w:rsid w:val="0091434F"/>
    <w:rsid w:val="0091447D"/>
    <w:rsid w:val="00914861"/>
    <w:rsid w:val="00914BEC"/>
    <w:rsid w:val="00914C58"/>
    <w:rsid w:val="00914CF4"/>
    <w:rsid w:val="00914D1C"/>
    <w:rsid w:val="00914D20"/>
    <w:rsid w:val="009151D0"/>
    <w:rsid w:val="00915646"/>
    <w:rsid w:val="009159BB"/>
    <w:rsid w:val="00915BE1"/>
    <w:rsid w:val="00915DF2"/>
    <w:rsid w:val="00915FC2"/>
    <w:rsid w:val="0091609B"/>
    <w:rsid w:val="00916628"/>
    <w:rsid w:val="0091683D"/>
    <w:rsid w:val="009168A6"/>
    <w:rsid w:val="00916946"/>
    <w:rsid w:val="009169B4"/>
    <w:rsid w:val="009171BC"/>
    <w:rsid w:val="009178D3"/>
    <w:rsid w:val="00917DF0"/>
    <w:rsid w:val="00920503"/>
    <w:rsid w:val="009205A5"/>
    <w:rsid w:val="009206BE"/>
    <w:rsid w:val="00920911"/>
    <w:rsid w:val="00920954"/>
    <w:rsid w:val="00920A0B"/>
    <w:rsid w:val="00920D30"/>
    <w:rsid w:val="00920F20"/>
    <w:rsid w:val="0092132B"/>
    <w:rsid w:val="009214E5"/>
    <w:rsid w:val="009216A4"/>
    <w:rsid w:val="009218AB"/>
    <w:rsid w:val="009218F6"/>
    <w:rsid w:val="00921F20"/>
    <w:rsid w:val="00922A26"/>
    <w:rsid w:val="00922A70"/>
    <w:rsid w:val="00922AC8"/>
    <w:rsid w:val="00922C78"/>
    <w:rsid w:val="00922E1C"/>
    <w:rsid w:val="00922E5E"/>
    <w:rsid w:val="00922E7F"/>
    <w:rsid w:val="00922F36"/>
    <w:rsid w:val="00922FBB"/>
    <w:rsid w:val="00923516"/>
    <w:rsid w:val="00923835"/>
    <w:rsid w:val="00923A0E"/>
    <w:rsid w:val="009240EF"/>
    <w:rsid w:val="00924349"/>
    <w:rsid w:val="00924471"/>
    <w:rsid w:val="00924C7D"/>
    <w:rsid w:val="00924D78"/>
    <w:rsid w:val="00925302"/>
    <w:rsid w:val="009255C4"/>
    <w:rsid w:val="0092577A"/>
    <w:rsid w:val="00925798"/>
    <w:rsid w:val="00925BF9"/>
    <w:rsid w:val="00925C80"/>
    <w:rsid w:val="00926050"/>
    <w:rsid w:val="009262A0"/>
    <w:rsid w:val="009267A1"/>
    <w:rsid w:val="00926C62"/>
    <w:rsid w:val="00926F07"/>
    <w:rsid w:val="00927021"/>
    <w:rsid w:val="009271D4"/>
    <w:rsid w:val="0092777E"/>
    <w:rsid w:val="00927CDF"/>
    <w:rsid w:val="009300CB"/>
    <w:rsid w:val="00930118"/>
    <w:rsid w:val="00930256"/>
    <w:rsid w:val="00930883"/>
    <w:rsid w:val="00930E86"/>
    <w:rsid w:val="009311EA"/>
    <w:rsid w:val="009314A1"/>
    <w:rsid w:val="009314E4"/>
    <w:rsid w:val="0093163C"/>
    <w:rsid w:val="00931648"/>
    <w:rsid w:val="0093192D"/>
    <w:rsid w:val="00931AFC"/>
    <w:rsid w:val="00931B92"/>
    <w:rsid w:val="00931E4B"/>
    <w:rsid w:val="009321CE"/>
    <w:rsid w:val="00932656"/>
    <w:rsid w:val="0093297B"/>
    <w:rsid w:val="00932A9D"/>
    <w:rsid w:val="00932BD4"/>
    <w:rsid w:val="00932CAA"/>
    <w:rsid w:val="00932CCA"/>
    <w:rsid w:val="00932FA7"/>
    <w:rsid w:val="00933012"/>
    <w:rsid w:val="0093312A"/>
    <w:rsid w:val="0093322F"/>
    <w:rsid w:val="009332F0"/>
    <w:rsid w:val="00933A5A"/>
    <w:rsid w:val="00933C32"/>
    <w:rsid w:val="00933EE3"/>
    <w:rsid w:val="00933FF3"/>
    <w:rsid w:val="00934128"/>
    <w:rsid w:val="0093461E"/>
    <w:rsid w:val="00934668"/>
    <w:rsid w:val="00934ABC"/>
    <w:rsid w:val="00934ADF"/>
    <w:rsid w:val="00934C2E"/>
    <w:rsid w:val="00934C9C"/>
    <w:rsid w:val="00934E06"/>
    <w:rsid w:val="00934F14"/>
    <w:rsid w:val="00935107"/>
    <w:rsid w:val="00935D7E"/>
    <w:rsid w:val="00935EAE"/>
    <w:rsid w:val="0093604E"/>
    <w:rsid w:val="0093642C"/>
    <w:rsid w:val="009364EF"/>
    <w:rsid w:val="00936983"/>
    <w:rsid w:val="00936BE9"/>
    <w:rsid w:val="00936DBD"/>
    <w:rsid w:val="009370D8"/>
    <w:rsid w:val="009373AF"/>
    <w:rsid w:val="009374DA"/>
    <w:rsid w:val="009379E0"/>
    <w:rsid w:val="00937A57"/>
    <w:rsid w:val="00940196"/>
    <w:rsid w:val="009403DB"/>
    <w:rsid w:val="0094051D"/>
    <w:rsid w:val="00940B26"/>
    <w:rsid w:val="009413D4"/>
    <w:rsid w:val="0094148C"/>
    <w:rsid w:val="00941571"/>
    <w:rsid w:val="0094163C"/>
    <w:rsid w:val="00941B43"/>
    <w:rsid w:val="00941C06"/>
    <w:rsid w:val="00941E37"/>
    <w:rsid w:val="00941F70"/>
    <w:rsid w:val="00941FF3"/>
    <w:rsid w:val="009420B1"/>
    <w:rsid w:val="009421FD"/>
    <w:rsid w:val="00942289"/>
    <w:rsid w:val="00942363"/>
    <w:rsid w:val="009423EA"/>
    <w:rsid w:val="00942A09"/>
    <w:rsid w:val="00942A2C"/>
    <w:rsid w:val="0094303F"/>
    <w:rsid w:val="00943264"/>
    <w:rsid w:val="0094340A"/>
    <w:rsid w:val="00943D0C"/>
    <w:rsid w:val="00943DD5"/>
    <w:rsid w:val="0094412C"/>
    <w:rsid w:val="00944857"/>
    <w:rsid w:val="00944A95"/>
    <w:rsid w:val="00944B21"/>
    <w:rsid w:val="00944C7C"/>
    <w:rsid w:val="00945297"/>
    <w:rsid w:val="00945457"/>
    <w:rsid w:val="00945479"/>
    <w:rsid w:val="009454FB"/>
    <w:rsid w:val="0094595A"/>
    <w:rsid w:val="00945964"/>
    <w:rsid w:val="00945D79"/>
    <w:rsid w:val="0094605E"/>
    <w:rsid w:val="00946399"/>
    <w:rsid w:val="009465B4"/>
    <w:rsid w:val="00946D05"/>
    <w:rsid w:val="00947000"/>
    <w:rsid w:val="0094700C"/>
    <w:rsid w:val="009472C3"/>
    <w:rsid w:val="00947531"/>
    <w:rsid w:val="00947A03"/>
    <w:rsid w:val="00947BD3"/>
    <w:rsid w:val="00947C97"/>
    <w:rsid w:val="00950164"/>
    <w:rsid w:val="0095023E"/>
    <w:rsid w:val="00950327"/>
    <w:rsid w:val="00950543"/>
    <w:rsid w:val="009505D1"/>
    <w:rsid w:val="009508E0"/>
    <w:rsid w:val="00950C59"/>
    <w:rsid w:val="00950D3D"/>
    <w:rsid w:val="00950FBC"/>
    <w:rsid w:val="00951178"/>
    <w:rsid w:val="0095133F"/>
    <w:rsid w:val="009514EF"/>
    <w:rsid w:val="00951A50"/>
    <w:rsid w:val="00951AF3"/>
    <w:rsid w:val="00951AFD"/>
    <w:rsid w:val="00951CE5"/>
    <w:rsid w:val="00951F3B"/>
    <w:rsid w:val="00952345"/>
    <w:rsid w:val="00952522"/>
    <w:rsid w:val="00952909"/>
    <w:rsid w:val="00952CD4"/>
    <w:rsid w:val="00952E6D"/>
    <w:rsid w:val="00953B61"/>
    <w:rsid w:val="00953F69"/>
    <w:rsid w:val="00953F7F"/>
    <w:rsid w:val="00954229"/>
    <w:rsid w:val="009542F6"/>
    <w:rsid w:val="009543CE"/>
    <w:rsid w:val="00954515"/>
    <w:rsid w:val="009548CE"/>
    <w:rsid w:val="00954BE6"/>
    <w:rsid w:val="00954C81"/>
    <w:rsid w:val="00954C91"/>
    <w:rsid w:val="00954E1E"/>
    <w:rsid w:val="00954F0C"/>
    <w:rsid w:val="00955697"/>
    <w:rsid w:val="00955E53"/>
    <w:rsid w:val="0095645F"/>
    <w:rsid w:val="009566CE"/>
    <w:rsid w:val="00956780"/>
    <w:rsid w:val="00956823"/>
    <w:rsid w:val="0095764C"/>
    <w:rsid w:val="00957AB7"/>
    <w:rsid w:val="00957BF4"/>
    <w:rsid w:val="00960410"/>
    <w:rsid w:val="00960C56"/>
    <w:rsid w:val="00960FBD"/>
    <w:rsid w:val="00961178"/>
    <w:rsid w:val="00961234"/>
    <w:rsid w:val="00961937"/>
    <w:rsid w:val="00961A56"/>
    <w:rsid w:val="00961E05"/>
    <w:rsid w:val="00963043"/>
    <w:rsid w:val="0096309E"/>
    <w:rsid w:val="009630B9"/>
    <w:rsid w:val="009631E4"/>
    <w:rsid w:val="00963514"/>
    <w:rsid w:val="00963781"/>
    <w:rsid w:val="009638C4"/>
    <w:rsid w:val="00963DB0"/>
    <w:rsid w:val="00963EEA"/>
    <w:rsid w:val="00964263"/>
    <w:rsid w:val="00964400"/>
    <w:rsid w:val="00964489"/>
    <w:rsid w:val="009647F4"/>
    <w:rsid w:val="009650BC"/>
    <w:rsid w:val="009652E2"/>
    <w:rsid w:val="009660DF"/>
    <w:rsid w:val="009662A8"/>
    <w:rsid w:val="00966393"/>
    <w:rsid w:val="0096639A"/>
    <w:rsid w:val="009664EB"/>
    <w:rsid w:val="0096669D"/>
    <w:rsid w:val="0096682A"/>
    <w:rsid w:val="00966995"/>
    <w:rsid w:val="00966B1D"/>
    <w:rsid w:val="00967008"/>
    <w:rsid w:val="0096725C"/>
    <w:rsid w:val="00967269"/>
    <w:rsid w:val="0096740C"/>
    <w:rsid w:val="009674A9"/>
    <w:rsid w:val="009675F5"/>
    <w:rsid w:val="00967993"/>
    <w:rsid w:val="009679CE"/>
    <w:rsid w:val="00967AF0"/>
    <w:rsid w:val="00967C76"/>
    <w:rsid w:val="00970551"/>
    <w:rsid w:val="009712FE"/>
    <w:rsid w:val="0097135B"/>
    <w:rsid w:val="0097140B"/>
    <w:rsid w:val="00971924"/>
    <w:rsid w:val="00971AF2"/>
    <w:rsid w:val="00971BEF"/>
    <w:rsid w:val="00971DAC"/>
    <w:rsid w:val="00972200"/>
    <w:rsid w:val="0097229C"/>
    <w:rsid w:val="009722BC"/>
    <w:rsid w:val="0097259D"/>
    <w:rsid w:val="009725AD"/>
    <w:rsid w:val="00973880"/>
    <w:rsid w:val="00973C12"/>
    <w:rsid w:val="00973E54"/>
    <w:rsid w:val="00973E6C"/>
    <w:rsid w:val="00973ECD"/>
    <w:rsid w:val="009740DD"/>
    <w:rsid w:val="00974855"/>
    <w:rsid w:val="009748E5"/>
    <w:rsid w:val="00974D52"/>
    <w:rsid w:val="0097533A"/>
    <w:rsid w:val="00975616"/>
    <w:rsid w:val="00975C8D"/>
    <w:rsid w:val="00975E3F"/>
    <w:rsid w:val="00976511"/>
    <w:rsid w:val="00977147"/>
    <w:rsid w:val="00977774"/>
    <w:rsid w:val="009778BC"/>
    <w:rsid w:val="00977909"/>
    <w:rsid w:val="00977B9A"/>
    <w:rsid w:val="00980598"/>
    <w:rsid w:val="00980EC2"/>
    <w:rsid w:val="00980FFA"/>
    <w:rsid w:val="009812EB"/>
    <w:rsid w:val="00981509"/>
    <w:rsid w:val="0098167B"/>
    <w:rsid w:val="009821C2"/>
    <w:rsid w:val="009822CA"/>
    <w:rsid w:val="00982611"/>
    <w:rsid w:val="009827BE"/>
    <w:rsid w:val="00982FA3"/>
    <w:rsid w:val="00983964"/>
    <w:rsid w:val="00983A25"/>
    <w:rsid w:val="00983B71"/>
    <w:rsid w:val="00983C27"/>
    <w:rsid w:val="00983CA5"/>
    <w:rsid w:val="00983D86"/>
    <w:rsid w:val="00983EC9"/>
    <w:rsid w:val="009840F3"/>
    <w:rsid w:val="0098428B"/>
    <w:rsid w:val="00984492"/>
    <w:rsid w:val="00984756"/>
    <w:rsid w:val="00984A88"/>
    <w:rsid w:val="00984BB9"/>
    <w:rsid w:val="00984E18"/>
    <w:rsid w:val="00984EA7"/>
    <w:rsid w:val="009859BA"/>
    <w:rsid w:val="00985A36"/>
    <w:rsid w:val="00985CB8"/>
    <w:rsid w:val="009860AE"/>
    <w:rsid w:val="0098628F"/>
    <w:rsid w:val="009864DA"/>
    <w:rsid w:val="00986C77"/>
    <w:rsid w:val="00986E3C"/>
    <w:rsid w:val="00986FB9"/>
    <w:rsid w:val="00987194"/>
    <w:rsid w:val="009875FF"/>
    <w:rsid w:val="00987765"/>
    <w:rsid w:val="009877A2"/>
    <w:rsid w:val="00987A2C"/>
    <w:rsid w:val="00987D7D"/>
    <w:rsid w:val="00990063"/>
    <w:rsid w:val="009901D6"/>
    <w:rsid w:val="0099026B"/>
    <w:rsid w:val="009903DF"/>
    <w:rsid w:val="00990A72"/>
    <w:rsid w:val="00990A82"/>
    <w:rsid w:val="00990C7A"/>
    <w:rsid w:val="00991140"/>
    <w:rsid w:val="0099124F"/>
    <w:rsid w:val="00991256"/>
    <w:rsid w:val="00991278"/>
    <w:rsid w:val="0099128A"/>
    <w:rsid w:val="009918D8"/>
    <w:rsid w:val="0099190C"/>
    <w:rsid w:val="00991BAF"/>
    <w:rsid w:val="00991DD3"/>
    <w:rsid w:val="009923A7"/>
    <w:rsid w:val="00992A5A"/>
    <w:rsid w:val="00992EB0"/>
    <w:rsid w:val="009933C7"/>
    <w:rsid w:val="009940DE"/>
    <w:rsid w:val="00994303"/>
    <w:rsid w:val="009943CD"/>
    <w:rsid w:val="00994503"/>
    <w:rsid w:val="00994F50"/>
    <w:rsid w:val="009950C5"/>
    <w:rsid w:val="009951EA"/>
    <w:rsid w:val="0099555B"/>
    <w:rsid w:val="0099588C"/>
    <w:rsid w:val="00995CFB"/>
    <w:rsid w:val="00995E69"/>
    <w:rsid w:val="009960A4"/>
    <w:rsid w:val="00996214"/>
    <w:rsid w:val="00996338"/>
    <w:rsid w:val="009963C5"/>
    <w:rsid w:val="00996442"/>
    <w:rsid w:val="0099686F"/>
    <w:rsid w:val="00996BBD"/>
    <w:rsid w:val="00996C15"/>
    <w:rsid w:val="00996FE8"/>
    <w:rsid w:val="009972A6"/>
    <w:rsid w:val="00997DB8"/>
    <w:rsid w:val="00997F3E"/>
    <w:rsid w:val="009A01CD"/>
    <w:rsid w:val="009A0239"/>
    <w:rsid w:val="009A0436"/>
    <w:rsid w:val="009A08C1"/>
    <w:rsid w:val="009A0D61"/>
    <w:rsid w:val="009A0D8A"/>
    <w:rsid w:val="009A0D8D"/>
    <w:rsid w:val="009A106E"/>
    <w:rsid w:val="009A10D5"/>
    <w:rsid w:val="009A12BE"/>
    <w:rsid w:val="009A14D3"/>
    <w:rsid w:val="009A1A38"/>
    <w:rsid w:val="009A1BFA"/>
    <w:rsid w:val="009A1D0D"/>
    <w:rsid w:val="009A1E4C"/>
    <w:rsid w:val="009A211A"/>
    <w:rsid w:val="009A23E5"/>
    <w:rsid w:val="009A24B5"/>
    <w:rsid w:val="009A26A0"/>
    <w:rsid w:val="009A2A08"/>
    <w:rsid w:val="009A3D17"/>
    <w:rsid w:val="009A3D4A"/>
    <w:rsid w:val="009A3D72"/>
    <w:rsid w:val="009A3EC0"/>
    <w:rsid w:val="009A44DD"/>
    <w:rsid w:val="009A45C4"/>
    <w:rsid w:val="009A48B6"/>
    <w:rsid w:val="009A495E"/>
    <w:rsid w:val="009A5431"/>
    <w:rsid w:val="009A563C"/>
    <w:rsid w:val="009A5B99"/>
    <w:rsid w:val="009A655E"/>
    <w:rsid w:val="009A6603"/>
    <w:rsid w:val="009A6683"/>
    <w:rsid w:val="009A6725"/>
    <w:rsid w:val="009A6815"/>
    <w:rsid w:val="009A69F2"/>
    <w:rsid w:val="009A6BA2"/>
    <w:rsid w:val="009A6C7E"/>
    <w:rsid w:val="009A6D5B"/>
    <w:rsid w:val="009A6F83"/>
    <w:rsid w:val="009A7025"/>
    <w:rsid w:val="009A720C"/>
    <w:rsid w:val="009A76AB"/>
    <w:rsid w:val="009A779C"/>
    <w:rsid w:val="009A7C09"/>
    <w:rsid w:val="009A7F96"/>
    <w:rsid w:val="009B033D"/>
    <w:rsid w:val="009B08D6"/>
    <w:rsid w:val="009B0949"/>
    <w:rsid w:val="009B0F80"/>
    <w:rsid w:val="009B12C4"/>
    <w:rsid w:val="009B1344"/>
    <w:rsid w:val="009B1357"/>
    <w:rsid w:val="009B1480"/>
    <w:rsid w:val="009B1505"/>
    <w:rsid w:val="009B165C"/>
    <w:rsid w:val="009B1686"/>
    <w:rsid w:val="009B1D0C"/>
    <w:rsid w:val="009B1D2D"/>
    <w:rsid w:val="009B1E51"/>
    <w:rsid w:val="009B2188"/>
    <w:rsid w:val="009B262A"/>
    <w:rsid w:val="009B26C7"/>
    <w:rsid w:val="009B2756"/>
    <w:rsid w:val="009B28A3"/>
    <w:rsid w:val="009B28A6"/>
    <w:rsid w:val="009B2C8B"/>
    <w:rsid w:val="009B2FBA"/>
    <w:rsid w:val="009B35CD"/>
    <w:rsid w:val="009B38F5"/>
    <w:rsid w:val="009B3902"/>
    <w:rsid w:val="009B3AB2"/>
    <w:rsid w:val="009B3F2B"/>
    <w:rsid w:val="009B415A"/>
    <w:rsid w:val="009B4264"/>
    <w:rsid w:val="009B4303"/>
    <w:rsid w:val="009B4633"/>
    <w:rsid w:val="009B47F7"/>
    <w:rsid w:val="009B4856"/>
    <w:rsid w:val="009B4894"/>
    <w:rsid w:val="009B5092"/>
    <w:rsid w:val="009B54CB"/>
    <w:rsid w:val="009B5675"/>
    <w:rsid w:val="009B593C"/>
    <w:rsid w:val="009B5995"/>
    <w:rsid w:val="009B5AD7"/>
    <w:rsid w:val="009B5CBC"/>
    <w:rsid w:val="009B61F5"/>
    <w:rsid w:val="009B634B"/>
    <w:rsid w:val="009B6368"/>
    <w:rsid w:val="009B7052"/>
    <w:rsid w:val="009B7243"/>
    <w:rsid w:val="009B75DF"/>
    <w:rsid w:val="009B7958"/>
    <w:rsid w:val="009C01ED"/>
    <w:rsid w:val="009C026B"/>
    <w:rsid w:val="009C054F"/>
    <w:rsid w:val="009C0579"/>
    <w:rsid w:val="009C08A4"/>
    <w:rsid w:val="009C0BF9"/>
    <w:rsid w:val="009C0C37"/>
    <w:rsid w:val="009C0CC2"/>
    <w:rsid w:val="009C0D26"/>
    <w:rsid w:val="009C0D75"/>
    <w:rsid w:val="009C113C"/>
    <w:rsid w:val="009C137E"/>
    <w:rsid w:val="009C1404"/>
    <w:rsid w:val="009C157F"/>
    <w:rsid w:val="009C181D"/>
    <w:rsid w:val="009C18D0"/>
    <w:rsid w:val="009C1C11"/>
    <w:rsid w:val="009C1E6E"/>
    <w:rsid w:val="009C2256"/>
    <w:rsid w:val="009C259F"/>
    <w:rsid w:val="009C27D8"/>
    <w:rsid w:val="009C283C"/>
    <w:rsid w:val="009C2C96"/>
    <w:rsid w:val="009C2D94"/>
    <w:rsid w:val="009C302D"/>
    <w:rsid w:val="009C31D2"/>
    <w:rsid w:val="009C354F"/>
    <w:rsid w:val="009C368B"/>
    <w:rsid w:val="009C3699"/>
    <w:rsid w:val="009C38F2"/>
    <w:rsid w:val="009C3DA8"/>
    <w:rsid w:val="009C3DDD"/>
    <w:rsid w:val="009C4471"/>
    <w:rsid w:val="009C45E0"/>
    <w:rsid w:val="009C47C6"/>
    <w:rsid w:val="009C482E"/>
    <w:rsid w:val="009C52F8"/>
    <w:rsid w:val="009C5696"/>
    <w:rsid w:val="009C5A9A"/>
    <w:rsid w:val="009C5E59"/>
    <w:rsid w:val="009C6258"/>
    <w:rsid w:val="009C6275"/>
    <w:rsid w:val="009C69DD"/>
    <w:rsid w:val="009C6B29"/>
    <w:rsid w:val="009C7726"/>
    <w:rsid w:val="009C7E2B"/>
    <w:rsid w:val="009D00F8"/>
    <w:rsid w:val="009D01F4"/>
    <w:rsid w:val="009D0907"/>
    <w:rsid w:val="009D0EF3"/>
    <w:rsid w:val="009D107A"/>
    <w:rsid w:val="009D171A"/>
    <w:rsid w:val="009D2314"/>
    <w:rsid w:val="009D24DC"/>
    <w:rsid w:val="009D27F9"/>
    <w:rsid w:val="009D2F64"/>
    <w:rsid w:val="009D2FD2"/>
    <w:rsid w:val="009D32C1"/>
    <w:rsid w:val="009D3431"/>
    <w:rsid w:val="009D3452"/>
    <w:rsid w:val="009D3552"/>
    <w:rsid w:val="009D3861"/>
    <w:rsid w:val="009D3DD1"/>
    <w:rsid w:val="009D4181"/>
    <w:rsid w:val="009D4459"/>
    <w:rsid w:val="009D4D0D"/>
    <w:rsid w:val="009D4FA2"/>
    <w:rsid w:val="009D4FE3"/>
    <w:rsid w:val="009D537C"/>
    <w:rsid w:val="009D56DB"/>
    <w:rsid w:val="009D59FB"/>
    <w:rsid w:val="009D5B00"/>
    <w:rsid w:val="009D5EBE"/>
    <w:rsid w:val="009D5F79"/>
    <w:rsid w:val="009D66D1"/>
    <w:rsid w:val="009D6A00"/>
    <w:rsid w:val="009D6B7F"/>
    <w:rsid w:val="009D7147"/>
    <w:rsid w:val="009D718B"/>
    <w:rsid w:val="009D779E"/>
    <w:rsid w:val="009D7E1B"/>
    <w:rsid w:val="009D7EAD"/>
    <w:rsid w:val="009E002A"/>
    <w:rsid w:val="009E00B1"/>
    <w:rsid w:val="009E0482"/>
    <w:rsid w:val="009E07F2"/>
    <w:rsid w:val="009E08DE"/>
    <w:rsid w:val="009E0900"/>
    <w:rsid w:val="009E0964"/>
    <w:rsid w:val="009E0AD9"/>
    <w:rsid w:val="009E0CD3"/>
    <w:rsid w:val="009E0ECA"/>
    <w:rsid w:val="009E154D"/>
    <w:rsid w:val="009E164F"/>
    <w:rsid w:val="009E1B1E"/>
    <w:rsid w:val="009E1D95"/>
    <w:rsid w:val="009E1DCE"/>
    <w:rsid w:val="009E1E89"/>
    <w:rsid w:val="009E1F21"/>
    <w:rsid w:val="009E2BAA"/>
    <w:rsid w:val="009E2BC1"/>
    <w:rsid w:val="009E2CA4"/>
    <w:rsid w:val="009E2E02"/>
    <w:rsid w:val="009E3385"/>
    <w:rsid w:val="009E392A"/>
    <w:rsid w:val="009E3ACC"/>
    <w:rsid w:val="009E3B35"/>
    <w:rsid w:val="009E3F87"/>
    <w:rsid w:val="009E40A9"/>
    <w:rsid w:val="009E4662"/>
    <w:rsid w:val="009E4771"/>
    <w:rsid w:val="009E502D"/>
    <w:rsid w:val="009E53DA"/>
    <w:rsid w:val="009E557B"/>
    <w:rsid w:val="009E55D3"/>
    <w:rsid w:val="009E5FCA"/>
    <w:rsid w:val="009E6082"/>
    <w:rsid w:val="009E60DF"/>
    <w:rsid w:val="009E6277"/>
    <w:rsid w:val="009E64D4"/>
    <w:rsid w:val="009E6927"/>
    <w:rsid w:val="009E6B19"/>
    <w:rsid w:val="009E7039"/>
    <w:rsid w:val="009E756B"/>
    <w:rsid w:val="009E7627"/>
    <w:rsid w:val="009E78CA"/>
    <w:rsid w:val="009E7E6E"/>
    <w:rsid w:val="009E7F91"/>
    <w:rsid w:val="009F01EB"/>
    <w:rsid w:val="009F04B2"/>
    <w:rsid w:val="009F1574"/>
    <w:rsid w:val="009F15B8"/>
    <w:rsid w:val="009F15CC"/>
    <w:rsid w:val="009F1A1E"/>
    <w:rsid w:val="009F1ACB"/>
    <w:rsid w:val="009F1E68"/>
    <w:rsid w:val="009F1EF2"/>
    <w:rsid w:val="009F2120"/>
    <w:rsid w:val="009F2295"/>
    <w:rsid w:val="009F2382"/>
    <w:rsid w:val="009F2EA0"/>
    <w:rsid w:val="009F3270"/>
    <w:rsid w:val="009F33C2"/>
    <w:rsid w:val="009F3459"/>
    <w:rsid w:val="009F34A4"/>
    <w:rsid w:val="009F34E6"/>
    <w:rsid w:val="009F375E"/>
    <w:rsid w:val="009F3F9C"/>
    <w:rsid w:val="009F42C5"/>
    <w:rsid w:val="009F433A"/>
    <w:rsid w:val="009F456A"/>
    <w:rsid w:val="009F4B12"/>
    <w:rsid w:val="009F4B90"/>
    <w:rsid w:val="009F4EB0"/>
    <w:rsid w:val="009F5170"/>
    <w:rsid w:val="009F5E75"/>
    <w:rsid w:val="009F5E79"/>
    <w:rsid w:val="009F6020"/>
    <w:rsid w:val="009F60AD"/>
    <w:rsid w:val="009F610E"/>
    <w:rsid w:val="009F6344"/>
    <w:rsid w:val="009F639D"/>
    <w:rsid w:val="009F6577"/>
    <w:rsid w:val="009F65C2"/>
    <w:rsid w:val="009F6885"/>
    <w:rsid w:val="009F6897"/>
    <w:rsid w:val="009F6A89"/>
    <w:rsid w:val="009F6BDA"/>
    <w:rsid w:val="009F6D44"/>
    <w:rsid w:val="009F6D8E"/>
    <w:rsid w:val="009F6E52"/>
    <w:rsid w:val="009F70E8"/>
    <w:rsid w:val="009F720D"/>
    <w:rsid w:val="009F726E"/>
    <w:rsid w:val="009F732A"/>
    <w:rsid w:val="009F73B1"/>
    <w:rsid w:val="009F75C4"/>
    <w:rsid w:val="009F79BE"/>
    <w:rsid w:val="009F7A71"/>
    <w:rsid w:val="009F7D97"/>
    <w:rsid w:val="00A00097"/>
    <w:rsid w:val="00A0070E"/>
    <w:rsid w:val="00A0077F"/>
    <w:rsid w:val="00A007E6"/>
    <w:rsid w:val="00A00FC5"/>
    <w:rsid w:val="00A01412"/>
    <w:rsid w:val="00A015F0"/>
    <w:rsid w:val="00A018D8"/>
    <w:rsid w:val="00A01E14"/>
    <w:rsid w:val="00A01F9D"/>
    <w:rsid w:val="00A01FA2"/>
    <w:rsid w:val="00A021A7"/>
    <w:rsid w:val="00A02534"/>
    <w:rsid w:val="00A02653"/>
    <w:rsid w:val="00A02BFD"/>
    <w:rsid w:val="00A0344A"/>
    <w:rsid w:val="00A0377B"/>
    <w:rsid w:val="00A03DE6"/>
    <w:rsid w:val="00A0404A"/>
    <w:rsid w:val="00A043E2"/>
    <w:rsid w:val="00A04777"/>
    <w:rsid w:val="00A047D4"/>
    <w:rsid w:val="00A047DC"/>
    <w:rsid w:val="00A04CE5"/>
    <w:rsid w:val="00A04E22"/>
    <w:rsid w:val="00A0534A"/>
    <w:rsid w:val="00A055EE"/>
    <w:rsid w:val="00A055F4"/>
    <w:rsid w:val="00A056D9"/>
    <w:rsid w:val="00A05E0E"/>
    <w:rsid w:val="00A05E50"/>
    <w:rsid w:val="00A06023"/>
    <w:rsid w:val="00A0654E"/>
    <w:rsid w:val="00A06764"/>
    <w:rsid w:val="00A06848"/>
    <w:rsid w:val="00A0690D"/>
    <w:rsid w:val="00A069EF"/>
    <w:rsid w:val="00A06A08"/>
    <w:rsid w:val="00A06AD0"/>
    <w:rsid w:val="00A06DB3"/>
    <w:rsid w:val="00A06ECB"/>
    <w:rsid w:val="00A07030"/>
    <w:rsid w:val="00A0705C"/>
    <w:rsid w:val="00A073B7"/>
    <w:rsid w:val="00A07440"/>
    <w:rsid w:val="00A0748E"/>
    <w:rsid w:val="00A076C8"/>
    <w:rsid w:val="00A07866"/>
    <w:rsid w:val="00A07BAC"/>
    <w:rsid w:val="00A07D3F"/>
    <w:rsid w:val="00A07F5B"/>
    <w:rsid w:val="00A07F6B"/>
    <w:rsid w:val="00A07F75"/>
    <w:rsid w:val="00A1004A"/>
    <w:rsid w:val="00A1021D"/>
    <w:rsid w:val="00A1037E"/>
    <w:rsid w:val="00A10BCF"/>
    <w:rsid w:val="00A10F18"/>
    <w:rsid w:val="00A1138B"/>
    <w:rsid w:val="00A113C6"/>
    <w:rsid w:val="00A1178C"/>
    <w:rsid w:val="00A11828"/>
    <w:rsid w:val="00A11A76"/>
    <w:rsid w:val="00A11B54"/>
    <w:rsid w:val="00A11EC5"/>
    <w:rsid w:val="00A1239D"/>
    <w:rsid w:val="00A1284A"/>
    <w:rsid w:val="00A129AF"/>
    <w:rsid w:val="00A12AD8"/>
    <w:rsid w:val="00A12CBD"/>
    <w:rsid w:val="00A12EC7"/>
    <w:rsid w:val="00A131C1"/>
    <w:rsid w:val="00A13965"/>
    <w:rsid w:val="00A139BC"/>
    <w:rsid w:val="00A14877"/>
    <w:rsid w:val="00A14933"/>
    <w:rsid w:val="00A1493D"/>
    <w:rsid w:val="00A14BFB"/>
    <w:rsid w:val="00A14F45"/>
    <w:rsid w:val="00A151ED"/>
    <w:rsid w:val="00A15223"/>
    <w:rsid w:val="00A152B2"/>
    <w:rsid w:val="00A153B5"/>
    <w:rsid w:val="00A153ED"/>
    <w:rsid w:val="00A1555D"/>
    <w:rsid w:val="00A16653"/>
    <w:rsid w:val="00A166A1"/>
    <w:rsid w:val="00A166FE"/>
    <w:rsid w:val="00A167A6"/>
    <w:rsid w:val="00A167C6"/>
    <w:rsid w:val="00A16E0E"/>
    <w:rsid w:val="00A16FC7"/>
    <w:rsid w:val="00A16FCA"/>
    <w:rsid w:val="00A171B2"/>
    <w:rsid w:val="00A1723B"/>
    <w:rsid w:val="00A20075"/>
    <w:rsid w:val="00A205F8"/>
    <w:rsid w:val="00A20AC9"/>
    <w:rsid w:val="00A211EF"/>
    <w:rsid w:val="00A21F22"/>
    <w:rsid w:val="00A2205C"/>
    <w:rsid w:val="00A22571"/>
    <w:rsid w:val="00A227C1"/>
    <w:rsid w:val="00A22BB0"/>
    <w:rsid w:val="00A23002"/>
    <w:rsid w:val="00A23121"/>
    <w:rsid w:val="00A23538"/>
    <w:rsid w:val="00A23778"/>
    <w:rsid w:val="00A24463"/>
    <w:rsid w:val="00A2463C"/>
    <w:rsid w:val="00A2465E"/>
    <w:rsid w:val="00A24A96"/>
    <w:rsid w:val="00A24BAD"/>
    <w:rsid w:val="00A25006"/>
    <w:rsid w:val="00A2534B"/>
    <w:rsid w:val="00A25A5E"/>
    <w:rsid w:val="00A25B5E"/>
    <w:rsid w:val="00A25FDB"/>
    <w:rsid w:val="00A26053"/>
    <w:rsid w:val="00A2662F"/>
    <w:rsid w:val="00A2699D"/>
    <w:rsid w:val="00A26C6A"/>
    <w:rsid w:val="00A26E24"/>
    <w:rsid w:val="00A26F4C"/>
    <w:rsid w:val="00A27529"/>
    <w:rsid w:val="00A27544"/>
    <w:rsid w:val="00A27581"/>
    <w:rsid w:val="00A27766"/>
    <w:rsid w:val="00A27896"/>
    <w:rsid w:val="00A27898"/>
    <w:rsid w:val="00A278DE"/>
    <w:rsid w:val="00A279DF"/>
    <w:rsid w:val="00A27D48"/>
    <w:rsid w:val="00A30019"/>
    <w:rsid w:val="00A3001F"/>
    <w:rsid w:val="00A305EF"/>
    <w:rsid w:val="00A3093C"/>
    <w:rsid w:val="00A30DC9"/>
    <w:rsid w:val="00A310F1"/>
    <w:rsid w:val="00A310FF"/>
    <w:rsid w:val="00A3112F"/>
    <w:rsid w:val="00A3125A"/>
    <w:rsid w:val="00A3142B"/>
    <w:rsid w:val="00A31677"/>
    <w:rsid w:val="00A31782"/>
    <w:rsid w:val="00A317B6"/>
    <w:rsid w:val="00A3192C"/>
    <w:rsid w:val="00A319CA"/>
    <w:rsid w:val="00A319DC"/>
    <w:rsid w:val="00A32977"/>
    <w:rsid w:val="00A329F7"/>
    <w:rsid w:val="00A32E1F"/>
    <w:rsid w:val="00A3314A"/>
    <w:rsid w:val="00A33317"/>
    <w:rsid w:val="00A335C6"/>
    <w:rsid w:val="00A33B6B"/>
    <w:rsid w:val="00A33C27"/>
    <w:rsid w:val="00A33D68"/>
    <w:rsid w:val="00A33D80"/>
    <w:rsid w:val="00A34136"/>
    <w:rsid w:val="00A341AC"/>
    <w:rsid w:val="00A3434F"/>
    <w:rsid w:val="00A343B5"/>
    <w:rsid w:val="00A34505"/>
    <w:rsid w:val="00A34604"/>
    <w:rsid w:val="00A34AB9"/>
    <w:rsid w:val="00A34B48"/>
    <w:rsid w:val="00A34DD6"/>
    <w:rsid w:val="00A34F48"/>
    <w:rsid w:val="00A34F58"/>
    <w:rsid w:val="00A34FE5"/>
    <w:rsid w:val="00A35E42"/>
    <w:rsid w:val="00A36075"/>
    <w:rsid w:val="00A365B5"/>
    <w:rsid w:val="00A36796"/>
    <w:rsid w:val="00A36A8B"/>
    <w:rsid w:val="00A36BC3"/>
    <w:rsid w:val="00A36FE8"/>
    <w:rsid w:val="00A37138"/>
    <w:rsid w:val="00A37576"/>
    <w:rsid w:val="00A3777A"/>
    <w:rsid w:val="00A37A6B"/>
    <w:rsid w:val="00A4021A"/>
    <w:rsid w:val="00A4024B"/>
    <w:rsid w:val="00A405CC"/>
    <w:rsid w:val="00A40642"/>
    <w:rsid w:val="00A4094F"/>
    <w:rsid w:val="00A4104B"/>
    <w:rsid w:val="00A414FC"/>
    <w:rsid w:val="00A41F87"/>
    <w:rsid w:val="00A41FA0"/>
    <w:rsid w:val="00A4210D"/>
    <w:rsid w:val="00A42173"/>
    <w:rsid w:val="00A421C4"/>
    <w:rsid w:val="00A424EC"/>
    <w:rsid w:val="00A4261E"/>
    <w:rsid w:val="00A42A98"/>
    <w:rsid w:val="00A4314E"/>
    <w:rsid w:val="00A43523"/>
    <w:rsid w:val="00A435B3"/>
    <w:rsid w:val="00A43707"/>
    <w:rsid w:val="00A437B6"/>
    <w:rsid w:val="00A43C4C"/>
    <w:rsid w:val="00A43E44"/>
    <w:rsid w:val="00A44C8E"/>
    <w:rsid w:val="00A45057"/>
    <w:rsid w:val="00A4517F"/>
    <w:rsid w:val="00A45B69"/>
    <w:rsid w:val="00A45DBE"/>
    <w:rsid w:val="00A46AAD"/>
    <w:rsid w:val="00A470BE"/>
    <w:rsid w:val="00A47788"/>
    <w:rsid w:val="00A47BD7"/>
    <w:rsid w:val="00A47C29"/>
    <w:rsid w:val="00A47EE2"/>
    <w:rsid w:val="00A47FC2"/>
    <w:rsid w:val="00A50348"/>
    <w:rsid w:val="00A50625"/>
    <w:rsid w:val="00A50F63"/>
    <w:rsid w:val="00A5104C"/>
    <w:rsid w:val="00A51320"/>
    <w:rsid w:val="00A513D2"/>
    <w:rsid w:val="00A5150E"/>
    <w:rsid w:val="00A51E89"/>
    <w:rsid w:val="00A52096"/>
    <w:rsid w:val="00A52551"/>
    <w:rsid w:val="00A526A3"/>
    <w:rsid w:val="00A526B0"/>
    <w:rsid w:val="00A5275D"/>
    <w:rsid w:val="00A527B4"/>
    <w:rsid w:val="00A52C6C"/>
    <w:rsid w:val="00A52E02"/>
    <w:rsid w:val="00A52E60"/>
    <w:rsid w:val="00A53068"/>
    <w:rsid w:val="00A533CD"/>
    <w:rsid w:val="00A53636"/>
    <w:rsid w:val="00A5389F"/>
    <w:rsid w:val="00A53BA8"/>
    <w:rsid w:val="00A54660"/>
    <w:rsid w:val="00A547A7"/>
    <w:rsid w:val="00A54E91"/>
    <w:rsid w:val="00A54F00"/>
    <w:rsid w:val="00A54FC8"/>
    <w:rsid w:val="00A550DA"/>
    <w:rsid w:val="00A5561E"/>
    <w:rsid w:val="00A55A44"/>
    <w:rsid w:val="00A55C5A"/>
    <w:rsid w:val="00A55DF8"/>
    <w:rsid w:val="00A56877"/>
    <w:rsid w:val="00A56ED8"/>
    <w:rsid w:val="00A5719C"/>
    <w:rsid w:val="00A576B4"/>
    <w:rsid w:val="00A57732"/>
    <w:rsid w:val="00A6005F"/>
    <w:rsid w:val="00A60410"/>
    <w:rsid w:val="00A606D2"/>
    <w:rsid w:val="00A60AC5"/>
    <w:rsid w:val="00A60B7E"/>
    <w:rsid w:val="00A60C09"/>
    <w:rsid w:val="00A60EE4"/>
    <w:rsid w:val="00A6100D"/>
    <w:rsid w:val="00A61127"/>
    <w:rsid w:val="00A612AC"/>
    <w:rsid w:val="00A617C5"/>
    <w:rsid w:val="00A61A29"/>
    <w:rsid w:val="00A61CAC"/>
    <w:rsid w:val="00A62385"/>
    <w:rsid w:val="00A625C3"/>
    <w:rsid w:val="00A62982"/>
    <w:rsid w:val="00A62C72"/>
    <w:rsid w:val="00A62E2C"/>
    <w:rsid w:val="00A630EA"/>
    <w:rsid w:val="00A63425"/>
    <w:rsid w:val="00A63515"/>
    <w:rsid w:val="00A636C9"/>
    <w:rsid w:val="00A637C0"/>
    <w:rsid w:val="00A6382D"/>
    <w:rsid w:val="00A63CA4"/>
    <w:rsid w:val="00A6418B"/>
    <w:rsid w:val="00A64465"/>
    <w:rsid w:val="00A646A0"/>
    <w:rsid w:val="00A6490D"/>
    <w:rsid w:val="00A64CB8"/>
    <w:rsid w:val="00A64F0E"/>
    <w:rsid w:val="00A65170"/>
    <w:rsid w:val="00A652F0"/>
    <w:rsid w:val="00A6559F"/>
    <w:rsid w:val="00A658DD"/>
    <w:rsid w:val="00A6594D"/>
    <w:rsid w:val="00A65E44"/>
    <w:rsid w:val="00A65ED2"/>
    <w:rsid w:val="00A6636F"/>
    <w:rsid w:val="00A66423"/>
    <w:rsid w:val="00A666BF"/>
    <w:rsid w:val="00A6686E"/>
    <w:rsid w:val="00A67060"/>
    <w:rsid w:val="00A67245"/>
    <w:rsid w:val="00A67267"/>
    <w:rsid w:val="00A6743D"/>
    <w:rsid w:val="00A676B8"/>
    <w:rsid w:val="00A677A8"/>
    <w:rsid w:val="00A678E1"/>
    <w:rsid w:val="00A67D81"/>
    <w:rsid w:val="00A70C3A"/>
    <w:rsid w:val="00A70C4C"/>
    <w:rsid w:val="00A7224C"/>
    <w:rsid w:val="00A7229F"/>
    <w:rsid w:val="00A7324D"/>
    <w:rsid w:val="00A7335E"/>
    <w:rsid w:val="00A73E72"/>
    <w:rsid w:val="00A74051"/>
    <w:rsid w:val="00A74128"/>
    <w:rsid w:val="00A7434F"/>
    <w:rsid w:val="00A74538"/>
    <w:rsid w:val="00A746A7"/>
    <w:rsid w:val="00A74754"/>
    <w:rsid w:val="00A74961"/>
    <w:rsid w:val="00A751E9"/>
    <w:rsid w:val="00A754F2"/>
    <w:rsid w:val="00A7588B"/>
    <w:rsid w:val="00A75AB2"/>
    <w:rsid w:val="00A75D63"/>
    <w:rsid w:val="00A75E73"/>
    <w:rsid w:val="00A766C6"/>
    <w:rsid w:val="00A76950"/>
    <w:rsid w:val="00A7700C"/>
    <w:rsid w:val="00A77200"/>
    <w:rsid w:val="00A774BA"/>
    <w:rsid w:val="00A779D6"/>
    <w:rsid w:val="00A77BE1"/>
    <w:rsid w:val="00A77FE0"/>
    <w:rsid w:val="00A806A4"/>
    <w:rsid w:val="00A80994"/>
    <w:rsid w:val="00A80EEC"/>
    <w:rsid w:val="00A81064"/>
    <w:rsid w:val="00A810D7"/>
    <w:rsid w:val="00A81184"/>
    <w:rsid w:val="00A81231"/>
    <w:rsid w:val="00A814F9"/>
    <w:rsid w:val="00A81AAE"/>
    <w:rsid w:val="00A81DD4"/>
    <w:rsid w:val="00A8215C"/>
    <w:rsid w:val="00A82302"/>
    <w:rsid w:val="00A82951"/>
    <w:rsid w:val="00A8298C"/>
    <w:rsid w:val="00A82D4D"/>
    <w:rsid w:val="00A833F6"/>
    <w:rsid w:val="00A834D7"/>
    <w:rsid w:val="00A83857"/>
    <w:rsid w:val="00A83887"/>
    <w:rsid w:val="00A83A05"/>
    <w:rsid w:val="00A83A92"/>
    <w:rsid w:val="00A841AE"/>
    <w:rsid w:val="00A8439A"/>
    <w:rsid w:val="00A8457E"/>
    <w:rsid w:val="00A8463A"/>
    <w:rsid w:val="00A846F1"/>
    <w:rsid w:val="00A84928"/>
    <w:rsid w:val="00A84D00"/>
    <w:rsid w:val="00A84EF0"/>
    <w:rsid w:val="00A8536F"/>
    <w:rsid w:val="00A85695"/>
    <w:rsid w:val="00A856C3"/>
    <w:rsid w:val="00A85D39"/>
    <w:rsid w:val="00A85F29"/>
    <w:rsid w:val="00A86340"/>
    <w:rsid w:val="00A863DB"/>
    <w:rsid w:val="00A867A9"/>
    <w:rsid w:val="00A86EED"/>
    <w:rsid w:val="00A87064"/>
    <w:rsid w:val="00A8729F"/>
    <w:rsid w:val="00A8735F"/>
    <w:rsid w:val="00A87549"/>
    <w:rsid w:val="00A875EE"/>
    <w:rsid w:val="00A87911"/>
    <w:rsid w:val="00A879C4"/>
    <w:rsid w:val="00A87D11"/>
    <w:rsid w:val="00A87E98"/>
    <w:rsid w:val="00A87F2E"/>
    <w:rsid w:val="00A9006C"/>
    <w:rsid w:val="00A904E2"/>
    <w:rsid w:val="00A9092B"/>
    <w:rsid w:val="00A90B39"/>
    <w:rsid w:val="00A9148A"/>
    <w:rsid w:val="00A9160E"/>
    <w:rsid w:val="00A91964"/>
    <w:rsid w:val="00A920CF"/>
    <w:rsid w:val="00A92324"/>
    <w:rsid w:val="00A924EF"/>
    <w:rsid w:val="00A92CAF"/>
    <w:rsid w:val="00A92CE9"/>
    <w:rsid w:val="00A9338D"/>
    <w:rsid w:val="00A9395C"/>
    <w:rsid w:val="00A93D89"/>
    <w:rsid w:val="00A93DC2"/>
    <w:rsid w:val="00A9404C"/>
    <w:rsid w:val="00A942C5"/>
    <w:rsid w:val="00A942F0"/>
    <w:rsid w:val="00A9495E"/>
    <w:rsid w:val="00A94D28"/>
    <w:rsid w:val="00A94D32"/>
    <w:rsid w:val="00A94F5B"/>
    <w:rsid w:val="00A95197"/>
    <w:rsid w:val="00A95317"/>
    <w:rsid w:val="00A95399"/>
    <w:rsid w:val="00A95A64"/>
    <w:rsid w:val="00A9654E"/>
    <w:rsid w:val="00A96B83"/>
    <w:rsid w:val="00A96BCF"/>
    <w:rsid w:val="00A96DFB"/>
    <w:rsid w:val="00A96F1A"/>
    <w:rsid w:val="00A97360"/>
    <w:rsid w:val="00A97397"/>
    <w:rsid w:val="00A9753E"/>
    <w:rsid w:val="00A977A3"/>
    <w:rsid w:val="00A97964"/>
    <w:rsid w:val="00AA01BC"/>
    <w:rsid w:val="00AA06B8"/>
    <w:rsid w:val="00AA09C8"/>
    <w:rsid w:val="00AA12A2"/>
    <w:rsid w:val="00AA2059"/>
    <w:rsid w:val="00AA278E"/>
    <w:rsid w:val="00AA29A8"/>
    <w:rsid w:val="00AA29AB"/>
    <w:rsid w:val="00AA2BA3"/>
    <w:rsid w:val="00AA2FB3"/>
    <w:rsid w:val="00AA311B"/>
    <w:rsid w:val="00AA3540"/>
    <w:rsid w:val="00AA3552"/>
    <w:rsid w:val="00AA3CD2"/>
    <w:rsid w:val="00AA3EEB"/>
    <w:rsid w:val="00AA3FBA"/>
    <w:rsid w:val="00AA4094"/>
    <w:rsid w:val="00AA4208"/>
    <w:rsid w:val="00AA4521"/>
    <w:rsid w:val="00AA45F3"/>
    <w:rsid w:val="00AA4623"/>
    <w:rsid w:val="00AA4655"/>
    <w:rsid w:val="00AA46E1"/>
    <w:rsid w:val="00AA48B7"/>
    <w:rsid w:val="00AA5194"/>
    <w:rsid w:val="00AA5305"/>
    <w:rsid w:val="00AA5C00"/>
    <w:rsid w:val="00AA6155"/>
    <w:rsid w:val="00AA62BA"/>
    <w:rsid w:val="00AA62D2"/>
    <w:rsid w:val="00AA6F51"/>
    <w:rsid w:val="00AA705C"/>
    <w:rsid w:val="00AA7198"/>
    <w:rsid w:val="00AA73A2"/>
    <w:rsid w:val="00AA7B03"/>
    <w:rsid w:val="00AA7BF7"/>
    <w:rsid w:val="00AA7D40"/>
    <w:rsid w:val="00AB03A3"/>
    <w:rsid w:val="00AB0896"/>
    <w:rsid w:val="00AB08D6"/>
    <w:rsid w:val="00AB1573"/>
    <w:rsid w:val="00AB16D5"/>
    <w:rsid w:val="00AB16F6"/>
    <w:rsid w:val="00AB17CA"/>
    <w:rsid w:val="00AB1B5B"/>
    <w:rsid w:val="00AB1C76"/>
    <w:rsid w:val="00AB1EEB"/>
    <w:rsid w:val="00AB215E"/>
    <w:rsid w:val="00AB2399"/>
    <w:rsid w:val="00AB2439"/>
    <w:rsid w:val="00AB2568"/>
    <w:rsid w:val="00AB29A7"/>
    <w:rsid w:val="00AB2A71"/>
    <w:rsid w:val="00AB2D37"/>
    <w:rsid w:val="00AB2DA2"/>
    <w:rsid w:val="00AB333E"/>
    <w:rsid w:val="00AB362C"/>
    <w:rsid w:val="00AB3751"/>
    <w:rsid w:val="00AB3835"/>
    <w:rsid w:val="00AB3B84"/>
    <w:rsid w:val="00AB3C42"/>
    <w:rsid w:val="00AB3C98"/>
    <w:rsid w:val="00AB42F7"/>
    <w:rsid w:val="00AB45C2"/>
    <w:rsid w:val="00AB47CE"/>
    <w:rsid w:val="00AB48E8"/>
    <w:rsid w:val="00AB4AE6"/>
    <w:rsid w:val="00AB4DEA"/>
    <w:rsid w:val="00AB4E76"/>
    <w:rsid w:val="00AB4E8D"/>
    <w:rsid w:val="00AB5234"/>
    <w:rsid w:val="00AB5383"/>
    <w:rsid w:val="00AB55A2"/>
    <w:rsid w:val="00AB5BEA"/>
    <w:rsid w:val="00AB5CD2"/>
    <w:rsid w:val="00AB5D9E"/>
    <w:rsid w:val="00AB5E8F"/>
    <w:rsid w:val="00AB5EC5"/>
    <w:rsid w:val="00AB5F48"/>
    <w:rsid w:val="00AB6167"/>
    <w:rsid w:val="00AB61B8"/>
    <w:rsid w:val="00AB61E9"/>
    <w:rsid w:val="00AB6381"/>
    <w:rsid w:val="00AB6890"/>
    <w:rsid w:val="00AB6960"/>
    <w:rsid w:val="00AB6A8F"/>
    <w:rsid w:val="00AB6A9A"/>
    <w:rsid w:val="00AB6AC2"/>
    <w:rsid w:val="00AB6EC0"/>
    <w:rsid w:val="00AB78DC"/>
    <w:rsid w:val="00AB7AB5"/>
    <w:rsid w:val="00AB7AE6"/>
    <w:rsid w:val="00AB7B89"/>
    <w:rsid w:val="00AB7DE2"/>
    <w:rsid w:val="00AB7FC8"/>
    <w:rsid w:val="00AC0270"/>
    <w:rsid w:val="00AC0BFD"/>
    <w:rsid w:val="00AC0CA8"/>
    <w:rsid w:val="00AC0F60"/>
    <w:rsid w:val="00AC15CF"/>
    <w:rsid w:val="00AC1AC3"/>
    <w:rsid w:val="00AC1B24"/>
    <w:rsid w:val="00AC1D7D"/>
    <w:rsid w:val="00AC1DBB"/>
    <w:rsid w:val="00AC23CE"/>
    <w:rsid w:val="00AC2FCD"/>
    <w:rsid w:val="00AC315D"/>
    <w:rsid w:val="00AC369C"/>
    <w:rsid w:val="00AC373B"/>
    <w:rsid w:val="00AC3756"/>
    <w:rsid w:val="00AC3893"/>
    <w:rsid w:val="00AC394C"/>
    <w:rsid w:val="00AC3FA7"/>
    <w:rsid w:val="00AC40F2"/>
    <w:rsid w:val="00AC4175"/>
    <w:rsid w:val="00AC51A4"/>
    <w:rsid w:val="00AC5241"/>
    <w:rsid w:val="00AC5393"/>
    <w:rsid w:val="00AC53FD"/>
    <w:rsid w:val="00AC5953"/>
    <w:rsid w:val="00AC5A53"/>
    <w:rsid w:val="00AC5C50"/>
    <w:rsid w:val="00AC6375"/>
    <w:rsid w:val="00AC6590"/>
    <w:rsid w:val="00AC669C"/>
    <w:rsid w:val="00AC66BD"/>
    <w:rsid w:val="00AC6F37"/>
    <w:rsid w:val="00AC754B"/>
    <w:rsid w:val="00AC7BA6"/>
    <w:rsid w:val="00AC7FDB"/>
    <w:rsid w:val="00AD03BB"/>
    <w:rsid w:val="00AD0BE5"/>
    <w:rsid w:val="00AD10F7"/>
    <w:rsid w:val="00AD141E"/>
    <w:rsid w:val="00AD149E"/>
    <w:rsid w:val="00AD15B0"/>
    <w:rsid w:val="00AD177E"/>
    <w:rsid w:val="00AD19FA"/>
    <w:rsid w:val="00AD1B07"/>
    <w:rsid w:val="00AD1BD1"/>
    <w:rsid w:val="00AD1C63"/>
    <w:rsid w:val="00AD2056"/>
    <w:rsid w:val="00AD228A"/>
    <w:rsid w:val="00AD2428"/>
    <w:rsid w:val="00AD25F0"/>
    <w:rsid w:val="00AD27C6"/>
    <w:rsid w:val="00AD2ABB"/>
    <w:rsid w:val="00AD2C06"/>
    <w:rsid w:val="00AD2D18"/>
    <w:rsid w:val="00AD2D86"/>
    <w:rsid w:val="00AD345F"/>
    <w:rsid w:val="00AD34FF"/>
    <w:rsid w:val="00AD35A7"/>
    <w:rsid w:val="00AD3C84"/>
    <w:rsid w:val="00AD3E6C"/>
    <w:rsid w:val="00AD3EFA"/>
    <w:rsid w:val="00AD4400"/>
    <w:rsid w:val="00AD4996"/>
    <w:rsid w:val="00AD542F"/>
    <w:rsid w:val="00AD5B7B"/>
    <w:rsid w:val="00AD5BD8"/>
    <w:rsid w:val="00AD5FA9"/>
    <w:rsid w:val="00AD610E"/>
    <w:rsid w:val="00AD6415"/>
    <w:rsid w:val="00AD6C97"/>
    <w:rsid w:val="00AD6DBA"/>
    <w:rsid w:val="00AD6FEC"/>
    <w:rsid w:val="00AD746F"/>
    <w:rsid w:val="00AD75E9"/>
    <w:rsid w:val="00AD7B25"/>
    <w:rsid w:val="00AE09E2"/>
    <w:rsid w:val="00AE0DF1"/>
    <w:rsid w:val="00AE1683"/>
    <w:rsid w:val="00AE18E0"/>
    <w:rsid w:val="00AE1C39"/>
    <w:rsid w:val="00AE2343"/>
    <w:rsid w:val="00AE2356"/>
    <w:rsid w:val="00AE235B"/>
    <w:rsid w:val="00AE25BE"/>
    <w:rsid w:val="00AE34D6"/>
    <w:rsid w:val="00AE3699"/>
    <w:rsid w:val="00AE371D"/>
    <w:rsid w:val="00AE38CA"/>
    <w:rsid w:val="00AE394F"/>
    <w:rsid w:val="00AE3AF1"/>
    <w:rsid w:val="00AE3C87"/>
    <w:rsid w:val="00AE3D2C"/>
    <w:rsid w:val="00AE4314"/>
    <w:rsid w:val="00AE43E3"/>
    <w:rsid w:val="00AE45D6"/>
    <w:rsid w:val="00AE4890"/>
    <w:rsid w:val="00AE497C"/>
    <w:rsid w:val="00AE4E58"/>
    <w:rsid w:val="00AE4EEB"/>
    <w:rsid w:val="00AE51EC"/>
    <w:rsid w:val="00AE60CA"/>
    <w:rsid w:val="00AE619E"/>
    <w:rsid w:val="00AE6269"/>
    <w:rsid w:val="00AE6541"/>
    <w:rsid w:val="00AE68D5"/>
    <w:rsid w:val="00AE69FC"/>
    <w:rsid w:val="00AE6C3A"/>
    <w:rsid w:val="00AE79FE"/>
    <w:rsid w:val="00AE7B0C"/>
    <w:rsid w:val="00AE7E06"/>
    <w:rsid w:val="00AE7E15"/>
    <w:rsid w:val="00AE7F7F"/>
    <w:rsid w:val="00AF0215"/>
    <w:rsid w:val="00AF0356"/>
    <w:rsid w:val="00AF0512"/>
    <w:rsid w:val="00AF0D69"/>
    <w:rsid w:val="00AF12A0"/>
    <w:rsid w:val="00AF1635"/>
    <w:rsid w:val="00AF19B2"/>
    <w:rsid w:val="00AF1D45"/>
    <w:rsid w:val="00AF20D0"/>
    <w:rsid w:val="00AF25B2"/>
    <w:rsid w:val="00AF280B"/>
    <w:rsid w:val="00AF2842"/>
    <w:rsid w:val="00AF2861"/>
    <w:rsid w:val="00AF2CF4"/>
    <w:rsid w:val="00AF2DA4"/>
    <w:rsid w:val="00AF2EB9"/>
    <w:rsid w:val="00AF2F20"/>
    <w:rsid w:val="00AF2F9A"/>
    <w:rsid w:val="00AF3D6C"/>
    <w:rsid w:val="00AF3E6E"/>
    <w:rsid w:val="00AF41EB"/>
    <w:rsid w:val="00AF4719"/>
    <w:rsid w:val="00AF4E4C"/>
    <w:rsid w:val="00AF4F11"/>
    <w:rsid w:val="00AF5AC5"/>
    <w:rsid w:val="00AF5BFF"/>
    <w:rsid w:val="00AF5D10"/>
    <w:rsid w:val="00AF5E96"/>
    <w:rsid w:val="00AF6083"/>
    <w:rsid w:val="00AF6180"/>
    <w:rsid w:val="00AF6A81"/>
    <w:rsid w:val="00AF6B9F"/>
    <w:rsid w:val="00AF7001"/>
    <w:rsid w:val="00AF72FE"/>
    <w:rsid w:val="00AF7D59"/>
    <w:rsid w:val="00B009CE"/>
    <w:rsid w:val="00B00B86"/>
    <w:rsid w:val="00B00BB5"/>
    <w:rsid w:val="00B00D4A"/>
    <w:rsid w:val="00B00DA6"/>
    <w:rsid w:val="00B01265"/>
    <w:rsid w:val="00B0197B"/>
    <w:rsid w:val="00B02196"/>
    <w:rsid w:val="00B02291"/>
    <w:rsid w:val="00B0231B"/>
    <w:rsid w:val="00B023E8"/>
    <w:rsid w:val="00B027DE"/>
    <w:rsid w:val="00B02AFF"/>
    <w:rsid w:val="00B02BF1"/>
    <w:rsid w:val="00B02C11"/>
    <w:rsid w:val="00B02C5A"/>
    <w:rsid w:val="00B02FF7"/>
    <w:rsid w:val="00B03153"/>
    <w:rsid w:val="00B031C3"/>
    <w:rsid w:val="00B03672"/>
    <w:rsid w:val="00B03C74"/>
    <w:rsid w:val="00B03CF5"/>
    <w:rsid w:val="00B03DAE"/>
    <w:rsid w:val="00B0423E"/>
    <w:rsid w:val="00B04943"/>
    <w:rsid w:val="00B04949"/>
    <w:rsid w:val="00B04955"/>
    <w:rsid w:val="00B049C6"/>
    <w:rsid w:val="00B04E5F"/>
    <w:rsid w:val="00B04FE9"/>
    <w:rsid w:val="00B04FFF"/>
    <w:rsid w:val="00B055E7"/>
    <w:rsid w:val="00B059BE"/>
    <w:rsid w:val="00B05F08"/>
    <w:rsid w:val="00B06300"/>
    <w:rsid w:val="00B06463"/>
    <w:rsid w:val="00B06781"/>
    <w:rsid w:val="00B067BF"/>
    <w:rsid w:val="00B06962"/>
    <w:rsid w:val="00B06B2E"/>
    <w:rsid w:val="00B072C8"/>
    <w:rsid w:val="00B075B2"/>
    <w:rsid w:val="00B0769A"/>
    <w:rsid w:val="00B076CD"/>
    <w:rsid w:val="00B07832"/>
    <w:rsid w:val="00B0787E"/>
    <w:rsid w:val="00B10257"/>
    <w:rsid w:val="00B10DB6"/>
    <w:rsid w:val="00B11107"/>
    <w:rsid w:val="00B113F9"/>
    <w:rsid w:val="00B11518"/>
    <w:rsid w:val="00B1166C"/>
    <w:rsid w:val="00B118BB"/>
    <w:rsid w:val="00B1246A"/>
    <w:rsid w:val="00B12801"/>
    <w:rsid w:val="00B1297C"/>
    <w:rsid w:val="00B12FEE"/>
    <w:rsid w:val="00B131AA"/>
    <w:rsid w:val="00B132DE"/>
    <w:rsid w:val="00B1393D"/>
    <w:rsid w:val="00B13A14"/>
    <w:rsid w:val="00B13AFD"/>
    <w:rsid w:val="00B13E5C"/>
    <w:rsid w:val="00B142FC"/>
    <w:rsid w:val="00B144C2"/>
    <w:rsid w:val="00B146CF"/>
    <w:rsid w:val="00B14723"/>
    <w:rsid w:val="00B14928"/>
    <w:rsid w:val="00B14A28"/>
    <w:rsid w:val="00B14ADB"/>
    <w:rsid w:val="00B14DC7"/>
    <w:rsid w:val="00B14DEC"/>
    <w:rsid w:val="00B14FFB"/>
    <w:rsid w:val="00B152B3"/>
    <w:rsid w:val="00B1581E"/>
    <w:rsid w:val="00B15962"/>
    <w:rsid w:val="00B159E0"/>
    <w:rsid w:val="00B15B87"/>
    <w:rsid w:val="00B15D69"/>
    <w:rsid w:val="00B15F92"/>
    <w:rsid w:val="00B161AD"/>
    <w:rsid w:val="00B16885"/>
    <w:rsid w:val="00B16A51"/>
    <w:rsid w:val="00B16C4E"/>
    <w:rsid w:val="00B16F76"/>
    <w:rsid w:val="00B17710"/>
    <w:rsid w:val="00B1788D"/>
    <w:rsid w:val="00B202DB"/>
    <w:rsid w:val="00B20FA9"/>
    <w:rsid w:val="00B213E9"/>
    <w:rsid w:val="00B217A7"/>
    <w:rsid w:val="00B2208B"/>
    <w:rsid w:val="00B22243"/>
    <w:rsid w:val="00B223F1"/>
    <w:rsid w:val="00B225B4"/>
    <w:rsid w:val="00B226E3"/>
    <w:rsid w:val="00B22C0A"/>
    <w:rsid w:val="00B22C28"/>
    <w:rsid w:val="00B2353B"/>
    <w:rsid w:val="00B236B4"/>
    <w:rsid w:val="00B24313"/>
    <w:rsid w:val="00B24335"/>
    <w:rsid w:val="00B24472"/>
    <w:rsid w:val="00B244AB"/>
    <w:rsid w:val="00B2461F"/>
    <w:rsid w:val="00B24D79"/>
    <w:rsid w:val="00B25085"/>
    <w:rsid w:val="00B255AE"/>
    <w:rsid w:val="00B25655"/>
    <w:rsid w:val="00B259DE"/>
    <w:rsid w:val="00B25D35"/>
    <w:rsid w:val="00B25DE1"/>
    <w:rsid w:val="00B25E64"/>
    <w:rsid w:val="00B25FA5"/>
    <w:rsid w:val="00B2634A"/>
    <w:rsid w:val="00B26913"/>
    <w:rsid w:val="00B26B77"/>
    <w:rsid w:val="00B26D6B"/>
    <w:rsid w:val="00B26F4E"/>
    <w:rsid w:val="00B270C5"/>
    <w:rsid w:val="00B27216"/>
    <w:rsid w:val="00B27936"/>
    <w:rsid w:val="00B27FE6"/>
    <w:rsid w:val="00B303F8"/>
    <w:rsid w:val="00B3051C"/>
    <w:rsid w:val="00B30E2D"/>
    <w:rsid w:val="00B30FCE"/>
    <w:rsid w:val="00B31150"/>
    <w:rsid w:val="00B313A8"/>
    <w:rsid w:val="00B31789"/>
    <w:rsid w:val="00B319E9"/>
    <w:rsid w:val="00B31C49"/>
    <w:rsid w:val="00B31DCA"/>
    <w:rsid w:val="00B3206E"/>
    <w:rsid w:val="00B32222"/>
    <w:rsid w:val="00B3243E"/>
    <w:rsid w:val="00B32801"/>
    <w:rsid w:val="00B32DE1"/>
    <w:rsid w:val="00B32FB4"/>
    <w:rsid w:val="00B34259"/>
    <w:rsid w:val="00B3465F"/>
    <w:rsid w:val="00B34AB5"/>
    <w:rsid w:val="00B34CD8"/>
    <w:rsid w:val="00B34DF1"/>
    <w:rsid w:val="00B35221"/>
    <w:rsid w:val="00B3563B"/>
    <w:rsid w:val="00B35A24"/>
    <w:rsid w:val="00B35C4D"/>
    <w:rsid w:val="00B36174"/>
    <w:rsid w:val="00B36444"/>
    <w:rsid w:val="00B365FE"/>
    <w:rsid w:val="00B36B72"/>
    <w:rsid w:val="00B36D73"/>
    <w:rsid w:val="00B37724"/>
    <w:rsid w:val="00B378D1"/>
    <w:rsid w:val="00B37E99"/>
    <w:rsid w:val="00B40289"/>
    <w:rsid w:val="00B40441"/>
    <w:rsid w:val="00B40679"/>
    <w:rsid w:val="00B4081E"/>
    <w:rsid w:val="00B4086A"/>
    <w:rsid w:val="00B40C75"/>
    <w:rsid w:val="00B40D8C"/>
    <w:rsid w:val="00B40FE4"/>
    <w:rsid w:val="00B413DF"/>
    <w:rsid w:val="00B4148E"/>
    <w:rsid w:val="00B41F33"/>
    <w:rsid w:val="00B4230B"/>
    <w:rsid w:val="00B42452"/>
    <w:rsid w:val="00B42473"/>
    <w:rsid w:val="00B427AA"/>
    <w:rsid w:val="00B42BD1"/>
    <w:rsid w:val="00B42C6A"/>
    <w:rsid w:val="00B433EB"/>
    <w:rsid w:val="00B43851"/>
    <w:rsid w:val="00B43AC3"/>
    <w:rsid w:val="00B4406D"/>
    <w:rsid w:val="00B44AC4"/>
    <w:rsid w:val="00B44AE7"/>
    <w:rsid w:val="00B45203"/>
    <w:rsid w:val="00B4548A"/>
    <w:rsid w:val="00B4572A"/>
    <w:rsid w:val="00B457D0"/>
    <w:rsid w:val="00B45B2D"/>
    <w:rsid w:val="00B45F67"/>
    <w:rsid w:val="00B46027"/>
    <w:rsid w:val="00B46814"/>
    <w:rsid w:val="00B47078"/>
    <w:rsid w:val="00B47232"/>
    <w:rsid w:val="00B47329"/>
    <w:rsid w:val="00B47597"/>
    <w:rsid w:val="00B47620"/>
    <w:rsid w:val="00B477A9"/>
    <w:rsid w:val="00B47C77"/>
    <w:rsid w:val="00B47D21"/>
    <w:rsid w:val="00B47F6F"/>
    <w:rsid w:val="00B50350"/>
    <w:rsid w:val="00B50B09"/>
    <w:rsid w:val="00B50B19"/>
    <w:rsid w:val="00B50C1A"/>
    <w:rsid w:val="00B512B0"/>
    <w:rsid w:val="00B51341"/>
    <w:rsid w:val="00B51942"/>
    <w:rsid w:val="00B51BE0"/>
    <w:rsid w:val="00B52074"/>
    <w:rsid w:val="00B521AD"/>
    <w:rsid w:val="00B52834"/>
    <w:rsid w:val="00B52F72"/>
    <w:rsid w:val="00B52FF3"/>
    <w:rsid w:val="00B530F4"/>
    <w:rsid w:val="00B533FD"/>
    <w:rsid w:val="00B53494"/>
    <w:rsid w:val="00B53814"/>
    <w:rsid w:val="00B539A5"/>
    <w:rsid w:val="00B53A35"/>
    <w:rsid w:val="00B53CA6"/>
    <w:rsid w:val="00B53D37"/>
    <w:rsid w:val="00B53F5A"/>
    <w:rsid w:val="00B54376"/>
    <w:rsid w:val="00B548DE"/>
    <w:rsid w:val="00B54907"/>
    <w:rsid w:val="00B54FB0"/>
    <w:rsid w:val="00B550E7"/>
    <w:rsid w:val="00B55148"/>
    <w:rsid w:val="00B55627"/>
    <w:rsid w:val="00B558B8"/>
    <w:rsid w:val="00B55F13"/>
    <w:rsid w:val="00B5623A"/>
    <w:rsid w:val="00B56D46"/>
    <w:rsid w:val="00B56DF3"/>
    <w:rsid w:val="00B56F76"/>
    <w:rsid w:val="00B56F9E"/>
    <w:rsid w:val="00B57117"/>
    <w:rsid w:val="00B574D7"/>
    <w:rsid w:val="00B575A8"/>
    <w:rsid w:val="00B575D4"/>
    <w:rsid w:val="00B576EC"/>
    <w:rsid w:val="00B579F5"/>
    <w:rsid w:val="00B57C13"/>
    <w:rsid w:val="00B605F5"/>
    <w:rsid w:val="00B606A8"/>
    <w:rsid w:val="00B60BEA"/>
    <w:rsid w:val="00B60F9D"/>
    <w:rsid w:val="00B6162F"/>
    <w:rsid w:val="00B61BB8"/>
    <w:rsid w:val="00B61CFC"/>
    <w:rsid w:val="00B61EB6"/>
    <w:rsid w:val="00B62472"/>
    <w:rsid w:val="00B62824"/>
    <w:rsid w:val="00B62A0C"/>
    <w:rsid w:val="00B6311E"/>
    <w:rsid w:val="00B63733"/>
    <w:rsid w:val="00B63F19"/>
    <w:rsid w:val="00B642CC"/>
    <w:rsid w:val="00B6439A"/>
    <w:rsid w:val="00B64469"/>
    <w:rsid w:val="00B64A2F"/>
    <w:rsid w:val="00B64A67"/>
    <w:rsid w:val="00B65179"/>
    <w:rsid w:val="00B65708"/>
    <w:rsid w:val="00B657DC"/>
    <w:rsid w:val="00B65920"/>
    <w:rsid w:val="00B65BB1"/>
    <w:rsid w:val="00B65FF9"/>
    <w:rsid w:val="00B66031"/>
    <w:rsid w:val="00B66116"/>
    <w:rsid w:val="00B663FB"/>
    <w:rsid w:val="00B66B09"/>
    <w:rsid w:val="00B66E79"/>
    <w:rsid w:val="00B67181"/>
    <w:rsid w:val="00B674D3"/>
    <w:rsid w:val="00B67518"/>
    <w:rsid w:val="00B6799F"/>
    <w:rsid w:val="00B67A60"/>
    <w:rsid w:val="00B67A70"/>
    <w:rsid w:val="00B7000B"/>
    <w:rsid w:val="00B7015D"/>
    <w:rsid w:val="00B70255"/>
    <w:rsid w:val="00B7062F"/>
    <w:rsid w:val="00B70807"/>
    <w:rsid w:val="00B708E5"/>
    <w:rsid w:val="00B7141A"/>
    <w:rsid w:val="00B71795"/>
    <w:rsid w:val="00B717C1"/>
    <w:rsid w:val="00B71900"/>
    <w:rsid w:val="00B71AAE"/>
    <w:rsid w:val="00B71C8B"/>
    <w:rsid w:val="00B71DBB"/>
    <w:rsid w:val="00B71FC1"/>
    <w:rsid w:val="00B723FE"/>
    <w:rsid w:val="00B728B1"/>
    <w:rsid w:val="00B729BF"/>
    <w:rsid w:val="00B72A05"/>
    <w:rsid w:val="00B72B0B"/>
    <w:rsid w:val="00B72CC6"/>
    <w:rsid w:val="00B72DDE"/>
    <w:rsid w:val="00B72F11"/>
    <w:rsid w:val="00B732C5"/>
    <w:rsid w:val="00B734E9"/>
    <w:rsid w:val="00B73B77"/>
    <w:rsid w:val="00B73DF1"/>
    <w:rsid w:val="00B73EE1"/>
    <w:rsid w:val="00B7454B"/>
    <w:rsid w:val="00B7460D"/>
    <w:rsid w:val="00B7489E"/>
    <w:rsid w:val="00B74E14"/>
    <w:rsid w:val="00B758DB"/>
    <w:rsid w:val="00B75A91"/>
    <w:rsid w:val="00B76233"/>
    <w:rsid w:val="00B7684B"/>
    <w:rsid w:val="00B768DC"/>
    <w:rsid w:val="00B76A21"/>
    <w:rsid w:val="00B76A82"/>
    <w:rsid w:val="00B76B20"/>
    <w:rsid w:val="00B76C1A"/>
    <w:rsid w:val="00B76C4D"/>
    <w:rsid w:val="00B76C65"/>
    <w:rsid w:val="00B77508"/>
    <w:rsid w:val="00B77829"/>
    <w:rsid w:val="00B77A4E"/>
    <w:rsid w:val="00B77A89"/>
    <w:rsid w:val="00B77B04"/>
    <w:rsid w:val="00B77C13"/>
    <w:rsid w:val="00B77D40"/>
    <w:rsid w:val="00B77E58"/>
    <w:rsid w:val="00B77FD9"/>
    <w:rsid w:val="00B80283"/>
    <w:rsid w:val="00B80635"/>
    <w:rsid w:val="00B80959"/>
    <w:rsid w:val="00B80BAB"/>
    <w:rsid w:val="00B81135"/>
    <w:rsid w:val="00B811B9"/>
    <w:rsid w:val="00B81328"/>
    <w:rsid w:val="00B813D2"/>
    <w:rsid w:val="00B814D6"/>
    <w:rsid w:val="00B818DF"/>
    <w:rsid w:val="00B81ABE"/>
    <w:rsid w:val="00B81D54"/>
    <w:rsid w:val="00B81EE3"/>
    <w:rsid w:val="00B81F6A"/>
    <w:rsid w:val="00B82038"/>
    <w:rsid w:val="00B827C0"/>
    <w:rsid w:val="00B82E1C"/>
    <w:rsid w:val="00B82F61"/>
    <w:rsid w:val="00B83632"/>
    <w:rsid w:val="00B84041"/>
    <w:rsid w:val="00B84296"/>
    <w:rsid w:val="00B84501"/>
    <w:rsid w:val="00B8457D"/>
    <w:rsid w:val="00B84C2E"/>
    <w:rsid w:val="00B84FF3"/>
    <w:rsid w:val="00B850C3"/>
    <w:rsid w:val="00B856EC"/>
    <w:rsid w:val="00B85BC7"/>
    <w:rsid w:val="00B8609D"/>
    <w:rsid w:val="00B86643"/>
    <w:rsid w:val="00B86DC0"/>
    <w:rsid w:val="00B8721A"/>
    <w:rsid w:val="00B873BF"/>
    <w:rsid w:val="00B874A4"/>
    <w:rsid w:val="00B874C9"/>
    <w:rsid w:val="00B8790B"/>
    <w:rsid w:val="00B87B7B"/>
    <w:rsid w:val="00B87C03"/>
    <w:rsid w:val="00B87C11"/>
    <w:rsid w:val="00B87D79"/>
    <w:rsid w:val="00B90114"/>
    <w:rsid w:val="00B90584"/>
    <w:rsid w:val="00B90A8F"/>
    <w:rsid w:val="00B90BC7"/>
    <w:rsid w:val="00B90D2F"/>
    <w:rsid w:val="00B91078"/>
    <w:rsid w:val="00B9159C"/>
    <w:rsid w:val="00B917D1"/>
    <w:rsid w:val="00B91808"/>
    <w:rsid w:val="00B919F9"/>
    <w:rsid w:val="00B92B74"/>
    <w:rsid w:val="00B92C61"/>
    <w:rsid w:val="00B9319B"/>
    <w:rsid w:val="00B93325"/>
    <w:rsid w:val="00B93375"/>
    <w:rsid w:val="00B9344B"/>
    <w:rsid w:val="00B93618"/>
    <w:rsid w:val="00B9362D"/>
    <w:rsid w:val="00B936F3"/>
    <w:rsid w:val="00B93FFA"/>
    <w:rsid w:val="00B941E5"/>
    <w:rsid w:val="00B944FE"/>
    <w:rsid w:val="00B946A4"/>
    <w:rsid w:val="00B94B2A"/>
    <w:rsid w:val="00B94EFF"/>
    <w:rsid w:val="00B95010"/>
    <w:rsid w:val="00B956EA"/>
    <w:rsid w:val="00B95B3A"/>
    <w:rsid w:val="00B95E08"/>
    <w:rsid w:val="00B95F82"/>
    <w:rsid w:val="00B9611D"/>
    <w:rsid w:val="00B961AC"/>
    <w:rsid w:val="00B96224"/>
    <w:rsid w:val="00B96AEC"/>
    <w:rsid w:val="00B96CB6"/>
    <w:rsid w:val="00B96D94"/>
    <w:rsid w:val="00B96DAE"/>
    <w:rsid w:val="00B96DDE"/>
    <w:rsid w:val="00B9701B"/>
    <w:rsid w:val="00B97176"/>
    <w:rsid w:val="00B9746B"/>
    <w:rsid w:val="00B9749C"/>
    <w:rsid w:val="00B97D57"/>
    <w:rsid w:val="00BA0103"/>
    <w:rsid w:val="00BA048F"/>
    <w:rsid w:val="00BA0852"/>
    <w:rsid w:val="00BA0CA1"/>
    <w:rsid w:val="00BA0CB6"/>
    <w:rsid w:val="00BA0E93"/>
    <w:rsid w:val="00BA1C70"/>
    <w:rsid w:val="00BA1C95"/>
    <w:rsid w:val="00BA1E3C"/>
    <w:rsid w:val="00BA1ED7"/>
    <w:rsid w:val="00BA1F84"/>
    <w:rsid w:val="00BA2235"/>
    <w:rsid w:val="00BA2248"/>
    <w:rsid w:val="00BA244E"/>
    <w:rsid w:val="00BA2717"/>
    <w:rsid w:val="00BA279A"/>
    <w:rsid w:val="00BA2A4A"/>
    <w:rsid w:val="00BA2BE4"/>
    <w:rsid w:val="00BA30CC"/>
    <w:rsid w:val="00BA30FF"/>
    <w:rsid w:val="00BA3346"/>
    <w:rsid w:val="00BA37B1"/>
    <w:rsid w:val="00BA42B5"/>
    <w:rsid w:val="00BA4441"/>
    <w:rsid w:val="00BA473C"/>
    <w:rsid w:val="00BA49BC"/>
    <w:rsid w:val="00BA4C69"/>
    <w:rsid w:val="00BA4E40"/>
    <w:rsid w:val="00BA51CA"/>
    <w:rsid w:val="00BA5233"/>
    <w:rsid w:val="00BA5559"/>
    <w:rsid w:val="00BA55E6"/>
    <w:rsid w:val="00BA57C0"/>
    <w:rsid w:val="00BA6550"/>
    <w:rsid w:val="00BA7015"/>
    <w:rsid w:val="00BA7063"/>
    <w:rsid w:val="00BA7279"/>
    <w:rsid w:val="00BA74C3"/>
    <w:rsid w:val="00BA74CE"/>
    <w:rsid w:val="00BA75A2"/>
    <w:rsid w:val="00BA7D6E"/>
    <w:rsid w:val="00BB0003"/>
    <w:rsid w:val="00BB0370"/>
    <w:rsid w:val="00BB06CE"/>
    <w:rsid w:val="00BB0796"/>
    <w:rsid w:val="00BB0844"/>
    <w:rsid w:val="00BB0981"/>
    <w:rsid w:val="00BB0CA1"/>
    <w:rsid w:val="00BB0D42"/>
    <w:rsid w:val="00BB102B"/>
    <w:rsid w:val="00BB11DB"/>
    <w:rsid w:val="00BB16AE"/>
    <w:rsid w:val="00BB1BB5"/>
    <w:rsid w:val="00BB1FDC"/>
    <w:rsid w:val="00BB2250"/>
    <w:rsid w:val="00BB22FD"/>
    <w:rsid w:val="00BB27A9"/>
    <w:rsid w:val="00BB28F3"/>
    <w:rsid w:val="00BB2C4C"/>
    <w:rsid w:val="00BB2F36"/>
    <w:rsid w:val="00BB2FAA"/>
    <w:rsid w:val="00BB37C9"/>
    <w:rsid w:val="00BB384B"/>
    <w:rsid w:val="00BB3942"/>
    <w:rsid w:val="00BB399F"/>
    <w:rsid w:val="00BB39EC"/>
    <w:rsid w:val="00BB3CDB"/>
    <w:rsid w:val="00BB3F89"/>
    <w:rsid w:val="00BB3FA5"/>
    <w:rsid w:val="00BB43F5"/>
    <w:rsid w:val="00BB4912"/>
    <w:rsid w:val="00BB49BF"/>
    <w:rsid w:val="00BB65DD"/>
    <w:rsid w:val="00BB679D"/>
    <w:rsid w:val="00BB6E03"/>
    <w:rsid w:val="00BB6F55"/>
    <w:rsid w:val="00BB70FB"/>
    <w:rsid w:val="00BB7111"/>
    <w:rsid w:val="00BB773C"/>
    <w:rsid w:val="00BB7BE0"/>
    <w:rsid w:val="00BB7F2A"/>
    <w:rsid w:val="00BC03D2"/>
    <w:rsid w:val="00BC0589"/>
    <w:rsid w:val="00BC063C"/>
    <w:rsid w:val="00BC075F"/>
    <w:rsid w:val="00BC0C05"/>
    <w:rsid w:val="00BC0C16"/>
    <w:rsid w:val="00BC0F18"/>
    <w:rsid w:val="00BC145F"/>
    <w:rsid w:val="00BC173B"/>
    <w:rsid w:val="00BC1C55"/>
    <w:rsid w:val="00BC1D16"/>
    <w:rsid w:val="00BC1E02"/>
    <w:rsid w:val="00BC1F44"/>
    <w:rsid w:val="00BC200B"/>
    <w:rsid w:val="00BC2176"/>
    <w:rsid w:val="00BC21F0"/>
    <w:rsid w:val="00BC2401"/>
    <w:rsid w:val="00BC2685"/>
    <w:rsid w:val="00BC2703"/>
    <w:rsid w:val="00BC289D"/>
    <w:rsid w:val="00BC298E"/>
    <w:rsid w:val="00BC2C15"/>
    <w:rsid w:val="00BC3097"/>
    <w:rsid w:val="00BC31C1"/>
    <w:rsid w:val="00BC327A"/>
    <w:rsid w:val="00BC36DD"/>
    <w:rsid w:val="00BC392F"/>
    <w:rsid w:val="00BC3A67"/>
    <w:rsid w:val="00BC3BDA"/>
    <w:rsid w:val="00BC50A1"/>
    <w:rsid w:val="00BC51BF"/>
    <w:rsid w:val="00BC542E"/>
    <w:rsid w:val="00BC5468"/>
    <w:rsid w:val="00BC5CE3"/>
    <w:rsid w:val="00BC6167"/>
    <w:rsid w:val="00BC64A8"/>
    <w:rsid w:val="00BC67AF"/>
    <w:rsid w:val="00BC6B35"/>
    <w:rsid w:val="00BC71DA"/>
    <w:rsid w:val="00BC765C"/>
    <w:rsid w:val="00BC7ACC"/>
    <w:rsid w:val="00BC7E35"/>
    <w:rsid w:val="00BC7E6E"/>
    <w:rsid w:val="00BC7E7F"/>
    <w:rsid w:val="00BC7F26"/>
    <w:rsid w:val="00BC7FE7"/>
    <w:rsid w:val="00BD1243"/>
    <w:rsid w:val="00BD13A9"/>
    <w:rsid w:val="00BD13EF"/>
    <w:rsid w:val="00BD14A8"/>
    <w:rsid w:val="00BD1992"/>
    <w:rsid w:val="00BD1C10"/>
    <w:rsid w:val="00BD1CAC"/>
    <w:rsid w:val="00BD2017"/>
    <w:rsid w:val="00BD2280"/>
    <w:rsid w:val="00BD231E"/>
    <w:rsid w:val="00BD2743"/>
    <w:rsid w:val="00BD2810"/>
    <w:rsid w:val="00BD307D"/>
    <w:rsid w:val="00BD4081"/>
    <w:rsid w:val="00BD4094"/>
    <w:rsid w:val="00BD411B"/>
    <w:rsid w:val="00BD4921"/>
    <w:rsid w:val="00BD4C96"/>
    <w:rsid w:val="00BD504D"/>
    <w:rsid w:val="00BD506B"/>
    <w:rsid w:val="00BD5726"/>
    <w:rsid w:val="00BD5BF2"/>
    <w:rsid w:val="00BD615E"/>
    <w:rsid w:val="00BD6189"/>
    <w:rsid w:val="00BD6674"/>
    <w:rsid w:val="00BD6F38"/>
    <w:rsid w:val="00BD713E"/>
    <w:rsid w:val="00BD776C"/>
    <w:rsid w:val="00BD7A55"/>
    <w:rsid w:val="00BD7BFD"/>
    <w:rsid w:val="00BD7ED2"/>
    <w:rsid w:val="00BD7FAD"/>
    <w:rsid w:val="00BE0016"/>
    <w:rsid w:val="00BE0A71"/>
    <w:rsid w:val="00BE0AA7"/>
    <w:rsid w:val="00BE0BA4"/>
    <w:rsid w:val="00BE0BB7"/>
    <w:rsid w:val="00BE0CC9"/>
    <w:rsid w:val="00BE0EF5"/>
    <w:rsid w:val="00BE0FAD"/>
    <w:rsid w:val="00BE1110"/>
    <w:rsid w:val="00BE12B3"/>
    <w:rsid w:val="00BE13F7"/>
    <w:rsid w:val="00BE14C4"/>
    <w:rsid w:val="00BE14E7"/>
    <w:rsid w:val="00BE16FD"/>
    <w:rsid w:val="00BE1887"/>
    <w:rsid w:val="00BE1C39"/>
    <w:rsid w:val="00BE1DE8"/>
    <w:rsid w:val="00BE1E8C"/>
    <w:rsid w:val="00BE2082"/>
    <w:rsid w:val="00BE20A5"/>
    <w:rsid w:val="00BE20E4"/>
    <w:rsid w:val="00BE22E7"/>
    <w:rsid w:val="00BE2680"/>
    <w:rsid w:val="00BE2DA8"/>
    <w:rsid w:val="00BE315B"/>
    <w:rsid w:val="00BE39AF"/>
    <w:rsid w:val="00BE3AEA"/>
    <w:rsid w:val="00BE3BFD"/>
    <w:rsid w:val="00BE3F66"/>
    <w:rsid w:val="00BE4462"/>
    <w:rsid w:val="00BE4463"/>
    <w:rsid w:val="00BE4515"/>
    <w:rsid w:val="00BE45CE"/>
    <w:rsid w:val="00BE4D90"/>
    <w:rsid w:val="00BE4DFA"/>
    <w:rsid w:val="00BE50B0"/>
    <w:rsid w:val="00BE553F"/>
    <w:rsid w:val="00BE58E8"/>
    <w:rsid w:val="00BE59BE"/>
    <w:rsid w:val="00BE5D28"/>
    <w:rsid w:val="00BE5FDF"/>
    <w:rsid w:val="00BE653B"/>
    <w:rsid w:val="00BE65B0"/>
    <w:rsid w:val="00BE6861"/>
    <w:rsid w:val="00BE688B"/>
    <w:rsid w:val="00BE697A"/>
    <w:rsid w:val="00BE7231"/>
    <w:rsid w:val="00BE73B8"/>
    <w:rsid w:val="00BE79DA"/>
    <w:rsid w:val="00BE7ED0"/>
    <w:rsid w:val="00BF005E"/>
    <w:rsid w:val="00BF06EB"/>
    <w:rsid w:val="00BF0ED3"/>
    <w:rsid w:val="00BF1118"/>
    <w:rsid w:val="00BF1240"/>
    <w:rsid w:val="00BF1AF7"/>
    <w:rsid w:val="00BF1D21"/>
    <w:rsid w:val="00BF1D41"/>
    <w:rsid w:val="00BF1D52"/>
    <w:rsid w:val="00BF1EFA"/>
    <w:rsid w:val="00BF2187"/>
    <w:rsid w:val="00BF2F86"/>
    <w:rsid w:val="00BF3156"/>
    <w:rsid w:val="00BF3300"/>
    <w:rsid w:val="00BF34FF"/>
    <w:rsid w:val="00BF3742"/>
    <w:rsid w:val="00BF37F6"/>
    <w:rsid w:val="00BF3A84"/>
    <w:rsid w:val="00BF3AD6"/>
    <w:rsid w:val="00BF3BCF"/>
    <w:rsid w:val="00BF3D98"/>
    <w:rsid w:val="00BF4298"/>
    <w:rsid w:val="00BF46B4"/>
    <w:rsid w:val="00BF4777"/>
    <w:rsid w:val="00BF50BF"/>
    <w:rsid w:val="00BF5124"/>
    <w:rsid w:val="00BF53CB"/>
    <w:rsid w:val="00BF65B3"/>
    <w:rsid w:val="00BF6632"/>
    <w:rsid w:val="00BF66CB"/>
    <w:rsid w:val="00BF671E"/>
    <w:rsid w:val="00BF6B55"/>
    <w:rsid w:val="00BF6C23"/>
    <w:rsid w:val="00BF6CAF"/>
    <w:rsid w:val="00BF710E"/>
    <w:rsid w:val="00BF7389"/>
    <w:rsid w:val="00BF7396"/>
    <w:rsid w:val="00BF73C5"/>
    <w:rsid w:val="00BF7596"/>
    <w:rsid w:val="00BF799C"/>
    <w:rsid w:val="00BF7AE9"/>
    <w:rsid w:val="00BF7EC5"/>
    <w:rsid w:val="00C00308"/>
    <w:rsid w:val="00C003D8"/>
    <w:rsid w:val="00C004F3"/>
    <w:rsid w:val="00C00D2C"/>
    <w:rsid w:val="00C00F8B"/>
    <w:rsid w:val="00C01093"/>
    <w:rsid w:val="00C012B3"/>
    <w:rsid w:val="00C012DF"/>
    <w:rsid w:val="00C013D8"/>
    <w:rsid w:val="00C01415"/>
    <w:rsid w:val="00C017E3"/>
    <w:rsid w:val="00C01829"/>
    <w:rsid w:val="00C01A2A"/>
    <w:rsid w:val="00C01AC8"/>
    <w:rsid w:val="00C01C58"/>
    <w:rsid w:val="00C01FF5"/>
    <w:rsid w:val="00C022D7"/>
    <w:rsid w:val="00C02686"/>
    <w:rsid w:val="00C02756"/>
    <w:rsid w:val="00C02CA1"/>
    <w:rsid w:val="00C0345B"/>
    <w:rsid w:val="00C03612"/>
    <w:rsid w:val="00C03997"/>
    <w:rsid w:val="00C039C0"/>
    <w:rsid w:val="00C03C8F"/>
    <w:rsid w:val="00C04542"/>
    <w:rsid w:val="00C04723"/>
    <w:rsid w:val="00C04803"/>
    <w:rsid w:val="00C04B45"/>
    <w:rsid w:val="00C04CA7"/>
    <w:rsid w:val="00C051DB"/>
    <w:rsid w:val="00C054D4"/>
    <w:rsid w:val="00C054F0"/>
    <w:rsid w:val="00C05514"/>
    <w:rsid w:val="00C05705"/>
    <w:rsid w:val="00C05751"/>
    <w:rsid w:val="00C05ED3"/>
    <w:rsid w:val="00C05F13"/>
    <w:rsid w:val="00C06288"/>
    <w:rsid w:val="00C06450"/>
    <w:rsid w:val="00C0663D"/>
    <w:rsid w:val="00C06814"/>
    <w:rsid w:val="00C06E51"/>
    <w:rsid w:val="00C06EE5"/>
    <w:rsid w:val="00C0702D"/>
    <w:rsid w:val="00C07159"/>
    <w:rsid w:val="00C07200"/>
    <w:rsid w:val="00C075AC"/>
    <w:rsid w:val="00C075F7"/>
    <w:rsid w:val="00C0785C"/>
    <w:rsid w:val="00C078BD"/>
    <w:rsid w:val="00C07C11"/>
    <w:rsid w:val="00C107F7"/>
    <w:rsid w:val="00C10CBB"/>
    <w:rsid w:val="00C10DD3"/>
    <w:rsid w:val="00C10F31"/>
    <w:rsid w:val="00C10F54"/>
    <w:rsid w:val="00C11577"/>
    <w:rsid w:val="00C1181E"/>
    <w:rsid w:val="00C11AAE"/>
    <w:rsid w:val="00C11C3C"/>
    <w:rsid w:val="00C11DF2"/>
    <w:rsid w:val="00C11FE8"/>
    <w:rsid w:val="00C12308"/>
    <w:rsid w:val="00C12423"/>
    <w:rsid w:val="00C12628"/>
    <w:rsid w:val="00C1281B"/>
    <w:rsid w:val="00C12BC1"/>
    <w:rsid w:val="00C12C2F"/>
    <w:rsid w:val="00C12F9D"/>
    <w:rsid w:val="00C133E2"/>
    <w:rsid w:val="00C13811"/>
    <w:rsid w:val="00C138A3"/>
    <w:rsid w:val="00C138EF"/>
    <w:rsid w:val="00C13A15"/>
    <w:rsid w:val="00C13B38"/>
    <w:rsid w:val="00C13C80"/>
    <w:rsid w:val="00C1400C"/>
    <w:rsid w:val="00C140B0"/>
    <w:rsid w:val="00C14132"/>
    <w:rsid w:val="00C142D7"/>
    <w:rsid w:val="00C145BC"/>
    <w:rsid w:val="00C145EB"/>
    <w:rsid w:val="00C1463E"/>
    <w:rsid w:val="00C1469B"/>
    <w:rsid w:val="00C1490A"/>
    <w:rsid w:val="00C1492A"/>
    <w:rsid w:val="00C14A5A"/>
    <w:rsid w:val="00C14B97"/>
    <w:rsid w:val="00C14BED"/>
    <w:rsid w:val="00C14C8E"/>
    <w:rsid w:val="00C14FA8"/>
    <w:rsid w:val="00C1603E"/>
    <w:rsid w:val="00C1616D"/>
    <w:rsid w:val="00C16180"/>
    <w:rsid w:val="00C167F8"/>
    <w:rsid w:val="00C16A7E"/>
    <w:rsid w:val="00C17040"/>
    <w:rsid w:val="00C17353"/>
    <w:rsid w:val="00C177B7"/>
    <w:rsid w:val="00C17805"/>
    <w:rsid w:val="00C17AE9"/>
    <w:rsid w:val="00C202C7"/>
    <w:rsid w:val="00C2034E"/>
    <w:rsid w:val="00C2066D"/>
    <w:rsid w:val="00C20DE3"/>
    <w:rsid w:val="00C21042"/>
    <w:rsid w:val="00C219F2"/>
    <w:rsid w:val="00C2214D"/>
    <w:rsid w:val="00C2235E"/>
    <w:rsid w:val="00C22698"/>
    <w:rsid w:val="00C22A46"/>
    <w:rsid w:val="00C22FBF"/>
    <w:rsid w:val="00C237EE"/>
    <w:rsid w:val="00C23868"/>
    <w:rsid w:val="00C23F83"/>
    <w:rsid w:val="00C24238"/>
    <w:rsid w:val="00C242D9"/>
    <w:rsid w:val="00C243F7"/>
    <w:rsid w:val="00C24545"/>
    <w:rsid w:val="00C24637"/>
    <w:rsid w:val="00C2495B"/>
    <w:rsid w:val="00C24BC6"/>
    <w:rsid w:val="00C24C36"/>
    <w:rsid w:val="00C24EE7"/>
    <w:rsid w:val="00C25028"/>
    <w:rsid w:val="00C25135"/>
    <w:rsid w:val="00C25242"/>
    <w:rsid w:val="00C25339"/>
    <w:rsid w:val="00C2583B"/>
    <w:rsid w:val="00C25863"/>
    <w:rsid w:val="00C25E2C"/>
    <w:rsid w:val="00C25EF9"/>
    <w:rsid w:val="00C2606D"/>
    <w:rsid w:val="00C2618C"/>
    <w:rsid w:val="00C262BF"/>
    <w:rsid w:val="00C26469"/>
    <w:rsid w:val="00C26516"/>
    <w:rsid w:val="00C265F1"/>
    <w:rsid w:val="00C269D1"/>
    <w:rsid w:val="00C2700D"/>
    <w:rsid w:val="00C275AD"/>
    <w:rsid w:val="00C30245"/>
    <w:rsid w:val="00C304A2"/>
    <w:rsid w:val="00C30910"/>
    <w:rsid w:val="00C30BCD"/>
    <w:rsid w:val="00C31546"/>
    <w:rsid w:val="00C31595"/>
    <w:rsid w:val="00C31A85"/>
    <w:rsid w:val="00C31B28"/>
    <w:rsid w:val="00C3214B"/>
    <w:rsid w:val="00C32429"/>
    <w:rsid w:val="00C325EF"/>
    <w:rsid w:val="00C32A5F"/>
    <w:rsid w:val="00C32F4A"/>
    <w:rsid w:val="00C32F8C"/>
    <w:rsid w:val="00C33029"/>
    <w:rsid w:val="00C33122"/>
    <w:rsid w:val="00C333CE"/>
    <w:rsid w:val="00C334BD"/>
    <w:rsid w:val="00C3365D"/>
    <w:rsid w:val="00C341B5"/>
    <w:rsid w:val="00C3442A"/>
    <w:rsid w:val="00C34632"/>
    <w:rsid w:val="00C349D0"/>
    <w:rsid w:val="00C34C02"/>
    <w:rsid w:val="00C34D14"/>
    <w:rsid w:val="00C35159"/>
    <w:rsid w:val="00C3549F"/>
    <w:rsid w:val="00C354F0"/>
    <w:rsid w:val="00C35936"/>
    <w:rsid w:val="00C3615C"/>
    <w:rsid w:val="00C36617"/>
    <w:rsid w:val="00C36C08"/>
    <w:rsid w:val="00C372E1"/>
    <w:rsid w:val="00C376E9"/>
    <w:rsid w:val="00C3782D"/>
    <w:rsid w:val="00C37BF2"/>
    <w:rsid w:val="00C40318"/>
    <w:rsid w:val="00C40352"/>
    <w:rsid w:val="00C40ABA"/>
    <w:rsid w:val="00C40B74"/>
    <w:rsid w:val="00C416EA"/>
    <w:rsid w:val="00C41716"/>
    <w:rsid w:val="00C41DE7"/>
    <w:rsid w:val="00C424C5"/>
    <w:rsid w:val="00C42FD9"/>
    <w:rsid w:val="00C43351"/>
    <w:rsid w:val="00C4395F"/>
    <w:rsid w:val="00C439D4"/>
    <w:rsid w:val="00C439E7"/>
    <w:rsid w:val="00C43C6E"/>
    <w:rsid w:val="00C43CDD"/>
    <w:rsid w:val="00C43D6C"/>
    <w:rsid w:val="00C44341"/>
    <w:rsid w:val="00C44531"/>
    <w:rsid w:val="00C44953"/>
    <w:rsid w:val="00C44A6D"/>
    <w:rsid w:val="00C44D4E"/>
    <w:rsid w:val="00C44DDA"/>
    <w:rsid w:val="00C45082"/>
    <w:rsid w:val="00C4537E"/>
    <w:rsid w:val="00C453D2"/>
    <w:rsid w:val="00C45699"/>
    <w:rsid w:val="00C463EB"/>
    <w:rsid w:val="00C46448"/>
    <w:rsid w:val="00C46453"/>
    <w:rsid w:val="00C466E2"/>
    <w:rsid w:val="00C46716"/>
    <w:rsid w:val="00C46D1A"/>
    <w:rsid w:val="00C46DBC"/>
    <w:rsid w:val="00C46EA6"/>
    <w:rsid w:val="00C46FAC"/>
    <w:rsid w:val="00C47029"/>
    <w:rsid w:val="00C47368"/>
    <w:rsid w:val="00C47513"/>
    <w:rsid w:val="00C47522"/>
    <w:rsid w:val="00C47737"/>
    <w:rsid w:val="00C478B3"/>
    <w:rsid w:val="00C47BEF"/>
    <w:rsid w:val="00C503CB"/>
    <w:rsid w:val="00C5084F"/>
    <w:rsid w:val="00C50C9F"/>
    <w:rsid w:val="00C51553"/>
    <w:rsid w:val="00C51A6A"/>
    <w:rsid w:val="00C52348"/>
    <w:rsid w:val="00C52382"/>
    <w:rsid w:val="00C5239F"/>
    <w:rsid w:val="00C52408"/>
    <w:rsid w:val="00C52806"/>
    <w:rsid w:val="00C5280F"/>
    <w:rsid w:val="00C52932"/>
    <w:rsid w:val="00C52DBA"/>
    <w:rsid w:val="00C53095"/>
    <w:rsid w:val="00C530D0"/>
    <w:rsid w:val="00C5351E"/>
    <w:rsid w:val="00C536A3"/>
    <w:rsid w:val="00C5386D"/>
    <w:rsid w:val="00C539A3"/>
    <w:rsid w:val="00C53F48"/>
    <w:rsid w:val="00C54279"/>
    <w:rsid w:val="00C54D00"/>
    <w:rsid w:val="00C54E87"/>
    <w:rsid w:val="00C5523A"/>
    <w:rsid w:val="00C5526A"/>
    <w:rsid w:val="00C554DB"/>
    <w:rsid w:val="00C55681"/>
    <w:rsid w:val="00C55E37"/>
    <w:rsid w:val="00C56149"/>
    <w:rsid w:val="00C5616E"/>
    <w:rsid w:val="00C56536"/>
    <w:rsid w:val="00C565E3"/>
    <w:rsid w:val="00C56BCE"/>
    <w:rsid w:val="00C571B7"/>
    <w:rsid w:val="00C57336"/>
    <w:rsid w:val="00C57590"/>
    <w:rsid w:val="00C60288"/>
    <w:rsid w:val="00C6045F"/>
    <w:rsid w:val="00C6049A"/>
    <w:rsid w:val="00C60CCF"/>
    <w:rsid w:val="00C60EDF"/>
    <w:rsid w:val="00C60F11"/>
    <w:rsid w:val="00C61366"/>
    <w:rsid w:val="00C61695"/>
    <w:rsid w:val="00C616FC"/>
    <w:rsid w:val="00C6193D"/>
    <w:rsid w:val="00C62502"/>
    <w:rsid w:val="00C6260D"/>
    <w:rsid w:val="00C62ADA"/>
    <w:rsid w:val="00C62E3F"/>
    <w:rsid w:val="00C62EEB"/>
    <w:rsid w:val="00C62F67"/>
    <w:rsid w:val="00C63036"/>
    <w:rsid w:val="00C63B76"/>
    <w:rsid w:val="00C64049"/>
    <w:rsid w:val="00C6429E"/>
    <w:rsid w:val="00C6442F"/>
    <w:rsid w:val="00C644DB"/>
    <w:rsid w:val="00C646D0"/>
    <w:rsid w:val="00C64721"/>
    <w:rsid w:val="00C64732"/>
    <w:rsid w:val="00C648E8"/>
    <w:rsid w:val="00C648F5"/>
    <w:rsid w:val="00C649A6"/>
    <w:rsid w:val="00C64AF7"/>
    <w:rsid w:val="00C64FB7"/>
    <w:rsid w:val="00C651F4"/>
    <w:rsid w:val="00C65219"/>
    <w:rsid w:val="00C652D1"/>
    <w:rsid w:val="00C6533C"/>
    <w:rsid w:val="00C65393"/>
    <w:rsid w:val="00C65F6C"/>
    <w:rsid w:val="00C66415"/>
    <w:rsid w:val="00C666E9"/>
    <w:rsid w:val="00C67631"/>
    <w:rsid w:val="00C679A0"/>
    <w:rsid w:val="00C67DC5"/>
    <w:rsid w:val="00C67DD0"/>
    <w:rsid w:val="00C67DF1"/>
    <w:rsid w:val="00C70215"/>
    <w:rsid w:val="00C702E3"/>
    <w:rsid w:val="00C703A9"/>
    <w:rsid w:val="00C70AA6"/>
    <w:rsid w:val="00C70AED"/>
    <w:rsid w:val="00C70D5E"/>
    <w:rsid w:val="00C7109A"/>
    <w:rsid w:val="00C715E2"/>
    <w:rsid w:val="00C71A07"/>
    <w:rsid w:val="00C71D26"/>
    <w:rsid w:val="00C72022"/>
    <w:rsid w:val="00C72D91"/>
    <w:rsid w:val="00C73037"/>
    <w:rsid w:val="00C7367B"/>
    <w:rsid w:val="00C73BC2"/>
    <w:rsid w:val="00C73D0E"/>
    <w:rsid w:val="00C741F5"/>
    <w:rsid w:val="00C74206"/>
    <w:rsid w:val="00C74354"/>
    <w:rsid w:val="00C7439D"/>
    <w:rsid w:val="00C74879"/>
    <w:rsid w:val="00C748AA"/>
    <w:rsid w:val="00C74996"/>
    <w:rsid w:val="00C749F5"/>
    <w:rsid w:val="00C74E79"/>
    <w:rsid w:val="00C75325"/>
    <w:rsid w:val="00C757D1"/>
    <w:rsid w:val="00C75A14"/>
    <w:rsid w:val="00C75A19"/>
    <w:rsid w:val="00C75D18"/>
    <w:rsid w:val="00C75E0E"/>
    <w:rsid w:val="00C76863"/>
    <w:rsid w:val="00C7688A"/>
    <w:rsid w:val="00C769C7"/>
    <w:rsid w:val="00C77158"/>
    <w:rsid w:val="00C7771F"/>
    <w:rsid w:val="00C77881"/>
    <w:rsid w:val="00C77E2A"/>
    <w:rsid w:val="00C77FA4"/>
    <w:rsid w:val="00C80324"/>
    <w:rsid w:val="00C805EE"/>
    <w:rsid w:val="00C80683"/>
    <w:rsid w:val="00C80757"/>
    <w:rsid w:val="00C809D9"/>
    <w:rsid w:val="00C80DFC"/>
    <w:rsid w:val="00C810D9"/>
    <w:rsid w:val="00C81633"/>
    <w:rsid w:val="00C81C75"/>
    <w:rsid w:val="00C81DED"/>
    <w:rsid w:val="00C81E42"/>
    <w:rsid w:val="00C82440"/>
    <w:rsid w:val="00C825BC"/>
    <w:rsid w:val="00C82809"/>
    <w:rsid w:val="00C82A69"/>
    <w:rsid w:val="00C831EA"/>
    <w:rsid w:val="00C8322D"/>
    <w:rsid w:val="00C83915"/>
    <w:rsid w:val="00C83F49"/>
    <w:rsid w:val="00C84463"/>
    <w:rsid w:val="00C85B17"/>
    <w:rsid w:val="00C85FF2"/>
    <w:rsid w:val="00C861E1"/>
    <w:rsid w:val="00C86818"/>
    <w:rsid w:val="00C869F1"/>
    <w:rsid w:val="00C86C43"/>
    <w:rsid w:val="00C86E5B"/>
    <w:rsid w:val="00C86F20"/>
    <w:rsid w:val="00C871A7"/>
    <w:rsid w:val="00C8779F"/>
    <w:rsid w:val="00C87B5C"/>
    <w:rsid w:val="00C900C6"/>
    <w:rsid w:val="00C9022E"/>
    <w:rsid w:val="00C90917"/>
    <w:rsid w:val="00C90AE0"/>
    <w:rsid w:val="00C90FF2"/>
    <w:rsid w:val="00C9121E"/>
    <w:rsid w:val="00C91279"/>
    <w:rsid w:val="00C912EF"/>
    <w:rsid w:val="00C91571"/>
    <w:rsid w:val="00C91A1B"/>
    <w:rsid w:val="00C91BEF"/>
    <w:rsid w:val="00C91FA6"/>
    <w:rsid w:val="00C921A6"/>
    <w:rsid w:val="00C9253E"/>
    <w:rsid w:val="00C92637"/>
    <w:rsid w:val="00C927B9"/>
    <w:rsid w:val="00C92D77"/>
    <w:rsid w:val="00C93351"/>
    <w:rsid w:val="00C93951"/>
    <w:rsid w:val="00C9396D"/>
    <w:rsid w:val="00C93A9C"/>
    <w:rsid w:val="00C93B98"/>
    <w:rsid w:val="00C93F41"/>
    <w:rsid w:val="00C941C2"/>
    <w:rsid w:val="00C9433A"/>
    <w:rsid w:val="00C94850"/>
    <w:rsid w:val="00C94C3A"/>
    <w:rsid w:val="00C94CD5"/>
    <w:rsid w:val="00C955D1"/>
    <w:rsid w:val="00C9582B"/>
    <w:rsid w:val="00C95D30"/>
    <w:rsid w:val="00C95E5E"/>
    <w:rsid w:val="00C96482"/>
    <w:rsid w:val="00C96C7F"/>
    <w:rsid w:val="00C96C8C"/>
    <w:rsid w:val="00C97242"/>
    <w:rsid w:val="00C972AC"/>
    <w:rsid w:val="00C97D48"/>
    <w:rsid w:val="00C97E4A"/>
    <w:rsid w:val="00CA00E7"/>
    <w:rsid w:val="00CA0B56"/>
    <w:rsid w:val="00CA0BA2"/>
    <w:rsid w:val="00CA0D90"/>
    <w:rsid w:val="00CA11C3"/>
    <w:rsid w:val="00CA138F"/>
    <w:rsid w:val="00CA149E"/>
    <w:rsid w:val="00CA17B2"/>
    <w:rsid w:val="00CA18B5"/>
    <w:rsid w:val="00CA1B76"/>
    <w:rsid w:val="00CA1BE0"/>
    <w:rsid w:val="00CA1C80"/>
    <w:rsid w:val="00CA1E5D"/>
    <w:rsid w:val="00CA269C"/>
    <w:rsid w:val="00CA2888"/>
    <w:rsid w:val="00CA2DC5"/>
    <w:rsid w:val="00CA2F21"/>
    <w:rsid w:val="00CA2F63"/>
    <w:rsid w:val="00CA3455"/>
    <w:rsid w:val="00CA35A4"/>
    <w:rsid w:val="00CA385C"/>
    <w:rsid w:val="00CA3AF0"/>
    <w:rsid w:val="00CA4050"/>
    <w:rsid w:val="00CA42A4"/>
    <w:rsid w:val="00CA434D"/>
    <w:rsid w:val="00CA4485"/>
    <w:rsid w:val="00CA4637"/>
    <w:rsid w:val="00CA4B4F"/>
    <w:rsid w:val="00CA5190"/>
    <w:rsid w:val="00CA5514"/>
    <w:rsid w:val="00CA5792"/>
    <w:rsid w:val="00CA58DC"/>
    <w:rsid w:val="00CA5900"/>
    <w:rsid w:val="00CA5FBE"/>
    <w:rsid w:val="00CA60CD"/>
    <w:rsid w:val="00CA626F"/>
    <w:rsid w:val="00CA6604"/>
    <w:rsid w:val="00CA68D4"/>
    <w:rsid w:val="00CA6994"/>
    <w:rsid w:val="00CA6A36"/>
    <w:rsid w:val="00CA6B3B"/>
    <w:rsid w:val="00CA6D8E"/>
    <w:rsid w:val="00CA744C"/>
    <w:rsid w:val="00CA75B7"/>
    <w:rsid w:val="00CA763B"/>
    <w:rsid w:val="00CA7804"/>
    <w:rsid w:val="00CA7848"/>
    <w:rsid w:val="00CA78DD"/>
    <w:rsid w:val="00CA7965"/>
    <w:rsid w:val="00CA7C26"/>
    <w:rsid w:val="00CA7DDF"/>
    <w:rsid w:val="00CB002F"/>
    <w:rsid w:val="00CB0978"/>
    <w:rsid w:val="00CB0988"/>
    <w:rsid w:val="00CB0A69"/>
    <w:rsid w:val="00CB0B10"/>
    <w:rsid w:val="00CB0E2A"/>
    <w:rsid w:val="00CB0EE4"/>
    <w:rsid w:val="00CB10FD"/>
    <w:rsid w:val="00CB13CE"/>
    <w:rsid w:val="00CB15FF"/>
    <w:rsid w:val="00CB22CC"/>
    <w:rsid w:val="00CB24CD"/>
    <w:rsid w:val="00CB2B21"/>
    <w:rsid w:val="00CB303F"/>
    <w:rsid w:val="00CB3089"/>
    <w:rsid w:val="00CB3524"/>
    <w:rsid w:val="00CB37AC"/>
    <w:rsid w:val="00CB3BE2"/>
    <w:rsid w:val="00CB3D95"/>
    <w:rsid w:val="00CB44A8"/>
    <w:rsid w:val="00CB4561"/>
    <w:rsid w:val="00CB4F7C"/>
    <w:rsid w:val="00CB4FC6"/>
    <w:rsid w:val="00CB5561"/>
    <w:rsid w:val="00CB58E9"/>
    <w:rsid w:val="00CB5E65"/>
    <w:rsid w:val="00CB6315"/>
    <w:rsid w:val="00CB682A"/>
    <w:rsid w:val="00CB693E"/>
    <w:rsid w:val="00CB6BAC"/>
    <w:rsid w:val="00CB6D6A"/>
    <w:rsid w:val="00CB6DCA"/>
    <w:rsid w:val="00CB70FB"/>
    <w:rsid w:val="00CB7766"/>
    <w:rsid w:val="00CB79C3"/>
    <w:rsid w:val="00CB7B4B"/>
    <w:rsid w:val="00CB7CD6"/>
    <w:rsid w:val="00CB7D46"/>
    <w:rsid w:val="00CC0476"/>
    <w:rsid w:val="00CC09E4"/>
    <w:rsid w:val="00CC0B09"/>
    <w:rsid w:val="00CC0C61"/>
    <w:rsid w:val="00CC0DCE"/>
    <w:rsid w:val="00CC11C1"/>
    <w:rsid w:val="00CC12E0"/>
    <w:rsid w:val="00CC1425"/>
    <w:rsid w:val="00CC1722"/>
    <w:rsid w:val="00CC20CA"/>
    <w:rsid w:val="00CC2356"/>
    <w:rsid w:val="00CC2F8D"/>
    <w:rsid w:val="00CC2FE9"/>
    <w:rsid w:val="00CC355B"/>
    <w:rsid w:val="00CC37A9"/>
    <w:rsid w:val="00CC397D"/>
    <w:rsid w:val="00CC3CA3"/>
    <w:rsid w:val="00CC428F"/>
    <w:rsid w:val="00CC462C"/>
    <w:rsid w:val="00CC4A56"/>
    <w:rsid w:val="00CC4AA1"/>
    <w:rsid w:val="00CC4F40"/>
    <w:rsid w:val="00CC530E"/>
    <w:rsid w:val="00CC57E0"/>
    <w:rsid w:val="00CC5B9A"/>
    <w:rsid w:val="00CC5D7A"/>
    <w:rsid w:val="00CC5E9D"/>
    <w:rsid w:val="00CC5F01"/>
    <w:rsid w:val="00CC5FB0"/>
    <w:rsid w:val="00CC5FEA"/>
    <w:rsid w:val="00CC6120"/>
    <w:rsid w:val="00CC6223"/>
    <w:rsid w:val="00CC6B69"/>
    <w:rsid w:val="00CC6BFE"/>
    <w:rsid w:val="00CC6E09"/>
    <w:rsid w:val="00CC71AA"/>
    <w:rsid w:val="00CC7293"/>
    <w:rsid w:val="00CC7369"/>
    <w:rsid w:val="00CC7ACB"/>
    <w:rsid w:val="00CC7D7B"/>
    <w:rsid w:val="00CC7F20"/>
    <w:rsid w:val="00CD04E7"/>
    <w:rsid w:val="00CD08D8"/>
    <w:rsid w:val="00CD0ACC"/>
    <w:rsid w:val="00CD0B42"/>
    <w:rsid w:val="00CD0CAF"/>
    <w:rsid w:val="00CD0CCD"/>
    <w:rsid w:val="00CD110D"/>
    <w:rsid w:val="00CD17C9"/>
    <w:rsid w:val="00CD1844"/>
    <w:rsid w:val="00CD1A4B"/>
    <w:rsid w:val="00CD1C9E"/>
    <w:rsid w:val="00CD22A4"/>
    <w:rsid w:val="00CD23D2"/>
    <w:rsid w:val="00CD24B1"/>
    <w:rsid w:val="00CD24E1"/>
    <w:rsid w:val="00CD27A6"/>
    <w:rsid w:val="00CD27FE"/>
    <w:rsid w:val="00CD2EB4"/>
    <w:rsid w:val="00CD31A8"/>
    <w:rsid w:val="00CD34C5"/>
    <w:rsid w:val="00CD3525"/>
    <w:rsid w:val="00CD35EA"/>
    <w:rsid w:val="00CD3AA3"/>
    <w:rsid w:val="00CD434E"/>
    <w:rsid w:val="00CD4597"/>
    <w:rsid w:val="00CD4CD0"/>
    <w:rsid w:val="00CD4DFC"/>
    <w:rsid w:val="00CD507F"/>
    <w:rsid w:val="00CD51C7"/>
    <w:rsid w:val="00CD563C"/>
    <w:rsid w:val="00CD576C"/>
    <w:rsid w:val="00CD583C"/>
    <w:rsid w:val="00CD5897"/>
    <w:rsid w:val="00CD5A23"/>
    <w:rsid w:val="00CD5B41"/>
    <w:rsid w:val="00CD62D1"/>
    <w:rsid w:val="00CD63E7"/>
    <w:rsid w:val="00CD69E0"/>
    <w:rsid w:val="00CD6CD1"/>
    <w:rsid w:val="00CD6E45"/>
    <w:rsid w:val="00CD6E56"/>
    <w:rsid w:val="00CD715E"/>
    <w:rsid w:val="00CD72F1"/>
    <w:rsid w:val="00CD75AC"/>
    <w:rsid w:val="00CE02FD"/>
    <w:rsid w:val="00CE05C3"/>
    <w:rsid w:val="00CE0804"/>
    <w:rsid w:val="00CE088D"/>
    <w:rsid w:val="00CE090B"/>
    <w:rsid w:val="00CE0A69"/>
    <w:rsid w:val="00CE104B"/>
    <w:rsid w:val="00CE110E"/>
    <w:rsid w:val="00CE15EC"/>
    <w:rsid w:val="00CE1B1B"/>
    <w:rsid w:val="00CE1BF3"/>
    <w:rsid w:val="00CE1F63"/>
    <w:rsid w:val="00CE2009"/>
    <w:rsid w:val="00CE20BC"/>
    <w:rsid w:val="00CE2128"/>
    <w:rsid w:val="00CE213D"/>
    <w:rsid w:val="00CE219A"/>
    <w:rsid w:val="00CE2221"/>
    <w:rsid w:val="00CE23AC"/>
    <w:rsid w:val="00CE2433"/>
    <w:rsid w:val="00CE2595"/>
    <w:rsid w:val="00CE25F7"/>
    <w:rsid w:val="00CE2607"/>
    <w:rsid w:val="00CE26D9"/>
    <w:rsid w:val="00CE2A61"/>
    <w:rsid w:val="00CE2E06"/>
    <w:rsid w:val="00CE2E23"/>
    <w:rsid w:val="00CE300F"/>
    <w:rsid w:val="00CE30FE"/>
    <w:rsid w:val="00CE398D"/>
    <w:rsid w:val="00CE39BE"/>
    <w:rsid w:val="00CE39D9"/>
    <w:rsid w:val="00CE3CED"/>
    <w:rsid w:val="00CE3E7F"/>
    <w:rsid w:val="00CE3E97"/>
    <w:rsid w:val="00CE3FF9"/>
    <w:rsid w:val="00CE48D7"/>
    <w:rsid w:val="00CE4C34"/>
    <w:rsid w:val="00CE4EF3"/>
    <w:rsid w:val="00CE4F86"/>
    <w:rsid w:val="00CE5581"/>
    <w:rsid w:val="00CE5713"/>
    <w:rsid w:val="00CE58A5"/>
    <w:rsid w:val="00CE5D91"/>
    <w:rsid w:val="00CE5E3A"/>
    <w:rsid w:val="00CE6289"/>
    <w:rsid w:val="00CE6356"/>
    <w:rsid w:val="00CE6376"/>
    <w:rsid w:val="00CE655E"/>
    <w:rsid w:val="00CE65B6"/>
    <w:rsid w:val="00CE6606"/>
    <w:rsid w:val="00CE67E9"/>
    <w:rsid w:val="00CE6B99"/>
    <w:rsid w:val="00CE6C9F"/>
    <w:rsid w:val="00CE6DA8"/>
    <w:rsid w:val="00CE7149"/>
    <w:rsid w:val="00CE7642"/>
    <w:rsid w:val="00CE769B"/>
    <w:rsid w:val="00CE77F2"/>
    <w:rsid w:val="00CE7A6D"/>
    <w:rsid w:val="00CE7FEE"/>
    <w:rsid w:val="00CF005F"/>
    <w:rsid w:val="00CF0334"/>
    <w:rsid w:val="00CF03A1"/>
    <w:rsid w:val="00CF0474"/>
    <w:rsid w:val="00CF0515"/>
    <w:rsid w:val="00CF06BB"/>
    <w:rsid w:val="00CF0B99"/>
    <w:rsid w:val="00CF0F04"/>
    <w:rsid w:val="00CF0F84"/>
    <w:rsid w:val="00CF154C"/>
    <w:rsid w:val="00CF1563"/>
    <w:rsid w:val="00CF15AF"/>
    <w:rsid w:val="00CF1670"/>
    <w:rsid w:val="00CF17C8"/>
    <w:rsid w:val="00CF1D21"/>
    <w:rsid w:val="00CF1EA5"/>
    <w:rsid w:val="00CF1EA9"/>
    <w:rsid w:val="00CF26BD"/>
    <w:rsid w:val="00CF350E"/>
    <w:rsid w:val="00CF3629"/>
    <w:rsid w:val="00CF37AE"/>
    <w:rsid w:val="00CF3C9E"/>
    <w:rsid w:val="00CF4222"/>
    <w:rsid w:val="00CF4452"/>
    <w:rsid w:val="00CF4A34"/>
    <w:rsid w:val="00CF4C70"/>
    <w:rsid w:val="00CF4CE5"/>
    <w:rsid w:val="00CF4E0C"/>
    <w:rsid w:val="00CF5B7F"/>
    <w:rsid w:val="00CF5F8E"/>
    <w:rsid w:val="00CF5FD8"/>
    <w:rsid w:val="00CF6280"/>
    <w:rsid w:val="00CF6909"/>
    <w:rsid w:val="00CF6926"/>
    <w:rsid w:val="00CF69C3"/>
    <w:rsid w:val="00CF69EA"/>
    <w:rsid w:val="00CF6EDC"/>
    <w:rsid w:val="00CF739B"/>
    <w:rsid w:val="00CF76A4"/>
    <w:rsid w:val="00CF785D"/>
    <w:rsid w:val="00CF78EE"/>
    <w:rsid w:val="00CF79A6"/>
    <w:rsid w:val="00D0007E"/>
    <w:rsid w:val="00D0057C"/>
    <w:rsid w:val="00D0104F"/>
    <w:rsid w:val="00D0110A"/>
    <w:rsid w:val="00D01133"/>
    <w:rsid w:val="00D0134D"/>
    <w:rsid w:val="00D01386"/>
    <w:rsid w:val="00D018CC"/>
    <w:rsid w:val="00D01C2A"/>
    <w:rsid w:val="00D0209A"/>
    <w:rsid w:val="00D0223E"/>
    <w:rsid w:val="00D023A3"/>
    <w:rsid w:val="00D02702"/>
    <w:rsid w:val="00D0278A"/>
    <w:rsid w:val="00D02DF2"/>
    <w:rsid w:val="00D03428"/>
    <w:rsid w:val="00D03647"/>
    <w:rsid w:val="00D038D2"/>
    <w:rsid w:val="00D04301"/>
    <w:rsid w:val="00D045F6"/>
    <w:rsid w:val="00D048C4"/>
    <w:rsid w:val="00D04CF7"/>
    <w:rsid w:val="00D05358"/>
    <w:rsid w:val="00D05474"/>
    <w:rsid w:val="00D05558"/>
    <w:rsid w:val="00D0584D"/>
    <w:rsid w:val="00D05AD5"/>
    <w:rsid w:val="00D06278"/>
    <w:rsid w:val="00D06C92"/>
    <w:rsid w:val="00D06FA9"/>
    <w:rsid w:val="00D073F7"/>
    <w:rsid w:val="00D074EA"/>
    <w:rsid w:val="00D075F4"/>
    <w:rsid w:val="00D077C2"/>
    <w:rsid w:val="00D07965"/>
    <w:rsid w:val="00D079A9"/>
    <w:rsid w:val="00D101B6"/>
    <w:rsid w:val="00D101D9"/>
    <w:rsid w:val="00D10508"/>
    <w:rsid w:val="00D105CE"/>
    <w:rsid w:val="00D10752"/>
    <w:rsid w:val="00D109E7"/>
    <w:rsid w:val="00D10C9B"/>
    <w:rsid w:val="00D11455"/>
    <w:rsid w:val="00D118FF"/>
    <w:rsid w:val="00D11954"/>
    <w:rsid w:val="00D11D0A"/>
    <w:rsid w:val="00D11EA0"/>
    <w:rsid w:val="00D120CF"/>
    <w:rsid w:val="00D12297"/>
    <w:rsid w:val="00D12469"/>
    <w:rsid w:val="00D12490"/>
    <w:rsid w:val="00D1265C"/>
    <w:rsid w:val="00D12C7A"/>
    <w:rsid w:val="00D12F0E"/>
    <w:rsid w:val="00D1373A"/>
    <w:rsid w:val="00D14146"/>
    <w:rsid w:val="00D142EB"/>
    <w:rsid w:val="00D148DE"/>
    <w:rsid w:val="00D149D8"/>
    <w:rsid w:val="00D14C47"/>
    <w:rsid w:val="00D14EEB"/>
    <w:rsid w:val="00D152B1"/>
    <w:rsid w:val="00D15467"/>
    <w:rsid w:val="00D15516"/>
    <w:rsid w:val="00D1575D"/>
    <w:rsid w:val="00D15863"/>
    <w:rsid w:val="00D1613D"/>
    <w:rsid w:val="00D167DC"/>
    <w:rsid w:val="00D16EC7"/>
    <w:rsid w:val="00D17131"/>
    <w:rsid w:val="00D1743A"/>
    <w:rsid w:val="00D17B27"/>
    <w:rsid w:val="00D17FB7"/>
    <w:rsid w:val="00D2042A"/>
    <w:rsid w:val="00D208B4"/>
    <w:rsid w:val="00D20ED0"/>
    <w:rsid w:val="00D21046"/>
    <w:rsid w:val="00D211CD"/>
    <w:rsid w:val="00D2147C"/>
    <w:rsid w:val="00D21672"/>
    <w:rsid w:val="00D21C95"/>
    <w:rsid w:val="00D22320"/>
    <w:rsid w:val="00D22767"/>
    <w:rsid w:val="00D22C74"/>
    <w:rsid w:val="00D23511"/>
    <w:rsid w:val="00D23930"/>
    <w:rsid w:val="00D23A5C"/>
    <w:rsid w:val="00D23BA8"/>
    <w:rsid w:val="00D23D6A"/>
    <w:rsid w:val="00D23E5E"/>
    <w:rsid w:val="00D23F23"/>
    <w:rsid w:val="00D24591"/>
    <w:rsid w:val="00D245A3"/>
    <w:rsid w:val="00D248A1"/>
    <w:rsid w:val="00D248BE"/>
    <w:rsid w:val="00D24A69"/>
    <w:rsid w:val="00D24BD4"/>
    <w:rsid w:val="00D252FE"/>
    <w:rsid w:val="00D25630"/>
    <w:rsid w:val="00D258B3"/>
    <w:rsid w:val="00D25B42"/>
    <w:rsid w:val="00D25E8E"/>
    <w:rsid w:val="00D26033"/>
    <w:rsid w:val="00D26056"/>
    <w:rsid w:val="00D26A15"/>
    <w:rsid w:val="00D26A96"/>
    <w:rsid w:val="00D26CD9"/>
    <w:rsid w:val="00D26FAE"/>
    <w:rsid w:val="00D27132"/>
    <w:rsid w:val="00D274B2"/>
    <w:rsid w:val="00D274B6"/>
    <w:rsid w:val="00D27B2D"/>
    <w:rsid w:val="00D301B1"/>
    <w:rsid w:val="00D3095D"/>
    <w:rsid w:val="00D30DD4"/>
    <w:rsid w:val="00D30FD3"/>
    <w:rsid w:val="00D3112C"/>
    <w:rsid w:val="00D31249"/>
    <w:rsid w:val="00D31685"/>
    <w:rsid w:val="00D31C5C"/>
    <w:rsid w:val="00D3250D"/>
    <w:rsid w:val="00D325F4"/>
    <w:rsid w:val="00D328BA"/>
    <w:rsid w:val="00D32FF4"/>
    <w:rsid w:val="00D334AF"/>
    <w:rsid w:val="00D33553"/>
    <w:rsid w:val="00D338BE"/>
    <w:rsid w:val="00D339D9"/>
    <w:rsid w:val="00D33CF5"/>
    <w:rsid w:val="00D33D45"/>
    <w:rsid w:val="00D34169"/>
    <w:rsid w:val="00D341F3"/>
    <w:rsid w:val="00D343AC"/>
    <w:rsid w:val="00D343CB"/>
    <w:rsid w:val="00D345E4"/>
    <w:rsid w:val="00D346DD"/>
    <w:rsid w:val="00D3509D"/>
    <w:rsid w:val="00D354E3"/>
    <w:rsid w:val="00D35882"/>
    <w:rsid w:val="00D3593C"/>
    <w:rsid w:val="00D35AA8"/>
    <w:rsid w:val="00D35C2B"/>
    <w:rsid w:val="00D360B4"/>
    <w:rsid w:val="00D361E6"/>
    <w:rsid w:val="00D3632A"/>
    <w:rsid w:val="00D36748"/>
    <w:rsid w:val="00D36CC1"/>
    <w:rsid w:val="00D374A8"/>
    <w:rsid w:val="00D37A19"/>
    <w:rsid w:val="00D37A21"/>
    <w:rsid w:val="00D37C1E"/>
    <w:rsid w:val="00D37C2F"/>
    <w:rsid w:val="00D37E1F"/>
    <w:rsid w:val="00D37E4C"/>
    <w:rsid w:val="00D40A2B"/>
    <w:rsid w:val="00D40C11"/>
    <w:rsid w:val="00D40FF6"/>
    <w:rsid w:val="00D41544"/>
    <w:rsid w:val="00D415C3"/>
    <w:rsid w:val="00D41A13"/>
    <w:rsid w:val="00D41D47"/>
    <w:rsid w:val="00D41F06"/>
    <w:rsid w:val="00D42240"/>
    <w:rsid w:val="00D42907"/>
    <w:rsid w:val="00D42F82"/>
    <w:rsid w:val="00D44358"/>
    <w:rsid w:val="00D44CDD"/>
    <w:rsid w:val="00D44D69"/>
    <w:rsid w:val="00D452C0"/>
    <w:rsid w:val="00D45310"/>
    <w:rsid w:val="00D46188"/>
    <w:rsid w:val="00D46206"/>
    <w:rsid w:val="00D462EC"/>
    <w:rsid w:val="00D46577"/>
    <w:rsid w:val="00D47210"/>
    <w:rsid w:val="00D4783B"/>
    <w:rsid w:val="00D478C9"/>
    <w:rsid w:val="00D479B5"/>
    <w:rsid w:val="00D47A0D"/>
    <w:rsid w:val="00D47A28"/>
    <w:rsid w:val="00D47C4C"/>
    <w:rsid w:val="00D47F83"/>
    <w:rsid w:val="00D50020"/>
    <w:rsid w:val="00D502CB"/>
    <w:rsid w:val="00D5085D"/>
    <w:rsid w:val="00D509D5"/>
    <w:rsid w:val="00D50B4D"/>
    <w:rsid w:val="00D50C25"/>
    <w:rsid w:val="00D50CD2"/>
    <w:rsid w:val="00D50D19"/>
    <w:rsid w:val="00D50EE9"/>
    <w:rsid w:val="00D511B3"/>
    <w:rsid w:val="00D51A3B"/>
    <w:rsid w:val="00D51B2A"/>
    <w:rsid w:val="00D51DAD"/>
    <w:rsid w:val="00D51EF0"/>
    <w:rsid w:val="00D5203B"/>
    <w:rsid w:val="00D5264C"/>
    <w:rsid w:val="00D526C4"/>
    <w:rsid w:val="00D52867"/>
    <w:rsid w:val="00D52D7A"/>
    <w:rsid w:val="00D52DE0"/>
    <w:rsid w:val="00D52F17"/>
    <w:rsid w:val="00D52FF8"/>
    <w:rsid w:val="00D53098"/>
    <w:rsid w:val="00D53336"/>
    <w:rsid w:val="00D53701"/>
    <w:rsid w:val="00D538CF"/>
    <w:rsid w:val="00D5398F"/>
    <w:rsid w:val="00D5437E"/>
    <w:rsid w:val="00D544F9"/>
    <w:rsid w:val="00D54EE7"/>
    <w:rsid w:val="00D55032"/>
    <w:rsid w:val="00D551C3"/>
    <w:rsid w:val="00D55593"/>
    <w:rsid w:val="00D55615"/>
    <w:rsid w:val="00D55685"/>
    <w:rsid w:val="00D55767"/>
    <w:rsid w:val="00D55D2D"/>
    <w:rsid w:val="00D55ECE"/>
    <w:rsid w:val="00D5620B"/>
    <w:rsid w:val="00D5620F"/>
    <w:rsid w:val="00D5669D"/>
    <w:rsid w:val="00D5678E"/>
    <w:rsid w:val="00D567C8"/>
    <w:rsid w:val="00D567D0"/>
    <w:rsid w:val="00D57584"/>
    <w:rsid w:val="00D5795D"/>
    <w:rsid w:val="00D5799D"/>
    <w:rsid w:val="00D57F1F"/>
    <w:rsid w:val="00D60515"/>
    <w:rsid w:val="00D60667"/>
    <w:rsid w:val="00D60A34"/>
    <w:rsid w:val="00D60B47"/>
    <w:rsid w:val="00D60F0C"/>
    <w:rsid w:val="00D61044"/>
    <w:rsid w:val="00D612F8"/>
    <w:rsid w:val="00D61810"/>
    <w:rsid w:val="00D61906"/>
    <w:rsid w:val="00D61C6C"/>
    <w:rsid w:val="00D61FC2"/>
    <w:rsid w:val="00D62313"/>
    <w:rsid w:val="00D623BD"/>
    <w:rsid w:val="00D62922"/>
    <w:rsid w:val="00D62A6F"/>
    <w:rsid w:val="00D62BC8"/>
    <w:rsid w:val="00D62CA0"/>
    <w:rsid w:val="00D62E96"/>
    <w:rsid w:val="00D632A6"/>
    <w:rsid w:val="00D63432"/>
    <w:rsid w:val="00D636F7"/>
    <w:rsid w:val="00D6381A"/>
    <w:rsid w:val="00D63A64"/>
    <w:rsid w:val="00D644B5"/>
    <w:rsid w:val="00D64BDF"/>
    <w:rsid w:val="00D64C83"/>
    <w:rsid w:val="00D64DA3"/>
    <w:rsid w:val="00D64F18"/>
    <w:rsid w:val="00D6576F"/>
    <w:rsid w:val="00D659B9"/>
    <w:rsid w:val="00D65B8A"/>
    <w:rsid w:val="00D65E28"/>
    <w:rsid w:val="00D6624A"/>
    <w:rsid w:val="00D6631B"/>
    <w:rsid w:val="00D66532"/>
    <w:rsid w:val="00D66591"/>
    <w:rsid w:val="00D667FA"/>
    <w:rsid w:val="00D6686E"/>
    <w:rsid w:val="00D66973"/>
    <w:rsid w:val="00D66C35"/>
    <w:rsid w:val="00D67284"/>
    <w:rsid w:val="00D701AB"/>
    <w:rsid w:val="00D701C4"/>
    <w:rsid w:val="00D7034D"/>
    <w:rsid w:val="00D70AA8"/>
    <w:rsid w:val="00D70C93"/>
    <w:rsid w:val="00D70E8B"/>
    <w:rsid w:val="00D7104D"/>
    <w:rsid w:val="00D719AC"/>
    <w:rsid w:val="00D71B18"/>
    <w:rsid w:val="00D71C46"/>
    <w:rsid w:val="00D71D95"/>
    <w:rsid w:val="00D71E10"/>
    <w:rsid w:val="00D71F2F"/>
    <w:rsid w:val="00D72212"/>
    <w:rsid w:val="00D72672"/>
    <w:rsid w:val="00D7294F"/>
    <w:rsid w:val="00D731BB"/>
    <w:rsid w:val="00D7335C"/>
    <w:rsid w:val="00D73426"/>
    <w:rsid w:val="00D73BA2"/>
    <w:rsid w:val="00D73FC2"/>
    <w:rsid w:val="00D740DC"/>
    <w:rsid w:val="00D7412E"/>
    <w:rsid w:val="00D742DA"/>
    <w:rsid w:val="00D74498"/>
    <w:rsid w:val="00D74C67"/>
    <w:rsid w:val="00D74CE3"/>
    <w:rsid w:val="00D75105"/>
    <w:rsid w:val="00D7569C"/>
    <w:rsid w:val="00D75C2C"/>
    <w:rsid w:val="00D76450"/>
    <w:rsid w:val="00D765B1"/>
    <w:rsid w:val="00D76B80"/>
    <w:rsid w:val="00D76CC9"/>
    <w:rsid w:val="00D76DAA"/>
    <w:rsid w:val="00D76DB5"/>
    <w:rsid w:val="00D76E37"/>
    <w:rsid w:val="00D7702E"/>
    <w:rsid w:val="00D77366"/>
    <w:rsid w:val="00D779D2"/>
    <w:rsid w:val="00D77FE9"/>
    <w:rsid w:val="00D80219"/>
    <w:rsid w:val="00D808E7"/>
    <w:rsid w:val="00D80B1F"/>
    <w:rsid w:val="00D8105F"/>
    <w:rsid w:val="00D810F3"/>
    <w:rsid w:val="00D815F1"/>
    <w:rsid w:val="00D81655"/>
    <w:rsid w:val="00D82BA1"/>
    <w:rsid w:val="00D82C89"/>
    <w:rsid w:val="00D82F98"/>
    <w:rsid w:val="00D832C4"/>
    <w:rsid w:val="00D8331C"/>
    <w:rsid w:val="00D83600"/>
    <w:rsid w:val="00D8364C"/>
    <w:rsid w:val="00D8378B"/>
    <w:rsid w:val="00D83EBB"/>
    <w:rsid w:val="00D83F1B"/>
    <w:rsid w:val="00D84288"/>
    <w:rsid w:val="00D84658"/>
    <w:rsid w:val="00D84B48"/>
    <w:rsid w:val="00D84CFC"/>
    <w:rsid w:val="00D84F3D"/>
    <w:rsid w:val="00D853E4"/>
    <w:rsid w:val="00D8568F"/>
    <w:rsid w:val="00D857EE"/>
    <w:rsid w:val="00D85D90"/>
    <w:rsid w:val="00D85E70"/>
    <w:rsid w:val="00D8601B"/>
    <w:rsid w:val="00D86105"/>
    <w:rsid w:val="00D869A5"/>
    <w:rsid w:val="00D86C7E"/>
    <w:rsid w:val="00D86C93"/>
    <w:rsid w:val="00D8715A"/>
    <w:rsid w:val="00D87550"/>
    <w:rsid w:val="00D8776B"/>
    <w:rsid w:val="00D877F2"/>
    <w:rsid w:val="00D8799E"/>
    <w:rsid w:val="00D9020F"/>
    <w:rsid w:val="00D90513"/>
    <w:rsid w:val="00D906BC"/>
    <w:rsid w:val="00D909AA"/>
    <w:rsid w:val="00D90AA1"/>
    <w:rsid w:val="00D90C9E"/>
    <w:rsid w:val="00D90F25"/>
    <w:rsid w:val="00D90FEB"/>
    <w:rsid w:val="00D91091"/>
    <w:rsid w:val="00D910ED"/>
    <w:rsid w:val="00D91892"/>
    <w:rsid w:val="00D91E6F"/>
    <w:rsid w:val="00D91F31"/>
    <w:rsid w:val="00D9212B"/>
    <w:rsid w:val="00D92660"/>
    <w:rsid w:val="00D928EB"/>
    <w:rsid w:val="00D92A10"/>
    <w:rsid w:val="00D92BFC"/>
    <w:rsid w:val="00D92C11"/>
    <w:rsid w:val="00D92D6B"/>
    <w:rsid w:val="00D92E13"/>
    <w:rsid w:val="00D92F80"/>
    <w:rsid w:val="00D92FFA"/>
    <w:rsid w:val="00D932EC"/>
    <w:rsid w:val="00D93308"/>
    <w:rsid w:val="00D933D0"/>
    <w:rsid w:val="00D938C8"/>
    <w:rsid w:val="00D93DDA"/>
    <w:rsid w:val="00D93FCF"/>
    <w:rsid w:val="00D940A7"/>
    <w:rsid w:val="00D94111"/>
    <w:rsid w:val="00D94207"/>
    <w:rsid w:val="00D94360"/>
    <w:rsid w:val="00D9468B"/>
    <w:rsid w:val="00D94950"/>
    <w:rsid w:val="00D94AC0"/>
    <w:rsid w:val="00D94E88"/>
    <w:rsid w:val="00D950ED"/>
    <w:rsid w:val="00D9531C"/>
    <w:rsid w:val="00D95335"/>
    <w:rsid w:val="00D953EC"/>
    <w:rsid w:val="00D9553B"/>
    <w:rsid w:val="00D95669"/>
    <w:rsid w:val="00D95798"/>
    <w:rsid w:val="00D95AFD"/>
    <w:rsid w:val="00D95E24"/>
    <w:rsid w:val="00D95EAD"/>
    <w:rsid w:val="00D96585"/>
    <w:rsid w:val="00D96810"/>
    <w:rsid w:val="00D96C3C"/>
    <w:rsid w:val="00D9706D"/>
    <w:rsid w:val="00D973AD"/>
    <w:rsid w:val="00D9778B"/>
    <w:rsid w:val="00D97981"/>
    <w:rsid w:val="00D979DC"/>
    <w:rsid w:val="00D97B9F"/>
    <w:rsid w:val="00DA0482"/>
    <w:rsid w:val="00DA0805"/>
    <w:rsid w:val="00DA0866"/>
    <w:rsid w:val="00DA0BB1"/>
    <w:rsid w:val="00DA0F1F"/>
    <w:rsid w:val="00DA109B"/>
    <w:rsid w:val="00DA18DD"/>
    <w:rsid w:val="00DA1C63"/>
    <w:rsid w:val="00DA1E5A"/>
    <w:rsid w:val="00DA2040"/>
    <w:rsid w:val="00DA228B"/>
    <w:rsid w:val="00DA251D"/>
    <w:rsid w:val="00DA26F3"/>
    <w:rsid w:val="00DA27DF"/>
    <w:rsid w:val="00DA2D4F"/>
    <w:rsid w:val="00DA2FF6"/>
    <w:rsid w:val="00DA3224"/>
    <w:rsid w:val="00DA3493"/>
    <w:rsid w:val="00DA3BAF"/>
    <w:rsid w:val="00DA3DE6"/>
    <w:rsid w:val="00DA3DFC"/>
    <w:rsid w:val="00DA3F91"/>
    <w:rsid w:val="00DA43A3"/>
    <w:rsid w:val="00DA4990"/>
    <w:rsid w:val="00DA4A21"/>
    <w:rsid w:val="00DA4AB1"/>
    <w:rsid w:val="00DA4BA3"/>
    <w:rsid w:val="00DA4CB2"/>
    <w:rsid w:val="00DA5863"/>
    <w:rsid w:val="00DA5A14"/>
    <w:rsid w:val="00DA6270"/>
    <w:rsid w:val="00DA6431"/>
    <w:rsid w:val="00DA6A6C"/>
    <w:rsid w:val="00DA6B99"/>
    <w:rsid w:val="00DA6BF3"/>
    <w:rsid w:val="00DA6D7B"/>
    <w:rsid w:val="00DA6FD3"/>
    <w:rsid w:val="00DA735A"/>
    <w:rsid w:val="00DA7830"/>
    <w:rsid w:val="00DA7AA8"/>
    <w:rsid w:val="00DA7C57"/>
    <w:rsid w:val="00DA7FD0"/>
    <w:rsid w:val="00DB04D3"/>
    <w:rsid w:val="00DB0536"/>
    <w:rsid w:val="00DB09FE"/>
    <w:rsid w:val="00DB0A99"/>
    <w:rsid w:val="00DB0B93"/>
    <w:rsid w:val="00DB0BCB"/>
    <w:rsid w:val="00DB0D49"/>
    <w:rsid w:val="00DB0F98"/>
    <w:rsid w:val="00DB1118"/>
    <w:rsid w:val="00DB1138"/>
    <w:rsid w:val="00DB1416"/>
    <w:rsid w:val="00DB19FA"/>
    <w:rsid w:val="00DB1E61"/>
    <w:rsid w:val="00DB2255"/>
    <w:rsid w:val="00DB23F0"/>
    <w:rsid w:val="00DB2A00"/>
    <w:rsid w:val="00DB2AF8"/>
    <w:rsid w:val="00DB2B86"/>
    <w:rsid w:val="00DB2BE8"/>
    <w:rsid w:val="00DB2F55"/>
    <w:rsid w:val="00DB345F"/>
    <w:rsid w:val="00DB36E5"/>
    <w:rsid w:val="00DB381F"/>
    <w:rsid w:val="00DB4097"/>
    <w:rsid w:val="00DB4507"/>
    <w:rsid w:val="00DB48EF"/>
    <w:rsid w:val="00DB4D72"/>
    <w:rsid w:val="00DB54F9"/>
    <w:rsid w:val="00DB55C0"/>
    <w:rsid w:val="00DB57BA"/>
    <w:rsid w:val="00DB5A22"/>
    <w:rsid w:val="00DB5A6D"/>
    <w:rsid w:val="00DB5C38"/>
    <w:rsid w:val="00DB637B"/>
    <w:rsid w:val="00DB65A2"/>
    <w:rsid w:val="00DB6638"/>
    <w:rsid w:val="00DB676B"/>
    <w:rsid w:val="00DB6850"/>
    <w:rsid w:val="00DB6E3E"/>
    <w:rsid w:val="00DB6F29"/>
    <w:rsid w:val="00DB7131"/>
    <w:rsid w:val="00DB72F7"/>
    <w:rsid w:val="00DB7431"/>
    <w:rsid w:val="00DB781C"/>
    <w:rsid w:val="00DB7962"/>
    <w:rsid w:val="00DB7A60"/>
    <w:rsid w:val="00DB7B7F"/>
    <w:rsid w:val="00DB7BB8"/>
    <w:rsid w:val="00DC00F2"/>
    <w:rsid w:val="00DC0637"/>
    <w:rsid w:val="00DC0733"/>
    <w:rsid w:val="00DC1198"/>
    <w:rsid w:val="00DC12E8"/>
    <w:rsid w:val="00DC169D"/>
    <w:rsid w:val="00DC16A3"/>
    <w:rsid w:val="00DC1714"/>
    <w:rsid w:val="00DC19AC"/>
    <w:rsid w:val="00DC1ABF"/>
    <w:rsid w:val="00DC1BC7"/>
    <w:rsid w:val="00DC2666"/>
    <w:rsid w:val="00DC2A13"/>
    <w:rsid w:val="00DC349D"/>
    <w:rsid w:val="00DC356B"/>
    <w:rsid w:val="00DC363F"/>
    <w:rsid w:val="00DC3871"/>
    <w:rsid w:val="00DC398B"/>
    <w:rsid w:val="00DC431B"/>
    <w:rsid w:val="00DC46AC"/>
    <w:rsid w:val="00DC478D"/>
    <w:rsid w:val="00DC48AE"/>
    <w:rsid w:val="00DC4E9E"/>
    <w:rsid w:val="00DC5394"/>
    <w:rsid w:val="00DC5450"/>
    <w:rsid w:val="00DC5AB7"/>
    <w:rsid w:val="00DC5BAB"/>
    <w:rsid w:val="00DC5BC4"/>
    <w:rsid w:val="00DC647D"/>
    <w:rsid w:val="00DC6ADE"/>
    <w:rsid w:val="00DC6C6D"/>
    <w:rsid w:val="00DC6EAE"/>
    <w:rsid w:val="00DC7628"/>
    <w:rsid w:val="00DC7A5A"/>
    <w:rsid w:val="00DC7D49"/>
    <w:rsid w:val="00DD0340"/>
    <w:rsid w:val="00DD075D"/>
    <w:rsid w:val="00DD07ED"/>
    <w:rsid w:val="00DD0829"/>
    <w:rsid w:val="00DD0E5F"/>
    <w:rsid w:val="00DD12E6"/>
    <w:rsid w:val="00DD13BF"/>
    <w:rsid w:val="00DD154F"/>
    <w:rsid w:val="00DD15B1"/>
    <w:rsid w:val="00DD1988"/>
    <w:rsid w:val="00DD1F12"/>
    <w:rsid w:val="00DD2112"/>
    <w:rsid w:val="00DD216C"/>
    <w:rsid w:val="00DD2488"/>
    <w:rsid w:val="00DD24C5"/>
    <w:rsid w:val="00DD2510"/>
    <w:rsid w:val="00DD2959"/>
    <w:rsid w:val="00DD2C70"/>
    <w:rsid w:val="00DD2FCC"/>
    <w:rsid w:val="00DD3359"/>
    <w:rsid w:val="00DD356E"/>
    <w:rsid w:val="00DD3BB7"/>
    <w:rsid w:val="00DD4074"/>
    <w:rsid w:val="00DD42B0"/>
    <w:rsid w:val="00DD436E"/>
    <w:rsid w:val="00DD467A"/>
    <w:rsid w:val="00DD476D"/>
    <w:rsid w:val="00DD47E5"/>
    <w:rsid w:val="00DD4ABC"/>
    <w:rsid w:val="00DD4FBA"/>
    <w:rsid w:val="00DD5526"/>
    <w:rsid w:val="00DD587C"/>
    <w:rsid w:val="00DD597D"/>
    <w:rsid w:val="00DD5AB7"/>
    <w:rsid w:val="00DD5BF9"/>
    <w:rsid w:val="00DD5E93"/>
    <w:rsid w:val="00DD64E8"/>
    <w:rsid w:val="00DD650A"/>
    <w:rsid w:val="00DD6535"/>
    <w:rsid w:val="00DD6B71"/>
    <w:rsid w:val="00DD6D97"/>
    <w:rsid w:val="00DD6E41"/>
    <w:rsid w:val="00DD6EDC"/>
    <w:rsid w:val="00DD7274"/>
    <w:rsid w:val="00DD767C"/>
    <w:rsid w:val="00DD77B9"/>
    <w:rsid w:val="00DD78EA"/>
    <w:rsid w:val="00DD7CCB"/>
    <w:rsid w:val="00DD7E52"/>
    <w:rsid w:val="00DD7FAD"/>
    <w:rsid w:val="00DE0029"/>
    <w:rsid w:val="00DE0188"/>
    <w:rsid w:val="00DE01DD"/>
    <w:rsid w:val="00DE030B"/>
    <w:rsid w:val="00DE0498"/>
    <w:rsid w:val="00DE059C"/>
    <w:rsid w:val="00DE0ACB"/>
    <w:rsid w:val="00DE0BCF"/>
    <w:rsid w:val="00DE0DA7"/>
    <w:rsid w:val="00DE0E2B"/>
    <w:rsid w:val="00DE1004"/>
    <w:rsid w:val="00DE2600"/>
    <w:rsid w:val="00DE26B9"/>
    <w:rsid w:val="00DE2A04"/>
    <w:rsid w:val="00DE2AAC"/>
    <w:rsid w:val="00DE2B4A"/>
    <w:rsid w:val="00DE2DB2"/>
    <w:rsid w:val="00DE2E73"/>
    <w:rsid w:val="00DE2EAE"/>
    <w:rsid w:val="00DE3261"/>
    <w:rsid w:val="00DE3510"/>
    <w:rsid w:val="00DE37DE"/>
    <w:rsid w:val="00DE413D"/>
    <w:rsid w:val="00DE4437"/>
    <w:rsid w:val="00DE461D"/>
    <w:rsid w:val="00DE477A"/>
    <w:rsid w:val="00DE4A69"/>
    <w:rsid w:val="00DE4B2E"/>
    <w:rsid w:val="00DE4C7C"/>
    <w:rsid w:val="00DE4E8C"/>
    <w:rsid w:val="00DE4ECE"/>
    <w:rsid w:val="00DE4F3A"/>
    <w:rsid w:val="00DE5097"/>
    <w:rsid w:val="00DE51C9"/>
    <w:rsid w:val="00DE54E6"/>
    <w:rsid w:val="00DE5657"/>
    <w:rsid w:val="00DE5718"/>
    <w:rsid w:val="00DE5849"/>
    <w:rsid w:val="00DE5A0F"/>
    <w:rsid w:val="00DE5A28"/>
    <w:rsid w:val="00DE5B48"/>
    <w:rsid w:val="00DE5E89"/>
    <w:rsid w:val="00DE647E"/>
    <w:rsid w:val="00DE66E6"/>
    <w:rsid w:val="00DE69E5"/>
    <w:rsid w:val="00DE6C0D"/>
    <w:rsid w:val="00DE6FA7"/>
    <w:rsid w:val="00DE72B0"/>
    <w:rsid w:val="00DE75ED"/>
    <w:rsid w:val="00DE7B3C"/>
    <w:rsid w:val="00DE7E63"/>
    <w:rsid w:val="00DF0250"/>
    <w:rsid w:val="00DF0537"/>
    <w:rsid w:val="00DF079E"/>
    <w:rsid w:val="00DF07E9"/>
    <w:rsid w:val="00DF083B"/>
    <w:rsid w:val="00DF0BD6"/>
    <w:rsid w:val="00DF1050"/>
    <w:rsid w:val="00DF1171"/>
    <w:rsid w:val="00DF1266"/>
    <w:rsid w:val="00DF1619"/>
    <w:rsid w:val="00DF1E05"/>
    <w:rsid w:val="00DF205B"/>
    <w:rsid w:val="00DF249C"/>
    <w:rsid w:val="00DF2DBB"/>
    <w:rsid w:val="00DF2E2B"/>
    <w:rsid w:val="00DF3059"/>
    <w:rsid w:val="00DF3821"/>
    <w:rsid w:val="00DF387C"/>
    <w:rsid w:val="00DF3E7E"/>
    <w:rsid w:val="00DF49AC"/>
    <w:rsid w:val="00DF4A97"/>
    <w:rsid w:val="00DF4AE5"/>
    <w:rsid w:val="00DF4EF6"/>
    <w:rsid w:val="00DF53C0"/>
    <w:rsid w:val="00DF5453"/>
    <w:rsid w:val="00DF54DF"/>
    <w:rsid w:val="00DF56FC"/>
    <w:rsid w:val="00DF5934"/>
    <w:rsid w:val="00DF5AC4"/>
    <w:rsid w:val="00DF5C13"/>
    <w:rsid w:val="00DF6057"/>
    <w:rsid w:val="00DF60AB"/>
    <w:rsid w:val="00DF668C"/>
    <w:rsid w:val="00DF6747"/>
    <w:rsid w:val="00DF749B"/>
    <w:rsid w:val="00DF76AD"/>
    <w:rsid w:val="00DF78A7"/>
    <w:rsid w:val="00DF7C53"/>
    <w:rsid w:val="00DF7E2D"/>
    <w:rsid w:val="00E00313"/>
    <w:rsid w:val="00E00483"/>
    <w:rsid w:val="00E0053A"/>
    <w:rsid w:val="00E00671"/>
    <w:rsid w:val="00E00856"/>
    <w:rsid w:val="00E0085F"/>
    <w:rsid w:val="00E01689"/>
    <w:rsid w:val="00E0169F"/>
    <w:rsid w:val="00E018C6"/>
    <w:rsid w:val="00E01B0E"/>
    <w:rsid w:val="00E01CB4"/>
    <w:rsid w:val="00E01F0E"/>
    <w:rsid w:val="00E0206B"/>
    <w:rsid w:val="00E0231F"/>
    <w:rsid w:val="00E0245A"/>
    <w:rsid w:val="00E024A4"/>
    <w:rsid w:val="00E024CC"/>
    <w:rsid w:val="00E02665"/>
    <w:rsid w:val="00E02AC8"/>
    <w:rsid w:val="00E02D0A"/>
    <w:rsid w:val="00E02DB3"/>
    <w:rsid w:val="00E0302E"/>
    <w:rsid w:val="00E030A4"/>
    <w:rsid w:val="00E0360E"/>
    <w:rsid w:val="00E03982"/>
    <w:rsid w:val="00E03B64"/>
    <w:rsid w:val="00E03D75"/>
    <w:rsid w:val="00E03E1D"/>
    <w:rsid w:val="00E0409C"/>
    <w:rsid w:val="00E042A4"/>
    <w:rsid w:val="00E042EC"/>
    <w:rsid w:val="00E04358"/>
    <w:rsid w:val="00E0464F"/>
    <w:rsid w:val="00E048AF"/>
    <w:rsid w:val="00E049F2"/>
    <w:rsid w:val="00E05087"/>
    <w:rsid w:val="00E0533C"/>
    <w:rsid w:val="00E0538E"/>
    <w:rsid w:val="00E0569D"/>
    <w:rsid w:val="00E056A4"/>
    <w:rsid w:val="00E056C5"/>
    <w:rsid w:val="00E05DDC"/>
    <w:rsid w:val="00E06039"/>
    <w:rsid w:val="00E0660A"/>
    <w:rsid w:val="00E0676A"/>
    <w:rsid w:val="00E069A2"/>
    <w:rsid w:val="00E06A1A"/>
    <w:rsid w:val="00E06BE1"/>
    <w:rsid w:val="00E10179"/>
    <w:rsid w:val="00E10205"/>
    <w:rsid w:val="00E1070B"/>
    <w:rsid w:val="00E1089F"/>
    <w:rsid w:val="00E10A33"/>
    <w:rsid w:val="00E10E67"/>
    <w:rsid w:val="00E10EA5"/>
    <w:rsid w:val="00E1132F"/>
    <w:rsid w:val="00E11A16"/>
    <w:rsid w:val="00E11D1B"/>
    <w:rsid w:val="00E11FD4"/>
    <w:rsid w:val="00E12027"/>
    <w:rsid w:val="00E12368"/>
    <w:rsid w:val="00E12492"/>
    <w:rsid w:val="00E128BC"/>
    <w:rsid w:val="00E128F8"/>
    <w:rsid w:val="00E13137"/>
    <w:rsid w:val="00E13283"/>
    <w:rsid w:val="00E132A3"/>
    <w:rsid w:val="00E135DE"/>
    <w:rsid w:val="00E13865"/>
    <w:rsid w:val="00E138F1"/>
    <w:rsid w:val="00E13AAC"/>
    <w:rsid w:val="00E13C9B"/>
    <w:rsid w:val="00E13DC5"/>
    <w:rsid w:val="00E13EDE"/>
    <w:rsid w:val="00E13F5B"/>
    <w:rsid w:val="00E14013"/>
    <w:rsid w:val="00E14226"/>
    <w:rsid w:val="00E14252"/>
    <w:rsid w:val="00E1478A"/>
    <w:rsid w:val="00E147AA"/>
    <w:rsid w:val="00E14DFD"/>
    <w:rsid w:val="00E152DA"/>
    <w:rsid w:val="00E1594D"/>
    <w:rsid w:val="00E15F82"/>
    <w:rsid w:val="00E16243"/>
    <w:rsid w:val="00E16D52"/>
    <w:rsid w:val="00E16EDA"/>
    <w:rsid w:val="00E16F79"/>
    <w:rsid w:val="00E16F90"/>
    <w:rsid w:val="00E16FFF"/>
    <w:rsid w:val="00E17047"/>
    <w:rsid w:val="00E173A7"/>
    <w:rsid w:val="00E174AB"/>
    <w:rsid w:val="00E175E6"/>
    <w:rsid w:val="00E17717"/>
    <w:rsid w:val="00E17881"/>
    <w:rsid w:val="00E17E6C"/>
    <w:rsid w:val="00E203E4"/>
    <w:rsid w:val="00E203EA"/>
    <w:rsid w:val="00E2066D"/>
    <w:rsid w:val="00E20727"/>
    <w:rsid w:val="00E20FF8"/>
    <w:rsid w:val="00E21397"/>
    <w:rsid w:val="00E2154C"/>
    <w:rsid w:val="00E21593"/>
    <w:rsid w:val="00E2178E"/>
    <w:rsid w:val="00E22310"/>
    <w:rsid w:val="00E22511"/>
    <w:rsid w:val="00E226A7"/>
    <w:rsid w:val="00E22B37"/>
    <w:rsid w:val="00E22BCC"/>
    <w:rsid w:val="00E22CAB"/>
    <w:rsid w:val="00E2320C"/>
    <w:rsid w:val="00E232A0"/>
    <w:rsid w:val="00E23667"/>
    <w:rsid w:val="00E2368E"/>
    <w:rsid w:val="00E23759"/>
    <w:rsid w:val="00E237A6"/>
    <w:rsid w:val="00E24609"/>
    <w:rsid w:val="00E24761"/>
    <w:rsid w:val="00E249E0"/>
    <w:rsid w:val="00E24BA9"/>
    <w:rsid w:val="00E24E2D"/>
    <w:rsid w:val="00E25133"/>
    <w:rsid w:val="00E255B8"/>
    <w:rsid w:val="00E255D2"/>
    <w:rsid w:val="00E25DF5"/>
    <w:rsid w:val="00E261F2"/>
    <w:rsid w:val="00E26224"/>
    <w:rsid w:val="00E266B5"/>
    <w:rsid w:val="00E2676D"/>
    <w:rsid w:val="00E26903"/>
    <w:rsid w:val="00E26B5C"/>
    <w:rsid w:val="00E26DBD"/>
    <w:rsid w:val="00E26E0E"/>
    <w:rsid w:val="00E27CB9"/>
    <w:rsid w:val="00E30044"/>
    <w:rsid w:val="00E30137"/>
    <w:rsid w:val="00E3014F"/>
    <w:rsid w:val="00E30368"/>
    <w:rsid w:val="00E3038E"/>
    <w:rsid w:val="00E30457"/>
    <w:rsid w:val="00E305AE"/>
    <w:rsid w:val="00E3065F"/>
    <w:rsid w:val="00E30661"/>
    <w:rsid w:val="00E30BE2"/>
    <w:rsid w:val="00E3103A"/>
    <w:rsid w:val="00E316FF"/>
    <w:rsid w:val="00E318E9"/>
    <w:rsid w:val="00E31A99"/>
    <w:rsid w:val="00E31D61"/>
    <w:rsid w:val="00E321DB"/>
    <w:rsid w:val="00E32228"/>
    <w:rsid w:val="00E32D12"/>
    <w:rsid w:val="00E32EAB"/>
    <w:rsid w:val="00E330E7"/>
    <w:rsid w:val="00E334B5"/>
    <w:rsid w:val="00E33821"/>
    <w:rsid w:val="00E33B9E"/>
    <w:rsid w:val="00E346D5"/>
    <w:rsid w:val="00E34BFC"/>
    <w:rsid w:val="00E34CA7"/>
    <w:rsid w:val="00E35380"/>
    <w:rsid w:val="00E35899"/>
    <w:rsid w:val="00E35A72"/>
    <w:rsid w:val="00E35B33"/>
    <w:rsid w:val="00E35C6A"/>
    <w:rsid w:val="00E35D65"/>
    <w:rsid w:val="00E36131"/>
    <w:rsid w:val="00E361CC"/>
    <w:rsid w:val="00E366E1"/>
    <w:rsid w:val="00E36A78"/>
    <w:rsid w:val="00E37289"/>
    <w:rsid w:val="00E378D3"/>
    <w:rsid w:val="00E37A02"/>
    <w:rsid w:val="00E40417"/>
    <w:rsid w:val="00E4059A"/>
    <w:rsid w:val="00E4066F"/>
    <w:rsid w:val="00E40F5F"/>
    <w:rsid w:val="00E413D8"/>
    <w:rsid w:val="00E41DCC"/>
    <w:rsid w:val="00E41E8E"/>
    <w:rsid w:val="00E42591"/>
    <w:rsid w:val="00E42700"/>
    <w:rsid w:val="00E42789"/>
    <w:rsid w:val="00E42CBC"/>
    <w:rsid w:val="00E42D7F"/>
    <w:rsid w:val="00E4309A"/>
    <w:rsid w:val="00E43323"/>
    <w:rsid w:val="00E43666"/>
    <w:rsid w:val="00E4384D"/>
    <w:rsid w:val="00E439CE"/>
    <w:rsid w:val="00E43FDA"/>
    <w:rsid w:val="00E445B5"/>
    <w:rsid w:val="00E445E7"/>
    <w:rsid w:val="00E4492E"/>
    <w:rsid w:val="00E44A77"/>
    <w:rsid w:val="00E44B6C"/>
    <w:rsid w:val="00E44FF0"/>
    <w:rsid w:val="00E45CFF"/>
    <w:rsid w:val="00E45FC3"/>
    <w:rsid w:val="00E46105"/>
    <w:rsid w:val="00E46382"/>
    <w:rsid w:val="00E4681B"/>
    <w:rsid w:val="00E468C3"/>
    <w:rsid w:val="00E469BB"/>
    <w:rsid w:val="00E46A13"/>
    <w:rsid w:val="00E46C0C"/>
    <w:rsid w:val="00E46D66"/>
    <w:rsid w:val="00E46E73"/>
    <w:rsid w:val="00E4742E"/>
    <w:rsid w:val="00E47504"/>
    <w:rsid w:val="00E47B21"/>
    <w:rsid w:val="00E47BC6"/>
    <w:rsid w:val="00E47F80"/>
    <w:rsid w:val="00E50022"/>
    <w:rsid w:val="00E50097"/>
    <w:rsid w:val="00E508A3"/>
    <w:rsid w:val="00E50AF8"/>
    <w:rsid w:val="00E50C07"/>
    <w:rsid w:val="00E50CD1"/>
    <w:rsid w:val="00E51102"/>
    <w:rsid w:val="00E5110F"/>
    <w:rsid w:val="00E5121F"/>
    <w:rsid w:val="00E516A2"/>
    <w:rsid w:val="00E51EA3"/>
    <w:rsid w:val="00E51F15"/>
    <w:rsid w:val="00E52192"/>
    <w:rsid w:val="00E523B3"/>
    <w:rsid w:val="00E52410"/>
    <w:rsid w:val="00E52960"/>
    <w:rsid w:val="00E52CC9"/>
    <w:rsid w:val="00E53364"/>
    <w:rsid w:val="00E53A5B"/>
    <w:rsid w:val="00E53B2B"/>
    <w:rsid w:val="00E53F2C"/>
    <w:rsid w:val="00E53FD9"/>
    <w:rsid w:val="00E5426E"/>
    <w:rsid w:val="00E54581"/>
    <w:rsid w:val="00E547E5"/>
    <w:rsid w:val="00E549BB"/>
    <w:rsid w:val="00E54E61"/>
    <w:rsid w:val="00E5512F"/>
    <w:rsid w:val="00E55BE7"/>
    <w:rsid w:val="00E55DE1"/>
    <w:rsid w:val="00E5622C"/>
    <w:rsid w:val="00E5636D"/>
    <w:rsid w:val="00E56597"/>
    <w:rsid w:val="00E568D8"/>
    <w:rsid w:val="00E568EA"/>
    <w:rsid w:val="00E56947"/>
    <w:rsid w:val="00E56BB5"/>
    <w:rsid w:val="00E575D0"/>
    <w:rsid w:val="00E57A4A"/>
    <w:rsid w:val="00E57F50"/>
    <w:rsid w:val="00E60488"/>
    <w:rsid w:val="00E60599"/>
    <w:rsid w:val="00E60D34"/>
    <w:rsid w:val="00E60DED"/>
    <w:rsid w:val="00E61036"/>
    <w:rsid w:val="00E6108F"/>
    <w:rsid w:val="00E6131B"/>
    <w:rsid w:val="00E61438"/>
    <w:rsid w:val="00E6158D"/>
    <w:rsid w:val="00E619DA"/>
    <w:rsid w:val="00E61A03"/>
    <w:rsid w:val="00E61A24"/>
    <w:rsid w:val="00E61A34"/>
    <w:rsid w:val="00E61B3D"/>
    <w:rsid w:val="00E61D6D"/>
    <w:rsid w:val="00E61D74"/>
    <w:rsid w:val="00E61E5B"/>
    <w:rsid w:val="00E62264"/>
    <w:rsid w:val="00E6294C"/>
    <w:rsid w:val="00E62DB0"/>
    <w:rsid w:val="00E630C9"/>
    <w:rsid w:val="00E632D7"/>
    <w:rsid w:val="00E6344E"/>
    <w:rsid w:val="00E6347E"/>
    <w:rsid w:val="00E6361A"/>
    <w:rsid w:val="00E638B1"/>
    <w:rsid w:val="00E63BF7"/>
    <w:rsid w:val="00E63D4C"/>
    <w:rsid w:val="00E63DAD"/>
    <w:rsid w:val="00E644A2"/>
    <w:rsid w:val="00E647E3"/>
    <w:rsid w:val="00E64849"/>
    <w:rsid w:val="00E64A8A"/>
    <w:rsid w:val="00E64C09"/>
    <w:rsid w:val="00E64D86"/>
    <w:rsid w:val="00E65530"/>
    <w:rsid w:val="00E6574F"/>
    <w:rsid w:val="00E6587B"/>
    <w:rsid w:val="00E65AAF"/>
    <w:rsid w:val="00E65B02"/>
    <w:rsid w:val="00E65C09"/>
    <w:rsid w:val="00E65CDC"/>
    <w:rsid w:val="00E661FE"/>
    <w:rsid w:val="00E6638C"/>
    <w:rsid w:val="00E663AA"/>
    <w:rsid w:val="00E66451"/>
    <w:rsid w:val="00E6664E"/>
    <w:rsid w:val="00E667BE"/>
    <w:rsid w:val="00E66928"/>
    <w:rsid w:val="00E6693E"/>
    <w:rsid w:val="00E6746C"/>
    <w:rsid w:val="00E67AF4"/>
    <w:rsid w:val="00E67DC2"/>
    <w:rsid w:val="00E67F3F"/>
    <w:rsid w:val="00E7042B"/>
    <w:rsid w:val="00E70847"/>
    <w:rsid w:val="00E70B9F"/>
    <w:rsid w:val="00E71BAD"/>
    <w:rsid w:val="00E7211C"/>
    <w:rsid w:val="00E72124"/>
    <w:rsid w:val="00E72291"/>
    <w:rsid w:val="00E7293E"/>
    <w:rsid w:val="00E72B58"/>
    <w:rsid w:val="00E72C2E"/>
    <w:rsid w:val="00E72CEA"/>
    <w:rsid w:val="00E72D48"/>
    <w:rsid w:val="00E72DEE"/>
    <w:rsid w:val="00E7355A"/>
    <w:rsid w:val="00E737E5"/>
    <w:rsid w:val="00E74017"/>
    <w:rsid w:val="00E74049"/>
    <w:rsid w:val="00E74076"/>
    <w:rsid w:val="00E7418D"/>
    <w:rsid w:val="00E745A4"/>
    <w:rsid w:val="00E75732"/>
    <w:rsid w:val="00E759A0"/>
    <w:rsid w:val="00E759D4"/>
    <w:rsid w:val="00E75AB2"/>
    <w:rsid w:val="00E75C65"/>
    <w:rsid w:val="00E75ECC"/>
    <w:rsid w:val="00E76045"/>
    <w:rsid w:val="00E76941"/>
    <w:rsid w:val="00E7730B"/>
    <w:rsid w:val="00E7749D"/>
    <w:rsid w:val="00E779EB"/>
    <w:rsid w:val="00E77C56"/>
    <w:rsid w:val="00E77FF0"/>
    <w:rsid w:val="00E80646"/>
    <w:rsid w:val="00E80A98"/>
    <w:rsid w:val="00E80D2C"/>
    <w:rsid w:val="00E81535"/>
    <w:rsid w:val="00E81938"/>
    <w:rsid w:val="00E81C0D"/>
    <w:rsid w:val="00E82A4B"/>
    <w:rsid w:val="00E82C6A"/>
    <w:rsid w:val="00E82D76"/>
    <w:rsid w:val="00E83900"/>
    <w:rsid w:val="00E83D9F"/>
    <w:rsid w:val="00E84226"/>
    <w:rsid w:val="00E84515"/>
    <w:rsid w:val="00E84624"/>
    <w:rsid w:val="00E846C5"/>
    <w:rsid w:val="00E84755"/>
    <w:rsid w:val="00E84780"/>
    <w:rsid w:val="00E84808"/>
    <w:rsid w:val="00E848A2"/>
    <w:rsid w:val="00E84946"/>
    <w:rsid w:val="00E84A5B"/>
    <w:rsid w:val="00E84C7C"/>
    <w:rsid w:val="00E85046"/>
    <w:rsid w:val="00E853CD"/>
    <w:rsid w:val="00E85465"/>
    <w:rsid w:val="00E854F8"/>
    <w:rsid w:val="00E855D2"/>
    <w:rsid w:val="00E85951"/>
    <w:rsid w:val="00E863A4"/>
    <w:rsid w:val="00E86A93"/>
    <w:rsid w:val="00E86BF6"/>
    <w:rsid w:val="00E870DC"/>
    <w:rsid w:val="00E87620"/>
    <w:rsid w:val="00E87C94"/>
    <w:rsid w:val="00E87CB6"/>
    <w:rsid w:val="00E87F3F"/>
    <w:rsid w:val="00E87FE8"/>
    <w:rsid w:val="00E90545"/>
    <w:rsid w:val="00E909C3"/>
    <w:rsid w:val="00E911E0"/>
    <w:rsid w:val="00E912E5"/>
    <w:rsid w:val="00E91514"/>
    <w:rsid w:val="00E916EB"/>
    <w:rsid w:val="00E919AA"/>
    <w:rsid w:val="00E91EB5"/>
    <w:rsid w:val="00E92055"/>
    <w:rsid w:val="00E92723"/>
    <w:rsid w:val="00E92B53"/>
    <w:rsid w:val="00E92B59"/>
    <w:rsid w:val="00E92E27"/>
    <w:rsid w:val="00E92ED4"/>
    <w:rsid w:val="00E93042"/>
    <w:rsid w:val="00E930BE"/>
    <w:rsid w:val="00E93590"/>
    <w:rsid w:val="00E937D6"/>
    <w:rsid w:val="00E938E4"/>
    <w:rsid w:val="00E93ADE"/>
    <w:rsid w:val="00E93E31"/>
    <w:rsid w:val="00E94228"/>
    <w:rsid w:val="00E942E3"/>
    <w:rsid w:val="00E94B96"/>
    <w:rsid w:val="00E94E6C"/>
    <w:rsid w:val="00E958B4"/>
    <w:rsid w:val="00E95995"/>
    <w:rsid w:val="00E95AF8"/>
    <w:rsid w:val="00E95D43"/>
    <w:rsid w:val="00E965B2"/>
    <w:rsid w:val="00E96B66"/>
    <w:rsid w:val="00E96BE4"/>
    <w:rsid w:val="00E97140"/>
    <w:rsid w:val="00E97664"/>
    <w:rsid w:val="00E97811"/>
    <w:rsid w:val="00E97A3E"/>
    <w:rsid w:val="00E97D4F"/>
    <w:rsid w:val="00E97F17"/>
    <w:rsid w:val="00EA0362"/>
    <w:rsid w:val="00EA0BA6"/>
    <w:rsid w:val="00EA0E40"/>
    <w:rsid w:val="00EA119E"/>
    <w:rsid w:val="00EA154C"/>
    <w:rsid w:val="00EA1688"/>
    <w:rsid w:val="00EA17D7"/>
    <w:rsid w:val="00EA1BC3"/>
    <w:rsid w:val="00EA2A77"/>
    <w:rsid w:val="00EA2A88"/>
    <w:rsid w:val="00EA3075"/>
    <w:rsid w:val="00EA3595"/>
    <w:rsid w:val="00EA36D4"/>
    <w:rsid w:val="00EA37A2"/>
    <w:rsid w:val="00EA396D"/>
    <w:rsid w:val="00EA3A8E"/>
    <w:rsid w:val="00EA3ACB"/>
    <w:rsid w:val="00EA3BF7"/>
    <w:rsid w:val="00EA3DF4"/>
    <w:rsid w:val="00EA43F0"/>
    <w:rsid w:val="00EA469C"/>
    <w:rsid w:val="00EA4A3D"/>
    <w:rsid w:val="00EA4D07"/>
    <w:rsid w:val="00EA50D1"/>
    <w:rsid w:val="00EA5339"/>
    <w:rsid w:val="00EA55E9"/>
    <w:rsid w:val="00EA60FE"/>
    <w:rsid w:val="00EA6384"/>
    <w:rsid w:val="00EA6660"/>
    <w:rsid w:val="00EA6A1B"/>
    <w:rsid w:val="00EA6ACB"/>
    <w:rsid w:val="00EA6AFF"/>
    <w:rsid w:val="00EA6BDC"/>
    <w:rsid w:val="00EA6BEB"/>
    <w:rsid w:val="00EA715E"/>
    <w:rsid w:val="00EA74E5"/>
    <w:rsid w:val="00EA7813"/>
    <w:rsid w:val="00EA7936"/>
    <w:rsid w:val="00EA798E"/>
    <w:rsid w:val="00EA79B3"/>
    <w:rsid w:val="00EA7B1A"/>
    <w:rsid w:val="00EA7E49"/>
    <w:rsid w:val="00EA7FB3"/>
    <w:rsid w:val="00EB005D"/>
    <w:rsid w:val="00EB00E8"/>
    <w:rsid w:val="00EB0242"/>
    <w:rsid w:val="00EB0683"/>
    <w:rsid w:val="00EB08A8"/>
    <w:rsid w:val="00EB0D2C"/>
    <w:rsid w:val="00EB11EF"/>
    <w:rsid w:val="00EB16F4"/>
    <w:rsid w:val="00EB2088"/>
    <w:rsid w:val="00EB20A1"/>
    <w:rsid w:val="00EB22D0"/>
    <w:rsid w:val="00EB22FD"/>
    <w:rsid w:val="00EB2BED"/>
    <w:rsid w:val="00EB3001"/>
    <w:rsid w:val="00EB365E"/>
    <w:rsid w:val="00EB372A"/>
    <w:rsid w:val="00EB38E8"/>
    <w:rsid w:val="00EB3EEE"/>
    <w:rsid w:val="00EB42A9"/>
    <w:rsid w:val="00EB42F1"/>
    <w:rsid w:val="00EB4440"/>
    <w:rsid w:val="00EB457A"/>
    <w:rsid w:val="00EB459D"/>
    <w:rsid w:val="00EB494D"/>
    <w:rsid w:val="00EB4DD6"/>
    <w:rsid w:val="00EB5843"/>
    <w:rsid w:val="00EB5B9B"/>
    <w:rsid w:val="00EB6583"/>
    <w:rsid w:val="00EB6832"/>
    <w:rsid w:val="00EB68A1"/>
    <w:rsid w:val="00EB6A6F"/>
    <w:rsid w:val="00EB6AC3"/>
    <w:rsid w:val="00EB6C05"/>
    <w:rsid w:val="00EB6C5B"/>
    <w:rsid w:val="00EB6D0B"/>
    <w:rsid w:val="00EB6DFD"/>
    <w:rsid w:val="00EB6F09"/>
    <w:rsid w:val="00EB6F59"/>
    <w:rsid w:val="00EB7624"/>
    <w:rsid w:val="00EB76A1"/>
    <w:rsid w:val="00EB76D9"/>
    <w:rsid w:val="00EB7776"/>
    <w:rsid w:val="00EB77B7"/>
    <w:rsid w:val="00EB7C4E"/>
    <w:rsid w:val="00EC0282"/>
    <w:rsid w:val="00EC0307"/>
    <w:rsid w:val="00EC0562"/>
    <w:rsid w:val="00EC0590"/>
    <w:rsid w:val="00EC07A3"/>
    <w:rsid w:val="00EC0844"/>
    <w:rsid w:val="00EC0F8F"/>
    <w:rsid w:val="00EC1206"/>
    <w:rsid w:val="00EC12A0"/>
    <w:rsid w:val="00EC184F"/>
    <w:rsid w:val="00EC18E8"/>
    <w:rsid w:val="00EC1B09"/>
    <w:rsid w:val="00EC1D5E"/>
    <w:rsid w:val="00EC204F"/>
    <w:rsid w:val="00EC2266"/>
    <w:rsid w:val="00EC2797"/>
    <w:rsid w:val="00EC2999"/>
    <w:rsid w:val="00EC2C7B"/>
    <w:rsid w:val="00EC3751"/>
    <w:rsid w:val="00EC3B1D"/>
    <w:rsid w:val="00EC3CF7"/>
    <w:rsid w:val="00EC3EB7"/>
    <w:rsid w:val="00EC436C"/>
    <w:rsid w:val="00EC45E4"/>
    <w:rsid w:val="00EC4A68"/>
    <w:rsid w:val="00EC4AB1"/>
    <w:rsid w:val="00EC50FF"/>
    <w:rsid w:val="00EC5723"/>
    <w:rsid w:val="00EC61CD"/>
    <w:rsid w:val="00EC6413"/>
    <w:rsid w:val="00EC6774"/>
    <w:rsid w:val="00EC68A3"/>
    <w:rsid w:val="00EC7855"/>
    <w:rsid w:val="00EC7FC2"/>
    <w:rsid w:val="00ED0144"/>
    <w:rsid w:val="00ED028B"/>
    <w:rsid w:val="00ED06E9"/>
    <w:rsid w:val="00ED093C"/>
    <w:rsid w:val="00ED0D76"/>
    <w:rsid w:val="00ED1453"/>
    <w:rsid w:val="00ED15D2"/>
    <w:rsid w:val="00ED1990"/>
    <w:rsid w:val="00ED1B82"/>
    <w:rsid w:val="00ED1BDB"/>
    <w:rsid w:val="00ED1CF9"/>
    <w:rsid w:val="00ED1D1A"/>
    <w:rsid w:val="00ED1D1B"/>
    <w:rsid w:val="00ED28FA"/>
    <w:rsid w:val="00ED2ABA"/>
    <w:rsid w:val="00ED31FA"/>
    <w:rsid w:val="00ED32DB"/>
    <w:rsid w:val="00ED33B0"/>
    <w:rsid w:val="00ED35A6"/>
    <w:rsid w:val="00ED3701"/>
    <w:rsid w:val="00ED3BE3"/>
    <w:rsid w:val="00ED4049"/>
    <w:rsid w:val="00ED437E"/>
    <w:rsid w:val="00ED4A5D"/>
    <w:rsid w:val="00ED4B2C"/>
    <w:rsid w:val="00ED4CEB"/>
    <w:rsid w:val="00ED4F67"/>
    <w:rsid w:val="00ED542E"/>
    <w:rsid w:val="00ED58B8"/>
    <w:rsid w:val="00ED5A29"/>
    <w:rsid w:val="00ED5A69"/>
    <w:rsid w:val="00ED6726"/>
    <w:rsid w:val="00ED6EFC"/>
    <w:rsid w:val="00ED77A6"/>
    <w:rsid w:val="00ED7988"/>
    <w:rsid w:val="00EE0661"/>
    <w:rsid w:val="00EE0851"/>
    <w:rsid w:val="00EE135A"/>
    <w:rsid w:val="00EE1366"/>
    <w:rsid w:val="00EE136E"/>
    <w:rsid w:val="00EE17D8"/>
    <w:rsid w:val="00EE1A89"/>
    <w:rsid w:val="00EE1AEC"/>
    <w:rsid w:val="00EE1C3E"/>
    <w:rsid w:val="00EE2066"/>
    <w:rsid w:val="00EE20F0"/>
    <w:rsid w:val="00EE258E"/>
    <w:rsid w:val="00EE25BA"/>
    <w:rsid w:val="00EE2600"/>
    <w:rsid w:val="00EE2734"/>
    <w:rsid w:val="00EE3297"/>
    <w:rsid w:val="00EE338B"/>
    <w:rsid w:val="00EE40F9"/>
    <w:rsid w:val="00EE41EF"/>
    <w:rsid w:val="00EE4750"/>
    <w:rsid w:val="00EE49A5"/>
    <w:rsid w:val="00EE49CF"/>
    <w:rsid w:val="00EE4A6E"/>
    <w:rsid w:val="00EE4A71"/>
    <w:rsid w:val="00EE4DC1"/>
    <w:rsid w:val="00EE4FD4"/>
    <w:rsid w:val="00EE515D"/>
    <w:rsid w:val="00EE5269"/>
    <w:rsid w:val="00EE532F"/>
    <w:rsid w:val="00EE564A"/>
    <w:rsid w:val="00EE5BCC"/>
    <w:rsid w:val="00EE5E89"/>
    <w:rsid w:val="00EE60BD"/>
    <w:rsid w:val="00EE60DC"/>
    <w:rsid w:val="00EE61C6"/>
    <w:rsid w:val="00EE6474"/>
    <w:rsid w:val="00EE67FD"/>
    <w:rsid w:val="00EE6976"/>
    <w:rsid w:val="00EE6A66"/>
    <w:rsid w:val="00EE6D20"/>
    <w:rsid w:val="00EE72F5"/>
    <w:rsid w:val="00EE745F"/>
    <w:rsid w:val="00EE753A"/>
    <w:rsid w:val="00EE79F2"/>
    <w:rsid w:val="00EE7A28"/>
    <w:rsid w:val="00EE7A87"/>
    <w:rsid w:val="00EE7A9E"/>
    <w:rsid w:val="00EE7E0B"/>
    <w:rsid w:val="00EF01D2"/>
    <w:rsid w:val="00EF06AE"/>
    <w:rsid w:val="00EF0C52"/>
    <w:rsid w:val="00EF0E38"/>
    <w:rsid w:val="00EF10FF"/>
    <w:rsid w:val="00EF113B"/>
    <w:rsid w:val="00EF121B"/>
    <w:rsid w:val="00EF13D9"/>
    <w:rsid w:val="00EF1487"/>
    <w:rsid w:val="00EF168A"/>
    <w:rsid w:val="00EF192A"/>
    <w:rsid w:val="00EF1E73"/>
    <w:rsid w:val="00EF21D1"/>
    <w:rsid w:val="00EF2504"/>
    <w:rsid w:val="00EF257F"/>
    <w:rsid w:val="00EF27D1"/>
    <w:rsid w:val="00EF28E9"/>
    <w:rsid w:val="00EF2A47"/>
    <w:rsid w:val="00EF32EA"/>
    <w:rsid w:val="00EF3725"/>
    <w:rsid w:val="00EF3CF2"/>
    <w:rsid w:val="00EF3DD4"/>
    <w:rsid w:val="00EF44D1"/>
    <w:rsid w:val="00EF48C3"/>
    <w:rsid w:val="00EF4A94"/>
    <w:rsid w:val="00EF4B31"/>
    <w:rsid w:val="00EF4C0F"/>
    <w:rsid w:val="00EF4E4C"/>
    <w:rsid w:val="00EF518F"/>
    <w:rsid w:val="00EF51CB"/>
    <w:rsid w:val="00EF5285"/>
    <w:rsid w:val="00EF5544"/>
    <w:rsid w:val="00EF5E78"/>
    <w:rsid w:val="00EF60E0"/>
    <w:rsid w:val="00EF613C"/>
    <w:rsid w:val="00EF659A"/>
    <w:rsid w:val="00EF665D"/>
    <w:rsid w:val="00EF6729"/>
    <w:rsid w:val="00EF673F"/>
    <w:rsid w:val="00EF68A5"/>
    <w:rsid w:val="00EF6AA8"/>
    <w:rsid w:val="00EF6BA3"/>
    <w:rsid w:val="00EF6FB1"/>
    <w:rsid w:val="00EF705E"/>
    <w:rsid w:val="00EF758D"/>
    <w:rsid w:val="00EF7936"/>
    <w:rsid w:val="00EF7D26"/>
    <w:rsid w:val="00EF7DB5"/>
    <w:rsid w:val="00F00229"/>
    <w:rsid w:val="00F003F9"/>
    <w:rsid w:val="00F0115F"/>
    <w:rsid w:val="00F01693"/>
    <w:rsid w:val="00F0192D"/>
    <w:rsid w:val="00F01A90"/>
    <w:rsid w:val="00F01CD5"/>
    <w:rsid w:val="00F0259A"/>
    <w:rsid w:val="00F0268F"/>
    <w:rsid w:val="00F02806"/>
    <w:rsid w:val="00F02BC9"/>
    <w:rsid w:val="00F02C3C"/>
    <w:rsid w:val="00F02E6E"/>
    <w:rsid w:val="00F031FA"/>
    <w:rsid w:val="00F032FE"/>
    <w:rsid w:val="00F03586"/>
    <w:rsid w:val="00F03A8D"/>
    <w:rsid w:val="00F03EAB"/>
    <w:rsid w:val="00F0420A"/>
    <w:rsid w:val="00F04469"/>
    <w:rsid w:val="00F044C3"/>
    <w:rsid w:val="00F04819"/>
    <w:rsid w:val="00F048F2"/>
    <w:rsid w:val="00F04C88"/>
    <w:rsid w:val="00F05309"/>
    <w:rsid w:val="00F053C3"/>
    <w:rsid w:val="00F05529"/>
    <w:rsid w:val="00F05EBC"/>
    <w:rsid w:val="00F063D2"/>
    <w:rsid w:val="00F06727"/>
    <w:rsid w:val="00F06A3E"/>
    <w:rsid w:val="00F06AC3"/>
    <w:rsid w:val="00F06CD5"/>
    <w:rsid w:val="00F06E88"/>
    <w:rsid w:val="00F06FD1"/>
    <w:rsid w:val="00F073D7"/>
    <w:rsid w:val="00F07662"/>
    <w:rsid w:val="00F079F9"/>
    <w:rsid w:val="00F07C49"/>
    <w:rsid w:val="00F10012"/>
    <w:rsid w:val="00F1052B"/>
    <w:rsid w:val="00F10B47"/>
    <w:rsid w:val="00F10E40"/>
    <w:rsid w:val="00F10F9B"/>
    <w:rsid w:val="00F11824"/>
    <w:rsid w:val="00F13103"/>
    <w:rsid w:val="00F13279"/>
    <w:rsid w:val="00F1327E"/>
    <w:rsid w:val="00F13389"/>
    <w:rsid w:val="00F133C8"/>
    <w:rsid w:val="00F134D8"/>
    <w:rsid w:val="00F134E4"/>
    <w:rsid w:val="00F13FB0"/>
    <w:rsid w:val="00F14300"/>
    <w:rsid w:val="00F14440"/>
    <w:rsid w:val="00F14545"/>
    <w:rsid w:val="00F1468A"/>
    <w:rsid w:val="00F14A47"/>
    <w:rsid w:val="00F1530A"/>
    <w:rsid w:val="00F1588D"/>
    <w:rsid w:val="00F15A65"/>
    <w:rsid w:val="00F163F2"/>
    <w:rsid w:val="00F166A8"/>
    <w:rsid w:val="00F1674B"/>
    <w:rsid w:val="00F167CD"/>
    <w:rsid w:val="00F169CA"/>
    <w:rsid w:val="00F16E9D"/>
    <w:rsid w:val="00F17123"/>
    <w:rsid w:val="00F17186"/>
    <w:rsid w:val="00F17451"/>
    <w:rsid w:val="00F17527"/>
    <w:rsid w:val="00F200F3"/>
    <w:rsid w:val="00F2024F"/>
    <w:rsid w:val="00F207C5"/>
    <w:rsid w:val="00F20C14"/>
    <w:rsid w:val="00F20D1D"/>
    <w:rsid w:val="00F20D24"/>
    <w:rsid w:val="00F20D3E"/>
    <w:rsid w:val="00F20E35"/>
    <w:rsid w:val="00F20FCB"/>
    <w:rsid w:val="00F210ED"/>
    <w:rsid w:val="00F21149"/>
    <w:rsid w:val="00F21219"/>
    <w:rsid w:val="00F21330"/>
    <w:rsid w:val="00F21377"/>
    <w:rsid w:val="00F21677"/>
    <w:rsid w:val="00F21A1A"/>
    <w:rsid w:val="00F21A63"/>
    <w:rsid w:val="00F22355"/>
    <w:rsid w:val="00F2239A"/>
    <w:rsid w:val="00F223A3"/>
    <w:rsid w:val="00F2276B"/>
    <w:rsid w:val="00F22899"/>
    <w:rsid w:val="00F229BE"/>
    <w:rsid w:val="00F22D9F"/>
    <w:rsid w:val="00F23181"/>
    <w:rsid w:val="00F233FF"/>
    <w:rsid w:val="00F23512"/>
    <w:rsid w:val="00F23E80"/>
    <w:rsid w:val="00F23F81"/>
    <w:rsid w:val="00F23FA9"/>
    <w:rsid w:val="00F24014"/>
    <w:rsid w:val="00F2423E"/>
    <w:rsid w:val="00F24DD0"/>
    <w:rsid w:val="00F2500E"/>
    <w:rsid w:val="00F25101"/>
    <w:rsid w:val="00F255EC"/>
    <w:rsid w:val="00F25AEA"/>
    <w:rsid w:val="00F25DEE"/>
    <w:rsid w:val="00F2607C"/>
    <w:rsid w:val="00F261D6"/>
    <w:rsid w:val="00F2621B"/>
    <w:rsid w:val="00F265C7"/>
    <w:rsid w:val="00F266C6"/>
    <w:rsid w:val="00F267DD"/>
    <w:rsid w:val="00F26B96"/>
    <w:rsid w:val="00F2713F"/>
    <w:rsid w:val="00F27432"/>
    <w:rsid w:val="00F274C0"/>
    <w:rsid w:val="00F2765F"/>
    <w:rsid w:val="00F2790C"/>
    <w:rsid w:val="00F279D1"/>
    <w:rsid w:val="00F27BDB"/>
    <w:rsid w:val="00F27CAE"/>
    <w:rsid w:val="00F27EB4"/>
    <w:rsid w:val="00F300A7"/>
    <w:rsid w:val="00F3024D"/>
    <w:rsid w:val="00F306E1"/>
    <w:rsid w:val="00F30758"/>
    <w:rsid w:val="00F307F4"/>
    <w:rsid w:val="00F30C0F"/>
    <w:rsid w:val="00F30E32"/>
    <w:rsid w:val="00F30E60"/>
    <w:rsid w:val="00F31123"/>
    <w:rsid w:val="00F313F7"/>
    <w:rsid w:val="00F315BB"/>
    <w:rsid w:val="00F31958"/>
    <w:rsid w:val="00F321C6"/>
    <w:rsid w:val="00F3221C"/>
    <w:rsid w:val="00F32AAE"/>
    <w:rsid w:val="00F337F0"/>
    <w:rsid w:val="00F338AE"/>
    <w:rsid w:val="00F3399C"/>
    <w:rsid w:val="00F33A26"/>
    <w:rsid w:val="00F34072"/>
    <w:rsid w:val="00F3419A"/>
    <w:rsid w:val="00F3420E"/>
    <w:rsid w:val="00F344E5"/>
    <w:rsid w:val="00F346E8"/>
    <w:rsid w:val="00F346F9"/>
    <w:rsid w:val="00F3483F"/>
    <w:rsid w:val="00F348A0"/>
    <w:rsid w:val="00F34D71"/>
    <w:rsid w:val="00F34DAE"/>
    <w:rsid w:val="00F34E76"/>
    <w:rsid w:val="00F34FAE"/>
    <w:rsid w:val="00F3520D"/>
    <w:rsid w:val="00F35770"/>
    <w:rsid w:val="00F35EDE"/>
    <w:rsid w:val="00F35F1B"/>
    <w:rsid w:val="00F36284"/>
    <w:rsid w:val="00F36349"/>
    <w:rsid w:val="00F366B9"/>
    <w:rsid w:val="00F369A2"/>
    <w:rsid w:val="00F36D53"/>
    <w:rsid w:val="00F3770F"/>
    <w:rsid w:val="00F37778"/>
    <w:rsid w:val="00F37BD6"/>
    <w:rsid w:val="00F40508"/>
    <w:rsid w:val="00F405AF"/>
    <w:rsid w:val="00F40BD3"/>
    <w:rsid w:val="00F40C27"/>
    <w:rsid w:val="00F41025"/>
    <w:rsid w:val="00F4106E"/>
    <w:rsid w:val="00F4125E"/>
    <w:rsid w:val="00F41620"/>
    <w:rsid w:val="00F416CE"/>
    <w:rsid w:val="00F4182A"/>
    <w:rsid w:val="00F41931"/>
    <w:rsid w:val="00F41C84"/>
    <w:rsid w:val="00F42087"/>
    <w:rsid w:val="00F42142"/>
    <w:rsid w:val="00F42459"/>
    <w:rsid w:val="00F42819"/>
    <w:rsid w:val="00F42C23"/>
    <w:rsid w:val="00F43710"/>
    <w:rsid w:val="00F43D6D"/>
    <w:rsid w:val="00F43DBC"/>
    <w:rsid w:val="00F43F9B"/>
    <w:rsid w:val="00F4408F"/>
    <w:rsid w:val="00F44671"/>
    <w:rsid w:val="00F44763"/>
    <w:rsid w:val="00F44B40"/>
    <w:rsid w:val="00F45256"/>
    <w:rsid w:val="00F45393"/>
    <w:rsid w:val="00F454B6"/>
    <w:rsid w:val="00F4578E"/>
    <w:rsid w:val="00F458A4"/>
    <w:rsid w:val="00F45B9E"/>
    <w:rsid w:val="00F45C1F"/>
    <w:rsid w:val="00F45D13"/>
    <w:rsid w:val="00F46798"/>
    <w:rsid w:val="00F47129"/>
    <w:rsid w:val="00F471D4"/>
    <w:rsid w:val="00F47767"/>
    <w:rsid w:val="00F47992"/>
    <w:rsid w:val="00F47B9C"/>
    <w:rsid w:val="00F47E41"/>
    <w:rsid w:val="00F47FC3"/>
    <w:rsid w:val="00F50333"/>
    <w:rsid w:val="00F50348"/>
    <w:rsid w:val="00F5050C"/>
    <w:rsid w:val="00F50F43"/>
    <w:rsid w:val="00F51537"/>
    <w:rsid w:val="00F5158B"/>
    <w:rsid w:val="00F51851"/>
    <w:rsid w:val="00F51EC3"/>
    <w:rsid w:val="00F5231D"/>
    <w:rsid w:val="00F5237E"/>
    <w:rsid w:val="00F525DE"/>
    <w:rsid w:val="00F527D1"/>
    <w:rsid w:val="00F5285C"/>
    <w:rsid w:val="00F52C95"/>
    <w:rsid w:val="00F52E30"/>
    <w:rsid w:val="00F53656"/>
    <w:rsid w:val="00F53A37"/>
    <w:rsid w:val="00F53F95"/>
    <w:rsid w:val="00F5423A"/>
    <w:rsid w:val="00F545AC"/>
    <w:rsid w:val="00F54A04"/>
    <w:rsid w:val="00F553AB"/>
    <w:rsid w:val="00F554A2"/>
    <w:rsid w:val="00F556AF"/>
    <w:rsid w:val="00F556D2"/>
    <w:rsid w:val="00F55B9C"/>
    <w:rsid w:val="00F55D0B"/>
    <w:rsid w:val="00F55EBC"/>
    <w:rsid w:val="00F563A8"/>
    <w:rsid w:val="00F564EA"/>
    <w:rsid w:val="00F5664C"/>
    <w:rsid w:val="00F56882"/>
    <w:rsid w:val="00F56B6F"/>
    <w:rsid w:val="00F56BB9"/>
    <w:rsid w:val="00F56CCB"/>
    <w:rsid w:val="00F5746A"/>
    <w:rsid w:val="00F57585"/>
    <w:rsid w:val="00F57811"/>
    <w:rsid w:val="00F6084E"/>
    <w:rsid w:val="00F608FC"/>
    <w:rsid w:val="00F609B3"/>
    <w:rsid w:val="00F60BCB"/>
    <w:rsid w:val="00F60FD9"/>
    <w:rsid w:val="00F61071"/>
    <w:rsid w:val="00F615E4"/>
    <w:rsid w:val="00F61750"/>
    <w:rsid w:val="00F619A9"/>
    <w:rsid w:val="00F61BB0"/>
    <w:rsid w:val="00F61FAB"/>
    <w:rsid w:val="00F62063"/>
    <w:rsid w:val="00F627A7"/>
    <w:rsid w:val="00F62BFC"/>
    <w:rsid w:val="00F62E6C"/>
    <w:rsid w:val="00F6337E"/>
    <w:rsid w:val="00F63584"/>
    <w:rsid w:val="00F6383D"/>
    <w:rsid w:val="00F639D2"/>
    <w:rsid w:val="00F63B31"/>
    <w:rsid w:val="00F63ECC"/>
    <w:rsid w:val="00F64620"/>
    <w:rsid w:val="00F65130"/>
    <w:rsid w:val="00F65224"/>
    <w:rsid w:val="00F65408"/>
    <w:rsid w:val="00F65DDE"/>
    <w:rsid w:val="00F66043"/>
    <w:rsid w:val="00F66271"/>
    <w:rsid w:val="00F66917"/>
    <w:rsid w:val="00F66AD4"/>
    <w:rsid w:val="00F66C8D"/>
    <w:rsid w:val="00F66D6C"/>
    <w:rsid w:val="00F66E4F"/>
    <w:rsid w:val="00F67141"/>
    <w:rsid w:val="00F67259"/>
    <w:rsid w:val="00F67328"/>
    <w:rsid w:val="00F67A99"/>
    <w:rsid w:val="00F67F9D"/>
    <w:rsid w:val="00F70459"/>
    <w:rsid w:val="00F7087B"/>
    <w:rsid w:val="00F7092E"/>
    <w:rsid w:val="00F70ECE"/>
    <w:rsid w:val="00F70FF6"/>
    <w:rsid w:val="00F7147A"/>
    <w:rsid w:val="00F7163B"/>
    <w:rsid w:val="00F71663"/>
    <w:rsid w:val="00F71828"/>
    <w:rsid w:val="00F71988"/>
    <w:rsid w:val="00F71BF3"/>
    <w:rsid w:val="00F71D01"/>
    <w:rsid w:val="00F71D94"/>
    <w:rsid w:val="00F71F72"/>
    <w:rsid w:val="00F72315"/>
    <w:rsid w:val="00F723F0"/>
    <w:rsid w:val="00F72623"/>
    <w:rsid w:val="00F72911"/>
    <w:rsid w:val="00F73250"/>
    <w:rsid w:val="00F734E4"/>
    <w:rsid w:val="00F7397C"/>
    <w:rsid w:val="00F739E3"/>
    <w:rsid w:val="00F739F7"/>
    <w:rsid w:val="00F73CE6"/>
    <w:rsid w:val="00F73E01"/>
    <w:rsid w:val="00F740BB"/>
    <w:rsid w:val="00F747F6"/>
    <w:rsid w:val="00F74B22"/>
    <w:rsid w:val="00F759FE"/>
    <w:rsid w:val="00F75CE1"/>
    <w:rsid w:val="00F76131"/>
    <w:rsid w:val="00F763A6"/>
    <w:rsid w:val="00F7642A"/>
    <w:rsid w:val="00F7644F"/>
    <w:rsid w:val="00F76B78"/>
    <w:rsid w:val="00F76DE5"/>
    <w:rsid w:val="00F76F6A"/>
    <w:rsid w:val="00F770F4"/>
    <w:rsid w:val="00F7737B"/>
    <w:rsid w:val="00F77BA4"/>
    <w:rsid w:val="00F8013E"/>
    <w:rsid w:val="00F801B2"/>
    <w:rsid w:val="00F801CA"/>
    <w:rsid w:val="00F803C5"/>
    <w:rsid w:val="00F804EB"/>
    <w:rsid w:val="00F80A56"/>
    <w:rsid w:val="00F80CAD"/>
    <w:rsid w:val="00F80EED"/>
    <w:rsid w:val="00F81605"/>
    <w:rsid w:val="00F8164B"/>
    <w:rsid w:val="00F817CC"/>
    <w:rsid w:val="00F81800"/>
    <w:rsid w:val="00F81B0F"/>
    <w:rsid w:val="00F81EDF"/>
    <w:rsid w:val="00F824C0"/>
    <w:rsid w:val="00F8253C"/>
    <w:rsid w:val="00F8254F"/>
    <w:rsid w:val="00F82D85"/>
    <w:rsid w:val="00F82E29"/>
    <w:rsid w:val="00F83012"/>
    <w:rsid w:val="00F832D0"/>
    <w:rsid w:val="00F83B49"/>
    <w:rsid w:val="00F83E28"/>
    <w:rsid w:val="00F83ECA"/>
    <w:rsid w:val="00F841FC"/>
    <w:rsid w:val="00F8425A"/>
    <w:rsid w:val="00F84609"/>
    <w:rsid w:val="00F84A36"/>
    <w:rsid w:val="00F85053"/>
    <w:rsid w:val="00F8577D"/>
    <w:rsid w:val="00F85990"/>
    <w:rsid w:val="00F85A46"/>
    <w:rsid w:val="00F8640D"/>
    <w:rsid w:val="00F86825"/>
    <w:rsid w:val="00F86B01"/>
    <w:rsid w:val="00F86EAA"/>
    <w:rsid w:val="00F86F96"/>
    <w:rsid w:val="00F87D43"/>
    <w:rsid w:val="00F87F8B"/>
    <w:rsid w:val="00F901A4"/>
    <w:rsid w:val="00F9050C"/>
    <w:rsid w:val="00F9077C"/>
    <w:rsid w:val="00F910E0"/>
    <w:rsid w:val="00F9122A"/>
    <w:rsid w:val="00F91739"/>
    <w:rsid w:val="00F9199E"/>
    <w:rsid w:val="00F91D07"/>
    <w:rsid w:val="00F91DB9"/>
    <w:rsid w:val="00F9218B"/>
    <w:rsid w:val="00F9243C"/>
    <w:rsid w:val="00F9244C"/>
    <w:rsid w:val="00F9248E"/>
    <w:rsid w:val="00F92880"/>
    <w:rsid w:val="00F928D3"/>
    <w:rsid w:val="00F92C20"/>
    <w:rsid w:val="00F92C92"/>
    <w:rsid w:val="00F930E5"/>
    <w:rsid w:val="00F93285"/>
    <w:rsid w:val="00F93420"/>
    <w:rsid w:val="00F93511"/>
    <w:rsid w:val="00F935BE"/>
    <w:rsid w:val="00F935D3"/>
    <w:rsid w:val="00F935D8"/>
    <w:rsid w:val="00F93EAE"/>
    <w:rsid w:val="00F942AF"/>
    <w:rsid w:val="00F943FC"/>
    <w:rsid w:val="00F94492"/>
    <w:rsid w:val="00F94535"/>
    <w:rsid w:val="00F947F0"/>
    <w:rsid w:val="00F948F5"/>
    <w:rsid w:val="00F94C4D"/>
    <w:rsid w:val="00F94CF9"/>
    <w:rsid w:val="00F94D7F"/>
    <w:rsid w:val="00F94F54"/>
    <w:rsid w:val="00F95092"/>
    <w:rsid w:val="00F951A5"/>
    <w:rsid w:val="00F9523F"/>
    <w:rsid w:val="00F954E8"/>
    <w:rsid w:val="00F95508"/>
    <w:rsid w:val="00F9578A"/>
    <w:rsid w:val="00F957E3"/>
    <w:rsid w:val="00F95B60"/>
    <w:rsid w:val="00F9629B"/>
    <w:rsid w:val="00F9630D"/>
    <w:rsid w:val="00F9647A"/>
    <w:rsid w:val="00F96515"/>
    <w:rsid w:val="00F96924"/>
    <w:rsid w:val="00F969D7"/>
    <w:rsid w:val="00F96A2E"/>
    <w:rsid w:val="00F9724A"/>
    <w:rsid w:val="00F9738D"/>
    <w:rsid w:val="00F97624"/>
    <w:rsid w:val="00F977EF"/>
    <w:rsid w:val="00F97CD3"/>
    <w:rsid w:val="00F97DB3"/>
    <w:rsid w:val="00FA0329"/>
    <w:rsid w:val="00FA0393"/>
    <w:rsid w:val="00FA0DB5"/>
    <w:rsid w:val="00FA11B8"/>
    <w:rsid w:val="00FA1511"/>
    <w:rsid w:val="00FA183A"/>
    <w:rsid w:val="00FA1897"/>
    <w:rsid w:val="00FA1C4E"/>
    <w:rsid w:val="00FA1DEB"/>
    <w:rsid w:val="00FA1E63"/>
    <w:rsid w:val="00FA2357"/>
    <w:rsid w:val="00FA2482"/>
    <w:rsid w:val="00FA28C6"/>
    <w:rsid w:val="00FA2D8F"/>
    <w:rsid w:val="00FA2DF3"/>
    <w:rsid w:val="00FA305D"/>
    <w:rsid w:val="00FA3587"/>
    <w:rsid w:val="00FA3848"/>
    <w:rsid w:val="00FA39D4"/>
    <w:rsid w:val="00FA3CFE"/>
    <w:rsid w:val="00FA3D15"/>
    <w:rsid w:val="00FA3D73"/>
    <w:rsid w:val="00FA4012"/>
    <w:rsid w:val="00FA4056"/>
    <w:rsid w:val="00FA41A0"/>
    <w:rsid w:val="00FA457E"/>
    <w:rsid w:val="00FA45B8"/>
    <w:rsid w:val="00FA4820"/>
    <w:rsid w:val="00FA4B9F"/>
    <w:rsid w:val="00FA4C96"/>
    <w:rsid w:val="00FA4D54"/>
    <w:rsid w:val="00FA4E11"/>
    <w:rsid w:val="00FA528E"/>
    <w:rsid w:val="00FA5424"/>
    <w:rsid w:val="00FA59A3"/>
    <w:rsid w:val="00FA59E2"/>
    <w:rsid w:val="00FA5FA9"/>
    <w:rsid w:val="00FA63A6"/>
    <w:rsid w:val="00FA6874"/>
    <w:rsid w:val="00FA6D17"/>
    <w:rsid w:val="00FA6E9C"/>
    <w:rsid w:val="00FA6FFD"/>
    <w:rsid w:val="00FA73B8"/>
    <w:rsid w:val="00FA7576"/>
    <w:rsid w:val="00FA75F2"/>
    <w:rsid w:val="00FA777B"/>
    <w:rsid w:val="00FA7A2C"/>
    <w:rsid w:val="00FA7C87"/>
    <w:rsid w:val="00FB036C"/>
    <w:rsid w:val="00FB05F2"/>
    <w:rsid w:val="00FB0672"/>
    <w:rsid w:val="00FB0704"/>
    <w:rsid w:val="00FB10DC"/>
    <w:rsid w:val="00FB1686"/>
    <w:rsid w:val="00FB19C3"/>
    <w:rsid w:val="00FB1B1E"/>
    <w:rsid w:val="00FB1BAF"/>
    <w:rsid w:val="00FB1BCF"/>
    <w:rsid w:val="00FB1F93"/>
    <w:rsid w:val="00FB214C"/>
    <w:rsid w:val="00FB26C7"/>
    <w:rsid w:val="00FB303F"/>
    <w:rsid w:val="00FB311F"/>
    <w:rsid w:val="00FB3430"/>
    <w:rsid w:val="00FB3442"/>
    <w:rsid w:val="00FB3481"/>
    <w:rsid w:val="00FB352A"/>
    <w:rsid w:val="00FB3AB0"/>
    <w:rsid w:val="00FB4232"/>
    <w:rsid w:val="00FB4652"/>
    <w:rsid w:val="00FB4D40"/>
    <w:rsid w:val="00FB4D82"/>
    <w:rsid w:val="00FB5409"/>
    <w:rsid w:val="00FB5490"/>
    <w:rsid w:val="00FB5798"/>
    <w:rsid w:val="00FB5C3F"/>
    <w:rsid w:val="00FB600D"/>
    <w:rsid w:val="00FB6053"/>
    <w:rsid w:val="00FB611F"/>
    <w:rsid w:val="00FB6674"/>
    <w:rsid w:val="00FB68D2"/>
    <w:rsid w:val="00FB68DB"/>
    <w:rsid w:val="00FB6AE0"/>
    <w:rsid w:val="00FB6DF1"/>
    <w:rsid w:val="00FB6FE2"/>
    <w:rsid w:val="00FB7038"/>
    <w:rsid w:val="00FB74D0"/>
    <w:rsid w:val="00FB758A"/>
    <w:rsid w:val="00FB75CD"/>
    <w:rsid w:val="00FB7881"/>
    <w:rsid w:val="00FB7926"/>
    <w:rsid w:val="00FB7F02"/>
    <w:rsid w:val="00FB7F08"/>
    <w:rsid w:val="00FC0C2C"/>
    <w:rsid w:val="00FC0E4A"/>
    <w:rsid w:val="00FC1951"/>
    <w:rsid w:val="00FC1B2B"/>
    <w:rsid w:val="00FC1F57"/>
    <w:rsid w:val="00FC22EB"/>
    <w:rsid w:val="00FC239C"/>
    <w:rsid w:val="00FC247E"/>
    <w:rsid w:val="00FC2697"/>
    <w:rsid w:val="00FC2F7C"/>
    <w:rsid w:val="00FC3506"/>
    <w:rsid w:val="00FC3B60"/>
    <w:rsid w:val="00FC3E6F"/>
    <w:rsid w:val="00FC3EC8"/>
    <w:rsid w:val="00FC430F"/>
    <w:rsid w:val="00FC4531"/>
    <w:rsid w:val="00FC4885"/>
    <w:rsid w:val="00FC4B27"/>
    <w:rsid w:val="00FC4E47"/>
    <w:rsid w:val="00FC51D3"/>
    <w:rsid w:val="00FC5353"/>
    <w:rsid w:val="00FC5664"/>
    <w:rsid w:val="00FC5B60"/>
    <w:rsid w:val="00FC5D81"/>
    <w:rsid w:val="00FC5EED"/>
    <w:rsid w:val="00FC65D6"/>
    <w:rsid w:val="00FC7413"/>
    <w:rsid w:val="00FC7425"/>
    <w:rsid w:val="00FC752F"/>
    <w:rsid w:val="00FC769B"/>
    <w:rsid w:val="00FC7B11"/>
    <w:rsid w:val="00FC7E80"/>
    <w:rsid w:val="00FD0560"/>
    <w:rsid w:val="00FD0CA4"/>
    <w:rsid w:val="00FD10CC"/>
    <w:rsid w:val="00FD1339"/>
    <w:rsid w:val="00FD1840"/>
    <w:rsid w:val="00FD187D"/>
    <w:rsid w:val="00FD1BDB"/>
    <w:rsid w:val="00FD1F6E"/>
    <w:rsid w:val="00FD2003"/>
    <w:rsid w:val="00FD2171"/>
    <w:rsid w:val="00FD21C0"/>
    <w:rsid w:val="00FD2513"/>
    <w:rsid w:val="00FD25CA"/>
    <w:rsid w:val="00FD2B32"/>
    <w:rsid w:val="00FD2C04"/>
    <w:rsid w:val="00FD2C58"/>
    <w:rsid w:val="00FD2C7A"/>
    <w:rsid w:val="00FD2E42"/>
    <w:rsid w:val="00FD2E58"/>
    <w:rsid w:val="00FD2F1D"/>
    <w:rsid w:val="00FD2F1E"/>
    <w:rsid w:val="00FD310F"/>
    <w:rsid w:val="00FD3191"/>
    <w:rsid w:val="00FD31B3"/>
    <w:rsid w:val="00FD32FD"/>
    <w:rsid w:val="00FD393C"/>
    <w:rsid w:val="00FD4100"/>
    <w:rsid w:val="00FD41DF"/>
    <w:rsid w:val="00FD4638"/>
    <w:rsid w:val="00FD46F1"/>
    <w:rsid w:val="00FD47DE"/>
    <w:rsid w:val="00FD4A05"/>
    <w:rsid w:val="00FD4A07"/>
    <w:rsid w:val="00FD4CC0"/>
    <w:rsid w:val="00FD4E4E"/>
    <w:rsid w:val="00FD54CC"/>
    <w:rsid w:val="00FD5684"/>
    <w:rsid w:val="00FD5972"/>
    <w:rsid w:val="00FD6009"/>
    <w:rsid w:val="00FD60A9"/>
    <w:rsid w:val="00FD612A"/>
    <w:rsid w:val="00FD614B"/>
    <w:rsid w:val="00FD6292"/>
    <w:rsid w:val="00FD6BBF"/>
    <w:rsid w:val="00FD6C06"/>
    <w:rsid w:val="00FD7125"/>
    <w:rsid w:val="00FD7650"/>
    <w:rsid w:val="00FD781D"/>
    <w:rsid w:val="00FD7A22"/>
    <w:rsid w:val="00FD7F23"/>
    <w:rsid w:val="00FE00E9"/>
    <w:rsid w:val="00FE00FB"/>
    <w:rsid w:val="00FE012A"/>
    <w:rsid w:val="00FE017F"/>
    <w:rsid w:val="00FE0235"/>
    <w:rsid w:val="00FE075B"/>
    <w:rsid w:val="00FE079F"/>
    <w:rsid w:val="00FE0ACE"/>
    <w:rsid w:val="00FE1746"/>
    <w:rsid w:val="00FE1773"/>
    <w:rsid w:val="00FE1940"/>
    <w:rsid w:val="00FE1DE2"/>
    <w:rsid w:val="00FE253D"/>
    <w:rsid w:val="00FE275C"/>
    <w:rsid w:val="00FE27ED"/>
    <w:rsid w:val="00FE2946"/>
    <w:rsid w:val="00FE29F7"/>
    <w:rsid w:val="00FE2CA2"/>
    <w:rsid w:val="00FE2E8F"/>
    <w:rsid w:val="00FE2EBB"/>
    <w:rsid w:val="00FE32D0"/>
    <w:rsid w:val="00FE3325"/>
    <w:rsid w:val="00FE3335"/>
    <w:rsid w:val="00FE39D8"/>
    <w:rsid w:val="00FE3A9A"/>
    <w:rsid w:val="00FE3B1D"/>
    <w:rsid w:val="00FE3B41"/>
    <w:rsid w:val="00FE3FAB"/>
    <w:rsid w:val="00FE41FE"/>
    <w:rsid w:val="00FE422D"/>
    <w:rsid w:val="00FE4BBC"/>
    <w:rsid w:val="00FE4EED"/>
    <w:rsid w:val="00FE512F"/>
    <w:rsid w:val="00FE5254"/>
    <w:rsid w:val="00FE534F"/>
    <w:rsid w:val="00FE5358"/>
    <w:rsid w:val="00FE5378"/>
    <w:rsid w:val="00FE54FA"/>
    <w:rsid w:val="00FE562A"/>
    <w:rsid w:val="00FE5631"/>
    <w:rsid w:val="00FE579E"/>
    <w:rsid w:val="00FE5941"/>
    <w:rsid w:val="00FE5A1C"/>
    <w:rsid w:val="00FE5B62"/>
    <w:rsid w:val="00FE5E9B"/>
    <w:rsid w:val="00FE5EB1"/>
    <w:rsid w:val="00FE5F5E"/>
    <w:rsid w:val="00FE635D"/>
    <w:rsid w:val="00FE6446"/>
    <w:rsid w:val="00FE646D"/>
    <w:rsid w:val="00FE654F"/>
    <w:rsid w:val="00FE67BC"/>
    <w:rsid w:val="00FE6B56"/>
    <w:rsid w:val="00FE6EFD"/>
    <w:rsid w:val="00FE6F55"/>
    <w:rsid w:val="00FE6F8D"/>
    <w:rsid w:val="00FE7032"/>
    <w:rsid w:val="00FE735B"/>
    <w:rsid w:val="00FE7406"/>
    <w:rsid w:val="00FE7572"/>
    <w:rsid w:val="00FE7591"/>
    <w:rsid w:val="00FE7A87"/>
    <w:rsid w:val="00FE7F30"/>
    <w:rsid w:val="00FF03E8"/>
    <w:rsid w:val="00FF0A8C"/>
    <w:rsid w:val="00FF0C08"/>
    <w:rsid w:val="00FF0DF5"/>
    <w:rsid w:val="00FF11DA"/>
    <w:rsid w:val="00FF12BF"/>
    <w:rsid w:val="00FF184F"/>
    <w:rsid w:val="00FF19A3"/>
    <w:rsid w:val="00FF1D13"/>
    <w:rsid w:val="00FF1FC5"/>
    <w:rsid w:val="00FF20BC"/>
    <w:rsid w:val="00FF2196"/>
    <w:rsid w:val="00FF21AD"/>
    <w:rsid w:val="00FF22EE"/>
    <w:rsid w:val="00FF255C"/>
    <w:rsid w:val="00FF273A"/>
    <w:rsid w:val="00FF2B87"/>
    <w:rsid w:val="00FF2B88"/>
    <w:rsid w:val="00FF2CB5"/>
    <w:rsid w:val="00FF2F74"/>
    <w:rsid w:val="00FF3055"/>
    <w:rsid w:val="00FF34A4"/>
    <w:rsid w:val="00FF3617"/>
    <w:rsid w:val="00FF3900"/>
    <w:rsid w:val="00FF3A83"/>
    <w:rsid w:val="00FF3C39"/>
    <w:rsid w:val="00FF3CFC"/>
    <w:rsid w:val="00FF42D5"/>
    <w:rsid w:val="00FF4433"/>
    <w:rsid w:val="00FF48B0"/>
    <w:rsid w:val="00FF4BB3"/>
    <w:rsid w:val="00FF4C1A"/>
    <w:rsid w:val="00FF4FEF"/>
    <w:rsid w:val="00FF53E7"/>
    <w:rsid w:val="00FF5563"/>
    <w:rsid w:val="00FF5741"/>
    <w:rsid w:val="00FF577B"/>
    <w:rsid w:val="00FF578B"/>
    <w:rsid w:val="00FF609B"/>
    <w:rsid w:val="00FF628C"/>
    <w:rsid w:val="00FF63A1"/>
    <w:rsid w:val="00FF645C"/>
    <w:rsid w:val="00FF6559"/>
    <w:rsid w:val="00FF66F5"/>
    <w:rsid w:val="00FF68D0"/>
    <w:rsid w:val="00FF71E2"/>
    <w:rsid w:val="00FF76D4"/>
    <w:rsid w:val="00FF774E"/>
    <w:rsid w:val="00FF7B31"/>
    <w:rsid w:val="00FF7BD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401"/>
    <o:shapelayout v:ext="edit">
      <o:idmap v:ext="edit" data="1"/>
    </o:shapelayout>
  </w:shapeDefaults>
  <w:decimalSymbol w:val="."/>
  <w:listSeparator w:val=";"/>
  <w14:docId w14:val="4AF48738"/>
  <w15:docId w15:val="{7E574C88-805E-4611-9BD7-88F5B4A5F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063"/>
    <w:rPr>
      <w:rFonts w:ascii="Times New Roman" w:hAnsi="Times New Roman"/>
      <w:sz w:val="24"/>
    </w:rPr>
  </w:style>
  <w:style w:type="paragraph" w:styleId="Heading1">
    <w:name w:val="heading 1"/>
    <w:basedOn w:val="Normal"/>
    <w:next w:val="Normal"/>
    <w:link w:val="Heading1Char"/>
    <w:qFormat/>
    <w:rsid w:val="002B196D"/>
    <w:pPr>
      <w:keepNext/>
      <w:keepLines/>
      <w:spacing w:after="120" w:line="240" w:lineRule="auto"/>
      <w:jc w:val="center"/>
      <w:outlineLvl w:val="0"/>
    </w:pPr>
    <w:rPr>
      <w:rFonts w:eastAsiaTheme="majorEastAsia" w:cs="Times New Roman"/>
      <w:b/>
      <w:bCs/>
      <w:color w:val="244061" w:themeColor="accent1" w:themeShade="80"/>
      <w:sz w:val="28"/>
      <w:szCs w:val="28"/>
    </w:rPr>
  </w:style>
  <w:style w:type="paragraph" w:styleId="Heading2">
    <w:name w:val="heading 2"/>
    <w:basedOn w:val="Normal"/>
    <w:next w:val="Normal"/>
    <w:link w:val="Heading2Char"/>
    <w:uiPriority w:val="9"/>
    <w:unhideWhenUsed/>
    <w:qFormat/>
    <w:rsid w:val="00C60CCF"/>
    <w:pPr>
      <w:keepNext/>
      <w:keepLines/>
      <w:spacing w:before="360"/>
      <w:ind w:firstLine="284"/>
      <w:outlineLvl w:val="1"/>
    </w:pPr>
    <w:rPr>
      <w:rFonts w:eastAsiaTheme="majorEastAsia" w:cstheme="majorBidi"/>
      <w:b/>
      <w:bCs/>
      <w:color w:val="17365D"/>
      <w:szCs w:val="26"/>
      <w:u w:val="single"/>
    </w:rPr>
  </w:style>
  <w:style w:type="paragraph" w:styleId="Heading3">
    <w:name w:val="heading 3"/>
    <w:basedOn w:val="Heading2"/>
    <w:next w:val="Normal"/>
    <w:link w:val="Heading3Char"/>
    <w:qFormat/>
    <w:rsid w:val="00FD10CC"/>
    <w:pPr>
      <w:keepNext w:val="0"/>
      <w:keepLines w:val="0"/>
      <w:spacing w:before="240"/>
      <w:ind w:left="284" w:firstLine="0"/>
      <w:outlineLvl w:val="2"/>
    </w:pPr>
    <w:rPr>
      <w:rFonts w:eastAsiaTheme="minorHAnsi" w:cs="Times New Roman"/>
      <w:iCs/>
      <w:szCs w:val="24"/>
      <w:u w:val="none"/>
    </w:rPr>
  </w:style>
  <w:style w:type="paragraph" w:styleId="Heading4">
    <w:name w:val="heading 4"/>
    <w:aliases w:val="4piezīme_bold"/>
    <w:basedOn w:val="Normal"/>
    <w:next w:val="Normal"/>
    <w:link w:val="Heading4Char"/>
    <w:unhideWhenUsed/>
    <w:qFormat/>
    <w:rsid w:val="005A3758"/>
    <w:pPr>
      <w:keepNext/>
      <w:keepLines/>
      <w:spacing w:before="240"/>
      <w:ind w:left="284"/>
      <w:outlineLvl w:val="3"/>
    </w:pPr>
    <w:rPr>
      <w:rFonts w:cstheme="majorBidi"/>
      <w:b/>
      <w:bCs/>
      <w:i/>
      <w:iCs/>
      <w:color w:val="17365D"/>
    </w:rPr>
  </w:style>
  <w:style w:type="paragraph" w:styleId="Heading5">
    <w:name w:val="heading 5"/>
    <w:aliases w:val="5piezīme"/>
    <w:basedOn w:val="Normal"/>
    <w:next w:val="Normal"/>
    <w:link w:val="Heading5Char"/>
    <w:unhideWhenUsed/>
    <w:qFormat/>
    <w:rsid w:val="00514C3E"/>
    <w:pPr>
      <w:keepNext/>
      <w:keepLines/>
      <w:spacing w:before="120" w:after="120" w:line="240" w:lineRule="auto"/>
      <w:ind w:left="284"/>
      <w:outlineLvl w:val="4"/>
    </w:pPr>
    <w:rPr>
      <w:i/>
      <w:color w:val="17365D"/>
    </w:rPr>
  </w:style>
  <w:style w:type="paragraph" w:styleId="Heading6">
    <w:name w:val="heading 6"/>
    <w:basedOn w:val="Normal"/>
    <w:next w:val="Normal"/>
    <w:link w:val="Heading6Char"/>
    <w:qFormat/>
    <w:rsid w:val="00423745"/>
    <w:pPr>
      <w:keepNext/>
      <w:spacing w:after="0" w:line="240" w:lineRule="auto"/>
      <w:jc w:val="center"/>
      <w:outlineLvl w:val="5"/>
    </w:pPr>
    <w:rPr>
      <w:rFonts w:eastAsia="Times New Roman" w:cs="Times New Roman"/>
      <w:b/>
      <w:bCs/>
      <w:szCs w:val="24"/>
    </w:rPr>
  </w:style>
  <w:style w:type="paragraph" w:styleId="Heading7">
    <w:name w:val="heading 7"/>
    <w:basedOn w:val="Normal"/>
    <w:next w:val="Normal"/>
    <w:link w:val="Heading7Char"/>
    <w:unhideWhenUsed/>
    <w:qFormat/>
    <w:rsid w:val="00D41F06"/>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qFormat/>
    <w:rsid w:val="00423745"/>
    <w:pPr>
      <w:spacing w:before="240" w:after="60" w:line="240" w:lineRule="auto"/>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423745"/>
    <w:p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E2CA4"/>
    <w:rPr>
      <w:sz w:val="16"/>
      <w:szCs w:val="16"/>
    </w:rPr>
  </w:style>
  <w:style w:type="paragraph" w:styleId="CommentText">
    <w:name w:val="annotation text"/>
    <w:basedOn w:val="Normal"/>
    <w:link w:val="CommentTextChar"/>
    <w:uiPriority w:val="99"/>
    <w:unhideWhenUsed/>
    <w:rsid w:val="009E2CA4"/>
    <w:rPr>
      <w:sz w:val="20"/>
      <w:szCs w:val="20"/>
    </w:rPr>
  </w:style>
  <w:style w:type="character" w:customStyle="1" w:styleId="CommentTextChar">
    <w:name w:val="Comment Text Char"/>
    <w:basedOn w:val="DefaultParagraphFont"/>
    <w:link w:val="CommentText"/>
    <w:uiPriority w:val="99"/>
    <w:rsid w:val="009E2CA4"/>
    <w:rPr>
      <w:sz w:val="20"/>
      <w:szCs w:val="20"/>
    </w:rPr>
  </w:style>
  <w:style w:type="paragraph" w:styleId="CommentSubject">
    <w:name w:val="annotation subject"/>
    <w:basedOn w:val="CommentText"/>
    <w:next w:val="CommentText"/>
    <w:link w:val="CommentSubjectChar"/>
    <w:uiPriority w:val="99"/>
    <w:semiHidden/>
    <w:unhideWhenUsed/>
    <w:rsid w:val="009E2CA4"/>
    <w:rPr>
      <w:b/>
      <w:bCs/>
    </w:rPr>
  </w:style>
  <w:style w:type="character" w:customStyle="1" w:styleId="CommentSubjectChar">
    <w:name w:val="Comment Subject Char"/>
    <w:basedOn w:val="CommentTextChar"/>
    <w:link w:val="CommentSubject"/>
    <w:uiPriority w:val="99"/>
    <w:semiHidden/>
    <w:rsid w:val="009E2CA4"/>
    <w:rPr>
      <w:b/>
      <w:bCs/>
      <w:sz w:val="20"/>
      <w:szCs w:val="20"/>
    </w:rPr>
  </w:style>
  <w:style w:type="paragraph" w:styleId="BalloonText">
    <w:name w:val="Balloon Text"/>
    <w:basedOn w:val="Normal"/>
    <w:link w:val="BalloonTextChar"/>
    <w:uiPriority w:val="99"/>
    <w:semiHidden/>
    <w:unhideWhenUsed/>
    <w:rsid w:val="009E2CA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CA4"/>
    <w:rPr>
      <w:rFonts w:ascii="Tahoma" w:hAnsi="Tahoma" w:cs="Tahoma"/>
      <w:sz w:val="16"/>
      <w:szCs w:val="16"/>
    </w:rPr>
  </w:style>
  <w:style w:type="paragraph" w:customStyle="1" w:styleId="Lielievirsraksti">
    <w:name w:val="Lielie virsraksti"/>
    <w:basedOn w:val="Normal"/>
    <w:rsid w:val="004A2B38"/>
    <w:pPr>
      <w:numPr>
        <w:numId w:val="1"/>
      </w:numPr>
      <w:spacing w:before="120"/>
    </w:pPr>
    <w:rPr>
      <w:rFonts w:eastAsia="Times New Roman" w:cs="Times New Roman"/>
      <w:b/>
      <w:szCs w:val="24"/>
    </w:rPr>
  </w:style>
  <w:style w:type="paragraph" w:customStyle="1" w:styleId="Apakvirsraksti">
    <w:name w:val="Apakšvirsraksti"/>
    <w:basedOn w:val="Normal"/>
    <w:rsid w:val="004A2B38"/>
    <w:pPr>
      <w:numPr>
        <w:ilvl w:val="1"/>
        <w:numId w:val="1"/>
      </w:numPr>
      <w:spacing w:before="120"/>
    </w:pPr>
    <w:rPr>
      <w:rFonts w:eastAsia="Times New Roman" w:cs="Times New Roman"/>
      <w:b/>
      <w:szCs w:val="24"/>
    </w:rPr>
  </w:style>
  <w:style w:type="paragraph" w:styleId="BodyText2">
    <w:name w:val="Body Text 2"/>
    <w:basedOn w:val="Normal"/>
    <w:link w:val="BodyText2Char"/>
    <w:unhideWhenUsed/>
    <w:rsid w:val="00081748"/>
    <w:pPr>
      <w:spacing w:line="480" w:lineRule="auto"/>
    </w:pPr>
  </w:style>
  <w:style w:type="character" w:customStyle="1" w:styleId="BodyText2Char">
    <w:name w:val="Body Text 2 Char"/>
    <w:basedOn w:val="DefaultParagraphFont"/>
    <w:link w:val="BodyText2"/>
    <w:rsid w:val="00081748"/>
  </w:style>
  <w:style w:type="paragraph" w:styleId="BodyTextIndent">
    <w:name w:val="Body Text Indent"/>
    <w:basedOn w:val="Normal"/>
    <w:link w:val="BodyTextIndentChar"/>
    <w:unhideWhenUsed/>
    <w:rsid w:val="00933EE3"/>
    <w:pPr>
      <w:ind w:left="283"/>
    </w:pPr>
  </w:style>
  <w:style w:type="character" w:customStyle="1" w:styleId="BodyTextIndentChar">
    <w:name w:val="Body Text Indent Char"/>
    <w:basedOn w:val="DefaultParagraphFont"/>
    <w:link w:val="BodyTextIndent"/>
    <w:rsid w:val="00933EE3"/>
  </w:style>
  <w:style w:type="paragraph" w:styleId="Header">
    <w:name w:val="header"/>
    <w:basedOn w:val="Normal"/>
    <w:link w:val="HeaderChar"/>
    <w:uiPriority w:val="99"/>
    <w:unhideWhenUsed/>
    <w:rsid w:val="00C25339"/>
    <w:pPr>
      <w:tabs>
        <w:tab w:val="center" w:pos="4153"/>
        <w:tab w:val="right" w:pos="8306"/>
      </w:tabs>
      <w:spacing w:after="0"/>
    </w:pPr>
  </w:style>
  <w:style w:type="character" w:customStyle="1" w:styleId="HeaderChar">
    <w:name w:val="Header Char"/>
    <w:basedOn w:val="DefaultParagraphFont"/>
    <w:link w:val="Header"/>
    <w:uiPriority w:val="99"/>
    <w:rsid w:val="00C25339"/>
  </w:style>
  <w:style w:type="paragraph" w:styleId="Footer">
    <w:name w:val="footer"/>
    <w:basedOn w:val="Normal"/>
    <w:link w:val="FooterChar"/>
    <w:uiPriority w:val="99"/>
    <w:unhideWhenUsed/>
    <w:rsid w:val="00C25339"/>
    <w:pPr>
      <w:tabs>
        <w:tab w:val="center" w:pos="4153"/>
        <w:tab w:val="right" w:pos="8306"/>
      </w:tabs>
      <w:spacing w:after="0"/>
    </w:pPr>
  </w:style>
  <w:style w:type="character" w:customStyle="1" w:styleId="FooterChar">
    <w:name w:val="Footer Char"/>
    <w:basedOn w:val="DefaultParagraphFont"/>
    <w:link w:val="Footer"/>
    <w:uiPriority w:val="99"/>
    <w:rsid w:val="00C25339"/>
  </w:style>
  <w:style w:type="paragraph" w:customStyle="1" w:styleId="tv2131">
    <w:name w:val="tv2131"/>
    <w:basedOn w:val="Normal"/>
    <w:rsid w:val="00B161AD"/>
    <w:pPr>
      <w:spacing w:after="0" w:line="360" w:lineRule="auto"/>
      <w:ind w:firstLine="300"/>
    </w:pPr>
    <w:rPr>
      <w:rFonts w:eastAsia="Times New Roman" w:cs="Times New Roman"/>
      <w:color w:val="414142"/>
      <w:sz w:val="20"/>
      <w:szCs w:val="20"/>
      <w:lang w:eastAsia="lv-LV"/>
    </w:rPr>
  </w:style>
  <w:style w:type="paragraph" w:customStyle="1" w:styleId="labojumupamats1">
    <w:name w:val="labojumu_pamats1"/>
    <w:basedOn w:val="Normal"/>
    <w:rsid w:val="008B79DC"/>
    <w:pPr>
      <w:spacing w:before="45" w:after="0" w:line="360" w:lineRule="auto"/>
      <w:ind w:firstLine="300"/>
    </w:pPr>
    <w:rPr>
      <w:rFonts w:eastAsia="Times New Roman" w:cs="Times New Roman"/>
      <w:i/>
      <w:iCs/>
      <w:color w:val="414142"/>
      <w:sz w:val="20"/>
      <w:szCs w:val="20"/>
      <w:lang w:eastAsia="lv-LV"/>
    </w:rPr>
  </w:style>
  <w:style w:type="paragraph" w:styleId="Revision">
    <w:name w:val="Revision"/>
    <w:hidden/>
    <w:uiPriority w:val="99"/>
    <w:semiHidden/>
    <w:rsid w:val="00533296"/>
    <w:pPr>
      <w:spacing w:after="0" w:line="240" w:lineRule="auto"/>
    </w:pPr>
  </w:style>
  <w:style w:type="paragraph" w:customStyle="1" w:styleId="tv2133">
    <w:name w:val="tv2133"/>
    <w:basedOn w:val="Normal"/>
    <w:rsid w:val="009F5E79"/>
    <w:pPr>
      <w:spacing w:after="0" w:line="360" w:lineRule="auto"/>
      <w:ind w:firstLine="300"/>
    </w:pPr>
    <w:rPr>
      <w:rFonts w:eastAsia="Times New Roman" w:cs="Times New Roman"/>
      <w:color w:val="414142"/>
      <w:sz w:val="20"/>
      <w:szCs w:val="20"/>
      <w:lang w:eastAsia="lv-LV"/>
    </w:rPr>
  </w:style>
  <w:style w:type="paragraph" w:styleId="ListParagraph">
    <w:name w:val="List Paragraph"/>
    <w:aliases w:val="2,Akapit z listą BS,H&amp;P List Paragraph,Strip,Syle 1,virsraksts3,Numbered Para 1,Dot pt,No Spacing1,List Paragraph Char Char Char,Indicator Text,Bullet 1,Bullet Points,MAIN CONTENT,IFCL - List Paragraph,List Paragraph12,OBC Bullet,リスト段,LP1"/>
    <w:basedOn w:val="Normal"/>
    <w:link w:val="ListParagraphChar"/>
    <w:uiPriority w:val="34"/>
    <w:qFormat/>
    <w:rsid w:val="001E6F63"/>
    <w:pPr>
      <w:ind w:left="720"/>
      <w:contextualSpacing/>
    </w:pPr>
  </w:style>
  <w:style w:type="character" w:customStyle="1" w:styleId="Heading3Char">
    <w:name w:val="Heading 3 Char"/>
    <w:basedOn w:val="DefaultParagraphFont"/>
    <w:link w:val="Heading3"/>
    <w:rsid w:val="00FD10CC"/>
    <w:rPr>
      <w:rFonts w:ascii="Times New Roman" w:hAnsi="Times New Roman" w:cs="Times New Roman"/>
      <w:b/>
      <w:bCs/>
      <w:iCs/>
      <w:color w:val="17365D"/>
      <w:sz w:val="24"/>
      <w:szCs w:val="24"/>
    </w:rPr>
  </w:style>
  <w:style w:type="character" w:customStyle="1" w:styleId="Heading2Char">
    <w:name w:val="Heading 2 Char"/>
    <w:basedOn w:val="DefaultParagraphFont"/>
    <w:link w:val="Heading2"/>
    <w:uiPriority w:val="9"/>
    <w:rsid w:val="00C60CCF"/>
    <w:rPr>
      <w:rFonts w:ascii="Times New Roman" w:eastAsiaTheme="majorEastAsia" w:hAnsi="Times New Roman" w:cstheme="majorBidi"/>
      <w:b/>
      <w:bCs/>
      <w:color w:val="17365D"/>
      <w:sz w:val="24"/>
      <w:szCs w:val="26"/>
      <w:u w:val="single"/>
    </w:rPr>
  </w:style>
  <w:style w:type="paragraph" w:styleId="ListBullet">
    <w:name w:val="List Bullet"/>
    <w:basedOn w:val="Normal"/>
    <w:uiPriority w:val="99"/>
    <w:unhideWhenUsed/>
    <w:rsid w:val="004F3003"/>
    <w:pPr>
      <w:spacing w:before="60" w:after="60"/>
      <w:ind w:left="1701" w:hanging="357"/>
    </w:pPr>
    <w:rPr>
      <w:rFonts w:cs="Times New Roman"/>
    </w:rPr>
  </w:style>
  <w:style w:type="paragraph" w:styleId="NormalWeb">
    <w:name w:val="Normal (Web)"/>
    <w:aliases w:val="Parastais (Web)"/>
    <w:basedOn w:val="Normal"/>
    <w:uiPriority w:val="99"/>
    <w:unhideWhenUsed/>
    <w:rsid w:val="00576D71"/>
    <w:pPr>
      <w:spacing w:before="100" w:beforeAutospacing="1" w:after="100" w:afterAutospacing="1"/>
    </w:pPr>
    <w:rPr>
      <w:rFonts w:eastAsia="Times New Roman" w:cs="Times New Roman"/>
      <w:szCs w:val="24"/>
      <w:lang w:eastAsia="lv-LV"/>
    </w:rPr>
  </w:style>
  <w:style w:type="character" w:styleId="Hyperlink">
    <w:name w:val="Hyperlink"/>
    <w:basedOn w:val="DefaultParagraphFont"/>
    <w:uiPriority w:val="99"/>
    <w:unhideWhenUsed/>
    <w:rsid w:val="00801297"/>
    <w:rPr>
      <w:color w:val="0000FF" w:themeColor="hyperlink"/>
      <w:u w:val="single"/>
    </w:rPr>
  </w:style>
  <w:style w:type="character" w:customStyle="1" w:styleId="Heading1Char">
    <w:name w:val="Heading 1 Char"/>
    <w:basedOn w:val="DefaultParagraphFont"/>
    <w:link w:val="Heading1"/>
    <w:rsid w:val="002B196D"/>
    <w:rPr>
      <w:rFonts w:ascii="Times New Roman" w:eastAsiaTheme="majorEastAsia" w:hAnsi="Times New Roman" w:cs="Times New Roman"/>
      <w:b/>
      <w:bCs/>
      <w:color w:val="244061" w:themeColor="accent1" w:themeShade="80"/>
      <w:sz w:val="28"/>
      <w:szCs w:val="28"/>
    </w:rPr>
  </w:style>
  <w:style w:type="paragraph" w:customStyle="1" w:styleId="Tabulasnosaukums1">
    <w:name w:val="Tabulas nosaukums1"/>
    <w:basedOn w:val="Normal"/>
    <w:link w:val="Tabulasnosaukums1Char"/>
    <w:qFormat/>
    <w:rsid w:val="00A1037E"/>
    <w:pPr>
      <w:spacing w:before="240" w:after="0"/>
      <w:jc w:val="right"/>
    </w:pPr>
    <w:rPr>
      <w:sz w:val="20"/>
      <w:szCs w:val="24"/>
    </w:rPr>
  </w:style>
  <w:style w:type="paragraph" w:customStyle="1" w:styleId="Tabulasvirsraksts">
    <w:name w:val="Tabulas virsraksts"/>
    <w:basedOn w:val="Normal"/>
    <w:link w:val="TabulasvirsrakstsChar"/>
    <w:qFormat/>
    <w:rsid w:val="00A1037E"/>
    <w:pPr>
      <w:spacing w:before="240" w:after="0"/>
      <w:jc w:val="center"/>
    </w:pPr>
    <w:rPr>
      <w:b/>
      <w:sz w:val="20"/>
      <w:szCs w:val="24"/>
    </w:rPr>
  </w:style>
  <w:style w:type="character" w:customStyle="1" w:styleId="Tabulasnosaukums1Char">
    <w:name w:val="Tabulas nosaukums1 Char"/>
    <w:basedOn w:val="DefaultParagraphFont"/>
    <w:link w:val="Tabulasnosaukums1"/>
    <w:rsid w:val="00A1037E"/>
    <w:rPr>
      <w:rFonts w:ascii="Times New Roman" w:hAnsi="Times New Roman"/>
      <w:sz w:val="20"/>
      <w:szCs w:val="24"/>
    </w:rPr>
  </w:style>
  <w:style w:type="character" w:customStyle="1" w:styleId="Heading7Char">
    <w:name w:val="Heading 7 Char"/>
    <w:basedOn w:val="DefaultParagraphFont"/>
    <w:link w:val="Heading7"/>
    <w:rsid w:val="00D41F06"/>
    <w:rPr>
      <w:rFonts w:asciiTheme="majorHAnsi" w:eastAsiaTheme="majorEastAsia" w:hAnsiTheme="majorHAnsi" w:cstheme="majorBidi"/>
      <w:i/>
      <w:iCs/>
      <w:color w:val="404040" w:themeColor="text1" w:themeTint="BF"/>
    </w:rPr>
  </w:style>
  <w:style w:type="character" w:customStyle="1" w:styleId="TabulasvirsrakstsChar">
    <w:name w:val="Tabulas virsraksts Char"/>
    <w:basedOn w:val="DefaultParagraphFont"/>
    <w:link w:val="Tabulasvirsraksts"/>
    <w:rsid w:val="00A1037E"/>
    <w:rPr>
      <w:rFonts w:ascii="Times New Roman" w:hAnsi="Times New Roman"/>
      <w:b/>
      <w:sz w:val="20"/>
      <w:szCs w:val="24"/>
    </w:rPr>
  </w:style>
  <w:style w:type="paragraph" w:styleId="BodyText">
    <w:name w:val="Body Text"/>
    <w:basedOn w:val="Normal"/>
    <w:link w:val="BodyTextChar"/>
    <w:uiPriority w:val="99"/>
    <w:unhideWhenUsed/>
    <w:rsid w:val="00D41F06"/>
    <w:rPr>
      <w:rFonts w:asciiTheme="minorHAnsi" w:hAnsiTheme="minorHAnsi"/>
      <w:sz w:val="22"/>
    </w:rPr>
  </w:style>
  <w:style w:type="character" w:customStyle="1" w:styleId="BodyTextChar">
    <w:name w:val="Body Text Char"/>
    <w:basedOn w:val="DefaultParagraphFont"/>
    <w:link w:val="BodyText"/>
    <w:uiPriority w:val="99"/>
    <w:rsid w:val="00D41F06"/>
  </w:style>
  <w:style w:type="paragraph" w:styleId="Title">
    <w:name w:val="Title"/>
    <w:basedOn w:val="Normal"/>
    <w:link w:val="TitleChar"/>
    <w:uiPriority w:val="10"/>
    <w:qFormat/>
    <w:rsid w:val="00D41F06"/>
    <w:pPr>
      <w:spacing w:after="0"/>
      <w:jc w:val="center"/>
    </w:pPr>
    <w:rPr>
      <w:rFonts w:eastAsia="Times New Roman" w:cs="Times New Roman"/>
      <w:szCs w:val="20"/>
    </w:rPr>
  </w:style>
  <w:style w:type="character" w:customStyle="1" w:styleId="TitleChar">
    <w:name w:val="Title Char"/>
    <w:basedOn w:val="DefaultParagraphFont"/>
    <w:link w:val="Title"/>
    <w:uiPriority w:val="10"/>
    <w:rsid w:val="00D41F06"/>
    <w:rPr>
      <w:rFonts w:ascii="Times New Roman" w:eastAsia="Times New Roman" w:hAnsi="Times New Roman" w:cs="Times New Roman"/>
      <w:sz w:val="24"/>
      <w:szCs w:val="20"/>
    </w:rPr>
  </w:style>
  <w:style w:type="paragraph" w:styleId="BodyTextIndent2">
    <w:name w:val="Body Text Indent 2"/>
    <w:basedOn w:val="Normal"/>
    <w:link w:val="BodyTextIndent2Char"/>
    <w:unhideWhenUsed/>
    <w:rsid w:val="00D41F06"/>
    <w:pPr>
      <w:spacing w:line="480" w:lineRule="auto"/>
      <w:ind w:left="283"/>
    </w:pPr>
    <w:rPr>
      <w:rFonts w:asciiTheme="minorHAnsi" w:hAnsiTheme="minorHAnsi"/>
      <w:sz w:val="22"/>
    </w:rPr>
  </w:style>
  <w:style w:type="character" w:customStyle="1" w:styleId="BodyTextIndent2Char">
    <w:name w:val="Body Text Indent 2 Char"/>
    <w:basedOn w:val="DefaultParagraphFont"/>
    <w:link w:val="BodyTextIndent2"/>
    <w:rsid w:val="00D41F06"/>
  </w:style>
  <w:style w:type="character" w:customStyle="1" w:styleId="Heading4Char">
    <w:name w:val="Heading 4 Char"/>
    <w:aliases w:val="4piezīme_bold Char"/>
    <w:basedOn w:val="DefaultParagraphFont"/>
    <w:link w:val="Heading4"/>
    <w:rsid w:val="005A3758"/>
    <w:rPr>
      <w:rFonts w:ascii="Times New Roman" w:hAnsi="Times New Roman" w:cstheme="majorBidi"/>
      <w:b/>
      <w:bCs/>
      <w:i/>
      <w:iCs/>
      <w:color w:val="17365D"/>
      <w:sz w:val="24"/>
    </w:rPr>
  </w:style>
  <w:style w:type="character" w:customStyle="1" w:styleId="Heading5Char">
    <w:name w:val="Heading 5 Char"/>
    <w:aliases w:val="5piezīme Char"/>
    <w:basedOn w:val="DefaultParagraphFont"/>
    <w:link w:val="Heading5"/>
    <w:rsid w:val="00514C3E"/>
    <w:rPr>
      <w:rFonts w:ascii="Times New Roman" w:hAnsi="Times New Roman"/>
      <w:i/>
      <w:color w:val="17365D"/>
      <w:sz w:val="24"/>
    </w:rPr>
  </w:style>
  <w:style w:type="character" w:customStyle="1" w:styleId="tvhtml">
    <w:name w:val="tv_html"/>
    <w:basedOn w:val="DefaultParagraphFont"/>
    <w:rsid w:val="004726F6"/>
  </w:style>
  <w:style w:type="character" w:styleId="FollowedHyperlink">
    <w:name w:val="FollowedHyperlink"/>
    <w:basedOn w:val="DefaultParagraphFont"/>
    <w:uiPriority w:val="99"/>
    <w:semiHidden/>
    <w:unhideWhenUsed/>
    <w:rsid w:val="00624421"/>
    <w:rPr>
      <w:color w:val="800080" w:themeColor="followedHyperlink"/>
      <w:u w:val="single"/>
    </w:rPr>
  </w:style>
  <w:style w:type="paragraph" w:customStyle="1" w:styleId="tv2132">
    <w:name w:val="tv2132"/>
    <w:basedOn w:val="Normal"/>
    <w:rsid w:val="00A2465E"/>
    <w:pPr>
      <w:spacing w:after="0" w:line="360" w:lineRule="auto"/>
      <w:ind w:firstLine="300"/>
    </w:pPr>
    <w:rPr>
      <w:rFonts w:eastAsia="Times New Roman" w:cs="Times New Roman"/>
      <w:color w:val="414142"/>
      <w:sz w:val="20"/>
      <w:szCs w:val="20"/>
      <w:lang w:eastAsia="lv-LV"/>
    </w:rPr>
  </w:style>
  <w:style w:type="paragraph" w:styleId="FootnoteText">
    <w:name w:val="footnote text"/>
    <w:aliases w:val="Footnote,Fußnote,Fußnote Rakstz.,Char,Char Rakstz. Rakstz. Rakstz.,Footnote Text Char2,Footnote Text Char1 Char,Footnote Text Char1 Char Char Char,Footnote Text Char1 Char Char Char Rakstz. Rakstz.,Fußnote Char Char Char Char Char Char, Ch"/>
    <w:basedOn w:val="Normal"/>
    <w:link w:val="FootnoteTextChar"/>
    <w:unhideWhenUsed/>
    <w:qFormat/>
    <w:rsid w:val="002B72EF"/>
    <w:pPr>
      <w:spacing w:after="0"/>
    </w:pPr>
    <w:rPr>
      <w:sz w:val="20"/>
      <w:szCs w:val="20"/>
    </w:rPr>
  </w:style>
  <w:style w:type="character" w:customStyle="1" w:styleId="FootnoteTextChar">
    <w:name w:val="Footnote Text Char"/>
    <w:aliases w:val="Footnote Char,Fußnote Char,Fußnote Rakstz. Char,Char Char,Char Rakstz. Rakstz. Rakstz. Char,Footnote Text Char2 Char,Footnote Text Char1 Char Char,Footnote Text Char1 Char Char Char Char,Fußnote Char Char Char Char Char Char Char"/>
    <w:basedOn w:val="DefaultParagraphFont"/>
    <w:link w:val="FootnoteText"/>
    <w:rsid w:val="002B72EF"/>
    <w:rPr>
      <w:rFonts w:ascii="Times New Roman" w:hAnsi="Times New Roman"/>
      <w:sz w:val="20"/>
      <w:szCs w:val="20"/>
    </w:rPr>
  </w:style>
  <w:style w:type="character" w:styleId="FootnoteReference">
    <w:name w:val="footnote reference"/>
    <w:aliases w:val="Footnote Reference Number,Footnote symbol,SUPERS,Footnote Reference Superscript,Footnote Refernece,ftref,Odwołanie przypisu,BVI fnr,Footnotes refss,Ref,de nota al pie,-E Fußnotenzeichen,Footnote reference number,E,E FNZ,number"/>
    <w:basedOn w:val="DefaultParagraphFont"/>
    <w:unhideWhenUsed/>
    <w:qFormat/>
    <w:rsid w:val="002B72EF"/>
    <w:rPr>
      <w:vertAlign w:val="superscript"/>
    </w:rPr>
  </w:style>
  <w:style w:type="character" w:styleId="Emphasis">
    <w:name w:val="Emphasis"/>
    <w:basedOn w:val="DefaultParagraphFont"/>
    <w:uiPriority w:val="20"/>
    <w:qFormat/>
    <w:rsid w:val="000D277E"/>
    <w:rPr>
      <w:i/>
      <w:iCs/>
    </w:rPr>
  </w:style>
  <w:style w:type="table" w:styleId="TableGrid">
    <w:name w:val="Table Grid"/>
    <w:basedOn w:val="TableNormal"/>
    <w:uiPriority w:val="39"/>
    <w:rsid w:val="00D74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sts">
    <w:name w:val="parasts"/>
    <w:basedOn w:val="Normal"/>
    <w:rsid w:val="002C5730"/>
    <w:pPr>
      <w:tabs>
        <w:tab w:val="num" w:pos="360"/>
      </w:tabs>
      <w:spacing w:after="0"/>
      <w:ind w:left="1154" w:hanging="794"/>
    </w:pPr>
    <w:rPr>
      <w:rFonts w:eastAsia="Times New Roman" w:cs="Times New Roman"/>
      <w:szCs w:val="24"/>
      <w:lang w:eastAsia="lv-LV"/>
    </w:rPr>
  </w:style>
  <w:style w:type="paragraph" w:styleId="NormalIndent">
    <w:name w:val="Normal Indent"/>
    <w:basedOn w:val="Normal"/>
    <w:rsid w:val="002C5730"/>
    <w:pPr>
      <w:tabs>
        <w:tab w:val="num" w:pos="1739"/>
      </w:tabs>
      <w:spacing w:after="0"/>
      <w:ind w:left="1739" w:hanging="839"/>
    </w:pPr>
    <w:rPr>
      <w:rFonts w:eastAsia="Times New Roman" w:cs="Times New Roman"/>
      <w:szCs w:val="24"/>
      <w:lang w:eastAsia="lv-LV"/>
    </w:rPr>
  </w:style>
  <w:style w:type="paragraph" w:styleId="List">
    <w:name w:val="List"/>
    <w:basedOn w:val="Normal"/>
    <w:rsid w:val="002C5730"/>
    <w:pPr>
      <w:tabs>
        <w:tab w:val="num" w:pos="3686"/>
      </w:tabs>
      <w:spacing w:after="0"/>
      <w:ind w:left="3686" w:hanging="1134"/>
    </w:pPr>
    <w:rPr>
      <w:rFonts w:eastAsia="Times New Roman" w:cs="Times New Roman"/>
      <w:szCs w:val="24"/>
      <w:lang w:eastAsia="lv-LV"/>
    </w:rPr>
  </w:style>
  <w:style w:type="paragraph" w:styleId="EndnoteText">
    <w:name w:val="endnote text"/>
    <w:basedOn w:val="Normal"/>
    <w:link w:val="EndnoteTextChar"/>
    <w:uiPriority w:val="99"/>
    <w:semiHidden/>
    <w:unhideWhenUsed/>
    <w:rsid w:val="00B82F61"/>
    <w:pPr>
      <w:spacing w:after="0"/>
    </w:pPr>
    <w:rPr>
      <w:sz w:val="20"/>
      <w:szCs w:val="20"/>
    </w:rPr>
  </w:style>
  <w:style w:type="character" w:customStyle="1" w:styleId="EndnoteTextChar">
    <w:name w:val="Endnote Text Char"/>
    <w:basedOn w:val="DefaultParagraphFont"/>
    <w:link w:val="EndnoteText"/>
    <w:uiPriority w:val="99"/>
    <w:semiHidden/>
    <w:rsid w:val="00B82F61"/>
    <w:rPr>
      <w:rFonts w:ascii="Times New Roman" w:hAnsi="Times New Roman"/>
      <w:sz w:val="20"/>
      <w:szCs w:val="20"/>
    </w:rPr>
  </w:style>
  <w:style w:type="character" w:styleId="EndnoteReference">
    <w:name w:val="endnote reference"/>
    <w:basedOn w:val="DefaultParagraphFont"/>
    <w:uiPriority w:val="99"/>
    <w:semiHidden/>
    <w:unhideWhenUsed/>
    <w:rsid w:val="00B82F61"/>
    <w:rPr>
      <w:vertAlign w:val="superscript"/>
    </w:rPr>
  </w:style>
  <w:style w:type="paragraph" w:customStyle="1" w:styleId="tv213">
    <w:name w:val="tv213"/>
    <w:basedOn w:val="Normal"/>
    <w:rsid w:val="00CE15EC"/>
    <w:pPr>
      <w:spacing w:before="100" w:beforeAutospacing="1" w:after="100" w:afterAutospacing="1" w:line="240" w:lineRule="auto"/>
    </w:pPr>
    <w:rPr>
      <w:rFonts w:eastAsia="Times New Roman" w:cs="Times New Roman"/>
      <w:szCs w:val="24"/>
      <w:lang w:eastAsia="lv-LV"/>
    </w:rPr>
  </w:style>
  <w:style w:type="paragraph" w:customStyle="1" w:styleId="msonormal0">
    <w:name w:val="msonormal"/>
    <w:basedOn w:val="Normal"/>
    <w:rsid w:val="003E7CEB"/>
    <w:pPr>
      <w:spacing w:before="100" w:beforeAutospacing="1" w:after="100" w:afterAutospacing="1" w:line="240" w:lineRule="auto"/>
    </w:pPr>
    <w:rPr>
      <w:rFonts w:eastAsia="Times New Roman" w:cs="Times New Roman"/>
      <w:szCs w:val="24"/>
      <w:lang w:eastAsia="lv-LV"/>
    </w:rPr>
  </w:style>
  <w:style w:type="paragraph" w:customStyle="1" w:styleId="xl67">
    <w:name w:val="xl67"/>
    <w:basedOn w:val="Normal"/>
    <w:rsid w:val="003E7CEB"/>
    <w:pPr>
      <w:spacing w:before="100" w:beforeAutospacing="1" w:after="100" w:afterAutospacing="1" w:line="240" w:lineRule="auto"/>
    </w:pPr>
    <w:rPr>
      <w:rFonts w:eastAsia="Times New Roman" w:cs="Times New Roman"/>
      <w:sz w:val="22"/>
      <w:lang w:eastAsia="lv-LV"/>
    </w:rPr>
  </w:style>
  <w:style w:type="paragraph" w:customStyle="1" w:styleId="xl68">
    <w:name w:val="xl68"/>
    <w:basedOn w:val="Normal"/>
    <w:rsid w:val="003E7CEB"/>
    <w:pPr>
      <w:pBdr>
        <w:top w:val="single" w:sz="4" w:space="0" w:color="000000"/>
        <w:left w:val="single" w:sz="4" w:space="0" w:color="000000"/>
        <w:bottom w:val="single" w:sz="4" w:space="0" w:color="000000"/>
        <w:right w:val="single" w:sz="4" w:space="0" w:color="000000"/>
      </w:pBdr>
      <w:shd w:val="clear" w:color="FFFFFF" w:fill="F2F2F2"/>
      <w:spacing w:before="100" w:beforeAutospacing="1" w:after="100" w:afterAutospacing="1" w:line="240" w:lineRule="auto"/>
      <w:jc w:val="center"/>
      <w:textAlignment w:val="center"/>
    </w:pPr>
    <w:rPr>
      <w:rFonts w:eastAsia="Times New Roman" w:cs="Times New Roman"/>
      <w:szCs w:val="24"/>
      <w:lang w:eastAsia="lv-LV"/>
    </w:rPr>
  </w:style>
  <w:style w:type="paragraph" w:customStyle="1" w:styleId="xl69">
    <w:name w:val="xl69"/>
    <w:basedOn w:val="Normal"/>
    <w:rsid w:val="003E7CEB"/>
    <w:pPr>
      <w:pBdr>
        <w:top w:val="single" w:sz="4" w:space="0" w:color="000000"/>
        <w:left w:val="single" w:sz="4" w:space="0" w:color="000000"/>
        <w:right w:val="single" w:sz="4" w:space="0" w:color="000000"/>
      </w:pBdr>
      <w:shd w:val="clear" w:color="FFFFFF" w:fill="F2F2F2"/>
      <w:spacing w:before="100" w:beforeAutospacing="1" w:after="100" w:afterAutospacing="1" w:line="240" w:lineRule="auto"/>
      <w:jc w:val="center"/>
      <w:textAlignment w:val="center"/>
    </w:pPr>
    <w:rPr>
      <w:rFonts w:eastAsia="Times New Roman" w:cs="Times New Roman"/>
      <w:szCs w:val="24"/>
      <w:lang w:eastAsia="lv-LV"/>
    </w:rPr>
  </w:style>
  <w:style w:type="paragraph" w:customStyle="1" w:styleId="xl70">
    <w:name w:val="xl70"/>
    <w:basedOn w:val="Normal"/>
    <w:rsid w:val="003E7C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szCs w:val="24"/>
      <w:lang w:eastAsia="lv-LV"/>
    </w:rPr>
  </w:style>
  <w:style w:type="paragraph" w:customStyle="1" w:styleId="xl71">
    <w:name w:val="xl71"/>
    <w:basedOn w:val="Normal"/>
    <w:rsid w:val="003E7C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szCs w:val="24"/>
      <w:lang w:eastAsia="lv-LV"/>
    </w:rPr>
  </w:style>
  <w:style w:type="paragraph" w:customStyle="1" w:styleId="xl72">
    <w:name w:val="xl72"/>
    <w:basedOn w:val="Normal"/>
    <w:rsid w:val="003E7C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szCs w:val="24"/>
      <w:lang w:eastAsia="lv-LV"/>
    </w:rPr>
  </w:style>
  <w:style w:type="paragraph" w:customStyle="1" w:styleId="xl73">
    <w:name w:val="xl73"/>
    <w:basedOn w:val="Normal"/>
    <w:rsid w:val="003E7CEB"/>
    <w:pPr>
      <w:pBdr>
        <w:top w:val="single" w:sz="4" w:space="0" w:color="000000"/>
        <w:left w:val="single" w:sz="4" w:space="9" w:color="000000"/>
        <w:bottom w:val="single" w:sz="4" w:space="0" w:color="000000"/>
        <w:right w:val="single" w:sz="4" w:space="0" w:color="000000"/>
      </w:pBdr>
      <w:spacing w:before="100" w:beforeAutospacing="1" w:after="100" w:afterAutospacing="1" w:line="240" w:lineRule="auto"/>
      <w:ind w:firstLineChars="100" w:firstLine="100"/>
      <w:textAlignment w:val="center"/>
    </w:pPr>
    <w:rPr>
      <w:rFonts w:eastAsia="Times New Roman" w:cs="Times New Roman"/>
      <w:szCs w:val="24"/>
      <w:lang w:eastAsia="lv-LV"/>
    </w:rPr>
  </w:style>
  <w:style w:type="paragraph" w:customStyle="1" w:styleId="xl74">
    <w:name w:val="xl74"/>
    <w:basedOn w:val="Normal"/>
    <w:rsid w:val="003E7CEB"/>
    <w:pPr>
      <w:spacing w:before="100" w:beforeAutospacing="1" w:after="100" w:afterAutospacing="1" w:line="240" w:lineRule="auto"/>
    </w:pPr>
    <w:rPr>
      <w:rFonts w:ascii="Calibri" w:eastAsia="Times New Roman" w:hAnsi="Calibri" w:cs="Calibri"/>
      <w:sz w:val="22"/>
      <w:lang w:eastAsia="lv-LV"/>
    </w:rPr>
  </w:style>
  <w:style w:type="paragraph" w:customStyle="1" w:styleId="xl75">
    <w:name w:val="xl75"/>
    <w:basedOn w:val="Normal"/>
    <w:rsid w:val="003E7CEB"/>
    <w:pPr>
      <w:pBdr>
        <w:top w:val="single" w:sz="4" w:space="0" w:color="000000"/>
        <w:left w:val="single" w:sz="4" w:space="0" w:color="000000"/>
        <w:bottom w:val="single" w:sz="4" w:space="0" w:color="000000"/>
        <w:right w:val="single" w:sz="4" w:space="0" w:color="000000"/>
      </w:pBdr>
      <w:shd w:val="clear" w:color="F2F2F2" w:fill="FFFFFF"/>
      <w:spacing w:before="100" w:beforeAutospacing="1" w:after="100" w:afterAutospacing="1" w:line="240" w:lineRule="auto"/>
      <w:jc w:val="right"/>
      <w:textAlignment w:val="center"/>
    </w:pPr>
    <w:rPr>
      <w:rFonts w:eastAsia="Times New Roman" w:cs="Times New Roman"/>
      <w:b/>
      <w:bCs/>
      <w:szCs w:val="24"/>
      <w:lang w:eastAsia="lv-LV"/>
    </w:rPr>
  </w:style>
  <w:style w:type="paragraph" w:customStyle="1" w:styleId="xl76">
    <w:name w:val="xl76"/>
    <w:basedOn w:val="Normal"/>
    <w:rsid w:val="003E7C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b/>
      <w:bCs/>
      <w:szCs w:val="24"/>
      <w:lang w:eastAsia="lv-LV"/>
    </w:rPr>
  </w:style>
  <w:style w:type="paragraph" w:customStyle="1" w:styleId="Default">
    <w:name w:val="Default"/>
    <w:rsid w:val="00AB2439"/>
    <w:pPr>
      <w:autoSpaceDE w:val="0"/>
      <w:autoSpaceDN w:val="0"/>
      <w:adjustRightInd w:val="0"/>
      <w:spacing w:after="0" w:line="240" w:lineRule="auto"/>
    </w:pPr>
    <w:rPr>
      <w:rFonts w:ascii="Times New Roman" w:hAnsi="Times New Roman" w:cs="Times New Roman"/>
      <w:color w:val="000000"/>
      <w:sz w:val="24"/>
      <w:szCs w:val="24"/>
    </w:rPr>
  </w:style>
  <w:style w:type="paragraph" w:styleId="TOCHeading">
    <w:name w:val="TOC Heading"/>
    <w:basedOn w:val="Heading1"/>
    <w:next w:val="Normal"/>
    <w:uiPriority w:val="39"/>
    <w:unhideWhenUsed/>
    <w:qFormat/>
    <w:rsid w:val="00954F0C"/>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954F0C"/>
    <w:pPr>
      <w:spacing w:after="100"/>
    </w:pPr>
  </w:style>
  <w:style w:type="paragraph" w:styleId="TOC2">
    <w:name w:val="toc 2"/>
    <w:basedOn w:val="Normal"/>
    <w:next w:val="Normal"/>
    <w:autoRedefine/>
    <w:uiPriority w:val="39"/>
    <w:unhideWhenUsed/>
    <w:rsid w:val="00954F0C"/>
    <w:pPr>
      <w:spacing w:after="100"/>
      <w:ind w:left="240"/>
    </w:pPr>
  </w:style>
  <w:style w:type="paragraph" w:styleId="TOC3">
    <w:name w:val="toc 3"/>
    <w:basedOn w:val="Normal"/>
    <w:next w:val="Normal"/>
    <w:autoRedefine/>
    <w:uiPriority w:val="39"/>
    <w:unhideWhenUsed/>
    <w:rsid w:val="00954F0C"/>
    <w:pPr>
      <w:spacing w:after="100"/>
      <w:ind w:left="480"/>
    </w:pPr>
  </w:style>
  <w:style w:type="paragraph" w:customStyle="1" w:styleId="Pamatteksts">
    <w:name w:val="Pamatteksts"/>
    <w:qFormat/>
    <w:rsid w:val="00954F0C"/>
    <w:pPr>
      <w:spacing w:after="120" w:line="240" w:lineRule="auto"/>
      <w:ind w:firstLine="567"/>
      <w:jc w:val="both"/>
    </w:pPr>
    <w:rPr>
      <w:rFonts w:ascii="Times New Roman" w:eastAsia="Times New Roman" w:hAnsi="Times New Roman" w:cs="Times New Roman"/>
      <w:noProof/>
      <w:color w:val="000000" w:themeColor="text1"/>
      <w:sz w:val="24"/>
      <w:szCs w:val="24"/>
      <w:lang w:eastAsia="lv-LV"/>
    </w:rPr>
  </w:style>
  <w:style w:type="character" w:customStyle="1" w:styleId="ListParagraphChar">
    <w:name w:val="List Paragraph Char"/>
    <w:aliases w:val="2 Char,Akapit z listą BS Char,H&amp;P List Paragraph Char,Strip Char,Syle 1 Char,virsraksts3 Char,Numbered Para 1 Char,Dot pt Char,No Spacing1 Char,List Paragraph Char Char Char Char,Indicator Text Char,Bullet 1 Char,Bullet Points Char"/>
    <w:link w:val="ListParagraph"/>
    <w:uiPriority w:val="34"/>
    <w:qFormat/>
    <w:locked/>
    <w:rsid w:val="00954F0C"/>
    <w:rPr>
      <w:rFonts w:ascii="Times New Roman" w:hAnsi="Times New Roman"/>
      <w:sz w:val="24"/>
    </w:rPr>
  </w:style>
  <w:style w:type="character" w:customStyle="1" w:styleId="Heading6Char">
    <w:name w:val="Heading 6 Char"/>
    <w:basedOn w:val="DefaultParagraphFont"/>
    <w:link w:val="Heading6"/>
    <w:rsid w:val="00423745"/>
    <w:rPr>
      <w:rFonts w:ascii="Times New Roman" w:eastAsia="Times New Roman" w:hAnsi="Times New Roman" w:cs="Times New Roman"/>
      <w:b/>
      <w:bCs/>
      <w:sz w:val="24"/>
      <w:szCs w:val="24"/>
    </w:rPr>
  </w:style>
  <w:style w:type="character" w:customStyle="1" w:styleId="Heading8Char">
    <w:name w:val="Heading 8 Char"/>
    <w:basedOn w:val="DefaultParagraphFont"/>
    <w:link w:val="Heading8"/>
    <w:rsid w:val="00423745"/>
    <w:rPr>
      <w:rFonts w:ascii="Arial" w:eastAsia="Times New Roman" w:hAnsi="Arial" w:cs="Times New Roman"/>
      <w:i/>
      <w:sz w:val="20"/>
      <w:szCs w:val="20"/>
    </w:rPr>
  </w:style>
  <w:style w:type="character" w:customStyle="1" w:styleId="Heading9Char">
    <w:name w:val="Heading 9 Char"/>
    <w:basedOn w:val="DefaultParagraphFont"/>
    <w:link w:val="Heading9"/>
    <w:rsid w:val="00423745"/>
    <w:rPr>
      <w:rFonts w:ascii="Arial" w:eastAsia="Times New Roman" w:hAnsi="Arial" w:cs="Times New Roman"/>
      <w:b/>
      <w:i/>
      <w:sz w:val="18"/>
      <w:szCs w:val="20"/>
    </w:rPr>
  </w:style>
  <w:style w:type="character" w:customStyle="1" w:styleId="AdreseProgramm">
    <w:name w:val="Adrese Programmā"/>
    <w:basedOn w:val="DefaultParagraphFont"/>
    <w:uiPriority w:val="1"/>
    <w:qFormat/>
    <w:rsid w:val="00423745"/>
    <w:rPr>
      <w:rFonts w:ascii="Times New Roman" w:hAnsi="Times New Roman"/>
      <w:b/>
      <w:i w:val="0"/>
      <w:color w:val="auto"/>
      <w:sz w:val="20"/>
      <w:u w:val="none"/>
    </w:rPr>
  </w:style>
  <w:style w:type="numbering" w:customStyle="1" w:styleId="Secganumercija">
    <w:name w:val="Secīga numerācija"/>
    <w:basedOn w:val="NoList"/>
    <w:rsid w:val="00423745"/>
    <w:pPr>
      <w:numPr>
        <w:numId w:val="21"/>
      </w:numPr>
    </w:pPr>
  </w:style>
  <w:style w:type="character" w:customStyle="1" w:styleId="Izceltsteksts">
    <w:name w:val="Izcelts teksts"/>
    <w:basedOn w:val="DefaultParagraphFont"/>
    <w:uiPriority w:val="1"/>
    <w:qFormat/>
    <w:rsid w:val="00423745"/>
    <w:rPr>
      <w:b/>
      <w:i/>
      <w:u w:val="single"/>
    </w:rPr>
  </w:style>
  <w:style w:type="character" w:customStyle="1" w:styleId="Piemrstxt">
    <w:name w:val="Piemērs txt"/>
    <w:basedOn w:val="DefaultParagraphFont"/>
    <w:uiPriority w:val="1"/>
    <w:qFormat/>
    <w:rsid w:val="00423745"/>
    <w:rPr>
      <w:rFonts w:ascii="Courier New" w:hAnsi="Courier New"/>
      <w:w w:val="100"/>
      <w:sz w:val="20"/>
    </w:rPr>
  </w:style>
  <w:style w:type="numbering" w:customStyle="1" w:styleId="Numercija">
    <w:name w:val="Numerācija"/>
    <w:basedOn w:val="NoList"/>
    <w:uiPriority w:val="99"/>
    <w:rsid w:val="00423745"/>
    <w:pPr>
      <w:numPr>
        <w:numId w:val="22"/>
      </w:numPr>
    </w:pPr>
  </w:style>
  <w:style w:type="numbering" w:customStyle="1" w:styleId="StyleOutlinenumberedLeft0cmHanging063cm">
    <w:name w:val="Style Outline numbered Left:  0 cm Hanging:  0.63 cm"/>
    <w:basedOn w:val="NoList"/>
    <w:rsid w:val="00423745"/>
    <w:pPr>
      <w:numPr>
        <w:numId w:val="23"/>
      </w:numPr>
    </w:pPr>
  </w:style>
  <w:style w:type="numbering" w:customStyle="1" w:styleId="StyleOutlinenumberedLeft0cmHanging063cm1">
    <w:name w:val="Style Outline numbered Left:  0 cm Hanging:  0.63 cm1"/>
    <w:basedOn w:val="NoList"/>
    <w:rsid w:val="00423745"/>
    <w:pPr>
      <w:numPr>
        <w:numId w:val="24"/>
      </w:numPr>
    </w:pPr>
  </w:style>
  <w:style w:type="paragraph" w:customStyle="1" w:styleId="Tabulasgalvene">
    <w:name w:val="Tabulas galvene"/>
    <w:basedOn w:val="Pamatteksts"/>
    <w:rsid w:val="00423745"/>
    <w:pPr>
      <w:spacing w:after="0"/>
      <w:ind w:firstLine="0"/>
      <w:jc w:val="center"/>
    </w:pPr>
    <w:rPr>
      <w:b/>
      <w:sz w:val="20"/>
      <w:szCs w:val="20"/>
    </w:rPr>
  </w:style>
  <w:style w:type="paragraph" w:customStyle="1" w:styleId="Tabulasteksts">
    <w:name w:val="Tabulas teksts"/>
    <w:basedOn w:val="Normal"/>
    <w:qFormat/>
    <w:rsid w:val="00423745"/>
    <w:pPr>
      <w:spacing w:after="0" w:line="240" w:lineRule="auto"/>
    </w:pPr>
    <w:rPr>
      <w:rFonts w:eastAsia="Times New Roman" w:cs="Times New Roman"/>
      <w:sz w:val="20"/>
      <w:szCs w:val="24"/>
    </w:rPr>
  </w:style>
  <w:style w:type="paragraph" w:customStyle="1" w:styleId="Tabulasnosaukums">
    <w:name w:val="Tabulas nosaukums"/>
    <w:basedOn w:val="Pamatteksts"/>
    <w:next w:val="Pamatteksts"/>
    <w:qFormat/>
    <w:rsid w:val="00423745"/>
    <w:pPr>
      <w:spacing w:before="240" w:after="0"/>
      <w:ind w:firstLine="0"/>
      <w:jc w:val="right"/>
    </w:pPr>
    <w:rPr>
      <w:i/>
      <w:sz w:val="20"/>
    </w:rPr>
  </w:style>
  <w:style w:type="character" w:styleId="IntenseReference">
    <w:name w:val="Intense Reference"/>
    <w:basedOn w:val="DefaultParagraphFont"/>
    <w:uiPriority w:val="32"/>
    <w:qFormat/>
    <w:rsid w:val="00423745"/>
    <w:rPr>
      <w:b/>
      <w:bCs/>
      <w:smallCaps/>
      <w:color w:val="C0504D" w:themeColor="accent2"/>
      <w:spacing w:val="5"/>
      <w:u w:val="single"/>
    </w:rPr>
  </w:style>
  <w:style w:type="paragraph" w:customStyle="1" w:styleId="Attlanosaukums">
    <w:name w:val="Attēla nosaukums"/>
    <w:basedOn w:val="Pamatteksts"/>
    <w:next w:val="Pamatteksts"/>
    <w:qFormat/>
    <w:rsid w:val="00423745"/>
    <w:pPr>
      <w:jc w:val="center"/>
    </w:pPr>
    <w:rPr>
      <w:i/>
    </w:rPr>
  </w:style>
  <w:style w:type="table" w:customStyle="1" w:styleId="Noformtatabula">
    <w:name w:val="Noformēta tabula"/>
    <w:basedOn w:val="TableGrid"/>
    <w:uiPriority w:val="99"/>
    <w:rsid w:val="00423745"/>
    <w:pPr>
      <w:jc w:val="both"/>
    </w:pPr>
    <w:rPr>
      <w:rFonts w:ascii="Times New Roman" w:eastAsia="Times New Roman" w:hAnsi="Times New Roman" w:cs="Times New Roman"/>
      <w:color w:val="000000" w:themeColor="text1"/>
      <w:sz w:val="20"/>
      <w:szCs w:val="20"/>
      <w:lang w:eastAsia="lv-LV"/>
    </w:rPr>
    <w:tblPr>
      <w:jc w:val="righ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57" w:type="dxa"/>
        <w:right w:w="57" w:type="dxa"/>
      </w:tblCellMar>
    </w:tblPr>
    <w:trPr>
      <w:jc w:val="right"/>
    </w:trPr>
    <w:tcPr>
      <w:tcMar>
        <w:left w:w="57" w:type="dxa"/>
        <w:right w:w="57" w:type="dxa"/>
      </w:tcMar>
      <w:vAlign w:val="center"/>
    </w:tcPr>
    <w:tblStylePr w:type="firstRow">
      <w:pPr>
        <w:wordWrap/>
        <w:jc w:val="center"/>
      </w:pPr>
      <w:rPr>
        <w:rFonts w:ascii="Times New Roman" w:hAnsi="Times New Roman"/>
        <w:b/>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l2br w:val="nil"/>
          <w:tr2bl w:val="nil"/>
        </w:tcBorders>
      </w:tcPr>
    </w:tblStylePr>
  </w:style>
  <w:style w:type="table" w:styleId="LightShading-Accent3">
    <w:name w:val="Light Shading Accent 3"/>
    <w:basedOn w:val="TableNormal"/>
    <w:uiPriority w:val="60"/>
    <w:rsid w:val="0042374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List1">
    <w:name w:val="Light List1"/>
    <w:basedOn w:val="TableNormal"/>
    <w:uiPriority w:val="61"/>
    <w:rsid w:val="0042374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2">
    <w:name w:val="Light Shading Accent 2"/>
    <w:basedOn w:val="TableNormal"/>
    <w:uiPriority w:val="60"/>
    <w:rsid w:val="0042374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styleId="PageNumber">
    <w:name w:val="page number"/>
    <w:basedOn w:val="DefaultParagraphFont"/>
    <w:rsid w:val="00423745"/>
  </w:style>
  <w:style w:type="paragraph" w:customStyle="1" w:styleId="Balonteksts">
    <w:name w:val="Balonteksts"/>
    <w:basedOn w:val="Normal"/>
    <w:semiHidden/>
    <w:rsid w:val="00423745"/>
    <w:pPr>
      <w:spacing w:after="0" w:line="240" w:lineRule="auto"/>
    </w:pPr>
    <w:rPr>
      <w:rFonts w:ascii="Tahoma" w:eastAsia="Times New Roman" w:hAnsi="Tahoma" w:cs="Tahoma"/>
      <w:sz w:val="16"/>
      <w:szCs w:val="16"/>
    </w:rPr>
  </w:style>
  <w:style w:type="paragraph" w:styleId="BodyTextIndent3">
    <w:name w:val="Body Text Indent 3"/>
    <w:basedOn w:val="Normal"/>
    <w:link w:val="BodyTextIndent3Char"/>
    <w:rsid w:val="00423745"/>
    <w:pPr>
      <w:spacing w:after="0" w:line="240" w:lineRule="auto"/>
      <w:ind w:firstLine="540"/>
    </w:pPr>
    <w:rPr>
      <w:rFonts w:eastAsia="Times New Roman" w:cs="Times New Roman"/>
      <w:szCs w:val="24"/>
    </w:rPr>
  </w:style>
  <w:style w:type="character" w:customStyle="1" w:styleId="BodyTextIndent3Char">
    <w:name w:val="Body Text Indent 3 Char"/>
    <w:basedOn w:val="DefaultParagraphFont"/>
    <w:link w:val="BodyTextIndent3"/>
    <w:rsid w:val="00423745"/>
    <w:rPr>
      <w:rFonts w:ascii="Times New Roman" w:eastAsia="Times New Roman" w:hAnsi="Times New Roman" w:cs="Times New Roman"/>
      <w:sz w:val="24"/>
      <w:szCs w:val="24"/>
    </w:rPr>
  </w:style>
  <w:style w:type="paragraph" w:styleId="BodyText3">
    <w:name w:val="Body Text 3"/>
    <w:basedOn w:val="BodyText"/>
    <w:link w:val="BodyText3Char"/>
    <w:rsid w:val="00423745"/>
    <w:pPr>
      <w:numPr>
        <w:ilvl w:val="5"/>
        <w:numId w:val="25"/>
      </w:numPr>
      <w:tabs>
        <w:tab w:val="left" w:pos="227"/>
        <w:tab w:val="right" w:pos="9214"/>
      </w:tabs>
      <w:spacing w:before="60" w:after="120" w:line="240" w:lineRule="atLeast"/>
    </w:pPr>
    <w:rPr>
      <w:rFonts w:ascii="Times New Roman" w:eastAsia="Times New Roman" w:hAnsi="Times New Roman" w:cs="Times New Roman"/>
      <w:szCs w:val="20"/>
    </w:rPr>
  </w:style>
  <w:style w:type="character" w:customStyle="1" w:styleId="BodyText3Char">
    <w:name w:val="Body Text 3 Char"/>
    <w:basedOn w:val="DefaultParagraphFont"/>
    <w:link w:val="BodyText3"/>
    <w:rsid w:val="00423745"/>
    <w:rPr>
      <w:rFonts w:ascii="Times New Roman" w:eastAsia="Times New Roman" w:hAnsi="Times New Roman" w:cs="Times New Roman"/>
      <w:szCs w:val="20"/>
    </w:rPr>
  </w:style>
  <w:style w:type="paragraph" w:customStyle="1" w:styleId="Bodytext4">
    <w:name w:val="Body text 4"/>
    <w:basedOn w:val="Normal"/>
    <w:rsid w:val="00423745"/>
    <w:pPr>
      <w:tabs>
        <w:tab w:val="num" w:pos="720"/>
        <w:tab w:val="right" w:pos="9214"/>
      </w:tabs>
      <w:spacing w:before="60" w:after="60" w:line="240" w:lineRule="atLeast"/>
      <w:ind w:left="720" w:hanging="720"/>
    </w:pPr>
    <w:rPr>
      <w:rFonts w:eastAsia="Times New Roman" w:cs="Times New Roman"/>
      <w:sz w:val="22"/>
      <w:szCs w:val="20"/>
    </w:rPr>
  </w:style>
  <w:style w:type="paragraph" w:customStyle="1" w:styleId="StyleFirstline063cm">
    <w:name w:val="Style First line:  0.63 cm"/>
    <w:basedOn w:val="Normal"/>
    <w:rsid w:val="00423745"/>
    <w:pPr>
      <w:spacing w:after="0" w:line="360" w:lineRule="auto"/>
      <w:ind w:firstLine="357"/>
      <w:jc w:val="both"/>
    </w:pPr>
    <w:rPr>
      <w:rFonts w:eastAsia="Times New Roman" w:cs="Times New Roman"/>
      <w:szCs w:val="20"/>
    </w:rPr>
  </w:style>
  <w:style w:type="paragraph" w:styleId="Subtitle">
    <w:name w:val="Subtitle"/>
    <w:basedOn w:val="Normal"/>
    <w:link w:val="SubtitleChar"/>
    <w:uiPriority w:val="11"/>
    <w:qFormat/>
    <w:rsid w:val="00423745"/>
    <w:pPr>
      <w:spacing w:after="0" w:line="240" w:lineRule="auto"/>
      <w:jc w:val="both"/>
    </w:pPr>
    <w:rPr>
      <w:rFonts w:eastAsia="Times New Roman" w:cs="Times New Roman"/>
      <w:b/>
      <w:bCs/>
      <w:i/>
      <w:iCs/>
      <w:szCs w:val="24"/>
    </w:rPr>
  </w:style>
  <w:style w:type="character" w:customStyle="1" w:styleId="SubtitleChar">
    <w:name w:val="Subtitle Char"/>
    <w:basedOn w:val="DefaultParagraphFont"/>
    <w:link w:val="Subtitle"/>
    <w:uiPriority w:val="11"/>
    <w:rsid w:val="00423745"/>
    <w:rPr>
      <w:rFonts w:ascii="Times New Roman" w:eastAsia="Times New Roman" w:hAnsi="Times New Roman" w:cs="Times New Roman"/>
      <w:b/>
      <w:bCs/>
      <w:i/>
      <w:iCs/>
      <w:sz w:val="24"/>
      <w:szCs w:val="24"/>
    </w:rPr>
  </w:style>
  <w:style w:type="paragraph" w:customStyle="1" w:styleId="xl29">
    <w:name w:val="xl29"/>
    <w:basedOn w:val="Normal"/>
    <w:rsid w:val="00423745"/>
    <w:pPr>
      <w:spacing w:before="100" w:beforeAutospacing="1" w:after="100" w:afterAutospacing="1" w:line="240" w:lineRule="auto"/>
    </w:pPr>
    <w:rPr>
      <w:rFonts w:eastAsia="Arial Unicode MS" w:cs="Times New Roman"/>
      <w:sz w:val="22"/>
      <w:lang w:val="en-GB"/>
    </w:rPr>
  </w:style>
  <w:style w:type="paragraph" w:customStyle="1" w:styleId="xl30">
    <w:name w:val="xl30"/>
    <w:basedOn w:val="Normal"/>
    <w:rsid w:val="00423745"/>
    <w:pPr>
      <w:spacing w:before="100" w:beforeAutospacing="1" w:after="100" w:afterAutospacing="1" w:line="240" w:lineRule="auto"/>
      <w:jc w:val="center"/>
    </w:pPr>
    <w:rPr>
      <w:rFonts w:eastAsia="Arial Unicode MS" w:cs="Times New Roman"/>
      <w:i/>
      <w:iCs/>
      <w:szCs w:val="24"/>
      <w:lang w:val="en-GB"/>
    </w:rPr>
  </w:style>
  <w:style w:type="paragraph" w:customStyle="1" w:styleId="xl31">
    <w:name w:val="xl31"/>
    <w:basedOn w:val="Normal"/>
    <w:rsid w:val="00423745"/>
    <w:pPr>
      <w:spacing w:before="100" w:beforeAutospacing="1" w:after="100" w:afterAutospacing="1" w:line="240" w:lineRule="auto"/>
    </w:pPr>
    <w:rPr>
      <w:rFonts w:eastAsia="Arial Unicode MS" w:cs="Times New Roman"/>
      <w:szCs w:val="24"/>
      <w:lang w:val="en-GB"/>
    </w:rPr>
  </w:style>
  <w:style w:type="paragraph" w:customStyle="1" w:styleId="xl32">
    <w:name w:val="xl32"/>
    <w:basedOn w:val="Normal"/>
    <w:rsid w:val="00423745"/>
    <w:pPr>
      <w:spacing w:before="100" w:beforeAutospacing="1" w:after="100" w:afterAutospacing="1" w:line="240" w:lineRule="auto"/>
      <w:jc w:val="right"/>
    </w:pPr>
    <w:rPr>
      <w:rFonts w:eastAsia="Arial Unicode MS" w:cs="Times New Roman"/>
      <w:szCs w:val="24"/>
      <w:lang w:val="en-GB"/>
    </w:rPr>
  </w:style>
  <w:style w:type="paragraph" w:customStyle="1" w:styleId="xl33">
    <w:name w:val="xl33"/>
    <w:basedOn w:val="Normal"/>
    <w:rsid w:val="00423745"/>
    <w:pPr>
      <w:spacing w:before="100" w:beforeAutospacing="1" w:after="100" w:afterAutospacing="1" w:line="240" w:lineRule="auto"/>
    </w:pPr>
    <w:rPr>
      <w:rFonts w:eastAsia="Arial Unicode MS" w:cs="Times New Roman"/>
      <w:b/>
      <w:bCs/>
      <w:sz w:val="22"/>
      <w:lang w:val="en-GB"/>
    </w:rPr>
  </w:style>
  <w:style w:type="paragraph" w:customStyle="1" w:styleId="xl34">
    <w:name w:val="xl34"/>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Times New Roman"/>
      <w:szCs w:val="24"/>
      <w:lang w:val="en-GB"/>
    </w:rPr>
  </w:style>
  <w:style w:type="paragraph" w:customStyle="1" w:styleId="xl35">
    <w:name w:val="xl35"/>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Times New Roman"/>
      <w:szCs w:val="24"/>
      <w:lang w:val="en-GB"/>
    </w:rPr>
  </w:style>
  <w:style w:type="paragraph" w:customStyle="1" w:styleId="xl36">
    <w:name w:val="xl36"/>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b/>
      <w:bCs/>
      <w:szCs w:val="24"/>
      <w:lang w:val="en-GB"/>
    </w:rPr>
  </w:style>
  <w:style w:type="paragraph" w:customStyle="1" w:styleId="xl37">
    <w:name w:val="xl37"/>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Times New Roman"/>
      <w:szCs w:val="24"/>
      <w:lang w:val="en-GB"/>
    </w:rPr>
  </w:style>
  <w:style w:type="paragraph" w:customStyle="1" w:styleId="xl38">
    <w:name w:val="xl38"/>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Cs w:val="24"/>
      <w:lang w:val="en-GB"/>
    </w:rPr>
  </w:style>
  <w:style w:type="paragraph" w:customStyle="1" w:styleId="xl39">
    <w:name w:val="xl39"/>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Arial Unicode MS" w:cs="Times New Roman"/>
      <w:szCs w:val="24"/>
      <w:lang w:val="en-GB"/>
    </w:rPr>
  </w:style>
  <w:style w:type="paragraph" w:customStyle="1" w:styleId="xl40">
    <w:name w:val="xl40"/>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Cs w:val="24"/>
      <w:lang w:val="en-GB"/>
    </w:rPr>
  </w:style>
  <w:style w:type="paragraph" w:customStyle="1" w:styleId="xl41">
    <w:name w:val="xl41"/>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Arial Unicode MS" w:cs="Times New Roman"/>
      <w:szCs w:val="24"/>
      <w:lang w:val="en-GB"/>
    </w:rPr>
  </w:style>
  <w:style w:type="paragraph" w:customStyle="1" w:styleId="xl42">
    <w:name w:val="xl42"/>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Times New Roman"/>
      <w:szCs w:val="24"/>
      <w:lang w:val="en-GB"/>
    </w:rPr>
  </w:style>
  <w:style w:type="paragraph" w:customStyle="1" w:styleId="xl43">
    <w:name w:val="xl43"/>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Times New Roman"/>
      <w:i/>
      <w:iCs/>
      <w:szCs w:val="24"/>
      <w:lang w:val="en-GB"/>
    </w:rPr>
  </w:style>
  <w:style w:type="paragraph" w:customStyle="1" w:styleId="xl44">
    <w:name w:val="xl44"/>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 w:val="16"/>
      <w:szCs w:val="16"/>
      <w:lang w:val="en-GB"/>
    </w:rPr>
  </w:style>
  <w:style w:type="paragraph" w:customStyle="1" w:styleId="xl45">
    <w:name w:val="xl45"/>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Arial Unicode MS" w:cs="Times New Roman"/>
      <w:sz w:val="16"/>
      <w:szCs w:val="16"/>
      <w:lang w:val="en-GB"/>
    </w:rPr>
  </w:style>
  <w:style w:type="paragraph" w:customStyle="1" w:styleId="xl46">
    <w:name w:val="xl46"/>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b/>
      <w:bCs/>
      <w:sz w:val="16"/>
      <w:szCs w:val="16"/>
      <w:lang w:val="en-GB"/>
    </w:rPr>
  </w:style>
  <w:style w:type="paragraph" w:customStyle="1" w:styleId="xl47">
    <w:name w:val="xl47"/>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 w:val="16"/>
      <w:szCs w:val="16"/>
      <w:lang w:val="en-GB"/>
    </w:rPr>
  </w:style>
  <w:style w:type="character" w:styleId="Strong">
    <w:name w:val="Strong"/>
    <w:uiPriority w:val="22"/>
    <w:qFormat/>
    <w:rsid w:val="00423745"/>
    <w:rPr>
      <w:b/>
      <w:bCs/>
    </w:rPr>
  </w:style>
  <w:style w:type="character" w:styleId="PlaceholderText">
    <w:name w:val="Placeholder Text"/>
    <w:uiPriority w:val="99"/>
    <w:semiHidden/>
    <w:rsid w:val="00423745"/>
    <w:rPr>
      <w:color w:val="808080"/>
    </w:rPr>
  </w:style>
  <w:style w:type="paragraph" w:customStyle="1" w:styleId="ListParagraph1">
    <w:name w:val="List Paragraph1"/>
    <w:basedOn w:val="Normal"/>
    <w:qFormat/>
    <w:rsid w:val="00423745"/>
    <w:pPr>
      <w:spacing w:after="0" w:line="240" w:lineRule="auto"/>
      <w:ind w:left="720"/>
      <w:contextualSpacing/>
    </w:pPr>
    <w:rPr>
      <w:rFonts w:eastAsia="Times New Roman" w:cs="Times New Roman"/>
      <w:szCs w:val="24"/>
      <w:lang w:eastAsia="lv-LV"/>
    </w:rPr>
  </w:style>
  <w:style w:type="character" w:styleId="SubtleEmphasis">
    <w:name w:val="Subtle Emphasis"/>
    <w:basedOn w:val="DefaultParagraphFont"/>
    <w:uiPriority w:val="19"/>
    <w:qFormat/>
    <w:rsid w:val="00423745"/>
    <w:rPr>
      <w:i/>
      <w:iCs/>
      <w:color w:val="808080" w:themeColor="text1" w:themeTint="7F"/>
    </w:rPr>
  </w:style>
  <w:style w:type="paragraph" w:customStyle="1" w:styleId="CharChar3CharCharCharCharCharChar">
    <w:name w:val="Char Char3 Char Char Char Char Char Char"/>
    <w:basedOn w:val="Normal"/>
    <w:semiHidden/>
    <w:rsid w:val="00423745"/>
    <w:pPr>
      <w:spacing w:after="160" w:line="240" w:lineRule="exact"/>
      <w:ind w:firstLine="720"/>
      <w:jc w:val="both"/>
    </w:pPr>
    <w:rPr>
      <w:rFonts w:ascii="Verdana" w:eastAsia="Times New Roman" w:hAnsi="Verdana" w:cs="Times New Roman"/>
      <w:sz w:val="20"/>
      <w:szCs w:val="20"/>
    </w:rPr>
  </w:style>
  <w:style w:type="paragraph" w:customStyle="1" w:styleId="CharChar3CharCharCharCharCharCharCharCharCharCharCharChar">
    <w:name w:val="Char Char3 Char Char Char Char Char Char Char Char Char Char Char Char"/>
    <w:basedOn w:val="Normal"/>
    <w:semiHidden/>
    <w:rsid w:val="00423745"/>
    <w:pPr>
      <w:spacing w:after="160" w:line="240" w:lineRule="exact"/>
      <w:ind w:firstLine="720"/>
      <w:jc w:val="both"/>
    </w:pPr>
    <w:rPr>
      <w:rFonts w:ascii="Verdana" w:eastAsia="Times New Roman" w:hAnsi="Verdana" w:cs="Times New Roman"/>
      <w:sz w:val="20"/>
      <w:szCs w:val="20"/>
    </w:rPr>
  </w:style>
  <w:style w:type="character" w:customStyle="1" w:styleId="apple-converted-space">
    <w:name w:val="apple-converted-space"/>
    <w:basedOn w:val="DefaultParagraphFont"/>
    <w:rsid w:val="00423745"/>
  </w:style>
  <w:style w:type="paragraph" w:styleId="PlainText">
    <w:name w:val="Plain Text"/>
    <w:basedOn w:val="Normal"/>
    <w:link w:val="PlainTextChar"/>
    <w:uiPriority w:val="99"/>
    <w:unhideWhenUsed/>
    <w:rsid w:val="00423745"/>
    <w:pPr>
      <w:spacing w:after="0" w:line="240" w:lineRule="auto"/>
    </w:pPr>
    <w:rPr>
      <w:rFonts w:ascii="Calibri" w:eastAsia="Calibri" w:hAnsi="Calibri" w:cs="Times New Roman"/>
      <w:sz w:val="22"/>
      <w:szCs w:val="21"/>
    </w:rPr>
  </w:style>
  <w:style w:type="character" w:customStyle="1" w:styleId="PlainTextChar">
    <w:name w:val="Plain Text Char"/>
    <w:basedOn w:val="DefaultParagraphFont"/>
    <w:link w:val="PlainText"/>
    <w:uiPriority w:val="99"/>
    <w:rsid w:val="00423745"/>
    <w:rPr>
      <w:rFonts w:ascii="Calibri" w:eastAsia="Calibri" w:hAnsi="Calibri" w:cs="Times New Roman"/>
      <w:szCs w:val="21"/>
    </w:rPr>
  </w:style>
  <w:style w:type="paragraph" w:customStyle="1" w:styleId="Italic">
    <w:name w:val="Italic"/>
    <w:basedOn w:val="Normal"/>
    <w:link w:val="ItalicChar"/>
    <w:qFormat/>
    <w:rsid w:val="00720CDA"/>
    <w:pPr>
      <w:spacing w:after="120" w:line="240" w:lineRule="auto"/>
    </w:pPr>
    <w:rPr>
      <w:rFonts w:ascii="Georgia" w:eastAsia="Arial" w:hAnsi="Georgia" w:cs="Arial"/>
      <w:i/>
      <w:sz w:val="20"/>
      <w:szCs w:val="20"/>
      <w:lang w:val="en-GB"/>
    </w:rPr>
  </w:style>
  <w:style w:type="character" w:customStyle="1" w:styleId="ItalicChar">
    <w:name w:val="Italic Char"/>
    <w:basedOn w:val="DefaultParagraphFont"/>
    <w:link w:val="Italic"/>
    <w:rsid w:val="00720CDA"/>
    <w:rPr>
      <w:rFonts w:ascii="Georgia" w:eastAsia="Arial" w:hAnsi="Georgia" w:cs="Arial"/>
      <w:i/>
      <w:sz w:val="20"/>
      <w:szCs w:val="20"/>
      <w:lang w:val="en-GB"/>
    </w:rPr>
  </w:style>
  <w:style w:type="paragraph" w:customStyle="1" w:styleId="Heading">
    <w:name w:val="Heading"/>
    <w:basedOn w:val="ListParagraph"/>
    <w:link w:val="HeadingChar"/>
    <w:qFormat/>
    <w:rsid w:val="004D7F66"/>
    <w:pPr>
      <w:keepNext/>
      <w:keepLines/>
      <w:spacing w:after="120" w:line="240" w:lineRule="auto"/>
      <w:ind w:hanging="360"/>
      <w:outlineLvl w:val="3"/>
    </w:pPr>
    <w:rPr>
      <w:rFonts w:ascii="Georgia" w:eastAsia="Times New Roman" w:hAnsi="Georgia" w:cs="Times New Roman"/>
      <w:b/>
      <w:i/>
      <w:szCs w:val="20"/>
      <w:lang w:val="en-GB"/>
    </w:rPr>
  </w:style>
  <w:style w:type="character" w:customStyle="1" w:styleId="HeadingChar">
    <w:name w:val="Heading Char"/>
    <w:basedOn w:val="DefaultParagraphFont"/>
    <w:link w:val="Heading"/>
    <w:rsid w:val="004D7F66"/>
    <w:rPr>
      <w:rFonts w:ascii="Georgia" w:eastAsia="Times New Roman" w:hAnsi="Georgia" w:cs="Times New Roman"/>
      <w:b/>
      <w:i/>
      <w:sz w:val="24"/>
      <w:szCs w:val="20"/>
      <w:lang w:val="en-GB"/>
    </w:rPr>
  </w:style>
  <w:style w:type="paragraph" w:customStyle="1" w:styleId="font5">
    <w:name w:val="font5"/>
    <w:basedOn w:val="Normal"/>
    <w:rsid w:val="00B02C11"/>
    <w:pPr>
      <w:spacing w:before="100" w:beforeAutospacing="1" w:after="100" w:afterAutospacing="1" w:line="240" w:lineRule="auto"/>
    </w:pPr>
    <w:rPr>
      <w:rFonts w:eastAsia="Times New Roman" w:cs="Times New Roman"/>
      <w:color w:val="203764"/>
      <w:sz w:val="18"/>
      <w:szCs w:val="18"/>
      <w:lang w:eastAsia="lv-LV"/>
    </w:rPr>
  </w:style>
  <w:style w:type="paragraph" w:customStyle="1" w:styleId="font6">
    <w:name w:val="font6"/>
    <w:basedOn w:val="Normal"/>
    <w:rsid w:val="00B02C11"/>
    <w:pPr>
      <w:spacing w:before="100" w:beforeAutospacing="1" w:after="100" w:afterAutospacing="1" w:line="240" w:lineRule="auto"/>
    </w:pPr>
    <w:rPr>
      <w:rFonts w:eastAsia="Times New Roman" w:cs="Times New Roman"/>
      <w:color w:val="203764"/>
      <w:sz w:val="18"/>
      <w:szCs w:val="18"/>
      <w:lang w:eastAsia="lv-LV"/>
    </w:rPr>
  </w:style>
  <w:style w:type="paragraph" w:customStyle="1" w:styleId="font7">
    <w:name w:val="font7"/>
    <w:basedOn w:val="Normal"/>
    <w:rsid w:val="00B02C11"/>
    <w:pPr>
      <w:spacing w:before="100" w:beforeAutospacing="1" w:after="100" w:afterAutospacing="1" w:line="240" w:lineRule="auto"/>
    </w:pPr>
    <w:rPr>
      <w:rFonts w:ascii="Calibri" w:eastAsia="Times New Roman" w:hAnsi="Calibri" w:cs="Calibri"/>
      <w:color w:val="203764"/>
      <w:sz w:val="18"/>
      <w:szCs w:val="18"/>
      <w:lang w:eastAsia="lv-LV"/>
    </w:rPr>
  </w:style>
  <w:style w:type="paragraph" w:customStyle="1" w:styleId="xl128">
    <w:name w:val="xl128"/>
    <w:basedOn w:val="Normal"/>
    <w:rsid w:val="00B02C11"/>
    <w:pPr>
      <w:spacing w:before="100" w:beforeAutospacing="1" w:after="100" w:afterAutospacing="1" w:line="240" w:lineRule="auto"/>
    </w:pPr>
    <w:rPr>
      <w:rFonts w:eastAsia="Times New Roman" w:cs="Times New Roman"/>
      <w:color w:val="203764"/>
      <w:sz w:val="18"/>
      <w:szCs w:val="18"/>
      <w:lang w:eastAsia="lv-LV"/>
    </w:rPr>
  </w:style>
  <w:style w:type="paragraph" w:customStyle="1" w:styleId="xl129">
    <w:name w:val="xl129"/>
    <w:basedOn w:val="Normal"/>
    <w:rsid w:val="00B02C11"/>
    <w:pPr>
      <w:spacing w:before="100" w:beforeAutospacing="1" w:after="100" w:afterAutospacing="1" w:line="240" w:lineRule="auto"/>
      <w:jc w:val="both"/>
      <w:textAlignment w:val="top"/>
    </w:pPr>
    <w:rPr>
      <w:rFonts w:eastAsia="Times New Roman" w:cs="Times New Roman"/>
      <w:color w:val="203764"/>
      <w:sz w:val="18"/>
      <w:szCs w:val="18"/>
      <w:lang w:eastAsia="lv-LV"/>
    </w:rPr>
  </w:style>
  <w:style w:type="paragraph" w:customStyle="1" w:styleId="xl130">
    <w:name w:val="xl130"/>
    <w:basedOn w:val="Normal"/>
    <w:rsid w:val="00B02C1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1">
    <w:name w:val="xl131"/>
    <w:basedOn w:val="Normal"/>
    <w:rsid w:val="00B02C11"/>
    <w:pP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2">
    <w:name w:val="xl132"/>
    <w:basedOn w:val="Normal"/>
    <w:rsid w:val="00B02C11"/>
    <w:pPr>
      <w:pBdr>
        <w:left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3">
    <w:name w:val="xl133"/>
    <w:basedOn w:val="Normal"/>
    <w:rsid w:val="00B02C11"/>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4">
    <w:name w:val="xl134"/>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5">
    <w:name w:val="xl135"/>
    <w:basedOn w:val="Normal"/>
    <w:rsid w:val="00B02C11"/>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36">
    <w:name w:val="xl136"/>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color w:val="203764"/>
      <w:sz w:val="18"/>
      <w:szCs w:val="18"/>
      <w:lang w:eastAsia="lv-LV"/>
    </w:rPr>
  </w:style>
  <w:style w:type="paragraph" w:customStyle="1" w:styleId="xl137">
    <w:name w:val="xl137"/>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38">
    <w:name w:val="xl138"/>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39">
    <w:name w:val="xl139"/>
    <w:basedOn w:val="Normal"/>
    <w:rsid w:val="00B02C11"/>
    <w:pPr>
      <w:spacing w:before="100" w:beforeAutospacing="1" w:after="100" w:afterAutospacing="1" w:line="240" w:lineRule="auto"/>
    </w:pPr>
    <w:rPr>
      <w:rFonts w:eastAsia="Times New Roman" w:cs="Times New Roman"/>
      <w:b/>
      <w:bCs/>
      <w:color w:val="203764"/>
      <w:sz w:val="18"/>
      <w:szCs w:val="18"/>
      <w:lang w:eastAsia="lv-LV"/>
    </w:rPr>
  </w:style>
  <w:style w:type="paragraph" w:customStyle="1" w:styleId="xl140">
    <w:name w:val="xl140"/>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b/>
      <w:bCs/>
      <w:color w:val="203764"/>
      <w:sz w:val="18"/>
      <w:szCs w:val="18"/>
      <w:lang w:eastAsia="lv-LV"/>
    </w:rPr>
  </w:style>
  <w:style w:type="paragraph" w:customStyle="1" w:styleId="xl141">
    <w:name w:val="xl141"/>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42">
    <w:name w:val="xl142"/>
    <w:basedOn w:val="Normal"/>
    <w:rsid w:val="00B02C11"/>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cs="Times New Roman"/>
      <w:b/>
      <w:bCs/>
      <w:color w:val="203764"/>
      <w:sz w:val="18"/>
      <w:szCs w:val="18"/>
      <w:lang w:eastAsia="lv-LV"/>
    </w:rPr>
  </w:style>
  <w:style w:type="paragraph" w:customStyle="1" w:styleId="xl143">
    <w:name w:val="xl143"/>
    <w:basedOn w:val="Normal"/>
    <w:rsid w:val="00B02C11"/>
    <w:pPr>
      <w:spacing w:before="100" w:beforeAutospacing="1" w:after="100" w:afterAutospacing="1" w:line="240" w:lineRule="auto"/>
      <w:jc w:val="both"/>
      <w:textAlignment w:val="top"/>
    </w:pPr>
    <w:rPr>
      <w:rFonts w:eastAsia="Times New Roman" w:cs="Times New Roman"/>
      <w:b/>
      <w:bCs/>
      <w:color w:val="203764"/>
      <w:sz w:val="18"/>
      <w:szCs w:val="18"/>
      <w:lang w:eastAsia="lv-LV"/>
    </w:rPr>
  </w:style>
  <w:style w:type="paragraph" w:customStyle="1" w:styleId="xl144">
    <w:name w:val="xl144"/>
    <w:basedOn w:val="Normal"/>
    <w:rsid w:val="00B02C11"/>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45">
    <w:name w:val="xl145"/>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46">
    <w:name w:val="xl146"/>
    <w:basedOn w:val="Normal"/>
    <w:rsid w:val="00B02C11"/>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47">
    <w:name w:val="xl147"/>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48">
    <w:name w:val="xl148"/>
    <w:basedOn w:val="Normal"/>
    <w:rsid w:val="00B02C11"/>
    <w:pPr>
      <w:pBdr>
        <w:top w:val="single" w:sz="4" w:space="0" w:color="000000"/>
        <w:left w:val="single" w:sz="4" w:space="11" w:color="000000"/>
        <w:bottom w:val="single" w:sz="4" w:space="0" w:color="000000"/>
      </w:pBd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49">
    <w:name w:val="xl149"/>
    <w:basedOn w:val="Normal"/>
    <w:rsid w:val="00B02C11"/>
    <w:pPr>
      <w:pBdr>
        <w:top w:val="single" w:sz="4" w:space="0" w:color="000000"/>
        <w:left w:val="single" w:sz="4" w:space="11" w:color="000000"/>
        <w:bottom w:val="single" w:sz="4" w:space="0" w:color="auto"/>
      </w:pBd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50">
    <w:name w:val="xl150"/>
    <w:basedOn w:val="Normal"/>
    <w:rsid w:val="00B02C11"/>
    <w:pP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51">
    <w:name w:val="xl151"/>
    <w:basedOn w:val="Normal"/>
    <w:rsid w:val="00B02C11"/>
    <w:pP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52">
    <w:name w:val="xl152"/>
    <w:basedOn w:val="Normal"/>
    <w:rsid w:val="00B02C11"/>
    <w:pPr>
      <w:spacing w:before="100" w:beforeAutospacing="1" w:after="100" w:afterAutospacing="1" w:line="240" w:lineRule="auto"/>
      <w:textAlignment w:val="center"/>
    </w:pPr>
    <w:rPr>
      <w:rFonts w:eastAsia="Times New Roman" w:cs="Times New Roman"/>
      <w:color w:val="203764"/>
      <w:sz w:val="18"/>
      <w:szCs w:val="18"/>
      <w:lang w:eastAsia="lv-LV"/>
    </w:rPr>
  </w:style>
  <w:style w:type="paragraph" w:customStyle="1" w:styleId="xl153">
    <w:name w:val="xl153"/>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54">
    <w:name w:val="xl154"/>
    <w:basedOn w:val="Normal"/>
    <w:rsid w:val="00B02C11"/>
    <w:pPr>
      <w:pBdr>
        <w:top w:val="single" w:sz="4" w:space="0" w:color="000000"/>
        <w:left w:val="single" w:sz="4" w:space="0" w:color="000000"/>
      </w:pBdr>
      <w:spacing w:before="100" w:beforeAutospacing="1" w:after="100" w:afterAutospacing="1" w:line="240" w:lineRule="auto"/>
      <w:jc w:val="center"/>
      <w:textAlignment w:val="center"/>
    </w:pPr>
    <w:rPr>
      <w:rFonts w:eastAsia="Times New Roman" w:cs="Times New Roman"/>
      <w:b/>
      <w:bCs/>
      <w:color w:val="203764"/>
      <w:sz w:val="18"/>
      <w:szCs w:val="18"/>
      <w:lang w:eastAsia="lv-LV"/>
    </w:rPr>
  </w:style>
  <w:style w:type="paragraph" w:customStyle="1" w:styleId="xl155">
    <w:name w:val="xl155"/>
    <w:basedOn w:val="Normal"/>
    <w:rsid w:val="00B02C11"/>
    <w:pPr>
      <w:pBdr>
        <w:left w:val="single" w:sz="4" w:space="0" w:color="000000"/>
        <w:bottom w:val="single" w:sz="4" w:space="0" w:color="000000"/>
      </w:pBdr>
      <w:spacing w:before="100" w:beforeAutospacing="1" w:after="100" w:afterAutospacing="1" w:line="240" w:lineRule="auto"/>
      <w:jc w:val="center"/>
      <w:textAlignment w:val="center"/>
    </w:pPr>
    <w:rPr>
      <w:rFonts w:eastAsia="Times New Roman" w:cs="Times New Roman"/>
      <w:b/>
      <w:bCs/>
      <w:color w:val="203764"/>
      <w:sz w:val="18"/>
      <w:szCs w:val="18"/>
      <w:lang w:eastAsia="lv-LV"/>
    </w:rPr>
  </w:style>
  <w:style w:type="paragraph" w:customStyle="1" w:styleId="xl156">
    <w:name w:val="xl156"/>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57">
    <w:name w:val="xl157"/>
    <w:basedOn w:val="Normal"/>
    <w:rsid w:val="00B02C11"/>
    <w:pPr>
      <w:pBdr>
        <w:left w:val="single" w:sz="4" w:space="0" w:color="000000"/>
        <w:bottom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58">
    <w:name w:val="xl158"/>
    <w:basedOn w:val="Normal"/>
    <w:rsid w:val="00B02C11"/>
    <w:pPr>
      <w:pBdr>
        <w:top w:val="single" w:sz="4" w:space="0" w:color="000000"/>
        <w:left w:val="single" w:sz="4" w:space="23" w:color="000000"/>
        <w:bottom w:val="single" w:sz="4" w:space="0" w:color="000000"/>
      </w:pBdr>
      <w:spacing w:before="100" w:beforeAutospacing="1" w:after="100" w:afterAutospacing="1" w:line="240" w:lineRule="auto"/>
      <w:ind w:firstLineChars="200" w:firstLine="200"/>
      <w:textAlignment w:val="center"/>
    </w:pPr>
    <w:rPr>
      <w:rFonts w:eastAsia="Times New Roman" w:cs="Times New Roman"/>
      <w:color w:val="203764"/>
      <w:sz w:val="18"/>
      <w:szCs w:val="18"/>
      <w:lang w:eastAsia="lv-LV"/>
    </w:rPr>
  </w:style>
  <w:style w:type="paragraph" w:customStyle="1" w:styleId="xl159">
    <w:name w:val="xl159"/>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60">
    <w:name w:val="xl160"/>
    <w:basedOn w:val="Normal"/>
    <w:rsid w:val="00B02C11"/>
    <w:pPr>
      <w:pBdr>
        <w:top w:val="single" w:sz="4" w:space="0" w:color="000000"/>
        <w:left w:val="single" w:sz="4" w:space="0" w:color="000000"/>
        <w:bottom w:val="single" w:sz="4" w:space="0" w:color="auto"/>
      </w:pBdr>
      <w:spacing w:before="100" w:beforeAutospacing="1" w:after="100" w:afterAutospacing="1" w:line="240" w:lineRule="auto"/>
      <w:jc w:val="both"/>
      <w:textAlignment w:val="center"/>
    </w:pPr>
    <w:rPr>
      <w:rFonts w:eastAsia="Times New Roman" w:cs="Times New Roman"/>
      <w:b/>
      <w:bCs/>
      <w:color w:val="203764"/>
      <w:sz w:val="18"/>
      <w:szCs w:val="18"/>
      <w:lang w:eastAsia="lv-LV"/>
    </w:rPr>
  </w:style>
  <w:style w:type="paragraph" w:customStyle="1" w:styleId="xl161">
    <w:name w:val="xl161"/>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62">
    <w:name w:val="xl162"/>
    <w:basedOn w:val="Normal"/>
    <w:rsid w:val="00B02C11"/>
    <w:pPr>
      <w:pBdr>
        <w:top w:val="single" w:sz="4" w:space="0" w:color="000000"/>
        <w:lef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63">
    <w:name w:val="xl163"/>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jc w:val="both"/>
      <w:textAlignment w:val="center"/>
    </w:pPr>
    <w:rPr>
      <w:rFonts w:eastAsia="Times New Roman" w:cs="Times New Roman"/>
      <w:b/>
      <w:bCs/>
      <w:color w:val="203764"/>
      <w:sz w:val="18"/>
      <w:szCs w:val="18"/>
      <w:lang w:eastAsia="lv-LV"/>
    </w:rPr>
  </w:style>
  <w:style w:type="paragraph" w:customStyle="1" w:styleId="xl164">
    <w:name w:val="xl164"/>
    <w:basedOn w:val="Normal"/>
    <w:rsid w:val="00B02C11"/>
    <w:pPr>
      <w:pBdr>
        <w:top w:val="single" w:sz="4" w:space="0" w:color="000000"/>
        <w:left w:val="single" w:sz="4" w:space="11" w:color="000000"/>
      </w:pBd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65">
    <w:name w:val="xl165"/>
    <w:basedOn w:val="Normal"/>
    <w:rsid w:val="00B02C11"/>
    <w:pPr>
      <w:pBdr>
        <w:top w:val="single" w:sz="4" w:space="0" w:color="000000"/>
        <w:left w:val="single" w:sz="4" w:space="11" w:color="000000"/>
        <w:bottom w:val="single" w:sz="4" w:space="0" w:color="000000"/>
      </w:pBd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66">
    <w:name w:val="xl166"/>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203764"/>
      <w:sz w:val="18"/>
      <w:szCs w:val="18"/>
      <w:lang w:eastAsia="lv-LV"/>
    </w:rPr>
  </w:style>
  <w:style w:type="paragraph" w:customStyle="1" w:styleId="xl167">
    <w:name w:val="xl167"/>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color w:val="203764"/>
      <w:sz w:val="18"/>
      <w:szCs w:val="18"/>
      <w:lang w:eastAsia="lv-LV"/>
    </w:rPr>
  </w:style>
  <w:style w:type="paragraph" w:customStyle="1" w:styleId="xl168">
    <w:name w:val="xl168"/>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69">
    <w:name w:val="xl169"/>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70">
    <w:name w:val="xl170"/>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71">
    <w:name w:val="xl171"/>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i/>
      <w:iCs/>
      <w:color w:val="203764"/>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3143">
      <w:bodyDiv w:val="1"/>
      <w:marLeft w:val="0"/>
      <w:marRight w:val="0"/>
      <w:marTop w:val="0"/>
      <w:marBottom w:val="0"/>
      <w:divBdr>
        <w:top w:val="none" w:sz="0" w:space="0" w:color="auto"/>
        <w:left w:val="none" w:sz="0" w:space="0" w:color="auto"/>
        <w:bottom w:val="none" w:sz="0" w:space="0" w:color="auto"/>
        <w:right w:val="none" w:sz="0" w:space="0" w:color="auto"/>
      </w:divBdr>
    </w:div>
    <w:div w:id="8725621">
      <w:bodyDiv w:val="1"/>
      <w:marLeft w:val="0"/>
      <w:marRight w:val="0"/>
      <w:marTop w:val="0"/>
      <w:marBottom w:val="0"/>
      <w:divBdr>
        <w:top w:val="none" w:sz="0" w:space="0" w:color="auto"/>
        <w:left w:val="none" w:sz="0" w:space="0" w:color="auto"/>
        <w:bottom w:val="none" w:sz="0" w:space="0" w:color="auto"/>
        <w:right w:val="none" w:sz="0" w:space="0" w:color="auto"/>
      </w:divBdr>
    </w:div>
    <w:div w:id="8799550">
      <w:bodyDiv w:val="1"/>
      <w:marLeft w:val="0"/>
      <w:marRight w:val="0"/>
      <w:marTop w:val="0"/>
      <w:marBottom w:val="0"/>
      <w:divBdr>
        <w:top w:val="none" w:sz="0" w:space="0" w:color="auto"/>
        <w:left w:val="none" w:sz="0" w:space="0" w:color="auto"/>
        <w:bottom w:val="none" w:sz="0" w:space="0" w:color="auto"/>
        <w:right w:val="none" w:sz="0" w:space="0" w:color="auto"/>
      </w:divBdr>
    </w:div>
    <w:div w:id="9069035">
      <w:bodyDiv w:val="1"/>
      <w:marLeft w:val="0"/>
      <w:marRight w:val="0"/>
      <w:marTop w:val="0"/>
      <w:marBottom w:val="0"/>
      <w:divBdr>
        <w:top w:val="none" w:sz="0" w:space="0" w:color="auto"/>
        <w:left w:val="none" w:sz="0" w:space="0" w:color="auto"/>
        <w:bottom w:val="none" w:sz="0" w:space="0" w:color="auto"/>
        <w:right w:val="none" w:sz="0" w:space="0" w:color="auto"/>
      </w:divBdr>
    </w:div>
    <w:div w:id="10686358">
      <w:bodyDiv w:val="1"/>
      <w:marLeft w:val="0"/>
      <w:marRight w:val="0"/>
      <w:marTop w:val="0"/>
      <w:marBottom w:val="0"/>
      <w:divBdr>
        <w:top w:val="none" w:sz="0" w:space="0" w:color="auto"/>
        <w:left w:val="none" w:sz="0" w:space="0" w:color="auto"/>
        <w:bottom w:val="none" w:sz="0" w:space="0" w:color="auto"/>
        <w:right w:val="none" w:sz="0" w:space="0" w:color="auto"/>
      </w:divBdr>
    </w:div>
    <w:div w:id="13725477">
      <w:bodyDiv w:val="1"/>
      <w:marLeft w:val="0"/>
      <w:marRight w:val="0"/>
      <w:marTop w:val="0"/>
      <w:marBottom w:val="0"/>
      <w:divBdr>
        <w:top w:val="none" w:sz="0" w:space="0" w:color="auto"/>
        <w:left w:val="none" w:sz="0" w:space="0" w:color="auto"/>
        <w:bottom w:val="none" w:sz="0" w:space="0" w:color="auto"/>
        <w:right w:val="none" w:sz="0" w:space="0" w:color="auto"/>
      </w:divBdr>
    </w:div>
    <w:div w:id="17005750">
      <w:bodyDiv w:val="1"/>
      <w:marLeft w:val="0"/>
      <w:marRight w:val="0"/>
      <w:marTop w:val="0"/>
      <w:marBottom w:val="0"/>
      <w:divBdr>
        <w:top w:val="none" w:sz="0" w:space="0" w:color="auto"/>
        <w:left w:val="none" w:sz="0" w:space="0" w:color="auto"/>
        <w:bottom w:val="none" w:sz="0" w:space="0" w:color="auto"/>
        <w:right w:val="none" w:sz="0" w:space="0" w:color="auto"/>
      </w:divBdr>
    </w:div>
    <w:div w:id="17974056">
      <w:bodyDiv w:val="1"/>
      <w:marLeft w:val="0"/>
      <w:marRight w:val="0"/>
      <w:marTop w:val="0"/>
      <w:marBottom w:val="0"/>
      <w:divBdr>
        <w:top w:val="none" w:sz="0" w:space="0" w:color="auto"/>
        <w:left w:val="none" w:sz="0" w:space="0" w:color="auto"/>
        <w:bottom w:val="none" w:sz="0" w:space="0" w:color="auto"/>
        <w:right w:val="none" w:sz="0" w:space="0" w:color="auto"/>
      </w:divBdr>
    </w:div>
    <w:div w:id="27341617">
      <w:bodyDiv w:val="1"/>
      <w:marLeft w:val="0"/>
      <w:marRight w:val="0"/>
      <w:marTop w:val="0"/>
      <w:marBottom w:val="0"/>
      <w:divBdr>
        <w:top w:val="none" w:sz="0" w:space="0" w:color="auto"/>
        <w:left w:val="none" w:sz="0" w:space="0" w:color="auto"/>
        <w:bottom w:val="none" w:sz="0" w:space="0" w:color="auto"/>
        <w:right w:val="none" w:sz="0" w:space="0" w:color="auto"/>
      </w:divBdr>
    </w:div>
    <w:div w:id="30038219">
      <w:bodyDiv w:val="1"/>
      <w:marLeft w:val="0"/>
      <w:marRight w:val="0"/>
      <w:marTop w:val="0"/>
      <w:marBottom w:val="0"/>
      <w:divBdr>
        <w:top w:val="none" w:sz="0" w:space="0" w:color="auto"/>
        <w:left w:val="none" w:sz="0" w:space="0" w:color="auto"/>
        <w:bottom w:val="none" w:sz="0" w:space="0" w:color="auto"/>
        <w:right w:val="none" w:sz="0" w:space="0" w:color="auto"/>
      </w:divBdr>
    </w:div>
    <w:div w:id="30737107">
      <w:bodyDiv w:val="1"/>
      <w:marLeft w:val="0"/>
      <w:marRight w:val="0"/>
      <w:marTop w:val="0"/>
      <w:marBottom w:val="0"/>
      <w:divBdr>
        <w:top w:val="none" w:sz="0" w:space="0" w:color="auto"/>
        <w:left w:val="none" w:sz="0" w:space="0" w:color="auto"/>
        <w:bottom w:val="none" w:sz="0" w:space="0" w:color="auto"/>
        <w:right w:val="none" w:sz="0" w:space="0" w:color="auto"/>
      </w:divBdr>
    </w:div>
    <w:div w:id="32004053">
      <w:bodyDiv w:val="1"/>
      <w:marLeft w:val="0"/>
      <w:marRight w:val="0"/>
      <w:marTop w:val="0"/>
      <w:marBottom w:val="0"/>
      <w:divBdr>
        <w:top w:val="none" w:sz="0" w:space="0" w:color="auto"/>
        <w:left w:val="none" w:sz="0" w:space="0" w:color="auto"/>
        <w:bottom w:val="none" w:sz="0" w:space="0" w:color="auto"/>
        <w:right w:val="none" w:sz="0" w:space="0" w:color="auto"/>
      </w:divBdr>
    </w:div>
    <w:div w:id="34696778">
      <w:bodyDiv w:val="1"/>
      <w:marLeft w:val="0"/>
      <w:marRight w:val="0"/>
      <w:marTop w:val="0"/>
      <w:marBottom w:val="0"/>
      <w:divBdr>
        <w:top w:val="none" w:sz="0" w:space="0" w:color="auto"/>
        <w:left w:val="none" w:sz="0" w:space="0" w:color="auto"/>
        <w:bottom w:val="none" w:sz="0" w:space="0" w:color="auto"/>
        <w:right w:val="none" w:sz="0" w:space="0" w:color="auto"/>
      </w:divBdr>
    </w:div>
    <w:div w:id="35277919">
      <w:bodyDiv w:val="1"/>
      <w:marLeft w:val="0"/>
      <w:marRight w:val="0"/>
      <w:marTop w:val="0"/>
      <w:marBottom w:val="0"/>
      <w:divBdr>
        <w:top w:val="none" w:sz="0" w:space="0" w:color="auto"/>
        <w:left w:val="none" w:sz="0" w:space="0" w:color="auto"/>
        <w:bottom w:val="none" w:sz="0" w:space="0" w:color="auto"/>
        <w:right w:val="none" w:sz="0" w:space="0" w:color="auto"/>
      </w:divBdr>
    </w:div>
    <w:div w:id="35398195">
      <w:bodyDiv w:val="1"/>
      <w:marLeft w:val="0"/>
      <w:marRight w:val="0"/>
      <w:marTop w:val="0"/>
      <w:marBottom w:val="0"/>
      <w:divBdr>
        <w:top w:val="none" w:sz="0" w:space="0" w:color="auto"/>
        <w:left w:val="none" w:sz="0" w:space="0" w:color="auto"/>
        <w:bottom w:val="none" w:sz="0" w:space="0" w:color="auto"/>
        <w:right w:val="none" w:sz="0" w:space="0" w:color="auto"/>
      </w:divBdr>
    </w:div>
    <w:div w:id="38627610">
      <w:bodyDiv w:val="1"/>
      <w:marLeft w:val="0"/>
      <w:marRight w:val="0"/>
      <w:marTop w:val="0"/>
      <w:marBottom w:val="0"/>
      <w:divBdr>
        <w:top w:val="none" w:sz="0" w:space="0" w:color="auto"/>
        <w:left w:val="none" w:sz="0" w:space="0" w:color="auto"/>
        <w:bottom w:val="none" w:sz="0" w:space="0" w:color="auto"/>
        <w:right w:val="none" w:sz="0" w:space="0" w:color="auto"/>
      </w:divBdr>
    </w:div>
    <w:div w:id="43529850">
      <w:bodyDiv w:val="1"/>
      <w:marLeft w:val="0"/>
      <w:marRight w:val="0"/>
      <w:marTop w:val="0"/>
      <w:marBottom w:val="0"/>
      <w:divBdr>
        <w:top w:val="none" w:sz="0" w:space="0" w:color="auto"/>
        <w:left w:val="none" w:sz="0" w:space="0" w:color="auto"/>
        <w:bottom w:val="none" w:sz="0" w:space="0" w:color="auto"/>
        <w:right w:val="none" w:sz="0" w:space="0" w:color="auto"/>
      </w:divBdr>
    </w:div>
    <w:div w:id="59445851">
      <w:bodyDiv w:val="1"/>
      <w:marLeft w:val="0"/>
      <w:marRight w:val="0"/>
      <w:marTop w:val="0"/>
      <w:marBottom w:val="0"/>
      <w:divBdr>
        <w:top w:val="none" w:sz="0" w:space="0" w:color="auto"/>
        <w:left w:val="none" w:sz="0" w:space="0" w:color="auto"/>
        <w:bottom w:val="none" w:sz="0" w:space="0" w:color="auto"/>
        <w:right w:val="none" w:sz="0" w:space="0" w:color="auto"/>
      </w:divBdr>
    </w:div>
    <w:div w:id="60372223">
      <w:bodyDiv w:val="1"/>
      <w:marLeft w:val="0"/>
      <w:marRight w:val="0"/>
      <w:marTop w:val="0"/>
      <w:marBottom w:val="0"/>
      <w:divBdr>
        <w:top w:val="none" w:sz="0" w:space="0" w:color="auto"/>
        <w:left w:val="none" w:sz="0" w:space="0" w:color="auto"/>
        <w:bottom w:val="none" w:sz="0" w:space="0" w:color="auto"/>
        <w:right w:val="none" w:sz="0" w:space="0" w:color="auto"/>
      </w:divBdr>
    </w:div>
    <w:div w:id="74669320">
      <w:bodyDiv w:val="1"/>
      <w:marLeft w:val="0"/>
      <w:marRight w:val="0"/>
      <w:marTop w:val="0"/>
      <w:marBottom w:val="0"/>
      <w:divBdr>
        <w:top w:val="none" w:sz="0" w:space="0" w:color="auto"/>
        <w:left w:val="none" w:sz="0" w:space="0" w:color="auto"/>
        <w:bottom w:val="none" w:sz="0" w:space="0" w:color="auto"/>
        <w:right w:val="none" w:sz="0" w:space="0" w:color="auto"/>
      </w:divBdr>
    </w:div>
    <w:div w:id="79958264">
      <w:bodyDiv w:val="1"/>
      <w:marLeft w:val="0"/>
      <w:marRight w:val="0"/>
      <w:marTop w:val="0"/>
      <w:marBottom w:val="0"/>
      <w:divBdr>
        <w:top w:val="none" w:sz="0" w:space="0" w:color="auto"/>
        <w:left w:val="none" w:sz="0" w:space="0" w:color="auto"/>
        <w:bottom w:val="none" w:sz="0" w:space="0" w:color="auto"/>
        <w:right w:val="none" w:sz="0" w:space="0" w:color="auto"/>
      </w:divBdr>
    </w:div>
    <w:div w:id="81685250">
      <w:bodyDiv w:val="1"/>
      <w:marLeft w:val="0"/>
      <w:marRight w:val="0"/>
      <w:marTop w:val="0"/>
      <w:marBottom w:val="0"/>
      <w:divBdr>
        <w:top w:val="none" w:sz="0" w:space="0" w:color="auto"/>
        <w:left w:val="none" w:sz="0" w:space="0" w:color="auto"/>
        <w:bottom w:val="none" w:sz="0" w:space="0" w:color="auto"/>
        <w:right w:val="none" w:sz="0" w:space="0" w:color="auto"/>
      </w:divBdr>
    </w:div>
    <w:div w:id="86662650">
      <w:bodyDiv w:val="1"/>
      <w:marLeft w:val="0"/>
      <w:marRight w:val="0"/>
      <w:marTop w:val="0"/>
      <w:marBottom w:val="0"/>
      <w:divBdr>
        <w:top w:val="none" w:sz="0" w:space="0" w:color="auto"/>
        <w:left w:val="none" w:sz="0" w:space="0" w:color="auto"/>
        <w:bottom w:val="none" w:sz="0" w:space="0" w:color="auto"/>
        <w:right w:val="none" w:sz="0" w:space="0" w:color="auto"/>
      </w:divBdr>
    </w:div>
    <w:div w:id="87507186">
      <w:bodyDiv w:val="1"/>
      <w:marLeft w:val="0"/>
      <w:marRight w:val="0"/>
      <w:marTop w:val="0"/>
      <w:marBottom w:val="0"/>
      <w:divBdr>
        <w:top w:val="none" w:sz="0" w:space="0" w:color="auto"/>
        <w:left w:val="none" w:sz="0" w:space="0" w:color="auto"/>
        <w:bottom w:val="none" w:sz="0" w:space="0" w:color="auto"/>
        <w:right w:val="none" w:sz="0" w:space="0" w:color="auto"/>
      </w:divBdr>
    </w:div>
    <w:div w:id="88619850">
      <w:bodyDiv w:val="1"/>
      <w:marLeft w:val="0"/>
      <w:marRight w:val="0"/>
      <w:marTop w:val="0"/>
      <w:marBottom w:val="0"/>
      <w:divBdr>
        <w:top w:val="none" w:sz="0" w:space="0" w:color="auto"/>
        <w:left w:val="none" w:sz="0" w:space="0" w:color="auto"/>
        <w:bottom w:val="none" w:sz="0" w:space="0" w:color="auto"/>
        <w:right w:val="none" w:sz="0" w:space="0" w:color="auto"/>
      </w:divBdr>
    </w:div>
    <w:div w:id="98137826">
      <w:bodyDiv w:val="1"/>
      <w:marLeft w:val="0"/>
      <w:marRight w:val="0"/>
      <w:marTop w:val="0"/>
      <w:marBottom w:val="0"/>
      <w:divBdr>
        <w:top w:val="none" w:sz="0" w:space="0" w:color="auto"/>
        <w:left w:val="none" w:sz="0" w:space="0" w:color="auto"/>
        <w:bottom w:val="none" w:sz="0" w:space="0" w:color="auto"/>
        <w:right w:val="none" w:sz="0" w:space="0" w:color="auto"/>
      </w:divBdr>
    </w:div>
    <w:div w:id="105125448">
      <w:bodyDiv w:val="1"/>
      <w:marLeft w:val="0"/>
      <w:marRight w:val="0"/>
      <w:marTop w:val="0"/>
      <w:marBottom w:val="0"/>
      <w:divBdr>
        <w:top w:val="none" w:sz="0" w:space="0" w:color="auto"/>
        <w:left w:val="none" w:sz="0" w:space="0" w:color="auto"/>
        <w:bottom w:val="none" w:sz="0" w:space="0" w:color="auto"/>
        <w:right w:val="none" w:sz="0" w:space="0" w:color="auto"/>
      </w:divBdr>
    </w:div>
    <w:div w:id="109665567">
      <w:bodyDiv w:val="1"/>
      <w:marLeft w:val="0"/>
      <w:marRight w:val="0"/>
      <w:marTop w:val="0"/>
      <w:marBottom w:val="0"/>
      <w:divBdr>
        <w:top w:val="none" w:sz="0" w:space="0" w:color="auto"/>
        <w:left w:val="none" w:sz="0" w:space="0" w:color="auto"/>
        <w:bottom w:val="none" w:sz="0" w:space="0" w:color="auto"/>
        <w:right w:val="none" w:sz="0" w:space="0" w:color="auto"/>
      </w:divBdr>
    </w:div>
    <w:div w:id="110561627">
      <w:bodyDiv w:val="1"/>
      <w:marLeft w:val="0"/>
      <w:marRight w:val="0"/>
      <w:marTop w:val="0"/>
      <w:marBottom w:val="0"/>
      <w:divBdr>
        <w:top w:val="none" w:sz="0" w:space="0" w:color="auto"/>
        <w:left w:val="none" w:sz="0" w:space="0" w:color="auto"/>
        <w:bottom w:val="none" w:sz="0" w:space="0" w:color="auto"/>
        <w:right w:val="none" w:sz="0" w:space="0" w:color="auto"/>
      </w:divBdr>
    </w:div>
    <w:div w:id="114757590">
      <w:bodyDiv w:val="1"/>
      <w:marLeft w:val="0"/>
      <w:marRight w:val="0"/>
      <w:marTop w:val="0"/>
      <w:marBottom w:val="0"/>
      <w:divBdr>
        <w:top w:val="none" w:sz="0" w:space="0" w:color="auto"/>
        <w:left w:val="none" w:sz="0" w:space="0" w:color="auto"/>
        <w:bottom w:val="none" w:sz="0" w:space="0" w:color="auto"/>
        <w:right w:val="none" w:sz="0" w:space="0" w:color="auto"/>
      </w:divBdr>
    </w:div>
    <w:div w:id="115802872">
      <w:bodyDiv w:val="1"/>
      <w:marLeft w:val="0"/>
      <w:marRight w:val="0"/>
      <w:marTop w:val="0"/>
      <w:marBottom w:val="0"/>
      <w:divBdr>
        <w:top w:val="none" w:sz="0" w:space="0" w:color="auto"/>
        <w:left w:val="none" w:sz="0" w:space="0" w:color="auto"/>
        <w:bottom w:val="none" w:sz="0" w:space="0" w:color="auto"/>
        <w:right w:val="none" w:sz="0" w:space="0" w:color="auto"/>
      </w:divBdr>
      <w:divsChild>
        <w:div w:id="633219979">
          <w:marLeft w:val="0"/>
          <w:marRight w:val="0"/>
          <w:marTop w:val="0"/>
          <w:marBottom w:val="0"/>
          <w:divBdr>
            <w:top w:val="none" w:sz="0" w:space="0" w:color="auto"/>
            <w:left w:val="none" w:sz="0" w:space="0" w:color="auto"/>
            <w:bottom w:val="none" w:sz="0" w:space="0" w:color="auto"/>
            <w:right w:val="none" w:sz="0" w:space="0" w:color="auto"/>
          </w:divBdr>
          <w:divsChild>
            <w:div w:id="1411344779">
              <w:marLeft w:val="0"/>
              <w:marRight w:val="0"/>
              <w:marTop w:val="0"/>
              <w:marBottom w:val="0"/>
              <w:divBdr>
                <w:top w:val="none" w:sz="0" w:space="0" w:color="auto"/>
                <w:left w:val="none" w:sz="0" w:space="0" w:color="auto"/>
                <w:bottom w:val="none" w:sz="0" w:space="0" w:color="auto"/>
                <w:right w:val="none" w:sz="0" w:space="0" w:color="auto"/>
              </w:divBdr>
              <w:divsChild>
                <w:div w:id="2060082408">
                  <w:marLeft w:val="0"/>
                  <w:marRight w:val="0"/>
                  <w:marTop w:val="0"/>
                  <w:marBottom w:val="0"/>
                  <w:divBdr>
                    <w:top w:val="none" w:sz="0" w:space="0" w:color="auto"/>
                    <w:left w:val="none" w:sz="0" w:space="0" w:color="auto"/>
                    <w:bottom w:val="none" w:sz="0" w:space="0" w:color="auto"/>
                    <w:right w:val="none" w:sz="0" w:space="0" w:color="auto"/>
                  </w:divBdr>
                  <w:divsChild>
                    <w:div w:id="909315870">
                      <w:marLeft w:val="0"/>
                      <w:marRight w:val="0"/>
                      <w:marTop w:val="0"/>
                      <w:marBottom w:val="0"/>
                      <w:divBdr>
                        <w:top w:val="none" w:sz="0" w:space="0" w:color="auto"/>
                        <w:left w:val="none" w:sz="0" w:space="0" w:color="auto"/>
                        <w:bottom w:val="none" w:sz="0" w:space="0" w:color="auto"/>
                        <w:right w:val="none" w:sz="0" w:space="0" w:color="auto"/>
                      </w:divBdr>
                      <w:divsChild>
                        <w:div w:id="1917858855">
                          <w:marLeft w:val="0"/>
                          <w:marRight w:val="0"/>
                          <w:marTop w:val="300"/>
                          <w:marBottom w:val="0"/>
                          <w:divBdr>
                            <w:top w:val="none" w:sz="0" w:space="0" w:color="auto"/>
                            <w:left w:val="none" w:sz="0" w:space="0" w:color="auto"/>
                            <w:bottom w:val="none" w:sz="0" w:space="0" w:color="auto"/>
                            <w:right w:val="none" w:sz="0" w:space="0" w:color="auto"/>
                          </w:divBdr>
                          <w:divsChild>
                            <w:div w:id="186112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76980">
      <w:bodyDiv w:val="1"/>
      <w:marLeft w:val="0"/>
      <w:marRight w:val="0"/>
      <w:marTop w:val="0"/>
      <w:marBottom w:val="0"/>
      <w:divBdr>
        <w:top w:val="none" w:sz="0" w:space="0" w:color="auto"/>
        <w:left w:val="none" w:sz="0" w:space="0" w:color="auto"/>
        <w:bottom w:val="none" w:sz="0" w:space="0" w:color="auto"/>
        <w:right w:val="none" w:sz="0" w:space="0" w:color="auto"/>
      </w:divBdr>
    </w:div>
    <w:div w:id="131482052">
      <w:bodyDiv w:val="1"/>
      <w:marLeft w:val="0"/>
      <w:marRight w:val="0"/>
      <w:marTop w:val="0"/>
      <w:marBottom w:val="0"/>
      <w:divBdr>
        <w:top w:val="none" w:sz="0" w:space="0" w:color="auto"/>
        <w:left w:val="none" w:sz="0" w:space="0" w:color="auto"/>
        <w:bottom w:val="none" w:sz="0" w:space="0" w:color="auto"/>
        <w:right w:val="none" w:sz="0" w:space="0" w:color="auto"/>
      </w:divBdr>
    </w:div>
    <w:div w:id="132723401">
      <w:bodyDiv w:val="1"/>
      <w:marLeft w:val="0"/>
      <w:marRight w:val="0"/>
      <w:marTop w:val="0"/>
      <w:marBottom w:val="0"/>
      <w:divBdr>
        <w:top w:val="none" w:sz="0" w:space="0" w:color="auto"/>
        <w:left w:val="none" w:sz="0" w:space="0" w:color="auto"/>
        <w:bottom w:val="none" w:sz="0" w:space="0" w:color="auto"/>
        <w:right w:val="none" w:sz="0" w:space="0" w:color="auto"/>
      </w:divBdr>
    </w:div>
    <w:div w:id="136147104">
      <w:bodyDiv w:val="1"/>
      <w:marLeft w:val="0"/>
      <w:marRight w:val="0"/>
      <w:marTop w:val="0"/>
      <w:marBottom w:val="0"/>
      <w:divBdr>
        <w:top w:val="none" w:sz="0" w:space="0" w:color="auto"/>
        <w:left w:val="none" w:sz="0" w:space="0" w:color="auto"/>
        <w:bottom w:val="none" w:sz="0" w:space="0" w:color="auto"/>
        <w:right w:val="none" w:sz="0" w:space="0" w:color="auto"/>
      </w:divBdr>
    </w:div>
    <w:div w:id="137649026">
      <w:bodyDiv w:val="1"/>
      <w:marLeft w:val="0"/>
      <w:marRight w:val="0"/>
      <w:marTop w:val="0"/>
      <w:marBottom w:val="0"/>
      <w:divBdr>
        <w:top w:val="none" w:sz="0" w:space="0" w:color="auto"/>
        <w:left w:val="none" w:sz="0" w:space="0" w:color="auto"/>
        <w:bottom w:val="none" w:sz="0" w:space="0" w:color="auto"/>
        <w:right w:val="none" w:sz="0" w:space="0" w:color="auto"/>
      </w:divBdr>
      <w:divsChild>
        <w:div w:id="879512374">
          <w:marLeft w:val="0"/>
          <w:marRight w:val="0"/>
          <w:marTop w:val="0"/>
          <w:marBottom w:val="0"/>
          <w:divBdr>
            <w:top w:val="none" w:sz="0" w:space="0" w:color="auto"/>
            <w:left w:val="none" w:sz="0" w:space="0" w:color="auto"/>
            <w:bottom w:val="none" w:sz="0" w:space="0" w:color="auto"/>
            <w:right w:val="none" w:sz="0" w:space="0" w:color="auto"/>
          </w:divBdr>
          <w:divsChild>
            <w:div w:id="1379552473">
              <w:marLeft w:val="0"/>
              <w:marRight w:val="0"/>
              <w:marTop w:val="0"/>
              <w:marBottom w:val="0"/>
              <w:divBdr>
                <w:top w:val="none" w:sz="0" w:space="0" w:color="auto"/>
                <w:left w:val="none" w:sz="0" w:space="0" w:color="auto"/>
                <w:bottom w:val="none" w:sz="0" w:space="0" w:color="auto"/>
                <w:right w:val="none" w:sz="0" w:space="0" w:color="auto"/>
              </w:divBdr>
              <w:divsChild>
                <w:div w:id="966083994">
                  <w:marLeft w:val="0"/>
                  <w:marRight w:val="0"/>
                  <w:marTop w:val="0"/>
                  <w:marBottom w:val="0"/>
                  <w:divBdr>
                    <w:top w:val="none" w:sz="0" w:space="0" w:color="auto"/>
                    <w:left w:val="none" w:sz="0" w:space="0" w:color="auto"/>
                    <w:bottom w:val="none" w:sz="0" w:space="0" w:color="auto"/>
                    <w:right w:val="none" w:sz="0" w:space="0" w:color="auto"/>
                  </w:divBdr>
                  <w:divsChild>
                    <w:div w:id="1213343795">
                      <w:marLeft w:val="0"/>
                      <w:marRight w:val="0"/>
                      <w:marTop w:val="0"/>
                      <w:marBottom w:val="0"/>
                      <w:divBdr>
                        <w:top w:val="none" w:sz="0" w:space="0" w:color="auto"/>
                        <w:left w:val="none" w:sz="0" w:space="0" w:color="auto"/>
                        <w:bottom w:val="none" w:sz="0" w:space="0" w:color="auto"/>
                        <w:right w:val="none" w:sz="0" w:space="0" w:color="auto"/>
                      </w:divBdr>
                      <w:divsChild>
                        <w:div w:id="1217089760">
                          <w:marLeft w:val="0"/>
                          <w:marRight w:val="0"/>
                          <w:marTop w:val="300"/>
                          <w:marBottom w:val="0"/>
                          <w:divBdr>
                            <w:top w:val="none" w:sz="0" w:space="0" w:color="auto"/>
                            <w:left w:val="none" w:sz="0" w:space="0" w:color="auto"/>
                            <w:bottom w:val="none" w:sz="0" w:space="0" w:color="auto"/>
                            <w:right w:val="none" w:sz="0" w:space="0" w:color="auto"/>
                          </w:divBdr>
                          <w:divsChild>
                            <w:div w:id="158356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76389">
      <w:bodyDiv w:val="1"/>
      <w:marLeft w:val="0"/>
      <w:marRight w:val="0"/>
      <w:marTop w:val="0"/>
      <w:marBottom w:val="0"/>
      <w:divBdr>
        <w:top w:val="none" w:sz="0" w:space="0" w:color="auto"/>
        <w:left w:val="none" w:sz="0" w:space="0" w:color="auto"/>
        <w:bottom w:val="none" w:sz="0" w:space="0" w:color="auto"/>
        <w:right w:val="none" w:sz="0" w:space="0" w:color="auto"/>
      </w:divBdr>
    </w:div>
    <w:div w:id="150222858">
      <w:bodyDiv w:val="1"/>
      <w:marLeft w:val="0"/>
      <w:marRight w:val="0"/>
      <w:marTop w:val="0"/>
      <w:marBottom w:val="0"/>
      <w:divBdr>
        <w:top w:val="none" w:sz="0" w:space="0" w:color="auto"/>
        <w:left w:val="none" w:sz="0" w:space="0" w:color="auto"/>
        <w:bottom w:val="none" w:sz="0" w:space="0" w:color="auto"/>
        <w:right w:val="none" w:sz="0" w:space="0" w:color="auto"/>
      </w:divBdr>
    </w:div>
    <w:div w:id="165095162">
      <w:bodyDiv w:val="1"/>
      <w:marLeft w:val="0"/>
      <w:marRight w:val="0"/>
      <w:marTop w:val="0"/>
      <w:marBottom w:val="0"/>
      <w:divBdr>
        <w:top w:val="none" w:sz="0" w:space="0" w:color="auto"/>
        <w:left w:val="none" w:sz="0" w:space="0" w:color="auto"/>
        <w:bottom w:val="none" w:sz="0" w:space="0" w:color="auto"/>
        <w:right w:val="none" w:sz="0" w:space="0" w:color="auto"/>
      </w:divBdr>
    </w:div>
    <w:div w:id="171729950">
      <w:bodyDiv w:val="1"/>
      <w:marLeft w:val="0"/>
      <w:marRight w:val="0"/>
      <w:marTop w:val="0"/>
      <w:marBottom w:val="0"/>
      <w:divBdr>
        <w:top w:val="none" w:sz="0" w:space="0" w:color="auto"/>
        <w:left w:val="none" w:sz="0" w:space="0" w:color="auto"/>
        <w:bottom w:val="none" w:sz="0" w:space="0" w:color="auto"/>
        <w:right w:val="none" w:sz="0" w:space="0" w:color="auto"/>
      </w:divBdr>
      <w:divsChild>
        <w:div w:id="572356376">
          <w:marLeft w:val="0"/>
          <w:marRight w:val="0"/>
          <w:marTop w:val="0"/>
          <w:marBottom w:val="0"/>
          <w:divBdr>
            <w:top w:val="none" w:sz="0" w:space="0" w:color="auto"/>
            <w:left w:val="none" w:sz="0" w:space="0" w:color="auto"/>
            <w:bottom w:val="none" w:sz="0" w:space="0" w:color="auto"/>
            <w:right w:val="none" w:sz="0" w:space="0" w:color="auto"/>
          </w:divBdr>
          <w:divsChild>
            <w:div w:id="1799569323">
              <w:marLeft w:val="0"/>
              <w:marRight w:val="0"/>
              <w:marTop w:val="0"/>
              <w:marBottom w:val="0"/>
              <w:divBdr>
                <w:top w:val="none" w:sz="0" w:space="0" w:color="auto"/>
                <w:left w:val="none" w:sz="0" w:space="0" w:color="auto"/>
                <w:bottom w:val="none" w:sz="0" w:space="0" w:color="auto"/>
                <w:right w:val="none" w:sz="0" w:space="0" w:color="auto"/>
              </w:divBdr>
              <w:divsChild>
                <w:div w:id="2131318009">
                  <w:marLeft w:val="0"/>
                  <w:marRight w:val="0"/>
                  <w:marTop w:val="0"/>
                  <w:marBottom w:val="0"/>
                  <w:divBdr>
                    <w:top w:val="none" w:sz="0" w:space="0" w:color="auto"/>
                    <w:left w:val="none" w:sz="0" w:space="0" w:color="auto"/>
                    <w:bottom w:val="none" w:sz="0" w:space="0" w:color="auto"/>
                    <w:right w:val="none" w:sz="0" w:space="0" w:color="auto"/>
                  </w:divBdr>
                  <w:divsChild>
                    <w:div w:id="1854299226">
                      <w:marLeft w:val="0"/>
                      <w:marRight w:val="0"/>
                      <w:marTop w:val="0"/>
                      <w:marBottom w:val="0"/>
                      <w:divBdr>
                        <w:top w:val="none" w:sz="0" w:space="0" w:color="auto"/>
                        <w:left w:val="none" w:sz="0" w:space="0" w:color="auto"/>
                        <w:bottom w:val="none" w:sz="0" w:space="0" w:color="auto"/>
                        <w:right w:val="none" w:sz="0" w:space="0" w:color="auto"/>
                      </w:divBdr>
                      <w:divsChild>
                        <w:div w:id="1165393015">
                          <w:marLeft w:val="0"/>
                          <w:marRight w:val="0"/>
                          <w:marTop w:val="300"/>
                          <w:marBottom w:val="0"/>
                          <w:divBdr>
                            <w:top w:val="none" w:sz="0" w:space="0" w:color="auto"/>
                            <w:left w:val="none" w:sz="0" w:space="0" w:color="auto"/>
                            <w:bottom w:val="none" w:sz="0" w:space="0" w:color="auto"/>
                            <w:right w:val="none" w:sz="0" w:space="0" w:color="auto"/>
                          </w:divBdr>
                          <w:divsChild>
                            <w:div w:id="186987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398518">
      <w:bodyDiv w:val="1"/>
      <w:marLeft w:val="0"/>
      <w:marRight w:val="0"/>
      <w:marTop w:val="0"/>
      <w:marBottom w:val="0"/>
      <w:divBdr>
        <w:top w:val="none" w:sz="0" w:space="0" w:color="auto"/>
        <w:left w:val="none" w:sz="0" w:space="0" w:color="auto"/>
        <w:bottom w:val="none" w:sz="0" w:space="0" w:color="auto"/>
        <w:right w:val="none" w:sz="0" w:space="0" w:color="auto"/>
      </w:divBdr>
    </w:div>
    <w:div w:id="187068668">
      <w:bodyDiv w:val="1"/>
      <w:marLeft w:val="0"/>
      <w:marRight w:val="0"/>
      <w:marTop w:val="0"/>
      <w:marBottom w:val="0"/>
      <w:divBdr>
        <w:top w:val="none" w:sz="0" w:space="0" w:color="auto"/>
        <w:left w:val="none" w:sz="0" w:space="0" w:color="auto"/>
        <w:bottom w:val="none" w:sz="0" w:space="0" w:color="auto"/>
        <w:right w:val="none" w:sz="0" w:space="0" w:color="auto"/>
      </w:divBdr>
    </w:div>
    <w:div w:id="188954224">
      <w:bodyDiv w:val="1"/>
      <w:marLeft w:val="0"/>
      <w:marRight w:val="0"/>
      <w:marTop w:val="0"/>
      <w:marBottom w:val="0"/>
      <w:divBdr>
        <w:top w:val="none" w:sz="0" w:space="0" w:color="auto"/>
        <w:left w:val="none" w:sz="0" w:space="0" w:color="auto"/>
        <w:bottom w:val="none" w:sz="0" w:space="0" w:color="auto"/>
        <w:right w:val="none" w:sz="0" w:space="0" w:color="auto"/>
      </w:divBdr>
    </w:div>
    <w:div w:id="191067789">
      <w:bodyDiv w:val="1"/>
      <w:marLeft w:val="0"/>
      <w:marRight w:val="0"/>
      <w:marTop w:val="0"/>
      <w:marBottom w:val="0"/>
      <w:divBdr>
        <w:top w:val="none" w:sz="0" w:space="0" w:color="auto"/>
        <w:left w:val="none" w:sz="0" w:space="0" w:color="auto"/>
        <w:bottom w:val="none" w:sz="0" w:space="0" w:color="auto"/>
        <w:right w:val="none" w:sz="0" w:space="0" w:color="auto"/>
      </w:divBdr>
    </w:div>
    <w:div w:id="192769380">
      <w:bodyDiv w:val="1"/>
      <w:marLeft w:val="0"/>
      <w:marRight w:val="0"/>
      <w:marTop w:val="0"/>
      <w:marBottom w:val="0"/>
      <w:divBdr>
        <w:top w:val="none" w:sz="0" w:space="0" w:color="auto"/>
        <w:left w:val="none" w:sz="0" w:space="0" w:color="auto"/>
        <w:bottom w:val="none" w:sz="0" w:space="0" w:color="auto"/>
        <w:right w:val="none" w:sz="0" w:space="0" w:color="auto"/>
      </w:divBdr>
    </w:div>
    <w:div w:id="201207582">
      <w:bodyDiv w:val="1"/>
      <w:marLeft w:val="0"/>
      <w:marRight w:val="0"/>
      <w:marTop w:val="0"/>
      <w:marBottom w:val="0"/>
      <w:divBdr>
        <w:top w:val="none" w:sz="0" w:space="0" w:color="auto"/>
        <w:left w:val="none" w:sz="0" w:space="0" w:color="auto"/>
        <w:bottom w:val="none" w:sz="0" w:space="0" w:color="auto"/>
        <w:right w:val="none" w:sz="0" w:space="0" w:color="auto"/>
      </w:divBdr>
    </w:div>
    <w:div w:id="202451835">
      <w:bodyDiv w:val="1"/>
      <w:marLeft w:val="0"/>
      <w:marRight w:val="0"/>
      <w:marTop w:val="0"/>
      <w:marBottom w:val="0"/>
      <w:divBdr>
        <w:top w:val="none" w:sz="0" w:space="0" w:color="auto"/>
        <w:left w:val="none" w:sz="0" w:space="0" w:color="auto"/>
        <w:bottom w:val="none" w:sz="0" w:space="0" w:color="auto"/>
        <w:right w:val="none" w:sz="0" w:space="0" w:color="auto"/>
      </w:divBdr>
    </w:div>
    <w:div w:id="202838071">
      <w:bodyDiv w:val="1"/>
      <w:marLeft w:val="0"/>
      <w:marRight w:val="0"/>
      <w:marTop w:val="0"/>
      <w:marBottom w:val="0"/>
      <w:divBdr>
        <w:top w:val="none" w:sz="0" w:space="0" w:color="auto"/>
        <w:left w:val="none" w:sz="0" w:space="0" w:color="auto"/>
        <w:bottom w:val="none" w:sz="0" w:space="0" w:color="auto"/>
        <w:right w:val="none" w:sz="0" w:space="0" w:color="auto"/>
      </w:divBdr>
    </w:div>
    <w:div w:id="207493639">
      <w:bodyDiv w:val="1"/>
      <w:marLeft w:val="0"/>
      <w:marRight w:val="0"/>
      <w:marTop w:val="0"/>
      <w:marBottom w:val="0"/>
      <w:divBdr>
        <w:top w:val="none" w:sz="0" w:space="0" w:color="auto"/>
        <w:left w:val="none" w:sz="0" w:space="0" w:color="auto"/>
        <w:bottom w:val="none" w:sz="0" w:space="0" w:color="auto"/>
        <w:right w:val="none" w:sz="0" w:space="0" w:color="auto"/>
      </w:divBdr>
    </w:div>
    <w:div w:id="209535659">
      <w:bodyDiv w:val="1"/>
      <w:marLeft w:val="0"/>
      <w:marRight w:val="0"/>
      <w:marTop w:val="0"/>
      <w:marBottom w:val="0"/>
      <w:divBdr>
        <w:top w:val="none" w:sz="0" w:space="0" w:color="auto"/>
        <w:left w:val="none" w:sz="0" w:space="0" w:color="auto"/>
        <w:bottom w:val="none" w:sz="0" w:space="0" w:color="auto"/>
        <w:right w:val="none" w:sz="0" w:space="0" w:color="auto"/>
      </w:divBdr>
    </w:div>
    <w:div w:id="215313337">
      <w:bodyDiv w:val="1"/>
      <w:marLeft w:val="0"/>
      <w:marRight w:val="0"/>
      <w:marTop w:val="0"/>
      <w:marBottom w:val="0"/>
      <w:divBdr>
        <w:top w:val="none" w:sz="0" w:space="0" w:color="auto"/>
        <w:left w:val="none" w:sz="0" w:space="0" w:color="auto"/>
        <w:bottom w:val="none" w:sz="0" w:space="0" w:color="auto"/>
        <w:right w:val="none" w:sz="0" w:space="0" w:color="auto"/>
      </w:divBdr>
    </w:div>
    <w:div w:id="215776059">
      <w:bodyDiv w:val="1"/>
      <w:marLeft w:val="0"/>
      <w:marRight w:val="0"/>
      <w:marTop w:val="0"/>
      <w:marBottom w:val="0"/>
      <w:divBdr>
        <w:top w:val="none" w:sz="0" w:space="0" w:color="auto"/>
        <w:left w:val="none" w:sz="0" w:space="0" w:color="auto"/>
        <w:bottom w:val="none" w:sz="0" w:space="0" w:color="auto"/>
        <w:right w:val="none" w:sz="0" w:space="0" w:color="auto"/>
      </w:divBdr>
    </w:div>
    <w:div w:id="223875955">
      <w:bodyDiv w:val="1"/>
      <w:marLeft w:val="0"/>
      <w:marRight w:val="0"/>
      <w:marTop w:val="0"/>
      <w:marBottom w:val="0"/>
      <w:divBdr>
        <w:top w:val="none" w:sz="0" w:space="0" w:color="auto"/>
        <w:left w:val="none" w:sz="0" w:space="0" w:color="auto"/>
        <w:bottom w:val="none" w:sz="0" w:space="0" w:color="auto"/>
        <w:right w:val="none" w:sz="0" w:space="0" w:color="auto"/>
      </w:divBdr>
    </w:div>
    <w:div w:id="227425796">
      <w:bodyDiv w:val="1"/>
      <w:marLeft w:val="0"/>
      <w:marRight w:val="0"/>
      <w:marTop w:val="0"/>
      <w:marBottom w:val="0"/>
      <w:divBdr>
        <w:top w:val="none" w:sz="0" w:space="0" w:color="auto"/>
        <w:left w:val="none" w:sz="0" w:space="0" w:color="auto"/>
        <w:bottom w:val="none" w:sz="0" w:space="0" w:color="auto"/>
        <w:right w:val="none" w:sz="0" w:space="0" w:color="auto"/>
      </w:divBdr>
    </w:div>
    <w:div w:id="229465931">
      <w:bodyDiv w:val="1"/>
      <w:marLeft w:val="0"/>
      <w:marRight w:val="0"/>
      <w:marTop w:val="0"/>
      <w:marBottom w:val="0"/>
      <w:divBdr>
        <w:top w:val="none" w:sz="0" w:space="0" w:color="auto"/>
        <w:left w:val="none" w:sz="0" w:space="0" w:color="auto"/>
        <w:bottom w:val="none" w:sz="0" w:space="0" w:color="auto"/>
        <w:right w:val="none" w:sz="0" w:space="0" w:color="auto"/>
      </w:divBdr>
    </w:div>
    <w:div w:id="233780134">
      <w:bodyDiv w:val="1"/>
      <w:marLeft w:val="0"/>
      <w:marRight w:val="0"/>
      <w:marTop w:val="0"/>
      <w:marBottom w:val="0"/>
      <w:divBdr>
        <w:top w:val="none" w:sz="0" w:space="0" w:color="auto"/>
        <w:left w:val="none" w:sz="0" w:space="0" w:color="auto"/>
        <w:bottom w:val="none" w:sz="0" w:space="0" w:color="auto"/>
        <w:right w:val="none" w:sz="0" w:space="0" w:color="auto"/>
      </w:divBdr>
    </w:div>
    <w:div w:id="241112042">
      <w:bodyDiv w:val="1"/>
      <w:marLeft w:val="0"/>
      <w:marRight w:val="0"/>
      <w:marTop w:val="0"/>
      <w:marBottom w:val="0"/>
      <w:divBdr>
        <w:top w:val="none" w:sz="0" w:space="0" w:color="auto"/>
        <w:left w:val="none" w:sz="0" w:space="0" w:color="auto"/>
        <w:bottom w:val="none" w:sz="0" w:space="0" w:color="auto"/>
        <w:right w:val="none" w:sz="0" w:space="0" w:color="auto"/>
      </w:divBdr>
    </w:div>
    <w:div w:id="247151912">
      <w:bodyDiv w:val="1"/>
      <w:marLeft w:val="0"/>
      <w:marRight w:val="0"/>
      <w:marTop w:val="0"/>
      <w:marBottom w:val="0"/>
      <w:divBdr>
        <w:top w:val="none" w:sz="0" w:space="0" w:color="auto"/>
        <w:left w:val="none" w:sz="0" w:space="0" w:color="auto"/>
        <w:bottom w:val="none" w:sz="0" w:space="0" w:color="auto"/>
        <w:right w:val="none" w:sz="0" w:space="0" w:color="auto"/>
      </w:divBdr>
    </w:div>
    <w:div w:id="256911368">
      <w:bodyDiv w:val="1"/>
      <w:marLeft w:val="0"/>
      <w:marRight w:val="0"/>
      <w:marTop w:val="0"/>
      <w:marBottom w:val="0"/>
      <w:divBdr>
        <w:top w:val="none" w:sz="0" w:space="0" w:color="auto"/>
        <w:left w:val="none" w:sz="0" w:space="0" w:color="auto"/>
        <w:bottom w:val="none" w:sz="0" w:space="0" w:color="auto"/>
        <w:right w:val="none" w:sz="0" w:space="0" w:color="auto"/>
      </w:divBdr>
    </w:div>
    <w:div w:id="258024880">
      <w:bodyDiv w:val="1"/>
      <w:marLeft w:val="0"/>
      <w:marRight w:val="0"/>
      <w:marTop w:val="0"/>
      <w:marBottom w:val="0"/>
      <w:divBdr>
        <w:top w:val="none" w:sz="0" w:space="0" w:color="auto"/>
        <w:left w:val="none" w:sz="0" w:space="0" w:color="auto"/>
        <w:bottom w:val="none" w:sz="0" w:space="0" w:color="auto"/>
        <w:right w:val="none" w:sz="0" w:space="0" w:color="auto"/>
      </w:divBdr>
    </w:div>
    <w:div w:id="259342056">
      <w:bodyDiv w:val="1"/>
      <w:marLeft w:val="0"/>
      <w:marRight w:val="0"/>
      <w:marTop w:val="0"/>
      <w:marBottom w:val="0"/>
      <w:divBdr>
        <w:top w:val="none" w:sz="0" w:space="0" w:color="auto"/>
        <w:left w:val="none" w:sz="0" w:space="0" w:color="auto"/>
        <w:bottom w:val="none" w:sz="0" w:space="0" w:color="auto"/>
        <w:right w:val="none" w:sz="0" w:space="0" w:color="auto"/>
      </w:divBdr>
    </w:div>
    <w:div w:id="259527984">
      <w:bodyDiv w:val="1"/>
      <w:marLeft w:val="0"/>
      <w:marRight w:val="0"/>
      <w:marTop w:val="0"/>
      <w:marBottom w:val="0"/>
      <w:divBdr>
        <w:top w:val="none" w:sz="0" w:space="0" w:color="auto"/>
        <w:left w:val="none" w:sz="0" w:space="0" w:color="auto"/>
        <w:bottom w:val="none" w:sz="0" w:space="0" w:color="auto"/>
        <w:right w:val="none" w:sz="0" w:space="0" w:color="auto"/>
      </w:divBdr>
    </w:div>
    <w:div w:id="263463767">
      <w:bodyDiv w:val="1"/>
      <w:marLeft w:val="0"/>
      <w:marRight w:val="0"/>
      <w:marTop w:val="0"/>
      <w:marBottom w:val="0"/>
      <w:divBdr>
        <w:top w:val="none" w:sz="0" w:space="0" w:color="auto"/>
        <w:left w:val="none" w:sz="0" w:space="0" w:color="auto"/>
        <w:bottom w:val="none" w:sz="0" w:space="0" w:color="auto"/>
        <w:right w:val="none" w:sz="0" w:space="0" w:color="auto"/>
      </w:divBdr>
    </w:div>
    <w:div w:id="271211854">
      <w:bodyDiv w:val="1"/>
      <w:marLeft w:val="0"/>
      <w:marRight w:val="0"/>
      <w:marTop w:val="0"/>
      <w:marBottom w:val="0"/>
      <w:divBdr>
        <w:top w:val="none" w:sz="0" w:space="0" w:color="auto"/>
        <w:left w:val="none" w:sz="0" w:space="0" w:color="auto"/>
        <w:bottom w:val="none" w:sz="0" w:space="0" w:color="auto"/>
        <w:right w:val="none" w:sz="0" w:space="0" w:color="auto"/>
      </w:divBdr>
      <w:divsChild>
        <w:div w:id="931743776">
          <w:marLeft w:val="0"/>
          <w:marRight w:val="0"/>
          <w:marTop w:val="0"/>
          <w:marBottom w:val="0"/>
          <w:divBdr>
            <w:top w:val="none" w:sz="0" w:space="0" w:color="auto"/>
            <w:left w:val="none" w:sz="0" w:space="0" w:color="auto"/>
            <w:bottom w:val="none" w:sz="0" w:space="0" w:color="auto"/>
            <w:right w:val="none" w:sz="0" w:space="0" w:color="auto"/>
          </w:divBdr>
          <w:divsChild>
            <w:div w:id="942760221">
              <w:marLeft w:val="0"/>
              <w:marRight w:val="0"/>
              <w:marTop w:val="0"/>
              <w:marBottom w:val="0"/>
              <w:divBdr>
                <w:top w:val="none" w:sz="0" w:space="0" w:color="auto"/>
                <w:left w:val="none" w:sz="0" w:space="0" w:color="auto"/>
                <w:bottom w:val="none" w:sz="0" w:space="0" w:color="auto"/>
                <w:right w:val="none" w:sz="0" w:space="0" w:color="auto"/>
              </w:divBdr>
              <w:divsChild>
                <w:div w:id="1505971100">
                  <w:marLeft w:val="0"/>
                  <w:marRight w:val="0"/>
                  <w:marTop w:val="1800"/>
                  <w:marBottom w:val="225"/>
                  <w:divBdr>
                    <w:top w:val="none" w:sz="0" w:space="0" w:color="auto"/>
                    <w:left w:val="none" w:sz="0" w:space="0" w:color="auto"/>
                    <w:bottom w:val="none" w:sz="0" w:space="0" w:color="auto"/>
                    <w:right w:val="none" w:sz="0" w:space="0" w:color="auto"/>
                  </w:divBdr>
                  <w:divsChild>
                    <w:div w:id="1242065943">
                      <w:marLeft w:val="0"/>
                      <w:marRight w:val="0"/>
                      <w:marTop w:val="0"/>
                      <w:marBottom w:val="0"/>
                      <w:divBdr>
                        <w:top w:val="none" w:sz="0" w:space="0" w:color="auto"/>
                        <w:left w:val="none" w:sz="0" w:space="0" w:color="auto"/>
                        <w:bottom w:val="none" w:sz="0" w:space="0" w:color="auto"/>
                        <w:right w:val="none" w:sz="0" w:space="0" w:color="auto"/>
                      </w:divBdr>
                      <w:divsChild>
                        <w:div w:id="1922988756">
                          <w:marLeft w:val="0"/>
                          <w:marRight w:val="0"/>
                          <w:marTop w:val="0"/>
                          <w:marBottom w:val="0"/>
                          <w:divBdr>
                            <w:top w:val="none" w:sz="0" w:space="0" w:color="auto"/>
                            <w:left w:val="none" w:sz="0" w:space="0" w:color="auto"/>
                            <w:bottom w:val="none" w:sz="0" w:space="0" w:color="auto"/>
                            <w:right w:val="none" w:sz="0" w:space="0" w:color="auto"/>
                          </w:divBdr>
                          <w:divsChild>
                            <w:div w:id="229579911">
                              <w:marLeft w:val="0"/>
                              <w:marRight w:val="0"/>
                              <w:marTop w:val="300"/>
                              <w:marBottom w:val="300"/>
                              <w:divBdr>
                                <w:top w:val="none" w:sz="0" w:space="0" w:color="auto"/>
                                <w:left w:val="none" w:sz="0" w:space="0" w:color="auto"/>
                                <w:bottom w:val="none" w:sz="0" w:space="0" w:color="auto"/>
                                <w:right w:val="none" w:sz="0" w:space="0" w:color="auto"/>
                              </w:divBdr>
                              <w:divsChild>
                                <w:div w:id="792603144">
                                  <w:marLeft w:val="240"/>
                                  <w:marRight w:val="0"/>
                                  <w:marTop w:val="165"/>
                                  <w:marBottom w:val="0"/>
                                  <w:divBdr>
                                    <w:top w:val="none" w:sz="0" w:space="0" w:color="auto"/>
                                    <w:left w:val="none" w:sz="0" w:space="0" w:color="auto"/>
                                    <w:bottom w:val="none" w:sz="0" w:space="0" w:color="auto"/>
                                    <w:right w:val="none" w:sz="0" w:space="0" w:color="auto"/>
                                  </w:divBdr>
                                  <w:divsChild>
                                    <w:div w:id="172891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5797283">
      <w:bodyDiv w:val="1"/>
      <w:marLeft w:val="0"/>
      <w:marRight w:val="0"/>
      <w:marTop w:val="0"/>
      <w:marBottom w:val="0"/>
      <w:divBdr>
        <w:top w:val="none" w:sz="0" w:space="0" w:color="auto"/>
        <w:left w:val="none" w:sz="0" w:space="0" w:color="auto"/>
        <w:bottom w:val="none" w:sz="0" w:space="0" w:color="auto"/>
        <w:right w:val="none" w:sz="0" w:space="0" w:color="auto"/>
      </w:divBdr>
    </w:div>
    <w:div w:id="276832194">
      <w:bodyDiv w:val="1"/>
      <w:marLeft w:val="0"/>
      <w:marRight w:val="0"/>
      <w:marTop w:val="0"/>
      <w:marBottom w:val="0"/>
      <w:divBdr>
        <w:top w:val="none" w:sz="0" w:space="0" w:color="auto"/>
        <w:left w:val="none" w:sz="0" w:space="0" w:color="auto"/>
        <w:bottom w:val="none" w:sz="0" w:space="0" w:color="auto"/>
        <w:right w:val="none" w:sz="0" w:space="0" w:color="auto"/>
      </w:divBdr>
    </w:div>
    <w:div w:id="280495053">
      <w:bodyDiv w:val="1"/>
      <w:marLeft w:val="0"/>
      <w:marRight w:val="0"/>
      <w:marTop w:val="0"/>
      <w:marBottom w:val="0"/>
      <w:divBdr>
        <w:top w:val="none" w:sz="0" w:space="0" w:color="auto"/>
        <w:left w:val="none" w:sz="0" w:space="0" w:color="auto"/>
        <w:bottom w:val="none" w:sz="0" w:space="0" w:color="auto"/>
        <w:right w:val="none" w:sz="0" w:space="0" w:color="auto"/>
      </w:divBdr>
    </w:div>
    <w:div w:id="280961980">
      <w:bodyDiv w:val="1"/>
      <w:marLeft w:val="0"/>
      <w:marRight w:val="0"/>
      <w:marTop w:val="0"/>
      <w:marBottom w:val="0"/>
      <w:divBdr>
        <w:top w:val="none" w:sz="0" w:space="0" w:color="auto"/>
        <w:left w:val="none" w:sz="0" w:space="0" w:color="auto"/>
        <w:bottom w:val="none" w:sz="0" w:space="0" w:color="auto"/>
        <w:right w:val="none" w:sz="0" w:space="0" w:color="auto"/>
      </w:divBdr>
    </w:div>
    <w:div w:id="286350039">
      <w:bodyDiv w:val="1"/>
      <w:marLeft w:val="0"/>
      <w:marRight w:val="0"/>
      <w:marTop w:val="0"/>
      <w:marBottom w:val="0"/>
      <w:divBdr>
        <w:top w:val="none" w:sz="0" w:space="0" w:color="auto"/>
        <w:left w:val="none" w:sz="0" w:space="0" w:color="auto"/>
        <w:bottom w:val="none" w:sz="0" w:space="0" w:color="auto"/>
        <w:right w:val="none" w:sz="0" w:space="0" w:color="auto"/>
      </w:divBdr>
      <w:divsChild>
        <w:div w:id="800154755">
          <w:marLeft w:val="0"/>
          <w:marRight w:val="0"/>
          <w:marTop w:val="0"/>
          <w:marBottom w:val="0"/>
          <w:divBdr>
            <w:top w:val="none" w:sz="0" w:space="0" w:color="auto"/>
            <w:left w:val="none" w:sz="0" w:space="0" w:color="auto"/>
            <w:bottom w:val="none" w:sz="0" w:space="0" w:color="auto"/>
            <w:right w:val="none" w:sz="0" w:space="0" w:color="auto"/>
          </w:divBdr>
          <w:divsChild>
            <w:div w:id="1123309795">
              <w:marLeft w:val="0"/>
              <w:marRight w:val="0"/>
              <w:marTop w:val="0"/>
              <w:marBottom w:val="0"/>
              <w:divBdr>
                <w:top w:val="none" w:sz="0" w:space="0" w:color="auto"/>
                <w:left w:val="none" w:sz="0" w:space="0" w:color="auto"/>
                <w:bottom w:val="none" w:sz="0" w:space="0" w:color="auto"/>
                <w:right w:val="none" w:sz="0" w:space="0" w:color="auto"/>
              </w:divBdr>
              <w:divsChild>
                <w:div w:id="1212035524">
                  <w:marLeft w:val="0"/>
                  <w:marRight w:val="0"/>
                  <w:marTop w:val="0"/>
                  <w:marBottom w:val="0"/>
                  <w:divBdr>
                    <w:top w:val="none" w:sz="0" w:space="0" w:color="auto"/>
                    <w:left w:val="none" w:sz="0" w:space="0" w:color="auto"/>
                    <w:bottom w:val="none" w:sz="0" w:space="0" w:color="auto"/>
                    <w:right w:val="none" w:sz="0" w:space="0" w:color="auto"/>
                  </w:divBdr>
                  <w:divsChild>
                    <w:div w:id="845483087">
                      <w:marLeft w:val="0"/>
                      <w:marRight w:val="0"/>
                      <w:marTop w:val="0"/>
                      <w:marBottom w:val="0"/>
                      <w:divBdr>
                        <w:top w:val="none" w:sz="0" w:space="0" w:color="auto"/>
                        <w:left w:val="none" w:sz="0" w:space="0" w:color="auto"/>
                        <w:bottom w:val="none" w:sz="0" w:space="0" w:color="auto"/>
                        <w:right w:val="none" w:sz="0" w:space="0" w:color="auto"/>
                      </w:divBdr>
                      <w:divsChild>
                        <w:div w:id="642856512">
                          <w:marLeft w:val="0"/>
                          <w:marRight w:val="0"/>
                          <w:marTop w:val="300"/>
                          <w:marBottom w:val="0"/>
                          <w:divBdr>
                            <w:top w:val="none" w:sz="0" w:space="0" w:color="auto"/>
                            <w:left w:val="none" w:sz="0" w:space="0" w:color="auto"/>
                            <w:bottom w:val="none" w:sz="0" w:space="0" w:color="auto"/>
                            <w:right w:val="none" w:sz="0" w:space="0" w:color="auto"/>
                          </w:divBdr>
                          <w:divsChild>
                            <w:div w:id="78677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7902330">
      <w:bodyDiv w:val="1"/>
      <w:marLeft w:val="0"/>
      <w:marRight w:val="0"/>
      <w:marTop w:val="0"/>
      <w:marBottom w:val="0"/>
      <w:divBdr>
        <w:top w:val="none" w:sz="0" w:space="0" w:color="auto"/>
        <w:left w:val="none" w:sz="0" w:space="0" w:color="auto"/>
        <w:bottom w:val="none" w:sz="0" w:space="0" w:color="auto"/>
        <w:right w:val="none" w:sz="0" w:space="0" w:color="auto"/>
      </w:divBdr>
    </w:div>
    <w:div w:id="291718137">
      <w:bodyDiv w:val="1"/>
      <w:marLeft w:val="0"/>
      <w:marRight w:val="0"/>
      <w:marTop w:val="0"/>
      <w:marBottom w:val="0"/>
      <w:divBdr>
        <w:top w:val="none" w:sz="0" w:space="0" w:color="auto"/>
        <w:left w:val="none" w:sz="0" w:space="0" w:color="auto"/>
        <w:bottom w:val="none" w:sz="0" w:space="0" w:color="auto"/>
        <w:right w:val="none" w:sz="0" w:space="0" w:color="auto"/>
      </w:divBdr>
    </w:div>
    <w:div w:id="293021135">
      <w:bodyDiv w:val="1"/>
      <w:marLeft w:val="0"/>
      <w:marRight w:val="0"/>
      <w:marTop w:val="0"/>
      <w:marBottom w:val="0"/>
      <w:divBdr>
        <w:top w:val="none" w:sz="0" w:space="0" w:color="auto"/>
        <w:left w:val="none" w:sz="0" w:space="0" w:color="auto"/>
        <w:bottom w:val="none" w:sz="0" w:space="0" w:color="auto"/>
        <w:right w:val="none" w:sz="0" w:space="0" w:color="auto"/>
      </w:divBdr>
    </w:div>
    <w:div w:id="294680436">
      <w:bodyDiv w:val="1"/>
      <w:marLeft w:val="0"/>
      <w:marRight w:val="0"/>
      <w:marTop w:val="0"/>
      <w:marBottom w:val="0"/>
      <w:divBdr>
        <w:top w:val="none" w:sz="0" w:space="0" w:color="auto"/>
        <w:left w:val="none" w:sz="0" w:space="0" w:color="auto"/>
        <w:bottom w:val="none" w:sz="0" w:space="0" w:color="auto"/>
        <w:right w:val="none" w:sz="0" w:space="0" w:color="auto"/>
      </w:divBdr>
    </w:div>
    <w:div w:id="297757908">
      <w:bodyDiv w:val="1"/>
      <w:marLeft w:val="0"/>
      <w:marRight w:val="0"/>
      <w:marTop w:val="0"/>
      <w:marBottom w:val="0"/>
      <w:divBdr>
        <w:top w:val="none" w:sz="0" w:space="0" w:color="auto"/>
        <w:left w:val="none" w:sz="0" w:space="0" w:color="auto"/>
        <w:bottom w:val="none" w:sz="0" w:space="0" w:color="auto"/>
        <w:right w:val="none" w:sz="0" w:space="0" w:color="auto"/>
      </w:divBdr>
    </w:div>
    <w:div w:id="297955414">
      <w:bodyDiv w:val="1"/>
      <w:marLeft w:val="0"/>
      <w:marRight w:val="0"/>
      <w:marTop w:val="0"/>
      <w:marBottom w:val="0"/>
      <w:divBdr>
        <w:top w:val="none" w:sz="0" w:space="0" w:color="auto"/>
        <w:left w:val="none" w:sz="0" w:space="0" w:color="auto"/>
        <w:bottom w:val="none" w:sz="0" w:space="0" w:color="auto"/>
        <w:right w:val="none" w:sz="0" w:space="0" w:color="auto"/>
      </w:divBdr>
    </w:div>
    <w:div w:id="298535782">
      <w:bodyDiv w:val="1"/>
      <w:marLeft w:val="0"/>
      <w:marRight w:val="0"/>
      <w:marTop w:val="0"/>
      <w:marBottom w:val="0"/>
      <w:divBdr>
        <w:top w:val="none" w:sz="0" w:space="0" w:color="auto"/>
        <w:left w:val="none" w:sz="0" w:space="0" w:color="auto"/>
        <w:bottom w:val="none" w:sz="0" w:space="0" w:color="auto"/>
        <w:right w:val="none" w:sz="0" w:space="0" w:color="auto"/>
      </w:divBdr>
      <w:divsChild>
        <w:div w:id="1349134246">
          <w:marLeft w:val="0"/>
          <w:marRight w:val="0"/>
          <w:marTop w:val="0"/>
          <w:marBottom w:val="0"/>
          <w:divBdr>
            <w:top w:val="none" w:sz="0" w:space="0" w:color="auto"/>
            <w:left w:val="none" w:sz="0" w:space="0" w:color="auto"/>
            <w:bottom w:val="none" w:sz="0" w:space="0" w:color="auto"/>
            <w:right w:val="none" w:sz="0" w:space="0" w:color="auto"/>
          </w:divBdr>
          <w:divsChild>
            <w:div w:id="32656368">
              <w:marLeft w:val="0"/>
              <w:marRight w:val="0"/>
              <w:marTop w:val="0"/>
              <w:marBottom w:val="0"/>
              <w:divBdr>
                <w:top w:val="none" w:sz="0" w:space="0" w:color="auto"/>
                <w:left w:val="none" w:sz="0" w:space="0" w:color="auto"/>
                <w:bottom w:val="none" w:sz="0" w:space="0" w:color="auto"/>
                <w:right w:val="none" w:sz="0" w:space="0" w:color="auto"/>
              </w:divBdr>
              <w:divsChild>
                <w:div w:id="689380741">
                  <w:marLeft w:val="0"/>
                  <w:marRight w:val="0"/>
                  <w:marTop w:val="0"/>
                  <w:marBottom w:val="0"/>
                  <w:divBdr>
                    <w:top w:val="none" w:sz="0" w:space="0" w:color="auto"/>
                    <w:left w:val="none" w:sz="0" w:space="0" w:color="auto"/>
                    <w:bottom w:val="none" w:sz="0" w:space="0" w:color="auto"/>
                    <w:right w:val="none" w:sz="0" w:space="0" w:color="auto"/>
                  </w:divBdr>
                  <w:divsChild>
                    <w:div w:id="202446340">
                      <w:marLeft w:val="0"/>
                      <w:marRight w:val="0"/>
                      <w:marTop w:val="0"/>
                      <w:marBottom w:val="0"/>
                      <w:divBdr>
                        <w:top w:val="none" w:sz="0" w:space="0" w:color="auto"/>
                        <w:left w:val="none" w:sz="0" w:space="0" w:color="auto"/>
                        <w:bottom w:val="none" w:sz="0" w:space="0" w:color="auto"/>
                        <w:right w:val="none" w:sz="0" w:space="0" w:color="auto"/>
                      </w:divBdr>
                      <w:divsChild>
                        <w:div w:id="1219131522">
                          <w:marLeft w:val="0"/>
                          <w:marRight w:val="0"/>
                          <w:marTop w:val="300"/>
                          <w:marBottom w:val="0"/>
                          <w:divBdr>
                            <w:top w:val="none" w:sz="0" w:space="0" w:color="auto"/>
                            <w:left w:val="none" w:sz="0" w:space="0" w:color="auto"/>
                            <w:bottom w:val="none" w:sz="0" w:space="0" w:color="auto"/>
                            <w:right w:val="none" w:sz="0" w:space="0" w:color="auto"/>
                          </w:divBdr>
                          <w:divsChild>
                            <w:div w:id="65884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6584">
      <w:bodyDiv w:val="1"/>
      <w:marLeft w:val="0"/>
      <w:marRight w:val="0"/>
      <w:marTop w:val="0"/>
      <w:marBottom w:val="0"/>
      <w:divBdr>
        <w:top w:val="none" w:sz="0" w:space="0" w:color="auto"/>
        <w:left w:val="none" w:sz="0" w:space="0" w:color="auto"/>
        <w:bottom w:val="none" w:sz="0" w:space="0" w:color="auto"/>
        <w:right w:val="none" w:sz="0" w:space="0" w:color="auto"/>
      </w:divBdr>
      <w:divsChild>
        <w:div w:id="211574254">
          <w:marLeft w:val="0"/>
          <w:marRight w:val="0"/>
          <w:marTop w:val="0"/>
          <w:marBottom w:val="0"/>
          <w:divBdr>
            <w:top w:val="none" w:sz="0" w:space="0" w:color="auto"/>
            <w:left w:val="none" w:sz="0" w:space="0" w:color="auto"/>
            <w:bottom w:val="none" w:sz="0" w:space="0" w:color="auto"/>
            <w:right w:val="none" w:sz="0" w:space="0" w:color="auto"/>
          </w:divBdr>
          <w:divsChild>
            <w:div w:id="1303655818">
              <w:marLeft w:val="0"/>
              <w:marRight w:val="0"/>
              <w:marTop w:val="0"/>
              <w:marBottom w:val="0"/>
              <w:divBdr>
                <w:top w:val="none" w:sz="0" w:space="0" w:color="auto"/>
                <w:left w:val="none" w:sz="0" w:space="0" w:color="auto"/>
                <w:bottom w:val="none" w:sz="0" w:space="0" w:color="auto"/>
                <w:right w:val="none" w:sz="0" w:space="0" w:color="auto"/>
              </w:divBdr>
              <w:divsChild>
                <w:div w:id="762803077">
                  <w:marLeft w:val="0"/>
                  <w:marRight w:val="0"/>
                  <w:marTop w:val="0"/>
                  <w:marBottom w:val="0"/>
                  <w:divBdr>
                    <w:top w:val="none" w:sz="0" w:space="0" w:color="auto"/>
                    <w:left w:val="none" w:sz="0" w:space="0" w:color="auto"/>
                    <w:bottom w:val="none" w:sz="0" w:space="0" w:color="auto"/>
                    <w:right w:val="none" w:sz="0" w:space="0" w:color="auto"/>
                  </w:divBdr>
                  <w:divsChild>
                    <w:div w:id="856117131">
                      <w:marLeft w:val="0"/>
                      <w:marRight w:val="0"/>
                      <w:marTop w:val="0"/>
                      <w:marBottom w:val="0"/>
                      <w:divBdr>
                        <w:top w:val="none" w:sz="0" w:space="0" w:color="auto"/>
                        <w:left w:val="none" w:sz="0" w:space="0" w:color="auto"/>
                        <w:bottom w:val="none" w:sz="0" w:space="0" w:color="auto"/>
                        <w:right w:val="none" w:sz="0" w:space="0" w:color="auto"/>
                      </w:divBdr>
                      <w:divsChild>
                        <w:div w:id="1911958701">
                          <w:marLeft w:val="0"/>
                          <w:marRight w:val="0"/>
                          <w:marTop w:val="300"/>
                          <w:marBottom w:val="0"/>
                          <w:divBdr>
                            <w:top w:val="none" w:sz="0" w:space="0" w:color="auto"/>
                            <w:left w:val="none" w:sz="0" w:space="0" w:color="auto"/>
                            <w:bottom w:val="none" w:sz="0" w:space="0" w:color="auto"/>
                            <w:right w:val="none" w:sz="0" w:space="0" w:color="auto"/>
                          </w:divBdr>
                          <w:divsChild>
                            <w:div w:id="211605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9040083">
      <w:bodyDiv w:val="1"/>
      <w:marLeft w:val="0"/>
      <w:marRight w:val="0"/>
      <w:marTop w:val="0"/>
      <w:marBottom w:val="0"/>
      <w:divBdr>
        <w:top w:val="none" w:sz="0" w:space="0" w:color="auto"/>
        <w:left w:val="none" w:sz="0" w:space="0" w:color="auto"/>
        <w:bottom w:val="none" w:sz="0" w:space="0" w:color="auto"/>
        <w:right w:val="none" w:sz="0" w:space="0" w:color="auto"/>
      </w:divBdr>
    </w:div>
    <w:div w:id="319625855">
      <w:bodyDiv w:val="1"/>
      <w:marLeft w:val="0"/>
      <w:marRight w:val="0"/>
      <w:marTop w:val="0"/>
      <w:marBottom w:val="0"/>
      <w:divBdr>
        <w:top w:val="none" w:sz="0" w:space="0" w:color="auto"/>
        <w:left w:val="none" w:sz="0" w:space="0" w:color="auto"/>
        <w:bottom w:val="none" w:sz="0" w:space="0" w:color="auto"/>
        <w:right w:val="none" w:sz="0" w:space="0" w:color="auto"/>
      </w:divBdr>
    </w:div>
    <w:div w:id="326834150">
      <w:bodyDiv w:val="1"/>
      <w:marLeft w:val="0"/>
      <w:marRight w:val="0"/>
      <w:marTop w:val="0"/>
      <w:marBottom w:val="0"/>
      <w:divBdr>
        <w:top w:val="none" w:sz="0" w:space="0" w:color="auto"/>
        <w:left w:val="none" w:sz="0" w:space="0" w:color="auto"/>
        <w:bottom w:val="none" w:sz="0" w:space="0" w:color="auto"/>
        <w:right w:val="none" w:sz="0" w:space="0" w:color="auto"/>
      </w:divBdr>
    </w:div>
    <w:div w:id="332149756">
      <w:bodyDiv w:val="1"/>
      <w:marLeft w:val="0"/>
      <w:marRight w:val="0"/>
      <w:marTop w:val="0"/>
      <w:marBottom w:val="0"/>
      <w:divBdr>
        <w:top w:val="none" w:sz="0" w:space="0" w:color="auto"/>
        <w:left w:val="none" w:sz="0" w:space="0" w:color="auto"/>
        <w:bottom w:val="none" w:sz="0" w:space="0" w:color="auto"/>
        <w:right w:val="none" w:sz="0" w:space="0" w:color="auto"/>
      </w:divBdr>
    </w:div>
    <w:div w:id="332487175">
      <w:bodyDiv w:val="1"/>
      <w:marLeft w:val="0"/>
      <w:marRight w:val="0"/>
      <w:marTop w:val="0"/>
      <w:marBottom w:val="0"/>
      <w:divBdr>
        <w:top w:val="none" w:sz="0" w:space="0" w:color="auto"/>
        <w:left w:val="none" w:sz="0" w:space="0" w:color="auto"/>
        <w:bottom w:val="none" w:sz="0" w:space="0" w:color="auto"/>
        <w:right w:val="none" w:sz="0" w:space="0" w:color="auto"/>
      </w:divBdr>
    </w:div>
    <w:div w:id="335117440">
      <w:bodyDiv w:val="1"/>
      <w:marLeft w:val="0"/>
      <w:marRight w:val="0"/>
      <w:marTop w:val="0"/>
      <w:marBottom w:val="0"/>
      <w:divBdr>
        <w:top w:val="none" w:sz="0" w:space="0" w:color="auto"/>
        <w:left w:val="none" w:sz="0" w:space="0" w:color="auto"/>
        <w:bottom w:val="none" w:sz="0" w:space="0" w:color="auto"/>
        <w:right w:val="none" w:sz="0" w:space="0" w:color="auto"/>
      </w:divBdr>
    </w:div>
    <w:div w:id="336274924">
      <w:bodyDiv w:val="1"/>
      <w:marLeft w:val="0"/>
      <w:marRight w:val="0"/>
      <w:marTop w:val="0"/>
      <w:marBottom w:val="0"/>
      <w:divBdr>
        <w:top w:val="none" w:sz="0" w:space="0" w:color="auto"/>
        <w:left w:val="none" w:sz="0" w:space="0" w:color="auto"/>
        <w:bottom w:val="none" w:sz="0" w:space="0" w:color="auto"/>
        <w:right w:val="none" w:sz="0" w:space="0" w:color="auto"/>
      </w:divBdr>
    </w:div>
    <w:div w:id="337389339">
      <w:bodyDiv w:val="1"/>
      <w:marLeft w:val="0"/>
      <w:marRight w:val="0"/>
      <w:marTop w:val="0"/>
      <w:marBottom w:val="0"/>
      <w:divBdr>
        <w:top w:val="none" w:sz="0" w:space="0" w:color="auto"/>
        <w:left w:val="none" w:sz="0" w:space="0" w:color="auto"/>
        <w:bottom w:val="none" w:sz="0" w:space="0" w:color="auto"/>
        <w:right w:val="none" w:sz="0" w:space="0" w:color="auto"/>
      </w:divBdr>
    </w:div>
    <w:div w:id="341667370">
      <w:bodyDiv w:val="1"/>
      <w:marLeft w:val="0"/>
      <w:marRight w:val="0"/>
      <w:marTop w:val="0"/>
      <w:marBottom w:val="0"/>
      <w:divBdr>
        <w:top w:val="none" w:sz="0" w:space="0" w:color="auto"/>
        <w:left w:val="none" w:sz="0" w:space="0" w:color="auto"/>
        <w:bottom w:val="none" w:sz="0" w:space="0" w:color="auto"/>
        <w:right w:val="none" w:sz="0" w:space="0" w:color="auto"/>
      </w:divBdr>
      <w:divsChild>
        <w:div w:id="1584334125">
          <w:marLeft w:val="0"/>
          <w:marRight w:val="0"/>
          <w:marTop w:val="0"/>
          <w:marBottom w:val="0"/>
          <w:divBdr>
            <w:top w:val="none" w:sz="0" w:space="0" w:color="auto"/>
            <w:left w:val="none" w:sz="0" w:space="0" w:color="auto"/>
            <w:bottom w:val="none" w:sz="0" w:space="0" w:color="auto"/>
            <w:right w:val="none" w:sz="0" w:space="0" w:color="auto"/>
          </w:divBdr>
          <w:divsChild>
            <w:div w:id="1797093357">
              <w:marLeft w:val="0"/>
              <w:marRight w:val="0"/>
              <w:marTop w:val="0"/>
              <w:marBottom w:val="0"/>
              <w:divBdr>
                <w:top w:val="none" w:sz="0" w:space="0" w:color="auto"/>
                <w:left w:val="none" w:sz="0" w:space="0" w:color="auto"/>
                <w:bottom w:val="none" w:sz="0" w:space="0" w:color="auto"/>
                <w:right w:val="none" w:sz="0" w:space="0" w:color="auto"/>
              </w:divBdr>
              <w:divsChild>
                <w:div w:id="1717270135">
                  <w:marLeft w:val="0"/>
                  <w:marRight w:val="0"/>
                  <w:marTop w:val="0"/>
                  <w:marBottom w:val="0"/>
                  <w:divBdr>
                    <w:top w:val="none" w:sz="0" w:space="0" w:color="auto"/>
                    <w:left w:val="none" w:sz="0" w:space="0" w:color="auto"/>
                    <w:bottom w:val="none" w:sz="0" w:space="0" w:color="auto"/>
                    <w:right w:val="none" w:sz="0" w:space="0" w:color="auto"/>
                  </w:divBdr>
                  <w:divsChild>
                    <w:div w:id="1690066640">
                      <w:marLeft w:val="0"/>
                      <w:marRight w:val="0"/>
                      <w:marTop w:val="0"/>
                      <w:marBottom w:val="0"/>
                      <w:divBdr>
                        <w:top w:val="none" w:sz="0" w:space="0" w:color="auto"/>
                        <w:left w:val="none" w:sz="0" w:space="0" w:color="auto"/>
                        <w:bottom w:val="none" w:sz="0" w:space="0" w:color="auto"/>
                        <w:right w:val="none" w:sz="0" w:space="0" w:color="auto"/>
                      </w:divBdr>
                      <w:divsChild>
                        <w:div w:id="574972967">
                          <w:marLeft w:val="0"/>
                          <w:marRight w:val="0"/>
                          <w:marTop w:val="300"/>
                          <w:marBottom w:val="0"/>
                          <w:divBdr>
                            <w:top w:val="none" w:sz="0" w:space="0" w:color="auto"/>
                            <w:left w:val="none" w:sz="0" w:space="0" w:color="auto"/>
                            <w:bottom w:val="none" w:sz="0" w:space="0" w:color="auto"/>
                            <w:right w:val="none" w:sz="0" w:space="0" w:color="auto"/>
                          </w:divBdr>
                          <w:divsChild>
                            <w:div w:id="6352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2509964">
      <w:bodyDiv w:val="1"/>
      <w:marLeft w:val="0"/>
      <w:marRight w:val="0"/>
      <w:marTop w:val="0"/>
      <w:marBottom w:val="0"/>
      <w:divBdr>
        <w:top w:val="none" w:sz="0" w:space="0" w:color="auto"/>
        <w:left w:val="none" w:sz="0" w:space="0" w:color="auto"/>
        <w:bottom w:val="none" w:sz="0" w:space="0" w:color="auto"/>
        <w:right w:val="none" w:sz="0" w:space="0" w:color="auto"/>
      </w:divBdr>
    </w:div>
    <w:div w:id="346030469">
      <w:bodyDiv w:val="1"/>
      <w:marLeft w:val="0"/>
      <w:marRight w:val="0"/>
      <w:marTop w:val="0"/>
      <w:marBottom w:val="0"/>
      <w:divBdr>
        <w:top w:val="none" w:sz="0" w:space="0" w:color="auto"/>
        <w:left w:val="none" w:sz="0" w:space="0" w:color="auto"/>
        <w:bottom w:val="none" w:sz="0" w:space="0" w:color="auto"/>
        <w:right w:val="none" w:sz="0" w:space="0" w:color="auto"/>
      </w:divBdr>
    </w:div>
    <w:div w:id="351537710">
      <w:bodyDiv w:val="1"/>
      <w:marLeft w:val="0"/>
      <w:marRight w:val="0"/>
      <w:marTop w:val="0"/>
      <w:marBottom w:val="0"/>
      <w:divBdr>
        <w:top w:val="none" w:sz="0" w:space="0" w:color="auto"/>
        <w:left w:val="none" w:sz="0" w:space="0" w:color="auto"/>
        <w:bottom w:val="none" w:sz="0" w:space="0" w:color="auto"/>
        <w:right w:val="none" w:sz="0" w:space="0" w:color="auto"/>
      </w:divBdr>
    </w:div>
    <w:div w:id="352540590">
      <w:bodyDiv w:val="1"/>
      <w:marLeft w:val="0"/>
      <w:marRight w:val="0"/>
      <w:marTop w:val="0"/>
      <w:marBottom w:val="0"/>
      <w:divBdr>
        <w:top w:val="none" w:sz="0" w:space="0" w:color="auto"/>
        <w:left w:val="none" w:sz="0" w:space="0" w:color="auto"/>
        <w:bottom w:val="none" w:sz="0" w:space="0" w:color="auto"/>
        <w:right w:val="none" w:sz="0" w:space="0" w:color="auto"/>
      </w:divBdr>
    </w:div>
    <w:div w:id="353729697">
      <w:bodyDiv w:val="1"/>
      <w:marLeft w:val="0"/>
      <w:marRight w:val="0"/>
      <w:marTop w:val="0"/>
      <w:marBottom w:val="0"/>
      <w:divBdr>
        <w:top w:val="none" w:sz="0" w:space="0" w:color="auto"/>
        <w:left w:val="none" w:sz="0" w:space="0" w:color="auto"/>
        <w:bottom w:val="none" w:sz="0" w:space="0" w:color="auto"/>
        <w:right w:val="none" w:sz="0" w:space="0" w:color="auto"/>
      </w:divBdr>
    </w:div>
    <w:div w:id="356975831">
      <w:bodyDiv w:val="1"/>
      <w:marLeft w:val="0"/>
      <w:marRight w:val="0"/>
      <w:marTop w:val="0"/>
      <w:marBottom w:val="0"/>
      <w:divBdr>
        <w:top w:val="none" w:sz="0" w:space="0" w:color="auto"/>
        <w:left w:val="none" w:sz="0" w:space="0" w:color="auto"/>
        <w:bottom w:val="none" w:sz="0" w:space="0" w:color="auto"/>
        <w:right w:val="none" w:sz="0" w:space="0" w:color="auto"/>
      </w:divBdr>
    </w:div>
    <w:div w:id="359621923">
      <w:bodyDiv w:val="1"/>
      <w:marLeft w:val="0"/>
      <w:marRight w:val="0"/>
      <w:marTop w:val="0"/>
      <w:marBottom w:val="0"/>
      <w:divBdr>
        <w:top w:val="none" w:sz="0" w:space="0" w:color="auto"/>
        <w:left w:val="none" w:sz="0" w:space="0" w:color="auto"/>
        <w:bottom w:val="none" w:sz="0" w:space="0" w:color="auto"/>
        <w:right w:val="none" w:sz="0" w:space="0" w:color="auto"/>
      </w:divBdr>
    </w:div>
    <w:div w:id="360129309">
      <w:bodyDiv w:val="1"/>
      <w:marLeft w:val="0"/>
      <w:marRight w:val="0"/>
      <w:marTop w:val="0"/>
      <w:marBottom w:val="0"/>
      <w:divBdr>
        <w:top w:val="none" w:sz="0" w:space="0" w:color="auto"/>
        <w:left w:val="none" w:sz="0" w:space="0" w:color="auto"/>
        <w:bottom w:val="none" w:sz="0" w:space="0" w:color="auto"/>
        <w:right w:val="none" w:sz="0" w:space="0" w:color="auto"/>
      </w:divBdr>
    </w:div>
    <w:div w:id="360522460">
      <w:bodyDiv w:val="1"/>
      <w:marLeft w:val="0"/>
      <w:marRight w:val="0"/>
      <w:marTop w:val="0"/>
      <w:marBottom w:val="0"/>
      <w:divBdr>
        <w:top w:val="none" w:sz="0" w:space="0" w:color="auto"/>
        <w:left w:val="none" w:sz="0" w:space="0" w:color="auto"/>
        <w:bottom w:val="none" w:sz="0" w:space="0" w:color="auto"/>
        <w:right w:val="none" w:sz="0" w:space="0" w:color="auto"/>
      </w:divBdr>
    </w:div>
    <w:div w:id="362944991">
      <w:bodyDiv w:val="1"/>
      <w:marLeft w:val="0"/>
      <w:marRight w:val="0"/>
      <w:marTop w:val="0"/>
      <w:marBottom w:val="0"/>
      <w:divBdr>
        <w:top w:val="none" w:sz="0" w:space="0" w:color="auto"/>
        <w:left w:val="none" w:sz="0" w:space="0" w:color="auto"/>
        <w:bottom w:val="none" w:sz="0" w:space="0" w:color="auto"/>
        <w:right w:val="none" w:sz="0" w:space="0" w:color="auto"/>
      </w:divBdr>
    </w:div>
    <w:div w:id="363750670">
      <w:bodyDiv w:val="1"/>
      <w:marLeft w:val="0"/>
      <w:marRight w:val="0"/>
      <w:marTop w:val="0"/>
      <w:marBottom w:val="0"/>
      <w:divBdr>
        <w:top w:val="none" w:sz="0" w:space="0" w:color="auto"/>
        <w:left w:val="none" w:sz="0" w:space="0" w:color="auto"/>
        <w:bottom w:val="none" w:sz="0" w:space="0" w:color="auto"/>
        <w:right w:val="none" w:sz="0" w:space="0" w:color="auto"/>
      </w:divBdr>
    </w:div>
    <w:div w:id="363754119">
      <w:bodyDiv w:val="1"/>
      <w:marLeft w:val="0"/>
      <w:marRight w:val="0"/>
      <w:marTop w:val="0"/>
      <w:marBottom w:val="0"/>
      <w:divBdr>
        <w:top w:val="none" w:sz="0" w:space="0" w:color="auto"/>
        <w:left w:val="none" w:sz="0" w:space="0" w:color="auto"/>
        <w:bottom w:val="none" w:sz="0" w:space="0" w:color="auto"/>
        <w:right w:val="none" w:sz="0" w:space="0" w:color="auto"/>
      </w:divBdr>
    </w:div>
    <w:div w:id="376467171">
      <w:bodyDiv w:val="1"/>
      <w:marLeft w:val="0"/>
      <w:marRight w:val="0"/>
      <w:marTop w:val="0"/>
      <w:marBottom w:val="0"/>
      <w:divBdr>
        <w:top w:val="none" w:sz="0" w:space="0" w:color="auto"/>
        <w:left w:val="none" w:sz="0" w:space="0" w:color="auto"/>
        <w:bottom w:val="none" w:sz="0" w:space="0" w:color="auto"/>
        <w:right w:val="none" w:sz="0" w:space="0" w:color="auto"/>
      </w:divBdr>
    </w:div>
    <w:div w:id="387188855">
      <w:bodyDiv w:val="1"/>
      <w:marLeft w:val="0"/>
      <w:marRight w:val="0"/>
      <w:marTop w:val="0"/>
      <w:marBottom w:val="0"/>
      <w:divBdr>
        <w:top w:val="none" w:sz="0" w:space="0" w:color="auto"/>
        <w:left w:val="none" w:sz="0" w:space="0" w:color="auto"/>
        <w:bottom w:val="none" w:sz="0" w:space="0" w:color="auto"/>
        <w:right w:val="none" w:sz="0" w:space="0" w:color="auto"/>
      </w:divBdr>
    </w:div>
    <w:div w:id="390233872">
      <w:bodyDiv w:val="1"/>
      <w:marLeft w:val="0"/>
      <w:marRight w:val="0"/>
      <w:marTop w:val="0"/>
      <w:marBottom w:val="0"/>
      <w:divBdr>
        <w:top w:val="none" w:sz="0" w:space="0" w:color="auto"/>
        <w:left w:val="none" w:sz="0" w:space="0" w:color="auto"/>
        <w:bottom w:val="none" w:sz="0" w:space="0" w:color="auto"/>
        <w:right w:val="none" w:sz="0" w:space="0" w:color="auto"/>
      </w:divBdr>
    </w:div>
    <w:div w:id="391005276">
      <w:bodyDiv w:val="1"/>
      <w:marLeft w:val="0"/>
      <w:marRight w:val="0"/>
      <w:marTop w:val="0"/>
      <w:marBottom w:val="0"/>
      <w:divBdr>
        <w:top w:val="none" w:sz="0" w:space="0" w:color="auto"/>
        <w:left w:val="none" w:sz="0" w:space="0" w:color="auto"/>
        <w:bottom w:val="none" w:sz="0" w:space="0" w:color="auto"/>
        <w:right w:val="none" w:sz="0" w:space="0" w:color="auto"/>
      </w:divBdr>
    </w:div>
    <w:div w:id="391467111">
      <w:bodyDiv w:val="1"/>
      <w:marLeft w:val="0"/>
      <w:marRight w:val="0"/>
      <w:marTop w:val="0"/>
      <w:marBottom w:val="0"/>
      <w:divBdr>
        <w:top w:val="none" w:sz="0" w:space="0" w:color="auto"/>
        <w:left w:val="none" w:sz="0" w:space="0" w:color="auto"/>
        <w:bottom w:val="none" w:sz="0" w:space="0" w:color="auto"/>
        <w:right w:val="none" w:sz="0" w:space="0" w:color="auto"/>
      </w:divBdr>
    </w:div>
    <w:div w:id="392386776">
      <w:bodyDiv w:val="1"/>
      <w:marLeft w:val="0"/>
      <w:marRight w:val="0"/>
      <w:marTop w:val="0"/>
      <w:marBottom w:val="0"/>
      <w:divBdr>
        <w:top w:val="none" w:sz="0" w:space="0" w:color="auto"/>
        <w:left w:val="none" w:sz="0" w:space="0" w:color="auto"/>
        <w:bottom w:val="none" w:sz="0" w:space="0" w:color="auto"/>
        <w:right w:val="none" w:sz="0" w:space="0" w:color="auto"/>
      </w:divBdr>
    </w:div>
    <w:div w:id="397286905">
      <w:bodyDiv w:val="1"/>
      <w:marLeft w:val="0"/>
      <w:marRight w:val="0"/>
      <w:marTop w:val="0"/>
      <w:marBottom w:val="0"/>
      <w:divBdr>
        <w:top w:val="none" w:sz="0" w:space="0" w:color="auto"/>
        <w:left w:val="none" w:sz="0" w:space="0" w:color="auto"/>
        <w:bottom w:val="none" w:sz="0" w:space="0" w:color="auto"/>
        <w:right w:val="none" w:sz="0" w:space="0" w:color="auto"/>
      </w:divBdr>
    </w:div>
    <w:div w:id="402260864">
      <w:bodyDiv w:val="1"/>
      <w:marLeft w:val="0"/>
      <w:marRight w:val="0"/>
      <w:marTop w:val="0"/>
      <w:marBottom w:val="0"/>
      <w:divBdr>
        <w:top w:val="none" w:sz="0" w:space="0" w:color="auto"/>
        <w:left w:val="none" w:sz="0" w:space="0" w:color="auto"/>
        <w:bottom w:val="none" w:sz="0" w:space="0" w:color="auto"/>
        <w:right w:val="none" w:sz="0" w:space="0" w:color="auto"/>
      </w:divBdr>
    </w:div>
    <w:div w:id="402797135">
      <w:bodyDiv w:val="1"/>
      <w:marLeft w:val="0"/>
      <w:marRight w:val="0"/>
      <w:marTop w:val="0"/>
      <w:marBottom w:val="0"/>
      <w:divBdr>
        <w:top w:val="none" w:sz="0" w:space="0" w:color="auto"/>
        <w:left w:val="none" w:sz="0" w:space="0" w:color="auto"/>
        <w:bottom w:val="none" w:sz="0" w:space="0" w:color="auto"/>
        <w:right w:val="none" w:sz="0" w:space="0" w:color="auto"/>
      </w:divBdr>
    </w:div>
    <w:div w:id="407654020">
      <w:bodyDiv w:val="1"/>
      <w:marLeft w:val="0"/>
      <w:marRight w:val="0"/>
      <w:marTop w:val="0"/>
      <w:marBottom w:val="0"/>
      <w:divBdr>
        <w:top w:val="none" w:sz="0" w:space="0" w:color="auto"/>
        <w:left w:val="none" w:sz="0" w:space="0" w:color="auto"/>
        <w:bottom w:val="none" w:sz="0" w:space="0" w:color="auto"/>
        <w:right w:val="none" w:sz="0" w:space="0" w:color="auto"/>
      </w:divBdr>
    </w:div>
    <w:div w:id="421951278">
      <w:bodyDiv w:val="1"/>
      <w:marLeft w:val="0"/>
      <w:marRight w:val="0"/>
      <w:marTop w:val="0"/>
      <w:marBottom w:val="0"/>
      <w:divBdr>
        <w:top w:val="none" w:sz="0" w:space="0" w:color="auto"/>
        <w:left w:val="none" w:sz="0" w:space="0" w:color="auto"/>
        <w:bottom w:val="none" w:sz="0" w:space="0" w:color="auto"/>
        <w:right w:val="none" w:sz="0" w:space="0" w:color="auto"/>
      </w:divBdr>
    </w:div>
    <w:div w:id="422998163">
      <w:bodyDiv w:val="1"/>
      <w:marLeft w:val="0"/>
      <w:marRight w:val="0"/>
      <w:marTop w:val="0"/>
      <w:marBottom w:val="0"/>
      <w:divBdr>
        <w:top w:val="none" w:sz="0" w:space="0" w:color="auto"/>
        <w:left w:val="none" w:sz="0" w:space="0" w:color="auto"/>
        <w:bottom w:val="none" w:sz="0" w:space="0" w:color="auto"/>
        <w:right w:val="none" w:sz="0" w:space="0" w:color="auto"/>
      </w:divBdr>
    </w:div>
    <w:div w:id="437799903">
      <w:bodyDiv w:val="1"/>
      <w:marLeft w:val="0"/>
      <w:marRight w:val="0"/>
      <w:marTop w:val="0"/>
      <w:marBottom w:val="0"/>
      <w:divBdr>
        <w:top w:val="none" w:sz="0" w:space="0" w:color="auto"/>
        <w:left w:val="none" w:sz="0" w:space="0" w:color="auto"/>
        <w:bottom w:val="none" w:sz="0" w:space="0" w:color="auto"/>
        <w:right w:val="none" w:sz="0" w:space="0" w:color="auto"/>
      </w:divBdr>
    </w:div>
    <w:div w:id="438523124">
      <w:bodyDiv w:val="1"/>
      <w:marLeft w:val="0"/>
      <w:marRight w:val="0"/>
      <w:marTop w:val="0"/>
      <w:marBottom w:val="0"/>
      <w:divBdr>
        <w:top w:val="none" w:sz="0" w:space="0" w:color="auto"/>
        <w:left w:val="none" w:sz="0" w:space="0" w:color="auto"/>
        <w:bottom w:val="none" w:sz="0" w:space="0" w:color="auto"/>
        <w:right w:val="none" w:sz="0" w:space="0" w:color="auto"/>
      </w:divBdr>
    </w:div>
    <w:div w:id="440340952">
      <w:bodyDiv w:val="1"/>
      <w:marLeft w:val="0"/>
      <w:marRight w:val="0"/>
      <w:marTop w:val="0"/>
      <w:marBottom w:val="0"/>
      <w:divBdr>
        <w:top w:val="none" w:sz="0" w:space="0" w:color="auto"/>
        <w:left w:val="none" w:sz="0" w:space="0" w:color="auto"/>
        <w:bottom w:val="none" w:sz="0" w:space="0" w:color="auto"/>
        <w:right w:val="none" w:sz="0" w:space="0" w:color="auto"/>
      </w:divBdr>
    </w:div>
    <w:div w:id="456726070">
      <w:bodyDiv w:val="1"/>
      <w:marLeft w:val="0"/>
      <w:marRight w:val="0"/>
      <w:marTop w:val="0"/>
      <w:marBottom w:val="0"/>
      <w:divBdr>
        <w:top w:val="none" w:sz="0" w:space="0" w:color="auto"/>
        <w:left w:val="none" w:sz="0" w:space="0" w:color="auto"/>
        <w:bottom w:val="none" w:sz="0" w:space="0" w:color="auto"/>
        <w:right w:val="none" w:sz="0" w:space="0" w:color="auto"/>
      </w:divBdr>
    </w:div>
    <w:div w:id="468596373">
      <w:bodyDiv w:val="1"/>
      <w:marLeft w:val="0"/>
      <w:marRight w:val="0"/>
      <w:marTop w:val="0"/>
      <w:marBottom w:val="0"/>
      <w:divBdr>
        <w:top w:val="none" w:sz="0" w:space="0" w:color="auto"/>
        <w:left w:val="none" w:sz="0" w:space="0" w:color="auto"/>
        <w:bottom w:val="none" w:sz="0" w:space="0" w:color="auto"/>
        <w:right w:val="none" w:sz="0" w:space="0" w:color="auto"/>
      </w:divBdr>
    </w:div>
    <w:div w:id="472672574">
      <w:bodyDiv w:val="1"/>
      <w:marLeft w:val="0"/>
      <w:marRight w:val="0"/>
      <w:marTop w:val="0"/>
      <w:marBottom w:val="0"/>
      <w:divBdr>
        <w:top w:val="none" w:sz="0" w:space="0" w:color="auto"/>
        <w:left w:val="none" w:sz="0" w:space="0" w:color="auto"/>
        <w:bottom w:val="none" w:sz="0" w:space="0" w:color="auto"/>
        <w:right w:val="none" w:sz="0" w:space="0" w:color="auto"/>
      </w:divBdr>
    </w:div>
    <w:div w:id="474487324">
      <w:bodyDiv w:val="1"/>
      <w:marLeft w:val="0"/>
      <w:marRight w:val="0"/>
      <w:marTop w:val="0"/>
      <w:marBottom w:val="0"/>
      <w:divBdr>
        <w:top w:val="none" w:sz="0" w:space="0" w:color="auto"/>
        <w:left w:val="none" w:sz="0" w:space="0" w:color="auto"/>
        <w:bottom w:val="none" w:sz="0" w:space="0" w:color="auto"/>
        <w:right w:val="none" w:sz="0" w:space="0" w:color="auto"/>
      </w:divBdr>
    </w:div>
    <w:div w:id="491483599">
      <w:bodyDiv w:val="1"/>
      <w:marLeft w:val="0"/>
      <w:marRight w:val="0"/>
      <w:marTop w:val="0"/>
      <w:marBottom w:val="0"/>
      <w:divBdr>
        <w:top w:val="none" w:sz="0" w:space="0" w:color="auto"/>
        <w:left w:val="none" w:sz="0" w:space="0" w:color="auto"/>
        <w:bottom w:val="none" w:sz="0" w:space="0" w:color="auto"/>
        <w:right w:val="none" w:sz="0" w:space="0" w:color="auto"/>
      </w:divBdr>
    </w:div>
    <w:div w:id="497042424">
      <w:bodyDiv w:val="1"/>
      <w:marLeft w:val="0"/>
      <w:marRight w:val="0"/>
      <w:marTop w:val="0"/>
      <w:marBottom w:val="0"/>
      <w:divBdr>
        <w:top w:val="none" w:sz="0" w:space="0" w:color="auto"/>
        <w:left w:val="none" w:sz="0" w:space="0" w:color="auto"/>
        <w:bottom w:val="none" w:sz="0" w:space="0" w:color="auto"/>
        <w:right w:val="none" w:sz="0" w:space="0" w:color="auto"/>
      </w:divBdr>
    </w:div>
    <w:div w:id="500245230">
      <w:bodyDiv w:val="1"/>
      <w:marLeft w:val="0"/>
      <w:marRight w:val="0"/>
      <w:marTop w:val="0"/>
      <w:marBottom w:val="0"/>
      <w:divBdr>
        <w:top w:val="none" w:sz="0" w:space="0" w:color="auto"/>
        <w:left w:val="none" w:sz="0" w:space="0" w:color="auto"/>
        <w:bottom w:val="none" w:sz="0" w:space="0" w:color="auto"/>
        <w:right w:val="none" w:sz="0" w:space="0" w:color="auto"/>
      </w:divBdr>
    </w:div>
    <w:div w:id="507839867">
      <w:bodyDiv w:val="1"/>
      <w:marLeft w:val="0"/>
      <w:marRight w:val="0"/>
      <w:marTop w:val="0"/>
      <w:marBottom w:val="0"/>
      <w:divBdr>
        <w:top w:val="none" w:sz="0" w:space="0" w:color="auto"/>
        <w:left w:val="none" w:sz="0" w:space="0" w:color="auto"/>
        <w:bottom w:val="none" w:sz="0" w:space="0" w:color="auto"/>
        <w:right w:val="none" w:sz="0" w:space="0" w:color="auto"/>
      </w:divBdr>
    </w:div>
    <w:div w:id="515000520">
      <w:bodyDiv w:val="1"/>
      <w:marLeft w:val="0"/>
      <w:marRight w:val="0"/>
      <w:marTop w:val="0"/>
      <w:marBottom w:val="0"/>
      <w:divBdr>
        <w:top w:val="none" w:sz="0" w:space="0" w:color="auto"/>
        <w:left w:val="none" w:sz="0" w:space="0" w:color="auto"/>
        <w:bottom w:val="none" w:sz="0" w:space="0" w:color="auto"/>
        <w:right w:val="none" w:sz="0" w:space="0" w:color="auto"/>
      </w:divBdr>
    </w:div>
    <w:div w:id="520314372">
      <w:bodyDiv w:val="1"/>
      <w:marLeft w:val="0"/>
      <w:marRight w:val="0"/>
      <w:marTop w:val="0"/>
      <w:marBottom w:val="0"/>
      <w:divBdr>
        <w:top w:val="none" w:sz="0" w:space="0" w:color="auto"/>
        <w:left w:val="none" w:sz="0" w:space="0" w:color="auto"/>
        <w:bottom w:val="none" w:sz="0" w:space="0" w:color="auto"/>
        <w:right w:val="none" w:sz="0" w:space="0" w:color="auto"/>
      </w:divBdr>
    </w:div>
    <w:div w:id="524834323">
      <w:bodyDiv w:val="1"/>
      <w:marLeft w:val="0"/>
      <w:marRight w:val="0"/>
      <w:marTop w:val="0"/>
      <w:marBottom w:val="0"/>
      <w:divBdr>
        <w:top w:val="none" w:sz="0" w:space="0" w:color="auto"/>
        <w:left w:val="none" w:sz="0" w:space="0" w:color="auto"/>
        <w:bottom w:val="none" w:sz="0" w:space="0" w:color="auto"/>
        <w:right w:val="none" w:sz="0" w:space="0" w:color="auto"/>
      </w:divBdr>
    </w:div>
    <w:div w:id="526451203">
      <w:bodyDiv w:val="1"/>
      <w:marLeft w:val="0"/>
      <w:marRight w:val="0"/>
      <w:marTop w:val="0"/>
      <w:marBottom w:val="0"/>
      <w:divBdr>
        <w:top w:val="none" w:sz="0" w:space="0" w:color="auto"/>
        <w:left w:val="none" w:sz="0" w:space="0" w:color="auto"/>
        <w:bottom w:val="none" w:sz="0" w:space="0" w:color="auto"/>
        <w:right w:val="none" w:sz="0" w:space="0" w:color="auto"/>
      </w:divBdr>
    </w:div>
    <w:div w:id="529032170">
      <w:bodyDiv w:val="1"/>
      <w:marLeft w:val="0"/>
      <w:marRight w:val="0"/>
      <w:marTop w:val="0"/>
      <w:marBottom w:val="0"/>
      <w:divBdr>
        <w:top w:val="none" w:sz="0" w:space="0" w:color="auto"/>
        <w:left w:val="none" w:sz="0" w:space="0" w:color="auto"/>
        <w:bottom w:val="none" w:sz="0" w:space="0" w:color="auto"/>
        <w:right w:val="none" w:sz="0" w:space="0" w:color="auto"/>
      </w:divBdr>
    </w:div>
    <w:div w:id="544298427">
      <w:bodyDiv w:val="1"/>
      <w:marLeft w:val="0"/>
      <w:marRight w:val="0"/>
      <w:marTop w:val="0"/>
      <w:marBottom w:val="0"/>
      <w:divBdr>
        <w:top w:val="none" w:sz="0" w:space="0" w:color="auto"/>
        <w:left w:val="none" w:sz="0" w:space="0" w:color="auto"/>
        <w:bottom w:val="none" w:sz="0" w:space="0" w:color="auto"/>
        <w:right w:val="none" w:sz="0" w:space="0" w:color="auto"/>
      </w:divBdr>
    </w:div>
    <w:div w:id="552812960">
      <w:bodyDiv w:val="1"/>
      <w:marLeft w:val="0"/>
      <w:marRight w:val="0"/>
      <w:marTop w:val="0"/>
      <w:marBottom w:val="0"/>
      <w:divBdr>
        <w:top w:val="none" w:sz="0" w:space="0" w:color="auto"/>
        <w:left w:val="none" w:sz="0" w:space="0" w:color="auto"/>
        <w:bottom w:val="none" w:sz="0" w:space="0" w:color="auto"/>
        <w:right w:val="none" w:sz="0" w:space="0" w:color="auto"/>
      </w:divBdr>
    </w:div>
    <w:div w:id="568733130">
      <w:bodyDiv w:val="1"/>
      <w:marLeft w:val="0"/>
      <w:marRight w:val="0"/>
      <w:marTop w:val="0"/>
      <w:marBottom w:val="0"/>
      <w:divBdr>
        <w:top w:val="none" w:sz="0" w:space="0" w:color="auto"/>
        <w:left w:val="none" w:sz="0" w:space="0" w:color="auto"/>
        <w:bottom w:val="none" w:sz="0" w:space="0" w:color="auto"/>
        <w:right w:val="none" w:sz="0" w:space="0" w:color="auto"/>
      </w:divBdr>
    </w:div>
    <w:div w:id="571474559">
      <w:bodyDiv w:val="1"/>
      <w:marLeft w:val="0"/>
      <w:marRight w:val="0"/>
      <w:marTop w:val="0"/>
      <w:marBottom w:val="0"/>
      <w:divBdr>
        <w:top w:val="none" w:sz="0" w:space="0" w:color="auto"/>
        <w:left w:val="none" w:sz="0" w:space="0" w:color="auto"/>
        <w:bottom w:val="none" w:sz="0" w:space="0" w:color="auto"/>
        <w:right w:val="none" w:sz="0" w:space="0" w:color="auto"/>
      </w:divBdr>
    </w:div>
    <w:div w:id="575021588">
      <w:bodyDiv w:val="1"/>
      <w:marLeft w:val="0"/>
      <w:marRight w:val="0"/>
      <w:marTop w:val="0"/>
      <w:marBottom w:val="0"/>
      <w:divBdr>
        <w:top w:val="none" w:sz="0" w:space="0" w:color="auto"/>
        <w:left w:val="none" w:sz="0" w:space="0" w:color="auto"/>
        <w:bottom w:val="none" w:sz="0" w:space="0" w:color="auto"/>
        <w:right w:val="none" w:sz="0" w:space="0" w:color="auto"/>
      </w:divBdr>
    </w:div>
    <w:div w:id="579171708">
      <w:bodyDiv w:val="1"/>
      <w:marLeft w:val="0"/>
      <w:marRight w:val="0"/>
      <w:marTop w:val="0"/>
      <w:marBottom w:val="0"/>
      <w:divBdr>
        <w:top w:val="none" w:sz="0" w:space="0" w:color="auto"/>
        <w:left w:val="none" w:sz="0" w:space="0" w:color="auto"/>
        <w:bottom w:val="none" w:sz="0" w:space="0" w:color="auto"/>
        <w:right w:val="none" w:sz="0" w:space="0" w:color="auto"/>
      </w:divBdr>
    </w:div>
    <w:div w:id="586427503">
      <w:bodyDiv w:val="1"/>
      <w:marLeft w:val="0"/>
      <w:marRight w:val="0"/>
      <w:marTop w:val="0"/>
      <w:marBottom w:val="0"/>
      <w:divBdr>
        <w:top w:val="none" w:sz="0" w:space="0" w:color="auto"/>
        <w:left w:val="none" w:sz="0" w:space="0" w:color="auto"/>
        <w:bottom w:val="none" w:sz="0" w:space="0" w:color="auto"/>
        <w:right w:val="none" w:sz="0" w:space="0" w:color="auto"/>
      </w:divBdr>
    </w:div>
    <w:div w:id="588852294">
      <w:bodyDiv w:val="1"/>
      <w:marLeft w:val="0"/>
      <w:marRight w:val="0"/>
      <w:marTop w:val="0"/>
      <w:marBottom w:val="0"/>
      <w:divBdr>
        <w:top w:val="none" w:sz="0" w:space="0" w:color="auto"/>
        <w:left w:val="none" w:sz="0" w:space="0" w:color="auto"/>
        <w:bottom w:val="none" w:sz="0" w:space="0" w:color="auto"/>
        <w:right w:val="none" w:sz="0" w:space="0" w:color="auto"/>
      </w:divBdr>
    </w:div>
    <w:div w:id="590159426">
      <w:bodyDiv w:val="1"/>
      <w:marLeft w:val="0"/>
      <w:marRight w:val="0"/>
      <w:marTop w:val="0"/>
      <w:marBottom w:val="0"/>
      <w:divBdr>
        <w:top w:val="none" w:sz="0" w:space="0" w:color="auto"/>
        <w:left w:val="none" w:sz="0" w:space="0" w:color="auto"/>
        <w:bottom w:val="none" w:sz="0" w:space="0" w:color="auto"/>
        <w:right w:val="none" w:sz="0" w:space="0" w:color="auto"/>
      </w:divBdr>
    </w:div>
    <w:div w:id="593784404">
      <w:bodyDiv w:val="1"/>
      <w:marLeft w:val="0"/>
      <w:marRight w:val="0"/>
      <w:marTop w:val="0"/>
      <w:marBottom w:val="0"/>
      <w:divBdr>
        <w:top w:val="none" w:sz="0" w:space="0" w:color="auto"/>
        <w:left w:val="none" w:sz="0" w:space="0" w:color="auto"/>
        <w:bottom w:val="none" w:sz="0" w:space="0" w:color="auto"/>
        <w:right w:val="none" w:sz="0" w:space="0" w:color="auto"/>
      </w:divBdr>
    </w:div>
    <w:div w:id="596325500">
      <w:bodyDiv w:val="1"/>
      <w:marLeft w:val="0"/>
      <w:marRight w:val="0"/>
      <w:marTop w:val="0"/>
      <w:marBottom w:val="0"/>
      <w:divBdr>
        <w:top w:val="none" w:sz="0" w:space="0" w:color="auto"/>
        <w:left w:val="none" w:sz="0" w:space="0" w:color="auto"/>
        <w:bottom w:val="none" w:sz="0" w:space="0" w:color="auto"/>
        <w:right w:val="none" w:sz="0" w:space="0" w:color="auto"/>
      </w:divBdr>
    </w:div>
    <w:div w:id="598292987">
      <w:bodyDiv w:val="1"/>
      <w:marLeft w:val="0"/>
      <w:marRight w:val="0"/>
      <w:marTop w:val="0"/>
      <w:marBottom w:val="0"/>
      <w:divBdr>
        <w:top w:val="none" w:sz="0" w:space="0" w:color="auto"/>
        <w:left w:val="none" w:sz="0" w:space="0" w:color="auto"/>
        <w:bottom w:val="none" w:sz="0" w:space="0" w:color="auto"/>
        <w:right w:val="none" w:sz="0" w:space="0" w:color="auto"/>
      </w:divBdr>
    </w:div>
    <w:div w:id="607810320">
      <w:bodyDiv w:val="1"/>
      <w:marLeft w:val="0"/>
      <w:marRight w:val="0"/>
      <w:marTop w:val="0"/>
      <w:marBottom w:val="0"/>
      <w:divBdr>
        <w:top w:val="none" w:sz="0" w:space="0" w:color="auto"/>
        <w:left w:val="none" w:sz="0" w:space="0" w:color="auto"/>
        <w:bottom w:val="none" w:sz="0" w:space="0" w:color="auto"/>
        <w:right w:val="none" w:sz="0" w:space="0" w:color="auto"/>
      </w:divBdr>
    </w:div>
    <w:div w:id="608322002">
      <w:bodyDiv w:val="1"/>
      <w:marLeft w:val="0"/>
      <w:marRight w:val="0"/>
      <w:marTop w:val="0"/>
      <w:marBottom w:val="0"/>
      <w:divBdr>
        <w:top w:val="none" w:sz="0" w:space="0" w:color="auto"/>
        <w:left w:val="none" w:sz="0" w:space="0" w:color="auto"/>
        <w:bottom w:val="none" w:sz="0" w:space="0" w:color="auto"/>
        <w:right w:val="none" w:sz="0" w:space="0" w:color="auto"/>
      </w:divBdr>
    </w:div>
    <w:div w:id="616370391">
      <w:bodyDiv w:val="1"/>
      <w:marLeft w:val="0"/>
      <w:marRight w:val="0"/>
      <w:marTop w:val="0"/>
      <w:marBottom w:val="0"/>
      <w:divBdr>
        <w:top w:val="none" w:sz="0" w:space="0" w:color="auto"/>
        <w:left w:val="none" w:sz="0" w:space="0" w:color="auto"/>
        <w:bottom w:val="none" w:sz="0" w:space="0" w:color="auto"/>
        <w:right w:val="none" w:sz="0" w:space="0" w:color="auto"/>
      </w:divBdr>
    </w:div>
    <w:div w:id="620384042">
      <w:bodyDiv w:val="1"/>
      <w:marLeft w:val="0"/>
      <w:marRight w:val="0"/>
      <w:marTop w:val="0"/>
      <w:marBottom w:val="0"/>
      <w:divBdr>
        <w:top w:val="none" w:sz="0" w:space="0" w:color="auto"/>
        <w:left w:val="none" w:sz="0" w:space="0" w:color="auto"/>
        <w:bottom w:val="none" w:sz="0" w:space="0" w:color="auto"/>
        <w:right w:val="none" w:sz="0" w:space="0" w:color="auto"/>
      </w:divBdr>
    </w:div>
    <w:div w:id="620693405">
      <w:bodyDiv w:val="1"/>
      <w:marLeft w:val="0"/>
      <w:marRight w:val="0"/>
      <w:marTop w:val="0"/>
      <w:marBottom w:val="0"/>
      <w:divBdr>
        <w:top w:val="none" w:sz="0" w:space="0" w:color="auto"/>
        <w:left w:val="none" w:sz="0" w:space="0" w:color="auto"/>
        <w:bottom w:val="none" w:sz="0" w:space="0" w:color="auto"/>
        <w:right w:val="none" w:sz="0" w:space="0" w:color="auto"/>
      </w:divBdr>
    </w:div>
    <w:div w:id="621154106">
      <w:bodyDiv w:val="1"/>
      <w:marLeft w:val="0"/>
      <w:marRight w:val="0"/>
      <w:marTop w:val="0"/>
      <w:marBottom w:val="0"/>
      <w:divBdr>
        <w:top w:val="none" w:sz="0" w:space="0" w:color="auto"/>
        <w:left w:val="none" w:sz="0" w:space="0" w:color="auto"/>
        <w:bottom w:val="none" w:sz="0" w:space="0" w:color="auto"/>
        <w:right w:val="none" w:sz="0" w:space="0" w:color="auto"/>
      </w:divBdr>
    </w:div>
    <w:div w:id="625309123">
      <w:bodyDiv w:val="1"/>
      <w:marLeft w:val="0"/>
      <w:marRight w:val="0"/>
      <w:marTop w:val="0"/>
      <w:marBottom w:val="0"/>
      <w:divBdr>
        <w:top w:val="none" w:sz="0" w:space="0" w:color="auto"/>
        <w:left w:val="none" w:sz="0" w:space="0" w:color="auto"/>
        <w:bottom w:val="none" w:sz="0" w:space="0" w:color="auto"/>
        <w:right w:val="none" w:sz="0" w:space="0" w:color="auto"/>
      </w:divBdr>
    </w:div>
    <w:div w:id="642002004">
      <w:bodyDiv w:val="1"/>
      <w:marLeft w:val="0"/>
      <w:marRight w:val="0"/>
      <w:marTop w:val="0"/>
      <w:marBottom w:val="0"/>
      <w:divBdr>
        <w:top w:val="none" w:sz="0" w:space="0" w:color="auto"/>
        <w:left w:val="none" w:sz="0" w:space="0" w:color="auto"/>
        <w:bottom w:val="none" w:sz="0" w:space="0" w:color="auto"/>
        <w:right w:val="none" w:sz="0" w:space="0" w:color="auto"/>
      </w:divBdr>
    </w:div>
    <w:div w:id="643698041">
      <w:bodyDiv w:val="1"/>
      <w:marLeft w:val="0"/>
      <w:marRight w:val="0"/>
      <w:marTop w:val="0"/>
      <w:marBottom w:val="0"/>
      <w:divBdr>
        <w:top w:val="none" w:sz="0" w:space="0" w:color="auto"/>
        <w:left w:val="none" w:sz="0" w:space="0" w:color="auto"/>
        <w:bottom w:val="none" w:sz="0" w:space="0" w:color="auto"/>
        <w:right w:val="none" w:sz="0" w:space="0" w:color="auto"/>
      </w:divBdr>
    </w:div>
    <w:div w:id="648947313">
      <w:bodyDiv w:val="1"/>
      <w:marLeft w:val="0"/>
      <w:marRight w:val="0"/>
      <w:marTop w:val="0"/>
      <w:marBottom w:val="0"/>
      <w:divBdr>
        <w:top w:val="none" w:sz="0" w:space="0" w:color="auto"/>
        <w:left w:val="none" w:sz="0" w:space="0" w:color="auto"/>
        <w:bottom w:val="none" w:sz="0" w:space="0" w:color="auto"/>
        <w:right w:val="none" w:sz="0" w:space="0" w:color="auto"/>
      </w:divBdr>
    </w:div>
    <w:div w:id="662590226">
      <w:bodyDiv w:val="1"/>
      <w:marLeft w:val="0"/>
      <w:marRight w:val="0"/>
      <w:marTop w:val="0"/>
      <w:marBottom w:val="0"/>
      <w:divBdr>
        <w:top w:val="none" w:sz="0" w:space="0" w:color="auto"/>
        <w:left w:val="none" w:sz="0" w:space="0" w:color="auto"/>
        <w:bottom w:val="none" w:sz="0" w:space="0" w:color="auto"/>
        <w:right w:val="none" w:sz="0" w:space="0" w:color="auto"/>
      </w:divBdr>
    </w:div>
    <w:div w:id="663125712">
      <w:bodyDiv w:val="1"/>
      <w:marLeft w:val="0"/>
      <w:marRight w:val="0"/>
      <w:marTop w:val="0"/>
      <w:marBottom w:val="0"/>
      <w:divBdr>
        <w:top w:val="none" w:sz="0" w:space="0" w:color="auto"/>
        <w:left w:val="none" w:sz="0" w:space="0" w:color="auto"/>
        <w:bottom w:val="none" w:sz="0" w:space="0" w:color="auto"/>
        <w:right w:val="none" w:sz="0" w:space="0" w:color="auto"/>
      </w:divBdr>
    </w:div>
    <w:div w:id="668099793">
      <w:bodyDiv w:val="1"/>
      <w:marLeft w:val="0"/>
      <w:marRight w:val="0"/>
      <w:marTop w:val="0"/>
      <w:marBottom w:val="0"/>
      <w:divBdr>
        <w:top w:val="none" w:sz="0" w:space="0" w:color="auto"/>
        <w:left w:val="none" w:sz="0" w:space="0" w:color="auto"/>
        <w:bottom w:val="none" w:sz="0" w:space="0" w:color="auto"/>
        <w:right w:val="none" w:sz="0" w:space="0" w:color="auto"/>
      </w:divBdr>
    </w:div>
    <w:div w:id="671252447">
      <w:bodyDiv w:val="1"/>
      <w:marLeft w:val="0"/>
      <w:marRight w:val="0"/>
      <w:marTop w:val="0"/>
      <w:marBottom w:val="0"/>
      <w:divBdr>
        <w:top w:val="none" w:sz="0" w:space="0" w:color="auto"/>
        <w:left w:val="none" w:sz="0" w:space="0" w:color="auto"/>
        <w:bottom w:val="none" w:sz="0" w:space="0" w:color="auto"/>
        <w:right w:val="none" w:sz="0" w:space="0" w:color="auto"/>
      </w:divBdr>
    </w:div>
    <w:div w:id="671877991">
      <w:bodyDiv w:val="1"/>
      <w:marLeft w:val="0"/>
      <w:marRight w:val="0"/>
      <w:marTop w:val="0"/>
      <w:marBottom w:val="0"/>
      <w:divBdr>
        <w:top w:val="none" w:sz="0" w:space="0" w:color="auto"/>
        <w:left w:val="none" w:sz="0" w:space="0" w:color="auto"/>
        <w:bottom w:val="none" w:sz="0" w:space="0" w:color="auto"/>
        <w:right w:val="none" w:sz="0" w:space="0" w:color="auto"/>
      </w:divBdr>
    </w:div>
    <w:div w:id="674767430">
      <w:bodyDiv w:val="1"/>
      <w:marLeft w:val="0"/>
      <w:marRight w:val="0"/>
      <w:marTop w:val="0"/>
      <w:marBottom w:val="0"/>
      <w:divBdr>
        <w:top w:val="none" w:sz="0" w:space="0" w:color="auto"/>
        <w:left w:val="none" w:sz="0" w:space="0" w:color="auto"/>
        <w:bottom w:val="none" w:sz="0" w:space="0" w:color="auto"/>
        <w:right w:val="none" w:sz="0" w:space="0" w:color="auto"/>
      </w:divBdr>
    </w:div>
    <w:div w:id="676350843">
      <w:bodyDiv w:val="1"/>
      <w:marLeft w:val="0"/>
      <w:marRight w:val="0"/>
      <w:marTop w:val="0"/>
      <w:marBottom w:val="0"/>
      <w:divBdr>
        <w:top w:val="none" w:sz="0" w:space="0" w:color="auto"/>
        <w:left w:val="none" w:sz="0" w:space="0" w:color="auto"/>
        <w:bottom w:val="none" w:sz="0" w:space="0" w:color="auto"/>
        <w:right w:val="none" w:sz="0" w:space="0" w:color="auto"/>
      </w:divBdr>
    </w:div>
    <w:div w:id="679744325">
      <w:bodyDiv w:val="1"/>
      <w:marLeft w:val="0"/>
      <w:marRight w:val="0"/>
      <w:marTop w:val="0"/>
      <w:marBottom w:val="0"/>
      <w:divBdr>
        <w:top w:val="none" w:sz="0" w:space="0" w:color="auto"/>
        <w:left w:val="none" w:sz="0" w:space="0" w:color="auto"/>
        <w:bottom w:val="none" w:sz="0" w:space="0" w:color="auto"/>
        <w:right w:val="none" w:sz="0" w:space="0" w:color="auto"/>
      </w:divBdr>
    </w:div>
    <w:div w:id="688458138">
      <w:bodyDiv w:val="1"/>
      <w:marLeft w:val="0"/>
      <w:marRight w:val="0"/>
      <w:marTop w:val="0"/>
      <w:marBottom w:val="0"/>
      <w:divBdr>
        <w:top w:val="none" w:sz="0" w:space="0" w:color="auto"/>
        <w:left w:val="none" w:sz="0" w:space="0" w:color="auto"/>
        <w:bottom w:val="none" w:sz="0" w:space="0" w:color="auto"/>
        <w:right w:val="none" w:sz="0" w:space="0" w:color="auto"/>
      </w:divBdr>
    </w:div>
    <w:div w:id="689797735">
      <w:bodyDiv w:val="1"/>
      <w:marLeft w:val="0"/>
      <w:marRight w:val="0"/>
      <w:marTop w:val="0"/>
      <w:marBottom w:val="0"/>
      <w:divBdr>
        <w:top w:val="none" w:sz="0" w:space="0" w:color="auto"/>
        <w:left w:val="none" w:sz="0" w:space="0" w:color="auto"/>
        <w:bottom w:val="none" w:sz="0" w:space="0" w:color="auto"/>
        <w:right w:val="none" w:sz="0" w:space="0" w:color="auto"/>
      </w:divBdr>
    </w:div>
    <w:div w:id="691568144">
      <w:bodyDiv w:val="1"/>
      <w:marLeft w:val="0"/>
      <w:marRight w:val="0"/>
      <w:marTop w:val="0"/>
      <w:marBottom w:val="0"/>
      <w:divBdr>
        <w:top w:val="none" w:sz="0" w:space="0" w:color="auto"/>
        <w:left w:val="none" w:sz="0" w:space="0" w:color="auto"/>
        <w:bottom w:val="none" w:sz="0" w:space="0" w:color="auto"/>
        <w:right w:val="none" w:sz="0" w:space="0" w:color="auto"/>
      </w:divBdr>
    </w:div>
    <w:div w:id="693075015">
      <w:bodyDiv w:val="1"/>
      <w:marLeft w:val="0"/>
      <w:marRight w:val="0"/>
      <w:marTop w:val="0"/>
      <w:marBottom w:val="0"/>
      <w:divBdr>
        <w:top w:val="none" w:sz="0" w:space="0" w:color="auto"/>
        <w:left w:val="none" w:sz="0" w:space="0" w:color="auto"/>
        <w:bottom w:val="none" w:sz="0" w:space="0" w:color="auto"/>
        <w:right w:val="none" w:sz="0" w:space="0" w:color="auto"/>
      </w:divBdr>
    </w:div>
    <w:div w:id="698507058">
      <w:bodyDiv w:val="1"/>
      <w:marLeft w:val="0"/>
      <w:marRight w:val="0"/>
      <w:marTop w:val="0"/>
      <w:marBottom w:val="0"/>
      <w:divBdr>
        <w:top w:val="none" w:sz="0" w:space="0" w:color="auto"/>
        <w:left w:val="none" w:sz="0" w:space="0" w:color="auto"/>
        <w:bottom w:val="none" w:sz="0" w:space="0" w:color="auto"/>
        <w:right w:val="none" w:sz="0" w:space="0" w:color="auto"/>
      </w:divBdr>
    </w:div>
    <w:div w:id="701705748">
      <w:bodyDiv w:val="1"/>
      <w:marLeft w:val="0"/>
      <w:marRight w:val="0"/>
      <w:marTop w:val="0"/>
      <w:marBottom w:val="0"/>
      <w:divBdr>
        <w:top w:val="none" w:sz="0" w:space="0" w:color="auto"/>
        <w:left w:val="none" w:sz="0" w:space="0" w:color="auto"/>
        <w:bottom w:val="none" w:sz="0" w:space="0" w:color="auto"/>
        <w:right w:val="none" w:sz="0" w:space="0" w:color="auto"/>
      </w:divBdr>
    </w:div>
    <w:div w:id="711686059">
      <w:bodyDiv w:val="1"/>
      <w:marLeft w:val="0"/>
      <w:marRight w:val="0"/>
      <w:marTop w:val="0"/>
      <w:marBottom w:val="0"/>
      <w:divBdr>
        <w:top w:val="none" w:sz="0" w:space="0" w:color="auto"/>
        <w:left w:val="none" w:sz="0" w:space="0" w:color="auto"/>
        <w:bottom w:val="none" w:sz="0" w:space="0" w:color="auto"/>
        <w:right w:val="none" w:sz="0" w:space="0" w:color="auto"/>
      </w:divBdr>
    </w:div>
    <w:div w:id="712117049">
      <w:bodyDiv w:val="1"/>
      <w:marLeft w:val="0"/>
      <w:marRight w:val="0"/>
      <w:marTop w:val="0"/>
      <w:marBottom w:val="0"/>
      <w:divBdr>
        <w:top w:val="none" w:sz="0" w:space="0" w:color="auto"/>
        <w:left w:val="none" w:sz="0" w:space="0" w:color="auto"/>
        <w:bottom w:val="none" w:sz="0" w:space="0" w:color="auto"/>
        <w:right w:val="none" w:sz="0" w:space="0" w:color="auto"/>
      </w:divBdr>
      <w:divsChild>
        <w:div w:id="852765743">
          <w:marLeft w:val="0"/>
          <w:marRight w:val="0"/>
          <w:marTop w:val="0"/>
          <w:marBottom w:val="0"/>
          <w:divBdr>
            <w:top w:val="none" w:sz="0" w:space="0" w:color="auto"/>
            <w:left w:val="none" w:sz="0" w:space="0" w:color="auto"/>
            <w:bottom w:val="none" w:sz="0" w:space="0" w:color="auto"/>
            <w:right w:val="none" w:sz="0" w:space="0" w:color="auto"/>
          </w:divBdr>
          <w:divsChild>
            <w:div w:id="1700933490">
              <w:marLeft w:val="0"/>
              <w:marRight w:val="0"/>
              <w:marTop w:val="0"/>
              <w:marBottom w:val="0"/>
              <w:divBdr>
                <w:top w:val="none" w:sz="0" w:space="0" w:color="auto"/>
                <w:left w:val="none" w:sz="0" w:space="0" w:color="auto"/>
                <w:bottom w:val="none" w:sz="0" w:space="0" w:color="auto"/>
                <w:right w:val="none" w:sz="0" w:space="0" w:color="auto"/>
              </w:divBdr>
              <w:divsChild>
                <w:div w:id="442578013">
                  <w:marLeft w:val="0"/>
                  <w:marRight w:val="0"/>
                  <w:marTop w:val="0"/>
                  <w:marBottom w:val="0"/>
                  <w:divBdr>
                    <w:top w:val="none" w:sz="0" w:space="0" w:color="auto"/>
                    <w:left w:val="none" w:sz="0" w:space="0" w:color="auto"/>
                    <w:bottom w:val="none" w:sz="0" w:space="0" w:color="auto"/>
                    <w:right w:val="none" w:sz="0" w:space="0" w:color="auto"/>
                  </w:divBdr>
                  <w:divsChild>
                    <w:div w:id="1727415628">
                      <w:marLeft w:val="0"/>
                      <w:marRight w:val="0"/>
                      <w:marTop w:val="0"/>
                      <w:marBottom w:val="0"/>
                      <w:divBdr>
                        <w:top w:val="none" w:sz="0" w:space="0" w:color="auto"/>
                        <w:left w:val="none" w:sz="0" w:space="0" w:color="auto"/>
                        <w:bottom w:val="none" w:sz="0" w:space="0" w:color="auto"/>
                        <w:right w:val="none" w:sz="0" w:space="0" w:color="auto"/>
                      </w:divBdr>
                      <w:divsChild>
                        <w:div w:id="841970028">
                          <w:marLeft w:val="0"/>
                          <w:marRight w:val="0"/>
                          <w:marTop w:val="0"/>
                          <w:marBottom w:val="0"/>
                          <w:divBdr>
                            <w:top w:val="none" w:sz="0" w:space="0" w:color="auto"/>
                            <w:left w:val="none" w:sz="0" w:space="0" w:color="auto"/>
                            <w:bottom w:val="none" w:sz="0" w:space="0" w:color="auto"/>
                            <w:right w:val="none" w:sz="0" w:space="0" w:color="auto"/>
                          </w:divBdr>
                          <w:divsChild>
                            <w:div w:id="11141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350624">
      <w:bodyDiv w:val="1"/>
      <w:marLeft w:val="0"/>
      <w:marRight w:val="0"/>
      <w:marTop w:val="0"/>
      <w:marBottom w:val="0"/>
      <w:divBdr>
        <w:top w:val="none" w:sz="0" w:space="0" w:color="auto"/>
        <w:left w:val="none" w:sz="0" w:space="0" w:color="auto"/>
        <w:bottom w:val="none" w:sz="0" w:space="0" w:color="auto"/>
        <w:right w:val="none" w:sz="0" w:space="0" w:color="auto"/>
      </w:divBdr>
    </w:div>
    <w:div w:id="714935388">
      <w:bodyDiv w:val="1"/>
      <w:marLeft w:val="0"/>
      <w:marRight w:val="0"/>
      <w:marTop w:val="0"/>
      <w:marBottom w:val="0"/>
      <w:divBdr>
        <w:top w:val="none" w:sz="0" w:space="0" w:color="auto"/>
        <w:left w:val="none" w:sz="0" w:space="0" w:color="auto"/>
        <w:bottom w:val="none" w:sz="0" w:space="0" w:color="auto"/>
        <w:right w:val="none" w:sz="0" w:space="0" w:color="auto"/>
      </w:divBdr>
    </w:div>
    <w:div w:id="726954463">
      <w:bodyDiv w:val="1"/>
      <w:marLeft w:val="0"/>
      <w:marRight w:val="0"/>
      <w:marTop w:val="0"/>
      <w:marBottom w:val="0"/>
      <w:divBdr>
        <w:top w:val="none" w:sz="0" w:space="0" w:color="auto"/>
        <w:left w:val="none" w:sz="0" w:space="0" w:color="auto"/>
        <w:bottom w:val="none" w:sz="0" w:space="0" w:color="auto"/>
        <w:right w:val="none" w:sz="0" w:space="0" w:color="auto"/>
      </w:divBdr>
    </w:div>
    <w:div w:id="727336587">
      <w:bodyDiv w:val="1"/>
      <w:marLeft w:val="0"/>
      <w:marRight w:val="0"/>
      <w:marTop w:val="0"/>
      <w:marBottom w:val="0"/>
      <w:divBdr>
        <w:top w:val="none" w:sz="0" w:space="0" w:color="auto"/>
        <w:left w:val="none" w:sz="0" w:space="0" w:color="auto"/>
        <w:bottom w:val="none" w:sz="0" w:space="0" w:color="auto"/>
        <w:right w:val="none" w:sz="0" w:space="0" w:color="auto"/>
      </w:divBdr>
    </w:div>
    <w:div w:id="728071827">
      <w:bodyDiv w:val="1"/>
      <w:marLeft w:val="0"/>
      <w:marRight w:val="0"/>
      <w:marTop w:val="0"/>
      <w:marBottom w:val="0"/>
      <w:divBdr>
        <w:top w:val="none" w:sz="0" w:space="0" w:color="auto"/>
        <w:left w:val="none" w:sz="0" w:space="0" w:color="auto"/>
        <w:bottom w:val="none" w:sz="0" w:space="0" w:color="auto"/>
        <w:right w:val="none" w:sz="0" w:space="0" w:color="auto"/>
      </w:divBdr>
    </w:div>
    <w:div w:id="728500438">
      <w:bodyDiv w:val="1"/>
      <w:marLeft w:val="0"/>
      <w:marRight w:val="0"/>
      <w:marTop w:val="0"/>
      <w:marBottom w:val="0"/>
      <w:divBdr>
        <w:top w:val="none" w:sz="0" w:space="0" w:color="auto"/>
        <w:left w:val="none" w:sz="0" w:space="0" w:color="auto"/>
        <w:bottom w:val="none" w:sz="0" w:space="0" w:color="auto"/>
        <w:right w:val="none" w:sz="0" w:space="0" w:color="auto"/>
      </w:divBdr>
    </w:div>
    <w:div w:id="742026001">
      <w:bodyDiv w:val="1"/>
      <w:marLeft w:val="0"/>
      <w:marRight w:val="0"/>
      <w:marTop w:val="0"/>
      <w:marBottom w:val="0"/>
      <w:divBdr>
        <w:top w:val="none" w:sz="0" w:space="0" w:color="auto"/>
        <w:left w:val="none" w:sz="0" w:space="0" w:color="auto"/>
        <w:bottom w:val="none" w:sz="0" w:space="0" w:color="auto"/>
        <w:right w:val="none" w:sz="0" w:space="0" w:color="auto"/>
      </w:divBdr>
    </w:div>
    <w:div w:id="748814337">
      <w:bodyDiv w:val="1"/>
      <w:marLeft w:val="0"/>
      <w:marRight w:val="0"/>
      <w:marTop w:val="0"/>
      <w:marBottom w:val="0"/>
      <w:divBdr>
        <w:top w:val="none" w:sz="0" w:space="0" w:color="auto"/>
        <w:left w:val="none" w:sz="0" w:space="0" w:color="auto"/>
        <w:bottom w:val="none" w:sz="0" w:space="0" w:color="auto"/>
        <w:right w:val="none" w:sz="0" w:space="0" w:color="auto"/>
      </w:divBdr>
    </w:div>
    <w:div w:id="762184427">
      <w:bodyDiv w:val="1"/>
      <w:marLeft w:val="0"/>
      <w:marRight w:val="0"/>
      <w:marTop w:val="0"/>
      <w:marBottom w:val="0"/>
      <w:divBdr>
        <w:top w:val="none" w:sz="0" w:space="0" w:color="auto"/>
        <w:left w:val="none" w:sz="0" w:space="0" w:color="auto"/>
        <w:bottom w:val="none" w:sz="0" w:space="0" w:color="auto"/>
        <w:right w:val="none" w:sz="0" w:space="0" w:color="auto"/>
      </w:divBdr>
    </w:div>
    <w:div w:id="770516425">
      <w:bodyDiv w:val="1"/>
      <w:marLeft w:val="0"/>
      <w:marRight w:val="0"/>
      <w:marTop w:val="0"/>
      <w:marBottom w:val="0"/>
      <w:divBdr>
        <w:top w:val="none" w:sz="0" w:space="0" w:color="auto"/>
        <w:left w:val="none" w:sz="0" w:space="0" w:color="auto"/>
        <w:bottom w:val="none" w:sz="0" w:space="0" w:color="auto"/>
        <w:right w:val="none" w:sz="0" w:space="0" w:color="auto"/>
      </w:divBdr>
    </w:div>
    <w:div w:id="771626229">
      <w:bodyDiv w:val="1"/>
      <w:marLeft w:val="0"/>
      <w:marRight w:val="0"/>
      <w:marTop w:val="0"/>
      <w:marBottom w:val="0"/>
      <w:divBdr>
        <w:top w:val="none" w:sz="0" w:space="0" w:color="auto"/>
        <w:left w:val="none" w:sz="0" w:space="0" w:color="auto"/>
        <w:bottom w:val="none" w:sz="0" w:space="0" w:color="auto"/>
        <w:right w:val="none" w:sz="0" w:space="0" w:color="auto"/>
      </w:divBdr>
    </w:div>
    <w:div w:id="771823060">
      <w:bodyDiv w:val="1"/>
      <w:marLeft w:val="0"/>
      <w:marRight w:val="0"/>
      <w:marTop w:val="0"/>
      <w:marBottom w:val="0"/>
      <w:divBdr>
        <w:top w:val="none" w:sz="0" w:space="0" w:color="auto"/>
        <w:left w:val="none" w:sz="0" w:space="0" w:color="auto"/>
        <w:bottom w:val="none" w:sz="0" w:space="0" w:color="auto"/>
        <w:right w:val="none" w:sz="0" w:space="0" w:color="auto"/>
      </w:divBdr>
    </w:div>
    <w:div w:id="772633732">
      <w:bodyDiv w:val="1"/>
      <w:marLeft w:val="0"/>
      <w:marRight w:val="0"/>
      <w:marTop w:val="0"/>
      <w:marBottom w:val="0"/>
      <w:divBdr>
        <w:top w:val="none" w:sz="0" w:space="0" w:color="auto"/>
        <w:left w:val="none" w:sz="0" w:space="0" w:color="auto"/>
        <w:bottom w:val="none" w:sz="0" w:space="0" w:color="auto"/>
        <w:right w:val="none" w:sz="0" w:space="0" w:color="auto"/>
      </w:divBdr>
    </w:div>
    <w:div w:id="776366121">
      <w:bodyDiv w:val="1"/>
      <w:marLeft w:val="0"/>
      <w:marRight w:val="0"/>
      <w:marTop w:val="0"/>
      <w:marBottom w:val="0"/>
      <w:divBdr>
        <w:top w:val="none" w:sz="0" w:space="0" w:color="auto"/>
        <w:left w:val="none" w:sz="0" w:space="0" w:color="auto"/>
        <w:bottom w:val="none" w:sz="0" w:space="0" w:color="auto"/>
        <w:right w:val="none" w:sz="0" w:space="0" w:color="auto"/>
      </w:divBdr>
    </w:div>
    <w:div w:id="777720479">
      <w:bodyDiv w:val="1"/>
      <w:marLeft w:val="0"/>
      <w:marRight w:val="0"/>
      <w:marTop w:val="0"/>
      <w:marBottom w:val="0"/>
      <w:divBdr>
        <w:top w:val="none" w:sz="0" w:space="0" w:color="auto"/>
        <w:left w:val="none" w:sz="0" w:space="0" w:color="auto"/>
        <w:bottom w:val="none" w:sz="0" w:space="0" w:color="auto"/>
        <w:right w:val="none" w:sz="0" w:space="0" w:color="auto"/>
      </w:divBdr>
    </w:div>
    <w:div w:id="780224201">
      <w:bodyDiv w:val="1"/>
      <w:marLeft w:val="0"/>
      <w:marRight w:val="0"/>
      <w:marTop w:val="0"/>
      <w:marBottom w:val="0"/>
      <w:divBdr>
        <w:top w:val="none" w:sz="0" w:space="0" w:color="auto"/>
        <w:left w:val="none" w:sz="0" w:space="0" w:color="auto"/>
        <w:bottom w:val="none" w:sz="0" w:space="0" w:color="auto"/>
        <w:right w:val="none" w:sz="0" w:space="0" w:color="auto"/>
      </w:divBdr>
    </w:div>
    <w:div w:id="782460975">
      <w:bodyDiv w:val="1"/>
      <w:marLeft w:val="0"/>
      <w:marRight w:val="0"/>
      <w:marTop w:val="0"/>
      <w:marBottom w:val="0"/>
      <w:divBdr>
        <w:top w:val="none" w:sz="0" w:space="0" w:color="auto"/>
        <w:left w:val="none" w:sz="0" w:space="0" w:color="auto"/>
        <w:bottom w:val="none" w:sz="0" w:space="0" w:color="auto"/>
        <w:right w:val="none" w:sz="0" w:space="0" w:color="auto"/>
      </w:divBdr>
    </w:div>
    <w:div w:id="782572558">
      <w:bodyDiv w:val="1"/>
      <w:marLeft w:val="0"/>
      <w:marRight w:val="0"/>
      <w:marTop w:val="0"/>
      <w:marBottom w:val="0"/>
      <w:divBdr>
        <w:top w:val="none" w:sz="0" w:space="0" w:color="auto"/>
        <w:left w:val="none" w:sz="0" w:space="0" w:color="auto"/>
        <w:bottom w:val="none" w:sz="0" w:space="0" w:color="auto"/>
        <w:right w:val="none" w:sz="0" w:space="0" w:color="auto"/>
      </w:divBdr>
    </w:div>
    <w:div w:id="794564047">
      <w:bodyDiv w:val="1"/>
      <w:marLeft w:val="0"/>
      <w:marRight w:val="0"/>
      <w:marTop w:val="0"/>
      <w:marBottom w:val="0"/>
      <w:divBdr>
        <w:top w:val="none" w:sz="0" w:space="0" w:color="auto"/>
        <w:left w:val="none" w:sz="0" w:space="0" w:color="auto"/>
        <w:bottom w:val="none" w:sz="0" w:space="0" w:color="auto"/>
        <w:right w:val="none" w:sz="0" w:space="0" w:color="auto"/>
      </w:divBdr>
    </w:div>
    <w:div w:id="806975736">
      <w:bodyDiv w:val="1"/>
      <w:marLeft w:val="0"/>
      <w:marRight w:val="0"/>
      <w:marTop w:val="0"/>
      <w:marBottom w:val="0"/>
      <w:divBdr>
        <w:top w:val="none" w:sz="0" w:space="0" w:color="auto"/>
        <w:left w:val="none" w:sz="0" w:space="0" w:color="auto"/>
        <w:bottom w:val="none" w:sz="0" w:space="0" w:color="auto"/>
        <w:right w:val="none" w:sz="0" w:space="0" w:color="auto"/>
      </w:divBdr>
    </w:div>
    <w:div w:id="811368236">
      <w:bodyDiv w:val="1"/>
      <w:marLeft w:val="0"/>
      <w:marRight w:val="0"/>
      <w:marTop w:val="0"/>
      <w:marBottom w:val="0"/>
      <w:divBdr>
        <w:top w:val="none" w:sz="0" w:space="0" w:color="auto"/>
        <w:left w:val="none" w:sz="0" w:space="0" w:color="auto"/>
        <w:bottom w:val="none" w:sz="0" w:space="0" w:color="auto"/>
        <w:right w:val="none" w:sz="0" w:space="0" w:color="auto"/>
      </w:divBdr>
    </w:div>
    <w:div w:id="816841557">
      <w:bodyDiv w:val="1"/>
      <w:marLeft w:val="0"/>
      <w:marRight w:val="0"/>
      <w:marTop w:val="0"/>
      <w:marBottom w:val="0"/>
      <w:divBdr>
        <w:top w:val="none" w:sz="0" w:space="0" w:color="auto"/>
        <w:left w:val="none" w:sz="0" w:space="0" w:color="auto"/>
        <w:bottom w:val="none" w:sz="0" w:space="0" w:color="auto"/>
        <w:right w:val="none" w:sz="0" w:space="0" w:color="auto"/>
      </w:divBdr>
    </w:div>
    <w:div w:id="821121838">
      <w:bodyDiv w:val="1"/>
      <w:marLeft w:val="0"/>
      <w:marRight w:val="0"/>
      <w:marTop w:val="0"/>
      <w:marBottom w:val="0"/>
      <w:divBdr>
        <w:top w:val="none" w:sz="0" w:space="0" w:color="auto"/>
        <w:left w:val="none" w:sz="0" w:space="0" w:color="auto"/>
        <w:bottom w:val="none" w:sz="0" w:space="0" w:color="auto"/>
        <w:right w:val="none" w:sz="0" w:space="0" w:color="auto"/>
      </w:divBdr>
    </w:div>
    <w:div w:id="828327911">
      <w:bodyDiv w:val="1"/>
      <w:marLeft w:val="0"/>
      <w:marRight w:val="0"/>
      <w:marTop w:val="0"/>
      <w:marBottom w:val="0"/>
      <w:divBdr>
        <w:top w:val="none" w:sz="0" w:space="0" w:color="auto"/>
        <w:left w:val="none" w:sz="0" w:space="0" w:color="auto"/>
        <w:bottom w:val="none" w:sz="0" w:space="0" w:color="auto"/>
        <w:right w:val="none" w:sz="0" w:space="0" w:color="auto"/>
      </w:divBdr>
    </w:div>
    <w:div w:id="836655940">
      <w:bodyDiv w:val="1"/>
      <w:marLeft w:val="0"/>
      <w:marRight w:val="0"/>
      <w:marTop w:val="0"/>
      <w:marBottom w:val="0"/>
      <w:divBdr>
        <w:top w:val="none" w:sz="0" w:space="0" w:color="auto"/>
        <w:left w:val="none" w:sz="0" w:space="0" w:color="auto"/>
        <w:bottom w:val="none" w:sz="0" w:space="0" w:color="auto"/>
        <w:right w:val="none" w:sz="0" w:space="0" w:color="auto"/>
      </w:divBdr>
    </w:div>
    <w:div w:id="840773121">
      <w:bodyDiv w:val="1"/>
      <w:marLeft w:val="0"/>
      <w:marRight w:val="0"/>
      <w:marTop w:val="0"/>
      <w:marBottom w:val="0"/>
      <w:divBdr>
        <w:top w:val="none" w:sz="0" w:space="0" w:color="auto"/>
        <w:left w:val="none" w:sz="0" w:space="0" w:color="auto"/>
        <w:bottom w:val="none" w:sz="0" w:space="0" w:color="auto"/>
        <w:right w:val="none" w:sz="0" w:space="0" w:color="auto"/>
      </w:divBdr>
    </w:div>
    <w:div w:id="848058374">
      <w:bodyDiv w:val="1"/>
      <w:marLeft w:val="0"/>
      <w:marRight w:val="0"/>
      <w:marTop w:val="0"/>
      <w:marBottom w:val="0"/>
      <w:divBdr>
        <w:top w:val="none" w:sz="0" w:space="0" w:color="auto"/>
        <w:left w:val="none" w:sz="0" w:space="0" w:color="auto"/>
        <w:bottom w:val="none" w:sz="0" w:space="0" w:color="auto"/>
        <w:right w:val="none" w:sz="0" w:space="0" w:color="auto"/>
      </w:divBdr>
    </w:div>
    <w:div w:id="854853662">
      <w:bodyDiv w:val="1"/>
      <w:marLeft w:val="0"/>
      <w:marRight w:val="0"/>
      <w:marTop w:val="0"/>
      <w:marBottom w:val="0"/>
      <w:divBdr>
        <w:top w:val="none" w:sz="0" w:space="0" w:color="auto"/>
        <w:left w:val="none" w:sz="0" w:space="0" w:color="auto"/>
        <w:bottom w:val="none" w:sz="0" w:space="0" w:color="auto"/>
        <w:right w:val="none" w:sz="0" w:space="0" w:color="auto"/>
      </w:divBdr>
    </w:div>
    <w:div w:id="862866803">
      <w:bodyDiv w:val="1"/>
      <w:marLeft w:val="0"/>
      <w:marRight w:val="0"/>
      <w:marTop w:val="0"/>
      <w:marBottom w:val="0"/>
      <w:divBdr>
        <w:top w:val="none" w:sz="0" w:space="0" w:color="auto"/>
        <w:left w:val="none" w:sz="0" w:space="0" w:color="auto"/>
        <w:bottom w:val="none" w:sz="0" w:space="0" w:color="auto"/>
        <w:right w:val="none" w:sz="0" w:space="0" w:color="auto"/>
      </w:divBdr>
    </w:div>
    <w:div w:id="868876603">
      <w:bodyDiv w:val="1"/>
      <w:marLeft w:val="0"/>
      <w:marRight w:val="0"/>
      <w:marTop w:val="0"/>
      <w:marBottom w:val="0"/>
      <w:divBdr>
        <w:top w:val="none" w:sz="0" w:space="0" w:color="auto"/>
        <w:left w:val="none" w:sz="0" w:space="0" w:color="auto"/>
        <w:bottom w:val="none" w:sz="0" w:space="0" w:color="auto"/>
        <w:right w:val="none" w:sz="0" w:space="0" w:color="auto"/>
      </w:divBdr>
    </w:div>
    <w:div w:id="872766117">
      <w:bodyDiv w:val="1"/>
      <w:marLeft w:val="0"/>
      <w:marRight w:val="0"/>
      <w:marTop w:val="0"/>
      <w:marBottom w:val="0"/>
      <w:divBdr>
        <w:top w:val="none" w:sz="0" w:space="0" w:color="auto"/>
        <w:left w:val="none" w:sz="0" w:space="0" w:color="auto"/>
        <w:bottom w:val="none" w:sz="0" w:space="0" w:color="auto"/>
        <w:right w:val="none" w:sz="0" w:space="0" w:color="auto"/>
      </w:divBdr>
    </w:div>
    <w:div w:id="875703535">
      <w:bodyDiv w:val="1"/>
      <w:marLeft w:val="0"/>
      <w:marRight w:val="0"/>
      <w:marTop w:val="0"/>
      <w:marBottom w:val="0"/>
      <w:divBdr>
        <w:top w:val="none" w:sz="0" w:space="0" w:color="auto"/>
        <w:left w:val="none" w:sz="0" w:space="0" w:color="auto"/>
        <w:bottom w:val="none" w:sz="0" w:space="0" w:color="auto"/>
        <w:right w:val="none" w:sz="0" w:space="0" w:color="auto"/>
      </w:divBdr>
    </w:div>
    <w:div w:id="881789198">
      <w:bodyDiv w:val="1"/>
      <w:marLeft w:val="0"/>
      <w:marRight w:val="0"/>
      <w:marTop w:val="0"/>
      <w:marBottom w:val="0"/>
      <w:divBdr>
        <w:top w:val="none" w:sz="0" w:space="0" w:color="auto"/>
        <w:left w:val="none" w:sz="0" w:space="0" w:color="auto"/>
        <w:bottom w:val="none" w:sz="0" w:space="0" w:color="auto"/>
        <w:right w:val="none" w:sz="0" w:space="0" w:color="auto"/>
      </w:divBdr>
    </w:div>
    <w:div w:id="889152139">
      <w:bodyDiv w:val="1"/>
      <w:marLeft w:val="0"/>
      <w:marRight w:val="0"/>
      <w:marTop w:val="0"/>
      <w:marBottom w:val="0"/>
      <w:divBdr>
        <w:top w:val="none" w:sz="0" w:space="0" w:color="auto"/>
        <w:left w:val="none" w:sz="0" w:space="0" w:color="auto"/>
        <w:bottom w:val="none" w:sz="0" w:space="0" w:color="auto"/>
        <w:right w:val="none" w:sz="0" w:space="0" w:color="auto"/>
      </w:divBdr>
    </w:div>
    <w:div w:id="892888594">
      <w:bodyDiv w:val="1"/>
      <w:marLeft w:val="0"/>
      <w:marRight w:val="0"/>
      <w:marTop w:val="0"/>
      <w:marBottom w:val="0"/>
      <w:divBdr>
        <w:top w:val="none" w:sz="0" w:space="0" w:color="auto"/>
        <w:left w:val="none" w:sz="0" w:space="0" w:color="auto"/>
        <w:bottom w:val="none" w:sz="0" w:space="0" w:color="auto"/>
        <w:right w:val="none" w:sz="0" w:space="0" w:color="auto"/>
      </w:divBdr>
    </w:div>
    <w:div w:id="895164423">
      <w:bodyDiv w:val="1"/>
      <w:marLeft w:val="0"/>
      <w:marRight w:val="0"/>
      <w:marTop w:val="0"/>
      <w:marBottom w:val="0"/>
      <w:divBdr>
        <w:top w:val="none" w:sz="0" w:space="0" w:color="auto"/>
        <w:left w:val="none" w:sz="0" w:space="0" w:color="auto"/>
        <w:bottom w:val="none" w:sz="0" w:space="0" w:color="auto"/>
        <w:right w:val="none" w:sz="0" w:space="0" w:color="auto"/>
      </w:divBdr>
    </w:div>
    <w:div w:id="898436910">
      <w:bodyDiv w:val="1"/>
      <w:marLeft w:val="0"/>
      <w:marRight w:val="0"/>
      <w:marTop w:val="0"/>
      <w:marBottom w:val="0"/>
      <w:divBdr>
        <w:top w:val="none" w:sz="0" w:space="0" w:color="auto"/>
        <w:left w:val="none" w:sz="0" w:space="0" w:color="auto"/>
        <w:bottom w:val="none" w:sz="0" w:space="0" w:color="auto"/>
        <w:right w:val="none" w:sz="0" w:space="0" w:color="auto"/>
      </w:divBdr>
    </w:div>
    <w:div w:id="898441563">
      <w:bodyDiv w:val="1"/>
      <w:marLeft w:val="0"/>
      <w:marRight w:val="0"/>
      <w:marTop w:val="0"/>
      <w:marBottom w:val="0"/>
      <w:divBdr>
        <w:top w:val="none" w:sz="0" w:space="0" w:color="auto"/>
        <w:left w:val="none" w:sz="0" w:space="0" w:color="auto"/>
        <w:bottom w:val="none" w:sz="0" w:space="0" w:color="auto"/>
        <w:right w:val="none" w:sz="0" w:space="0" w:color="auto"/>
      </w:divBdr>
      <w:divsChild>
        <w:div w:id="1817913949">
          <w:marLeft w:val="0"/>
          <w:marRight w:val="0"/>
          <w:marTop w:val="0"/>
          <w:marBottom w:val="0"/>
          <w:divBdr>
            <w:top w:val="none" w:sz="0" w:space="0" w:color="auto"/>
            <w:left w:val="none" w:sz="0" w:space="0" w:color="auto"/>
            <w:bottom w:val="none" w:sz="0" w:space="0" w:color="auto"/>
            <w:right w:val="none" w:sz="0" w:space="0" w:color="auto"/>
          </w:divBdr>
          <w:divsChild>
            <w:div w:id="1770739374">
              <w:marLeft w:val="0"/>
              <w:marRight w:val="0"/>
              <w:marTop w:val="0"/>
              <w:marBottom w:val="0"/>
              <w:divBdr>
                <w:top w:val="none" w:sz="0" w:space="0" w:color="auto"/>
                <w:left w:val="none" w:sz="0" w:space="0" w:color="auto"/>
                <w:bottom w:val="none" w:sz="0" w:space="0" w:color="auto"/>
                <w:right w:val="none" w:sz="0" w:space="0" w:color="auto"/>
              </w:divBdr>
              <w:divsChild>
                <w:div w:id="676660974">
                  <w:marLeft w:val="0"/>
                  <w:marRight w:val="0"/>
                  <w:marTop w:val="0"/>
                  <w:marBottom w:val="0"/>
                  <w:divBdr>
                    <w:top w:val="none" w:sz="0" w:space="0" w:color="auto"/>
                    <w:left w:val="none" w:sz="0" w:space="0" w:color="auto"/>
                    <w:bottom w:val="none" w:sz="0" w:space="0" w:color="auto"/>
                    <w:right w:val="none" w:sz="0" w:space="0" w:color="auto"/>
                  </w:divBdr>
                  <w:divsChild>
                    <w:div w:id="267396166">
                      <w:marLeft w:val="0"/>
                      <w:marRight w:val="0"/>
                      <w:marTop w:val="0"/>
                      <w:marBottom w:val="0"/>
                      <w:divBdr>
                        <w:top w:val="none" w:sz="0" w:space="0" w:color="auto"/>
                        <w:left w:val="none" w:sz="0" w:space="0" w:color="auto"/>
                        <w:bottom w:val="none" w:sz="0" w:space="0" w:color="auto"/>
                        <w:right w:val="none" w:sz="0" w:space="0" w:color="auto"/>
                      </w:divBdr>
                      <w:divsChild>
                        <w:div w:id="1843814462">
                          <w:marLeft w:val="0"/>
                          <w:marRight w:val="0"/>
                          <w:marTop w:val="300"/>
                          <w:marBottom w:val="0"/>
                          <w:divBdr>
                            <w:top w:val="none" w:sz="0" w:space="0" w:color="auto"/>
                            <w:left w:val="none" w:sz="0" w:space="0" w:color="auto"/>
                            <w:bottom w:val="none" w:sz="0" w:space="0" w:color="auto"/>
                            <w:right w:val="none" w:sz="0" w:space="0" w:color="auto"/>
                          </w:divBdr>
                          <w:divsChild>
                            <w:div w:id="117999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556012">
      <w:bodyDiv w:val="1"/>
      <w:marLeft w:val="0"/>
      <w:marRight w:val="0"/>
      <w:marTop w:val="0"/>
      <w:marBottom w:val="0"/>
      <w:divBdr>
        <w:top w:val="none" w:sz="0" w:space="0" w:color="auto"/>
        <w:left w:val="none" w:sz="0" w:space="0" w:color="auto"/>
        <w:bottom w:val="none" w:sz="0" w:space="0" w:color="auto"/>
        <w:right w:val="none" w:sz="0" w:space="0" w:color="auto"/>
      </w:divBdr>
    </w:div>
    <w:div w:id="906261912">
      <w:bodyDiv w:val="1"/>
      <w:marLeft w:val="0"/>
      <w:marRight w:val="0"/>
      <w:marTop w:val="0"/>
      <w:marBottom w:val="0"/>
      <w:divBdr>
        <w:top w:val="none" w:sz="0" w:space="0" w:color="auto"/>
        <w:left w:val="none" w:sz="0" w:space="0" w:color="auto"/>
        <w:bottom w:val="none" w:sz="0" w:space="0" w:color="auto"/>
        <w:right w:val="none" w:sz="0" w:space="0" w:color="auto"/>
      </w:divBdr>
    </w:div>
    <w:div w:id="908345483">
      <w:bodyDiv w:val="1"/>
      <w:marLeft w:val="0"/>
      <w:marRight w:val="0"/>
      <w:marTop w:val="0"/>
      <w:marBottom w:val="0"/>
      <w:divBdr>
        <w:top w:val="none" w:sz="0" w:space="0" w:color="auto"/>
        <w:left w:val="none" w:sz="0" w:space="0" w:color="auto"/>
        <w:bottom w:val="none" w:sz="0" w:space="0" w:color="auto"/>
        <w:right w:val="none" w:sz="0" w:space="0" w:color="auto"/>
      </w:divBdr>
    </w:div>
    <w:div w:id="912392393">
      <w:bodyDiv w:val="1"/>
      <w:marLeft w:val="0"/>
      <w:marRight w:val="0"/>
      <w:marTop w:val="0"/>
      <w:marBottom w:val="0"/>
      <w:divBdr>
        <w:top w:val="none" w:sz="0" w:space="0" w:color="auto"/>
        <w:left w:val="none" w:sz="0" w:space="0" w:color="auto"/>
        <w:bottom w:val="none" w:sz="0" w:space="0" w:color="auto"/>
        <w:right w:val="none" w:sz="0" w:space="0" w:color="auto"/>
      </w:divBdr>
      <w:divsChild>
        <w:div w:id="1265186134">
          <w:marLeft w:val="0"/>
          <w:marRight w:val="0"/>
          <w:marTop w:val="0"/>
          <w:marBottom w:val="0"/>
          <w:divBdr>
            <w:top w:val="none" w:sz="0" w:space="0" w:color="auto"/>
            <w:left w:val="none" w:sz="0" w:space="0" w:color="auto"/>
            <w:bottom w:val="none" w:sz="0" w:space="0" w:color="auto"/>
            <w:right w:val="none" w:sz="0" w:space="0" w:color="auto"/>
          </w:divBdr>
          <w:divsChild>
            <w:div w:id="78909883">
              <w:marLeft w:val="0"/>
              <w:marRight w:val="0"/>
              <w:marTop w:val="0"/>
              <w:marBottom w:val="0"/>
              <w:divBdr>
                <w:top w:val="none" w:sz="0" w:space="0" w:color="auto"/>
                <w:left w:val="none" w:sz="0" w:space="0" w:color="auto"/>
                <w:bottom w:val="none" w:sz="0" w:space="0" w:color="auto"/>
                <w:right w:val="none" w:sz="0" w:space="0" w:color="auto"/>
              </w:divBdr>
              <w:divsChild>
                <w:div w:id="1444693888">
                  <w:marLeft w:val="0"/>
                  <w:marRight w:val="0"/>
                  <w:marTop w:val="0"/>
                  <w:marBottom w:val="0"/>
                  <w:divBdr>
                    <w:top w:val="none" w:sz="0" w:space="0" w:color="auto"/>
                    <w:left w:val="none" w:sz="0" w:space="0" w:color="auto"/>
                    <w:bottom w:val="none" w:sz="0" w:space="0" w:color="auto"/>
                    <w:right w:val="none" w:sz="0" w:space="0" w:color="auto"/>
                  </w:divBdr>
                  <w:divsChild>
                    <w:div w:id="1467509973">
                      <w:marLeft w:val="0"/>
                      <w:marRight w:val="0"/>
                      <w:marTop w:val="0"/>
                      <w:marBottom w:val="0"/>
                      <w:divBdr>
                        <w:top w:val="none" w:sz="0" w:space="0" w:color="auto"/>
                        <w:left w:val="none" w:sz="0" w:space="0" w:color="auto"/>
                        <w:bottom w:val="none" w:sz="0" w:space="0" w:color="auto"/>
                        <w:right w:val="none" w:sz="0" w:space="0" w:color="auto"/>
                      </w:divBdr>
                      <w:divsChild>
                        <w:div w:id="1267689695">
                          <w:marLeft w:val="0"/>
                          <w:marRight w:val="0"/>
                          <w:marTop w:val="300"/>
                          <w:marBottom w:val="0"/>
                          <w:divBdr>
                            <w:top w:val="none" w:sz="0" w:space="0" w:color="auto"/>
                            <w:left w:val="none" w:sz="0" w:space="0" w:color="auto"/>
                            <w:bottom w:val="none" w:sz="0" w:space="0" w:color="auto"/>
                            <w:right w:val="none" w:sz="0" w:space="0" w:color="auto"/>
                          </w:divBdr>
                          <w:divsChild>
                            <w:div w:id="150590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9677515">
      <w:bodyDiv w:val="1"/>
      <w:marLeft w:val="0"/>
      <w:marRight w:val="0"/>
      <w:marTop w:val="0"/>
      <w:marBottom w:val="0"/>
      <w:divBdr>
        <w:top w:val="none" w:sz="0" w:space="0" w:color="auto"/>
        <w:left w:val="none" w:sz="0" w:space="0" w:color="auto"/>
        <w:bottom w:val="none" w:sz="0" w:space="0" w:color="auto"/>
        <w:right w:val="none" w:sz="0" w:space="0" w:color="auto"/>
      </w:divBdr>
    </w:div>
    <w:div w:id="924463376">
      <w:bodyDiv w:val="1"/>
      <w:marLeft w:val="0"/>
      <w:marRight w:val="0"/>
      <w:marTop w:val="0"/>
      <w:marBottom w:val="0"/>
      <w:divBdr>
        <w:top w:val="none" w:sz="0" w:space="0" w:color="auto"/>
        <w:left w:val="none" w:sz="0" w:space="0" w:color="auto"/>
        <w:bottom w:val="none" w:sz="0" w:space="0" w:color="auto"/>
        <w:right w:val="none" w:sz="0" w:space="0" w:color="auto"/>
      </w:divBdr>
    </w:div>
    <w:div w:id="928734588">
      <w:bodyDiv w:val="1"/>
      <w:marLeft w:val="0"/>
      <w:marRight w:val="0"/>
      <w:marTop w:val="0"/>
      <w:marBottom w:val="0"/>
      <w:divBdr>
        <w:top w:val="none" w:sz="0" w:space="0" w:color="auto"/>
        <w:left w:val="none" w:sz="0" w:space="0" w:color="auto"/>
        <w:bottom w:val="none" w:sz="0" w:space="0" w:color="auto"/>
        <w:right w:val="none" w:sz="0" w:space="0" w:color="auto"/>
      </w:divBdr>
    </w:div>
    <w:div w:id="929192335">
      <w:bodyDiv w:val="1"/>
      <w:marLeft w:val="0"/>
      <w:marRight w:val="0"/>
      <w:marTop w:val="0"/>
      <w:marBottom w:val="0"/>
      <w:divBdr>
        <w:top w:val="none" w:sz="0" w:space="0" w:color="auto"/>
        <w:left w:val="none" w:sz="0" w:space="0" w:color="auto"/>
        <w:bottom w:val="none" w:sz="0" w:space="0" w:color="auto"/>
        <w:right w:val="none" w:sz="0" w:space="0" w:color="auto"/>
      </w:divBdr>
    </w:div>
    <w:div w:id="932669218">
      <w:bodyDiv w:val="1"/>
      <w:marLeft w:val="0"/>
      <w:marRight w:val="0"/>
      <w:marTop w:val="0"/>
      <w:marBottom w:val="0"/>
      <w:divBdr>
        <w:top w:val="none" w:sz="0" w:space="0" w:color="auto"/>
        <w:left w:val="none" w:sz="0" w:space="0" w:color="auto"/>
        <w:bottom w:val="none" w:sz="0" w:space="0" w:color="auto"/>
        <w:right w:val="none" w:sz="0" w:space="0" w:color="auto"/>
      </w:divBdr>
    </w:div>
    <w:div w:id="932906186">
      <w:bodyDiv w:val="1"/>
      <w:marLeft w:val="0"/>
      <w:marRight w:val="0"/>
      <w:marTop w:val="0"/>
      <w:marBottom w:val="0"/>
      <w:divBdr>
        <w:top w:val="none" w:sz="0" w:space="0" w:color="auto"/>
        <w:left w:val="none" w:sz="0" w:space="0" w:color="auto"/>
        <w:bottom w:val="none" w:sz="0" w:space="0" w:color="auto"/>
        <w:right w:val="none" w:sz="0" w:space="0" w:color="auto"/>
      </w:divBdr>
    </w:div>
    <w:div w:id="943615117">
      <w:bodyDiv w:val="1"/>
      <w:marLeft w:val="0"/>
      <w:marRight w:val="0"/>
      <w:marTop w:val="0"/>
      <w:marBottom w:val="0"/>
      <w:divBdr>
        <w:top w:val="none" w:sz="0" w:space="0" w:color="auto"/>
        <w:left w:val="none" w:sz="0" w:space="0" w:color="auto"/>
        <w:bottom w:val="none" w:sz="0" w:space="0" w:color="auto"/>
        <w:right w:val="none" w:sz="0" w:space="0" w:color="auto"/>
      </w:divBdr>
    </w:div>
    <w:div w:id="945117053">
      <w:bodyDiv w:val="1"/>
      <w:marLeft w:val="0"/>
      <w:marRight w:val="0"/>
      <w:marTop w:val="0"/>
      <w:marBottom w:val="0"/>
      <w:divBdr>
        <w:top w:val="none" w:sz="0" w:space="0" w:color="auto"/>
        <w:left w:val="none" w:sz="0" w:space="0" w:color="auto"/>
        <w:bottom w:val="none" w:sz="0" w:space="0" w:color="auto"/>
        <w:right w:val="none" w:sz="0" w:space="0" w:color="auto"/>
      </w:divBdr>
    </w:div>
    <w:div w:id="950017381">
      <w:bodyDiv w:val="1"/>
      <w:marLeft w:val="0"/>
      <w:marRight w:val="0"/>
      <w:marTop w:val="0"/>
      <w:marBottom w:val="0"/>
      <w:divBdr>
        <w:top w:val="none" w:sz="0" w:space="0" w:color="auto"/>
        <w:left w:val="none" w:sz="0" w:space="0" w:color="auto"/>
        <w:bottom w:val="none" w:sz="0" w:space="0" w:color="auto"/>
        <w:right w:val="none" w:sz="0" w:space="0" w:color="auto"/>
      </w:divBdr>
    </w:div>
    <w:div w:id="951015111">
      <w:bodyDiv w:val="1"/>
      <w:marLeft w:val="0"/>
      <w:marRight w:val="0"/>
      <w:marTop w:val="0"/>
      <w:marBottom w:val="0"/>
      <w:divBdr>
        <w:top w:val="none" w:sz="0" w:space="0" w:color="auto"/>
        <w:left w:val="none" w:sz="0" w:space="0" w:color="auto"/>
        <w:bottom w:val="none" w:sz="0" w:space="0" w:color="auto"/>
        <w:right w:val="none" w:sz="0" w:space="0" w:color="auto"/>
      </w:divBdr>
    </w:div>
    <w:div w:id="956251639">
      <w:bodyDiv w:val="1"/>
      <w:marLeft w:val="0"/>
      <w:marRight w:val="0"/>
      <w:marTop w:val="0"/>
      <w:marBottom w:val="0"/>
      <w:divBdr>
        <w:top w:val="none" w:sz="0" w:space="0" w:color="auto"/>
        <w:left w:val="none" w:sz="0" w:space="0" w:color="auto"/>
        <w:bottom w:val="none" w:sz="0" w:space="0" w:color="auto"/>
        <w:right w:val="none" w:sz="0" w:space="0" w:color="auto"/>
      </w:divBdr>
    </w:div>
    <w:div w:id="956910755">
      <w:bodyDiv w:val="1"/>
      <w:marLeft w:val="0"/>
      <w:marRight w:val="0"/>
      <w:marTop w:val="0"/>
      <w:marBottom w:val="0"/>
      <w:divBdr>
        <w:top w:val="none" w:sz="0" w:space="0" w:color="auto"/>
        <w:left w:val="none" w:sz="0" w:space="0" w:color="auto"/>
        <w:bottom w:val="none" w:sz="0" w:space="0" w:color="auto"/>
        <w:right w:val="none" w:sz="0" w:space="0" w:color="auto"/>
      </w:divBdr>
    </w:div>
    <w:div w:id="961494810">
      <w:bodyDiv w:val="1"/>
      <w:marLeft w:val="0"/>
      <w:marRight w:val="0"/>
      <w:marTop w:val="0"/>
      <w:marBottom w:val="0"/>
      <w:divBdr>
        <w:top w:val="none" w:sz="0" w:space="0" w:color="auto"/>
        <w:left w:val="none" w:sz="0" w:space="0" w:color="auto"/>
        <w:bottom w:val="none" w:sz="0" w:space="0" w:color="auto"/>
        <w:right w:val="none" w:sz="0" w:space="0" w:color="auto"/>
      </w:divBdr>
    </w:div>
    <w:div w:id="961960562">
      <w:bodyDiv w:val="1"/>
      <w:marLeft w:val="0"/>
      <w:marRight w:val="0"/>
      <w:marTop w:val="0"/>
      <w:marBottom w:val="0"/>
      <w:divBdr>
        <w:top w:val="none" w:sz="0" w:space="0" w:color="auto"/>
        <w:left w:val="none" w:sz="0" w:space="0" w:color="auto"/>
        <w:bottom w:val="none" w:sz="0" w:space="0" w:color="auto"/>
        <w:right w:val="none" w:sz="0" w:space="0" w:color="auto"/>
      </w:divBdr>
    </w:div>
    <w:div w:id="962492325">
      <w:bodyDiv w:val="1"/>
      <w:marLeft w:val="0"/>
      <w:marRight w:val="0"/>
      <w:marTop w:val="0"/>
      <w:marBottom w:val="0"/>
      <w:divBdr>
        <w:top w:val="none" w:sz="0" w:space="0" w:color="auto"/>
        <w:left w:val="none" w:sz="0" w:space="0" w:color="auto"/>
        <w:bottom w:val="none" w:sz="0" w:space="0" w:color="auto"/>
        <w:right w:val="none" w:sz="0" w:space="0" w:color="auto"/>
      </w:divBdr>
    </w:div>
    <w:div w:id="966542411">
      <w:bodyDiv w:val="1"/>
      <w:marLeft w:val="0"/>
      <w:marRight w:val="0"/>
      <w:marTop w:val="0"/>
      <w:marBottom w:val="0"/>
      <w:divBdr>
        <w:top w:val="none" w:sz="0" w:space="0" w:color="auto"/>
        <w:left w:val="none" w:sz="0" w:space="0" w:color="auto"/>
        <w:bottom w:val="none" w:sz="0" w:space="0" w:color="auto"/>
        <w:right w:val="none" w:sz="0" w:space="0" w:color="auto"/>
      </w:divBdr>
    </w:div>
    <w:div w:id="969436906">
      <w:bodyDiv w:val="1"/>
      <w:marLeft w:val="0"/>
      <w:marRight w:val="0"/>
      <w:marTop w:val="0"/>
      <w:marBottom w:val="0"/>
      <w:divBdr>
        <w:top w:val="none" w:sz="0" w:space="0" w:color="auto"/>
        <w:left w:val="none" w:sz="0" w:space="0" w:color="auto"/>
        <w:bottom w:val="none" w:sz="0" w:space="0" w:color="auto"/>
        <w:right w:val="none" w:sz="0" w:space="0" w:color="auto"/>
      </w:divBdr>
    </w:div>
    <w:div w:id="977421987">
      <w:bodyDiv w:val="1"/>
      <w:marLeft w:val="0"/>
      <w:marRight w:val="0"/>
      <w:marTop w:val="0"/>
      <w:marBottom w:val="0"/>
      <w:divBdr>
        <w:top w:val="none" w:sz="0" w:space="0" w:color="auto"/>
        <w:left w:val="none" w:sz="0" w:space="0" w:color="auto"/>
        <w:bottom w:val="none" w:sz="0" w:space="0" w:color="auto"/>
        <w:right w:val="none" w:sz="0" w:space="0" w:color="auto"/>
      </w:divBdr>
    </w:div>
    <w:div w:id="985822128">
      <w:bodyDiv w:val="1"/>
      <w:marLeft w:val="0"/>
      <w:marRight w:val="0"/>
      <w:marTop w:val="0"/>
      <w:marBottom w:val="0"/>
      <w:divBdr>
        <w:top w:val="none" w:sz="0" w:space="0" w:color="auto"/>
        <w:left w:val="none" w:sz="0" w:space="0" w:color="auto"/>
        <w:bottom w:val="none" w:sz="0" w:space="0" w:color="auto"/>
        <w:right w:val="none" w:sz="0" w:space="0" w:color="auto"/>
      </w:divBdr>
      <w:divsChild>
        <w:div w:id="1573201445">
          <w:marLeft w:val="0"/>
          <w:marRight w:val="0"/>
          <w:marTop w:val="0"/>
          <w:marBottom w:val="0"/>
          <w:divBdr>
            <w:top w:val="none" w:sz="0" w:space="0" w:color="auto"/>
            <w:left w:val="none" w:sz="0" w:space="0" w:color="auto"/>
            <w:bottom w:val="none" w:sz="0" w:space="0" w:color="auto"/>
            <w:right w:val="none" w:sz="0" w:space="0" w:color="auto"/>
          </w:divBdr>
        </w:div>
        <w:div w:id="2084914359">
          <w:marLeft w:val="0"/>
          <w:marRight w:val="0"/>
          <w:marTop w:val="0"/>
          <w:marBottom w:val="0"/>
          <w:divBdr>
            <w:top w:val="none" w:sz="0" w:space="0" w:color="auto"/>
            <w:left w:val="none" w:sz="0" w:space="0" w:color="auto"/>
            <w:bottom w:val="none" w:sz="0" w:space="0" w:color="auto"/>
            <w:right w:val="none" w:sz="0" w:space="0" w:color="auto"/>
          </w:divBdr>
        </w:div>
      </w:divsChild>
    </w:div>
    <w:div w:id="995259591">
      <w:bodyDiv w:val="1"/>
      <w:marLeft w:val="0"/>
      <w:marRight w:val="0"/>
      <w:marTop w:val="0"/>
      <w:marBottom w:val="0"/>
      <w:divBdr>
        <w:top w:val="none" w:sz="0" w:space="0" w:color="auto"/>
        <w:left w:val="none" w:sz="0" w:space="0" w:color="auto"/>
        <w:bottom w:val="none" w:sz="0" w:space="0" w:color="auto"/>
        <w:right w:val="none" w:sz="0" w:space="0" w:color="auto"/>
      </w:divBdr>
    </w:div>
    <w:div w:id="1000502598">
      <w:bodyDiv w:val="1"/>
      <w:marLeft w:val="0"/>
      <w:marRight w:val="0"/>
      <w:marTop w:val="0"/>
      <w:marBottom w:val="0"/>
      <w:divBdr>
        <w:top w:val="none" w:sz="0" w:space="0" w:color="auto"/>
        <w:left w:val="none" w:sz="0" w:space="0" w:color="auto"/>
        <w:bottom w:val="none" w:sz="0" w:space="0" w:color="auto"/>
        <w:right w:val="none" w:sz="0" w:space="0" w:color="auto"/>
      </w:divBdr>
    </w:div>
    <w:div w:id="1002120187">
      <w:bodyDiv w:val="1"/>
      <w:marLeft w:val="0"/>
      <w:marRight w:val="0"/>
      <w:marTop w:val="0"/>
      <w:marBottom w:val="0"/>
      <w:divBdr>
        <w:top w:val="none" w:sz="0" w:space="0" w:color="auto"/>
        <w:left w:val="none" w:sz="0" w:space="0" w:color="auto"/>
        <w:bottom w:val="none" w:sz="0" w:space="0" w:color="auto"/>
        <w:right w:val="none" w:sz="0" w:space="0" w:color="auto"/>
      </w:divBdr>
    </w:div>
    <w:div w:id="1003045003">
      <w:bodyDiv w:val="1"/>
      <w:marLeft w:val="0"/>
      <w:marRight w:val="0"/>
      <w:marTop w:val="0"/>
      <w:marBottom w:val="0"/>
      <w:divBdr>
        <w:top w:val="none" w:sz="0" w:space="0" w:color="auto"/>
        <w:left w:val="none" w:sz="0" w:space="0" w:color="auto"/>
        <w:bottom w:val="none" w:sz="0" w:space="0" w:color="auto"/>
        <w:right w:val="none" w:sz="0" w:space="0" w:color="auto"/>
      </w:divBdr>
      <w:divsChild>
        <w:div w:id="846214956">
          <w:marLeft w:val="0"/>
          <w:marRight w:val="0"/>
          <w:marTop w:val="0"/>
          <w:marBottom w:val="0"/>
          <w:divBdr>
            <w:top w:val="none" w:sz="0" w:space="0" w:color="auto"/>
            <w:left w:val="none" w:sz="0" w:space="0" w:color="auto"/>
            <w:bottom w:val="none" w:sz="0" w:space="0" w:color="auto"/>
            <w:right w:val="none" w:sz="0" w:space="0" w:color="auto"/>
          </w:divBdr>
          <w:divsChild>
            <w:div w:id="497354677">
              <w:marLeft w:val="0"/>
              <w:marRight w:val="0"/>
              <w:marTop w:val="0"/>
              <w:marBottom w:val="0"/>
              <w:divBdr>
                <w:top w:val="none" w:sz="0" w:space="0" w:color="auto"/>
                <w:left w:val="none" w:sz="0" w:space="0" w:color="auto"/>
                <w:bottom w:val="none" w:sz="0" w:space="0" w:color="auto"/>
                <w:right w:val="none" w:sz="0" w:space="0" w:color="auto"/>
              </w:divBdr>
              <w:divsChild>
                <w:div w:id="1757634377">
                  <w:marLeft w:val="0"/>
                  <w:marRight w:val="0"/>
                  <w:marTop w:val="0"/>
                  <w:marBottom w:val="0"/>
                  <w:divBdr>
                    <w:top w:val="none" w:sz="0" w:space="0" w:color="auto"/>
                    <w:left w:val="none" w:sz="0" w:space="0" w:color="auto"/>
                    <w:bottom w:val="none" w:sz="0" w:space="0" w:color="auto"/>
                    <w:right w:val="none" w:sz="0" w:space="0" w:color="auto"/>
                  </w:divBdr>
                  <w:divsChild>
                    <w:div w:id="1321351555">
                      <w:marLeft w:val="0"/>
                      <w:marRight w:val="0"/>
                      <w:marTop w:val="0"/>
                      <w:marBottom w:val="0"/>
                      <w:divBdr>
                        <w:top w:val="none" w:sz="0" w:space="0" w:color="auto"/>
                        <w:left w:val="none" w:sz="0" w:space="0" w:color="auto"/>
                        <w:bottom w:val="none" w:sz="0" w:space="0" w:color="auto"/>
                        <w:right w:val="none" w:sz="0" w:space="0" w:color="auto"/>
                      </w:divBdr>
                      <w:divsChild>
                        <w:div w:id="1822698399">
                          <w:marLeft w:val="0"/>
                          <w:marRight w:val="0"/>
                          <w:marTop w:val="300"/>
                          <w:marBottom w:val="0"/>
                          <w:divBdr>
                            <w:top w:val="none" w:sz="0" w:space="0" w:color="auto"/>
                            <w:left w:val="none" w:sz="0" w:space="0" w:color="auto"/>
                            <w:bottom w:val="none" w:sz="0" w:space="0" w:color="auto"/>
                            <w:right w:val="none" w:sz="0" w:space="0" w:color="auto"/>
                          </w:divBdr>
                          <w:divsChild>
                            <w:div w:id="152937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3438578">
      <w:bodyDiv w:val="1"/>
      <w:marLeft w:val="0"/>
      <w:marRight w:val="0"/>
      <w:marTop w:val="0"/>
      <w:marBottom w:val="0"/>
      <w:divBdr>
        <w:top w:val="none" w:sz="0" w:space="0" w:color="auto"/>
        <w:left w:val="none" w:sz="0" w:space="0" w:color="auto"/>
        <w:bottom w:val="none" w:sz="0" w:space="0" w:color="auto"/>
        <w:right w:val="none" w:sz="0" w:space="0" w:color="auto"/>
      </w:divBdr>
    </w:div>
    <w:div w:id="1011953562">
      <w:bodyDiv w:val="1"/>
      <w:marLeft w:val="0"/>
      <w:marRight w:val="0"/>
      <w:marTop w:val="0"/>
      <w:marBottom w:val="0"/>
      <w:divBdr>
        <w:top w:val="none" w:sz="0" w:space="0" w:color="auto"/>
        <w:left w:val="none" w:sz="0" w:space="0" w:color="auto"/>
        <w:bottom w:val="none" w:sz="0" w:space="0" w:color="auto"/>
        <w:right w:val="none" w:sz="0" w:space="0" w:color="auto"/>
      </w:divBdr>
    </w:div>
    <w:div w:id="1014186909">
      <w:bodyDiv w:val="1"/>
      <w:marLeft w:val="0"/>
      <w:marRight w:val="0"/>
      <w:marTop w:val="0"/>
      <w:marBottom w:val="0"/>
      <w:divBdr>
        <w:top w:val="none" w:sz="0" w:space="0" w:color="auto"/>
        <w:left w:val="none" w:sz="0" w:space="0" w:color="auto"/>
        <w:bottom w:val="none" w:sz="0" w:space="0" w:color="auto"/>
        <w:right w:val="none" w:sz="0" w:space="0" w:color="auto"/>
      </w:divBdr>
    </w:div>
    <w:div w:id="1020816865">
      <w:bodyDiv w:val="1"/>
      <w:marLeft w:val="0"/>
      <w:marRight w:val="0"/>
      <w:marTop w:val="0"/>
      <w:marBottom w:val="0"/>
      <w:divBdr>
        <w:top w:val="none" w:sz="0" w:space="0" w:color="auto"/>
        <w:left w:val="none" w:sz="0" w:space="0" w:color="auto"/>
        <w:bottom w:val="none" w:sz="0" w:space="0" w:color="auto"/>
        <w:right w:val="none" w:sz="0" w:space="0" w:color="auto"/>
      </w:divBdr>
      <w:divsChild>
        <w:div w:id="558050555">
          <w:marLeft w:val="0"/>
          <w:marRight w:val="0"/>
          <w:marTop w:val="0"/>
          <w:marBottom w:val="0"/>
          <w:divBdr>
            <w:top w:val="none" w:sz="0" w:space="0" w:color="auto"/>
            <w:left w:val="none" w:sz="0" w:space="0" w:color="auto"/>
            <w:bottom w:val="none" w:sz="0" w:space="0" w:color="auto"/>
            <w:right w:val="none" w:sz="0" w:space="0" w:color="auto"/>
          </w:divBdr>
          <w:divsChild>
            <w:div w:id="550728996">
              <w:marLeft w:val="0"/>
              <w:marRight w:val="0"/>
              <w:marTop w:val="0"/>
              <w:marBottom w:val="0"/>
              <w:divBdr>
                <w:top w:val="none" w:sz="0" w:space="0" w:color="auto"/>
                <w:left w:val="none" w:sz="0" w:space="0" w:color="auto"/>
                <w:bottom w:val="none" w:sz="0" w:space="0" w:color="auto"/>
                <w:right w:val="none" w:sz="0" w:space="0" w:color="auto"/>
              </w:divBdr>
              <w:divsChild>
                <w:div w:id="1136294998">
                  <w:marLeft w:val="0"/>
                  <w:marRight w:val="0"/>
                  <w:marTop w:val="0"/>
                  <w:marBottom w:val="0"/>
                  <w:divBdr>
                    <w:top w:val="none" w:sz="0" w:space="0" w:color="auto"/>
                    <w:left w:val="none" w:sz="0" w:space="0" w:color="auto"/>
                    <w:bottom w:val="none" w:sz="0" w:space="0" w:color="auto"/>
                    <w:right w:val="none" w:sz="0" w:space="0" w:color="auto"/>
                  </w:divBdr>
                  <w:divsChild>
                    <w:div w:id="1260141781">
                      <w:marLeft w:val="0"/>
                      <w:marRight w:val="0"/>
                      <w:marTop w:val="0"/>
                      <w:marBottom w:val="0"/>
                      <w:divBdr>
                        <w:top w:val="none" w:sz="0" w:space="0" w:color="auto"/>
                        <w:left w:val="none" w:sz="0" w:space="0" w:color="auto"/>
                        <w:bottom w:val="none" w:sz="0" w:space="0" w:color="auto"/>
                        <w:right w:val="none" w:sz="0" w:space="0" w:color="auto"/>
                      </w:divBdr>
                      <w:divsChild>
                        <w:div w:id="2074769135">
                          <w:marLeft w:val="0"/>
                          <w:marRight w:val="0"/>
                          <w:marTop w:val="0"/>
                          <w:marBottom w:val="0"/>
                          <w:divBdr>
                            <w:top w:val="none" w:sz="0" w:space="0" w:color="auto"/>
                            <w:left w:val="none" w:sz="0" w:space="0" w:color="auto"/>
                            <w:bottom w:val="none" w:sz="0" w:space="0" w:color="auto"/>
                            <w:right w:val="none" w:sz="0" w:space="0" w:color="auto"/>
                          </w:divBdr>
                          <w:divsChild>
                            <w:div w:id="4516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3089510">
      <w:bodyDiv w:val="1"/>
      <w:marLeft w:val="0"/>
      <w:marRight w:val="0"/>
      <w:marTop w:val="0"/>
      <w:marBottom w:val="0"/>
      <w:divBdr>
        <w:top w:val="none" w:sz="0" w:space="0" w:color="auto"/>
        <w:left w:val="none" w:sz="0" w:space="0" w:color="auto"/>
        <w:bottom w:val="none" w:sz="0" w:space="0" w:color="auto"/>
        <w:right w:val="none" w:sz="0" w:space="0" w:color="auto"/>
      </w:divBdr>
    </w:div>
    <w:div w:id="1031878283">
      <w:bodyDiv w:val="1"/>
      <w:marLeft w:val="0"/>
      <w:marRight w:val="0"/>
      <w:marTop w:val="0"/>
      <w:marBottom w:val="0"/>
      <w:divBdr>
        <w:top w:val="none" w:sz="0" w:space="0" w:color="auto"/>
        <w:left w:val="none" w:sz="0" w:space="0" w:color="auto"/>
        <w:bottom w:val="none" w:sz="0" w:space="0" w:color="auto"/>
        <w:right w:val="none" w:sz="0" w:space="0" w:color="auto"/>
      </w:divBdr>
    </w:div>
    <w:div w:id="1035424024">
      <w:bodyDiv w:val="1"/>
      <w:marLeft w:val="0"/>
      <w:marRight w:val="0"/>
      <w:marTop w:val="0"/>
      <w:marBottom w:val="0"/>
      <w:divBdr>
        <w:top w:val="none" w:sz="0" w:space="0" w:color="auto"/>
        <w:left w:val="none" w:sz="0" w:space="0" w:color="auto"/>
        <w:bottom w:val="none" w:sz="0" w:space="0" w:color="auto"/>
        <w:right w:val="none" w:sz="0" w:space="0" w:color="auto"/>
      </w:divBdr>
    </w:div>
    <w:div w:id="1047528613">
      <w:bodyDiv w:val="1"/>
      <w:marLeft w:val="0"/>
      <w:marRight w:val="0"/>
      <w:marTop w:val="0"/>
      <w:marBottom w:val="0"/>
      <w:divBdr>
        <w:top w:val="none" w:sz="0" w:space="0" w:color="auto"/>
        <w:left w:val="none" w:sz="0" w:space="0" w:color="auto"/>
        <w:bottom w:val="none" w:sz="0" w:space="0" w:color="auto"/>
        <w:right w:val="none" w:sz="0" w:space="0" w:color="auto"/>
      </w:divBdr>
    </w:div>
    <w:div w:id="1047607218">
      <w:bodyDiv w:val="1"/>
      <w:marLeft w:val="0"/>
      <w:marRight w:val="0"/>
      <w:marTop w:val="0"/>
      <w:marBottom w:val="0"/>
      <w:divBdr>
        <w:top w:val="none" w:sz="0" w:space="0" w:color="auto"/>
        <w:left w:val="none" w:sz="0" w:space="0" w:color="auto"/>
        <w:bottom w:val="none" w:sz="0" w:space="0" w:color="auto"/>
        <w:right w:val="none" w:sz="0" w:space="0" w:color="auto"/>
      </w:divBdr>
    </w:div>
    <w:div w:id="1052658157">
      <w:bodyDiv w:val="1"/>
      <w:marLeft w:val="0"/>
      <w:marRight w:val="0"/>
      <w:marTop w:val="0"/>
      <w:marBottom w:val="0"/>
      <w:divBdr>
        <w:top w:val="none" w:sz="0" w:space="0" w:color="auto"/>
        <w:left w:val="none" w:sz="0" w:space="0" w:color="auto"/>
        <w:bottom w:val="none" w:sz="0" w:space="0" w:color="auto"/>
        <w:right w:val="none" w:sz="0" w:space="0" w:color="auto"/>
      </w:divBdr>
    </w:div>
    <w:div w:id="1066417768">
      <w:bodyDiv w:val="1"/>
      <w:marLeft w:val="0"/>
      <w:marRight w:val="0"/>
      <w:marTop w:val="0"/>
      <w:marBottom w:val="0"/>
      <w:divBdr>
        <w:top w:val="none" w:sz="0" w:space="0" w:color="auto"/>
        <w:left w:val="none" w:sz="0" w:space="0" w:color="auto"/>
        <w:bottom w:val="none" w:sz="0" w:space="0" w:color="auto"/>
        <w:right w:val="none" w:sz="0" w:space="0" w:color="auto"/>
      </w:divBdr>
    </w:div>
    <w:div w:id="1082263315">
      <w:bodyDiv w:val="1"/>
      <w:marLeft w:val="0"/>
      <w:marRight w:val="0"/>
      <w:marTop w:val="0"/>
      <w:marBottom w:val="0"/>
      <w:divBdr>
        <w:top w:val="none" w:sz="0" w:space="0" w:color="auto"/>
        <w:left w:val="none" w:sz="0" w:space="0" w:color="auto"/>
        <w:bottom w:val="none" w:sz="0" w:space="0" w:color="auto"/>
        <w:right w:val="none" w:sz="0" w:space="0" w:color="auto"/>
      </w:divBdr>
    </w:div>
    <w:div w:id="1083255089">
      <w:bodyDiv w:val="1"/>
      <w:marLeft w:val="0"/>
      <w:marRight w:val="0"/>
      <w:marTop w:val="0"/>
      <w:marBottom w:val="0"/>
      <w:divBdr>
        <w:top w:val="none" w:sz="0" w:space="0" w:color="auto"/>
        <w:left w:val="none" w:sz="0" w:space="0" w:color="auto"/>
        <w:bottom w:val="none" w:sz="0" w:space="0" w:color="auto"/>
        <w:right w:val="none" w:sz="0" w:space="0" w:color="auto"/>
      </w:divBdr>
    </w:div>
    <w:div w:id="1085151237">
      <w:bodyDiv w:val="1"/>
      <w:marLeft w:val="0"/>
      <w:marRight w:val="0"/>
      <w:marTop w:val="0"/>
      <w:marBottom w:val="0"/>
      <w:divBdr>
        <w:top w:val="none" w:sz="0" w:space="0" w:color="auto"/>
        <w:left w:val="none" w:sz="0" w:space="0" w:color="auto"/>
        <w:bottom w:val="none" w:sz="0" w:space="0" w:color="auto"/>
        <w:right w:val="none" w:sz="0" w:space="0" w:color="auto"/>
      </w:divBdr>
    </w:div>
    <w:div w:id="1098064806">
      <w:bodyDiv w:val="1"/>
      <w:marLeft w:val="0"/>
      <w:marRight w:val="0"/>
      <w:marTop w:val="0"/>
      <w:marBottom w:val="0"/>
      <w:divBdr>
        <w:top w:val="none" w:sz="0" w:space="0" w:color="auto"/>
        <w:left w:val="none" w:sz="0" w:space="0" w:color="auto"/>
        <w:bottom w:val="none" w:sz="0" w:space="0" w:color="auto"/>
        <w:right w:val="none" w:sz="0" w:space="0" w:color="auto"/>
      </w:divBdr>
    </w:div>
    <w:div w:id="1099525971">
      <w:bodyDiv w:val="1"/>
      <w:marLeft w:val="0"/>
      <w:marRight w:val="0"/>
      <w:marTop w:val="0"/>
      <w:marBottom w:val="0"/>
      <w:divBdr>
        <w:top w:val="none" w:sz="0" w:space="0" w:color="auto"/>
        <w:left w:val="none" w:sz="0" w:space="0" w:color="auto"/>
        <w:bottom w:val="none" w:sz="0" w:space="0" w:color="auto"/>
        <w:right w:val="none" w:sz="0" w:space="0" w:color="auto"/>
      </w:divBdr>
    </w:div>
    <w:div w:id="1100180331">
      <w:bodyDiv w:val="1"/>
      <w:marLeft w:val="0"/>
      <w:marRight w:val="0"/>
      <w:marTop w:val="0"/>
      <w:marBottom w:val="0"/>
      <w:divBdr>
        <w:top w:val="none" w:sz="0" w:space="0" w:color="auto"/>
        <w:left w:val="none" w:sz="0" w:space="0" w:color="auto"/>
        <w:bottom w:val="none" w:sz="0" w:space="0" w:color="auto"/>
        <w:right w:val="none" w:sz="0" w:space="0" w:color="auto"/>
      </w:divBdr>
    </w:div>
    <w:div w:id="1104694156">
      <w:bodyDiv w:val="1"/>
      <w:marLeft w:val="0"/>
      <w:marRight w:val="0"/>
      <w:marTop w:val="0"/>
      <w:marBottom w:val="0"/>
      <w:divBdr>
        <w:top w:val="none" w:sz="0" w:space="0" w:color="auto"/>
        <w:left w:val="none" w:sz="0" w:space="0" w:color="auto"/>
        <w:bottom w:val="none" w:sz="0" w:space="0" w:color="auto"/>
        <w:right w:val="none" w:sz="0" w:space="0" w:color="auto"/>
      </w:divBdr>
    </w:div>
    <w:div w:id="1111821468">
      <w:bodyDiv w:val="1"/>
      <w:marLeft w:val="0"/>
      <w:marRight w:val="0"/>
      <w:marTop w:val="0"/>
      <w:marBottom w:val="0"/>
      <w:divBdr>
        <w:top w:val="none" w:sz="0" w:space="0" w:color="auto"/>
        <w:left w:val="none" w:sz="0" w:space="0" w:color="auto"/>
        <w:bottom w:val="none" w:sz="0" w:space="0" w:color="auto"/>
        <w:right w:val="none" w:sz="0" w:space="0" w:color="auto"/>
      </w:divBdr>
    </w:div>
    <w:div w:id="1117061357">
      <w:bodyDiv w:val="1"/>
      <w:marLeft w:val="0"/>
      <w:marRight w:val="0"/>
      <w:marTop w:val="0"/>
      <w:marBottom w:val="0"/>
      <w:divBdr>
        <w:top w:val="none" w:sz="0" w:space="0" w:color="auto"/>
        <w:left w:val="none" w:sz="0" w:space="0" w:color="auto"/>
        <w:bottom w:val="none" w:sz="0" w:space="0" w:color="auto"/>
        <w:right w:val="none" w:sz="0" w:space="0" w:color="auto"/>
      </w:divBdr>
    </w:div>
    <w:div w:id="1117454928">
      <w:bodyDiv w:val="1"/>
      <w:marLeft w:val="0"/>
      <w:marRight w:val="0"/>
      <w:marTop w:val="0"/>
      <w:marBottom w:val="0"/>
      <w:divBdr>
        <w:top w:val="none" w:sz="0" w:space="0" w:color="auto"/>
        <w:left w:val="none" w:sz="0" w:space="0" w:color="auto"/>
        <w:bottom w:val="none" w:sz="0" w:space="0" w:color="auto"/>
        <w:right w:val="none" w:sz="0" w:space="0" w:color="auto"/>
      </w:divBdr>
    </w:div>
    <w:div w:id="1118260207">
      <w:bodyDiv w:val="1"/>
      <w:marLeft w:val="0"/>
      <w:marRight w:val="0"/>
      <w:marTop w:val="0"/>
      <w:marBottom w:val="0"/>
      <w:divBdr>
        <w:top w:val="none" w:sz="0" w:space="0" w:color="auto"/>
        <w:left w:val="none" w:sz="0" w:space="0" w:color="auto"/>
        <w:bottom w:val="none" w:sz="0" w:space="0" w:color="auto"/>
        <w:right w:val="none" w:sz="0" w:space="0" w:color="auto"/>
      </w:divBdr>
    </w:div>
    <w:div w:id="1118372595">
      <w:bodyDiv w:val="1"/>
      <w:marLeft w:val="0"/>
      <w:marRight w:val="0"/>
      <w:marTop w:val="0"/>
      <w:marBottom w:val="0"/>
      <w:divBdr>
        <w:top w:val="none" w:sz="0" w:space="0" w:color="auto"/>
        <w:left w:val="none" w:sz="0" w:space="0" w:color="auto"/>
        <w:bottom w:val="none" w:sz="0" w:space="0" w:color="auto"/>
        <w:right w:val="none" w:sz="0" w:space="0" w:color="auto"/>
      </w:divBdr>
    </w:div>
    <w:div w:id="1123577284">
      <w:bodyDiv w:val="1"/>
      <w:marLeft w:val="0"/>
      <w:marRight w:val="0"/>
      <w:marTop w:val="0"/>
      <w:marBottom w:val="0"/>
      <w:divBdr>
        <w:top w:val="none" w:sz="0" w:space="0" w:color="auto"/>
        <w:left w:val="none" w:sz="0" w:space="0" w:color="auto"/>
        <w:bottom w:val="none" w:sz="0" w:space="0" w:color="auto"/>
        <w:right w:val="none" w:sz="0" w:space="0" w:color="auto"/>
      </w:divBdr>
    </w:div>
    <w:div w:id="1134054842">
      <w:bodyDiv w:val="1"/>
      <w:marLeft w:val="0"/>
      <w:marRight w:val="0"/>
      <w:marTop w:val="0"/>
      <w:marBottom w:val="0"/>
      <w:divBdr>
        <w:top w:val="none" w:sz="0" w:space="0" w:color="auto"/>
        <w:left w:val="none" w:sz="0" w:space="0" w:color="auto"/>
        <w:bottom w:val="none" w:sz="0" w:space="0" w:color="auto"/>
        <w:right w:val="none" w:sz="0" w:space="0" w:color="auto"/>
      </w:divBdr>
    </w:div>
    <w:div w:id="1134568028">
      <w:bodyDiv w:val="1"/>
      <w:marLeft w:val="0"/>
      <w:marRight w:val="0"/>
      <w:marTop w:val="0"/>
      <w:marBottom w:val="0"/>
      <w:divBdr>
        <w:top w:val="none" w:sz="0" w:space="0" w:color="auto"/>
        <w:left w:val="none" w:sz="0" w:space="0" w:color="auto"/>
        <w:bottom w:val="none" w:sz="0" w:space="0" w:color="auto"/>
        <w:right w:val="none" w:sz="0" w:space="0" w:color="auto"/>
      </w:divBdr>
    </w:div>
    <w:div w:id="1142843350">
      <w:bodyDiv w:val="1"/>
      <w:marLeft w:val="0"/>
      <w:marRight w:val="0"/>
      <w:marTop w:val="0"/>
      <w:marBottom w:val="0"/>
      <w:divBdr>
        <w:top w:val="none" w:sz="0" w:space="0" w:color="auto"/>
        <w:left w:val="none" w:sz="0" w:space="0" w:color="auto"/>
        <w:bottom w:val="none" w:sz="0" w:space="0" w:color="auto"/>
        <w:right w:val="none" w:sz="0" w:space="0" w:color="auto"/>
      </w:divBdr>
    </w:div>
    <w:div w:id="1145732184">
      <w:bodyDiv w:val="1"/>
      <w:marLeft w:val="0"/>
      <w:marRight w:val="0"/>
      <w:marTop w:val="0"/>
      <w:marBottom w:val="0"/>
      <w:divBdr>
        <w:top w:val="none" w:sz="0" w:space="0" w:color="auto"/>
        <w:left w:val="none" w:sz="0" w:space="0" w:color="auto"/>
        <w:bottom w:val="none" w:sz="0" w:space="0" w:color="auto"/>
        <w:right w:val="none" w:sz="0" w:space="0" w:color="auto"/>
      </w:divBdr>
    </w:div>
    <w:div w:id="1145780500">
      <w:bodyDiv w:val="1"/>
      <w:marLeft w:val="0"/>
      <w:marRight w:val="0"/>
      <w:marTop w:val="0"/>
      <w:marBottom w:val="0"/>
      <w:divBdr>
        <w:top w:val="none" w:sz="0" w:space="0" w:color="auto"/>
        <w:left w:val="none" w:sz="0" w:space="0" w:color="auto"/>
        <w:bottom w:val="none" w:sz="0" w:space="0" w:color="auto"/>
        <w:right w:val="none" w:sz="0" w:space="0" w:color="auto"/>
      </w:divBdr>
    </w:div>
    <w:div w:id="1148085735">
      <w:bodyDiv w:val="1"/>
      <w:marLeft w:val="0"/>
      <w:marRight w:val="0"/>
      <w:marTop w:val="0"/>
      <w:marBottom w:val="0"/>
      <w:divBdr>
        <w:top w:val="none" w:sz="0" w:space="0" w:color="auto"/>
        <w:left w:val="none" w:sz="0" w:space="0" w:color="auto"/>
        <w:bottom w:val="none" w:sz="0" w:space="0" w:color="auto"/>
        <w:right w:val="none" w:sz="0" w:space="0" w:color="auto"/>
      </w:divBdr>
    </w:div>
    <w:div w:id="1150362499">
      <w:bodyDiv w:val="1"/>
      <w:marLeft w:val="0"/>
      <w:marRight w:val="0"/>
      <w:marTop w:val="0"/>
      <w:marBottom w:val="0"/>
      <w:divBdr>
        <w:top w:val="none" w:sz="0" w:space="0" w:color="auto"/>
        <w:left w:val="none" w:sz="0" w:space="0" w:color="auto"/>
        <w:bottom w:val="none" w:sz="0" w:space="0" w:color="auto"/>
        <w:right w:val="none" w:sz="0" w:space="0" w:color="auto"/>
      </w:divBdr>
    </w:div>
    <w:div w:id="1158380454">
      <w:bodyDiv w:val="1"/>
      <w:marLeft w:val="0"/>
      <w:marRight w:val="0"/>
      <w:marTop w:val="0"/>
      <w:marBottom w:val="0"/>
      <w:divBdr>
        <w:top w:val="none" w:sz="0" w:space="0" w:color="auto"/>
        <w:left w:val="none" w:sz="0" w:space="0" w:color="auto"/>
        <w:bottom w:val="none" w:sz="0" w:space="0" w:color="auto"/>
        <w:right w:val="none" w:sz="0" w:space="0" w:color="auto"/>
      </w:divBdr>
    </w:div>
    <w:div w:id="1168134661">
      <w:bodyDiv w:val="1"/>
      <w:marLeft w:val="0"/>
      <w:marRight w:val="0"/>
      <w:marTop w:val="0"/>
      <w:marBottom w:val="0"/>
      <w:divBdr>
        <w:top w:val="none" w:sz="0" w:space="0" w:color="auto"/>
        <w:left w:val="none" w:sz="0" w:space="0" w:color="auto"/>
        <w:bottom w:val="none" w:sz="0" w:space="0" w:color="auto"/>
        <w:right w:val="none" w:sz="0" w:space="0" w:color="auto"/>
      </w:divBdr>
    </w:div>
    <w:div w:id="1169562167">
      <w:bodyDiv w:val="1"/>
      <w:marLeft w:val="0"/>
      <w:marRight w:val="0"/>
      <w:marTop w:val="0"/>
      <w:marBottom w:val="0"/>
      <w:divBdr>
        <w:top w:val="none" w:sz="0" w:space="0" w:color="auto"/>
        <w:left w:val="none" w:sz="0" w:space="0" w:color="auto"/>
        <w:bottom w:val="none" w:sz="0" w:space="0" w:color="auto"/>
        <w:right w:val="none" w:sz="0" w:space="0" w:color="auto"/>
      </w:divBdr>
    </w:div>
    <w:div w:id="1172918191">
      <w:bodyDiv w:val="1"/>
      <w:marLeft w:val="0"/>
      <w:marRight w:val="0"/>
      <w:marTop w:val="0"/>
      <w:marBottom w:val="0"/>
      <w:divBdr>
        <w:top w:val="none" w:sz="0" w:space="0" w:color="auto"/>
        <w:left w:val="none" w:sz="0" w:space="0" w:color="auto"/>
        <w:bottom w:val="none" w:sz="0" w:space="0" w:color="auto"/>
        <w:right w:val="none" w:sz="0" w:space="0" w:color="auto"/>
      </w:divBdr>
    </w:div>
    <w:div w:id="1173105614">
      <w:bodyDiv w:val="1"/>
      <w:marLeft w:val="0"/>
      <w:marRight w:val="0"/>
      <w:marTop w:val="0"/>
      <w:marBottom w:val="0"/>
      <w:divBdr>
        <w:top w:val="none" w:sz="0" w:space="0" w:color="auto"/>
        <w:left w:val="none" w:sz="0" w:space="0" w:color="auto"/>
        <w:bottom w:val="none" w:sz="0" w:space="0" w:color="auto"/>
        <w:right w:val="none" w:sz="0" w:space="0" w:color="auto"/>
      </w:divBdr>
    </w:div>
    <w:div w:id="1174806580">
      <w:bodyDiv w:val="1"/>
      <w:marLeft w:val="0"/>
      <w:marRight w:val="0"/>
      <w:marTop w:val="0"/>
      <w:marBottom w:val="0"/>
      <w:divBdr>
        <w:top w:val="none" w:sz="0" w:space="0" w:color="auto"/>
        <w:left w:val="none" w:sz="0" w:space="0" w:color="auto"/>
        <w:bottom w:val="none" w:sz="0" w:space="0" w:color="auto"/>
        <w:right w:val="none" w:sz="0" w:space="0" w:color="auto"/>
      </w:divBdr>
    </w:div>
    <w:div w:id="1177235910">
      <w:bodyDiv w:val="1"/>
      <w:marLeft w:val="0"/>
      <w:marRight w:val="0"/>
      <w:marTop w:val="0"/>
      <w:marBottom w:val="0"/>
      <w:divBdr>
        <w:top w:val="none" w:sz="0" w:space="0" w:color="auto"/>
        <w:left w:val="none" w:sz="0" w:space="0" w:color="auto"/>
        <w:bottom w:val="none" w:sz="0" w:space="0" w:color="auto"/>
        <w:right w:val="none" w:sz="0" w:space="0" w:color="auto"/>
      </w:divBdr>
    </w:div>
    <w:div w:id="1177767540">
      <w:bodyDiv w:val="1"/>
      <w:marLeft w:val="0"/>
      <w:marRight w:val="0"/>
      <w:marTop w:val="0"/>
      <w:marBottom w:val="0"/>
      <w:divBdr>
        <w:top w:val="none" w:sz="0" w:space="0" w:color="auto"/>
        <w:left w:val="none" w:sz="0" w:space="0" w:color="auto"/>
        <w:bottom w:val="none" w:sz="0" w:space="0" w:color="auto"/>
        <w:right w:val="none" w:sz="0" w:space="0" w:color="auto"/>
      </w:divBdr>
    </w:div>
    <w:div w:id="1178811057">
      <w:bodyDiv w:val="1"/>
      <w:marLeft w:val="0"/>
      <w:marRight w:val="0"/>
      <w:marTop w:val="0"/>
      <w:marBottom w:val="0"/>
      <w:divBdr>
        <w:top w:val="none" w:sz="0" w:space="0" w:color="auto"/>
        <w:left w:val="none" w:sz="0" w:space="0" w:color="auto"/>
        <w:bottom w:val="none" w:sz="0" w:space="0" w:color="auto"/>
        <w:right w:val="none" w:sz="0" w:space="0" w:color="auto"/>
      </w:divBdr>
    </w:div>
    <w:div w:id="1203634774">
      <w:bodyDiv w:val="1"/>
      <w:marLeft w:val="0"/>
      <w:marRight w:val="0"/>
      <w:marTop w:val="0"/>
      <w:marBottom w:val="0"/>
      <w:divBdr>
        <w:top w:val="none" w:sz="0" w:space="0" w:color="auto"/>
        <w:left w:val="none" w:sz="0" w:space="0" w:color="auto"/>
        <w:bottom w:val="none" w:sz="0" w:space="0" w:color="auto"/>
        <w:right w:val="none" w:sz="0" w:space="0" w:color="auto"/>
      </w:divBdr>
    </w:div>
    <w:div w:id="1204246145">
      <w:bodyDiv w:val="1"/>
      <w:marLeft w:val="0"/>
      <w:marRight w:val="0"/>
      <w:marTop w:val="0"/>
      <w:marBottom w:val="0"/>
      <w:divBdr>
        <w:top w:val="none" w:sz="0" w:space="0" w:color="auto"/>
        <w:left w:val="none" w:sz="0" w:space="0" w:color="auto"/>
        <w:bottom w:val="none" w:sz="0" w:space="0" w:color="auto"/>
        <w:right w:val="none" w:sz="0" w:space="0" w:color="auto"/>
      </w:divBdr>
    </w:div>
    <w:div w:id="1206791883">
      <w:bodyDiv w:val="1"/>
      <w:marLeft w:val="0"/>
      <w:marRight w:val="0"/>
      <w:marTop w:val="0"/>
      <w:marBottom w:val="0"/>
      <w:divBdr>
        <w:top w:val="none" w:sz="0" w:space="0" w:color="auto"/>
        <w:left w:val="none" w:sz="0" w:space="0" w:color="auto"/>
        <w:bottom w:val="none" w:sz="0" w:space="0" w:color="auto"/>
        <w:right w:val="none" w:sz="0" w:space="0" w:color="auto"/>
      </w:divBdr>
    </w:div>
    <w:div w:id="1221597559">
      <w:bodyDiv w:val="1"/>
      <w:marLeft w:val="0"/>
      <w:marRight w:val="0"/>
      <w:marTop w:val="0"/>
      <w:marBottom w:val="0"/>
      <w:divBdr>
        <w:top w:val="none" w:sz="0" w:space="0" w:color="auto"/>
        <w:left w:val="none" w:sz="0" w:space="0" w:color="auto"/>
        <w:bottom w:val="none" w:sz="0" w:space="0" w:color="auto"/>
        <w:right w:val="none" w:sz="0" w:space="0" w:color="auto"/>
      </w:divBdr>
    </w:div>
    <w:div w:id="1231580944">
      <w:bodyDiv w:val="1"/>
      <w:marLeft w:val="0"/>
      <w:marRight w:val="0"/>
      <w:marTop w:val="0"/>
      <w:marBottom w:val="0"/>
      <w:divBdr>
        <w:top w:val="none" w:sz="0" w:space="0" w:color="auto"/>
        <w:left w:val="none" w:sz="0" w:space="0" w:color="auto"/>
        <w:bottom w:val="none" w:sz="0" w:space="0" w:color="auto"/>
        <w:right w:val="none" w:sz="0" w:space="0" w:color="auto"/>
      </w:divBdr>
    </w:div>
    <w:div w:id="1257712307">
      <w:bodyDiv w:val="1"/>
      <w:marLeft w:val="0"/>
      <w:marRight w:val="0"/>
      <w:marTop w:val="0"/>
      <w:marBottom w:val="0"/>
      <w:divBdr>
        <w:top w:val="none" w:sz="0" w:space="0" w:color="auto"/>
        <w:left w:val="none" w:sz="0" w:space="0" w:color="auto"/>
        <w:bottom w:val="none" w:sz="0" w:space="0" w:color="auto"/>
        <w:right w:val="none" w:sz="0" w:space="0" w:color="auto"/>
      </w:divBdr>
      <w:divsChild>
        <w:div w:id="70859382">
          <w:marLeft w:val="0"/>
          <w:marRight w:val="0"/>
          <w:marTop w:val="0"/>
          <w:marBottom w:val="0"/>
          <w:divBdr>
            <w:top w:val="none" w:sz="0" w:space="0" w:color="auto"/>
            <w:left w:val="none" w:sz="0" w:space="0" w:color="auto"/>
            <w:bottom w:val="none" w:sz="0" w:space="0" w:color="auto"/>
            <w:right w:val="none" w:sz="0" w:space="0" w:color="auto"/>
          </w:divBdr>
          <w:divsChild>
            <w:div w:id="1015616430">
              <w:marLeft w:val="0"/>
              <w:marRight w:val="0"/>
              <w:marTop w:val="0"/>
              <w:marBottom w:val="0"/>
              <w:divBdr>
                <w:top w:val="none" w:sz="0" w:space="0" w:color="auto"/>
                <w:left w:val="none" w:sz="0" w:space="0" w:color="auto"/>
                <w:bottom w:val="none" w:sz="0" w:space="0" w:color="auto"/>
                <w:right w:val="none" w:sz="0" w:space="0" w:color="auto"/>
              </w:divBdr>
              <w:divsChild>
                <w:div w:id="297730697">
                  <w:marLeft w:val="0"/>
                  <w:marRight w:val="0"/>
                  <w:marTop w:val="0"/>
                  <w:marBottom w:val="0"/>
                  <w:divBdr>
                    <w:top w:val="none" w:sz="0" w:space="0" w:color="auto"/>
                    <w:left w:val="none" w:sz="0" w:space="0" w:color="auto"/>
                    <w:bottom w:val="none" w:sz="0" w:space="0" w:color="auto"/>
                    <w:right w:val="none" w:sz="0" w:space="0" w:color="auto"/>
                  </w:divBdr>
                  <w:divsChild>
                    <w:div w:id="1913739314">
                      <w:marLeft w:val="0"/>
                      <w:marRight w:val="0"/>
                      <w:marTop w:val="0"/>
                      <w:marBottom w:val="0"/>
                      <w:divBdr>
                        <w:top w:val="none" w:sz="0" w:space="0" w:color="auto"/>
                        <w:left w:val="none" w:sz="0" w:space="0" w:color="auto"/>
                        <w:bottom w:val="none" w:sz="0" w:space="0" w:color="auto"/>
                        <w:right w:val="none" w:sz="0" w:space="0" w:color="auto"/>
                      </w:divBdr>
                      <w:divsChild>
                        <w:div w:id="1591692526">
                          <w:marLeft w:val="0"/>
                          <w:marRight w:val="0"/>
                          <w:marTop w:val="300"/>
                          <w:marBottom w:val="0"/>
                          <w:divBdr>
                            <w:top w:val="none" w:sz="0" w:space="0" w:color="auto"/>
                            <w:left w:val="none" w:sz="0" w:space="0" w:color="auto"/>
                            <w:bottom w:val="none" w:sz="0" w:space="0" w:color="auto"/>
                            <w:right w:val="none" w:sz="0" w:space="0" w:color="auto"/>
                          </w:divBdr>
                          <w:divsChild>
                            <w:div w:id="104564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0598939">
      <w:bodyDiv w:val="1"/>
      <w:marLeft w:val="0"/>
      <w:marRight w:val="0"/>
      <w:marTop w:val="0"/>
      <w:marBottom w:val="0"/>
      <w:divBdr>
        <w:top w:val="none" w:sz="0" w:space="0" w:color="auto"/>
        <w:left w:val="none" w:sz="0" w:space="0" w:color="auto"/>
        <w:bottom w:val="none" w:sz="0" w:space="0" w:color="auto"/>
        <w:right w:val="none" w:sz="0" w:space="0" w:color="auto"/>
      </w:divBdr>
    </w:div>
    <w:div w:id="1266769531">
      <w:bodyDiv w:val="1"/>
      <w:marLeft w:val="0"/>
      <w:marRight w:val="0"/>
      <w:marTop w:val="0"/>
      <w:marBottom w:val="0"/>
      <w:divBdr>
        <w:top w:val="none" w:sz="0" w:space="0" w:color="auto"/>
        <w:left w:val="none" w:sz="0" w:space="0" w:color="auto"/>
        <w:bottom w:val="none" w:sz="0" w:space="0" w:color="auto"/>
        <w:right w:val="none" w:sz="0" w:space="0" w:color="auto"/>
      </w:divBdr>
    </w:div>
    <w:div w:id="1269390061">
      <w:bodyDiv w:val="1"/>
      <w:marLeft w:val="0"/>
      <w:marRight w:val="0"/>
      <w:marTop w:val="0"/>
      <w:marBottom w:val="0"/>
      <w:divBdr>
        <w:top w:val="none" w:sz="0" w:space="0" w:color="auto"/>
        <w:left w:val="none" w:sz="0" w:space="0" w:color="auto"/>
        <w:bottom w:val="none" w:sz="0" w:space="0" w:color="auto"/>
        <w:right w:val="none" w:sz="0" w:space="0" w:color="auto"/>
      </w:divBdr>
    </w:div>
    <w:div w:id="1270353324">
      <w:bodyDiv w:val="1"/>
      <w:marLeft w:val="0"/>
      <w:marRight w:val="0"/>
      <w:marTop w:val="0"/>
      <w:marBottom w:val="0"/>
      <w:divBdr>
        <w:top w:val="none" w:sz="0" w:space="0" w:color="auto"/>
        <w:left w:val="none" w:sz="0" w:space="0" w:color="auto"/>
        <w:bottom w:val="none" w:sz="0" w:space="0" w:color="auto"/>
        <w:right w:val="none" w:sz="0" w:space="0" w:color="auto"/>
      </w:divBdr>
      <w:divsChild>
        <w:div w:id="1234243033">
          <w:marLeft w:val="0"/>
          <w:marRight w:val="0"/>
          <w:marTop w:val="0"/>
          <w:marBottom w:val="0"/>
          <w:divBdr>
            <w:top w:val="none" w:sz="0" w:space="0" w:color="auto"/>
            <w:left w:val="none" w:sz="0" w:space="0" w:color="auto"/>
            <w:bottom w:val="none" w:sz="0" w:space="0" w:color="auto"/>
            <w:right w:val="none" w:sz="0" w:space="0" w:color="auto"/>
          </w:divBdr>
        </w:div>
      </w:divsChild>
    </w:div>
    <w:div w:id="1270548240">
      <w:bodyDiv w:val="1"/>
      <w:marLeft w:val="0"/>
      <w:marRight w:val="0"/>
      <w:marTop w:val="0"/>
      <w:marBottom w:val="0"/>
      <w:divBdr>
        <w:top w:val="none" w:sz="0" w:space="0" w:color="auto"/>
        <w:left w:val="none" w:sz="0" w:space="0" w:color="auto"/>
        <w:bottom w:val="none" w:sz="0" w:space="0" w:color="auto"/>
        <w:right w:val="none" w:sz="0" w:space="0" w:color="auto"/>
      </w:divBdr>
    </w:div>
    <w:div w:id="1274901344">
      <w:bodyDiv w:val="1"/>
      <w:marLeft w:val="0"/>
      <w:marRight w:val="0"/>
      <w:marTop w:val="0"/>
      <w:marBottom w:val="0"/>
      <w:divBdr>
        <w:top w:val="none" w:sz="0" w:space="0" w:color="auto"/>
        <w:left w:val="none" w:sz="0" w:space="0" w:color="auto"/>
        <w:bottom w:val="none" w:sz="0" w:space="0" w:color="auto"/>
        <w:right w:val="none" w:sz="0" w:space="0" w:color="auto"/>
      </w:divBdr>
    </w:div>
    <w:div w:id="1290552435">
      <w:bodyDiv w:val="1"/>
      <w:marLeft w:val="0"/>
      <w:marRight w:val="0"/>
      <w:marTop w:val="0"/>
      <w:marBottom w:val="0"/>
      <w:divBdr>
        <w:top w:val="none" w:sz="0" w:space="0" w:color="auto"/>
        <w:left w:val="none" w:sz="0" w:space="0" w:color="auto"/>
        <w:bottom w:val="none" w:sz="0" w:space="0" w:color="auto"/>
        <w:right w:val="none" w:sz="0" w:space="0" w:color="auto"/>
      </w:divBdr>
    </w:div>
    <w:div w:id="1310788684">
      <w:bodyDiv w:val="1"/>
      <w:marLeft w:val="0"/>
      <w:marRight w:val="0"/>
      <w:marTop w:val="0"/>
      <w:marBottom w:val="0"/>
      <w:divBdr>
        <w:top w:val="none" w:sz="0" w:space="0" w:color="auto"/>
        <w:left w:val="none" w:sz="0" w:space="0" w:color="auto"/>
        <w:bottom w:val="none" w:sz="0" w:space="0" w:color="auto"/>
        <w:right w:val="none" w:sz="0" w:space="0" w:color="auto"/>
      </w:divBdr>
    </w:div>
    <w:div w:id="1320692573">
      <w:bodyDiv w:val="1"/>
      <w:marLeft w:val="0"/>
      <w:marRight w:val="0"/>
      <w:marTop w:val="0"/>
      <w:marBottom w:val="0"/>
      <w:divBdr>
        <w:top w:val="none" w:sz="0" w:space="0" w:color="auto"/>
        <w:left w:val="none" w:sz="0" w:space="0" w:color="auto"/>
        <w:bottom w:val="none" w:sz="0" w:space="0" w:color="auto"/>
        <w:right w:val="none" w:sz="0" w:space="0" w:color="auto"/>
      </w:divBdr>
      <w:divsChild>
        <w:div w:id="1506895885">
          <w:marLeft w:val="0"/>
          <w:marRight w:val="0"/>
          <w:marTop w:val="0"/>
          <w:marBottom w:val="0"/>
          <w:divBdr>
            <w:top w:val="none" w:sz="0" w:space="0" w:color="auto"/>
            <w:left w:val="none" w:sz="0" w:space="0" w:color="auto"/>
            <w:bottom w:val="none" w:sz="0" w:space="0" w:color="auto"/>
            <w:right w:val="none" w:sz="0" w:space="0" w:color="auto"/>
          </w:divBdr>
          <w:divsChild>
            <w:div w:id="1494947981">
              <w:marLeft w:val="0"/>
              <w:marRight w:val="0"/>
              <w:marTop w:val="0"/>
              <w:marBottom w:val="0"/>
              <w:divBdr>
                <w:top w:val="none" w:sz="0" w:space="0" w:color="auto"/>
                <w:left w:val="none" w:sz="0" w:space="0" w:color="auto"/>
                <w:bottom w:val="none" w:sz="0" w:space="0" w:color="auto"/>
                <w:right w:val="none" w:sz="0" w:space="0" w:color="auto"/>
              </w:divBdr>
              <w:divsChild>
                <w:div w:id="1792094847">
                  <w:marLeft w:val="0"/>
                  <w:marRight w:val="0"/>
                  <w:marTop w:val="0"/>
                  <w:marBottom w:val="0"/>
                  <w:divBdr>
                    <w:top w:val="none" w:sz="0" w:space="0" w:color="auto"/>
                    <w:left w:val="none" w:sz="0" w:space="0" w:color="auto"/>
                    <w:bottom w:val="none" w:sz="0" w:space="0" w:color="auto"/>
                    <w:right w:val="none" w:sz="0" w:space="0" w:color="auto"/>
                  </w:divBdr>
                  <w:divsChild>
                    <w:div w:id="1181892315">
                      <w:marLeft w:val="0"/>
                      <w:marRight w:val="0"/>
                      <w:marTop w:val="0"/>
                      <w:marBottom w:val="0"/>
                      <w:divBdr>
                        <w:top w:val="none" w:sz="0" w:space="0" w:color="auto"/>
                        <w:left w:val="none" w:sz="0" w:space="0" w:color="auto"/>
                        <w:bottom w:val="none" w:sz="0" w:space="0" w:color="auto"/>
                        <w:right w:val="none" w:sz="0" w:space="0" w:color="auto"/>
                      </w:divBdr>
                      <w:divsChild>
                        <w:div w:id="2004699917">
                          <w:marLeft w:val="0"/>
                          <w:marRight w:val="0"/>
                          <w:marTop w:val="300"/>
                          <w:marBottom w:val="0"/>
                          <w:divBdr>
                            <w:top w:val="none" w:sz="0" w:space="0" w:color="auto"/>
                            <w:left w:val="none" w:sz="0" w:space="0" w:color="auto"/>
                            <w:bottom w:val="none" w:sz="0" w:space="0" w:color="auto"/>
                            <w:right w:val="none" w:sz="0" w:space="0" w:color="auto"/>
                          </w:divBdr>
                          <w:divsChild>
                            <w:div w:id="180133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9308556">
      <w:bodyDiv w:val="1"/>
      <w:marLeft w:val="0"/>
      <w:marRight w:val="0"/>
      <w:marTop w:val="0"/>
      <w:marBottom w:val="0"/>
      <w:divBdr>
        <w:top w:val="none" w:sz="0" w:space="0" w:color="auto"/>
        <w:left w:val="none" w:sz="0" w:space="0" w:color="auto"/>
        <w:bottom w:val="none" w:sz="0" w:space="0" w:color="auto"/>
        <w:right w:val="none" w:sz="0" w:space="0" w:color="auto"/>
      </w:divBdr>
    </w:div>
    <w:div w:id="1342506299">
      <w:bodyDiv w:val="1"/>
      <w:marLeft w:val="0"/>
      <w:marRight w:val="0"/>
      <w:marTop w:val="0"/>
      <w:marBottom w:val="0"/>
      <w:divBdr>
        <w:top w:val="none" w:sz="0" w:space="0" w:color="auto"/>
        <w:left w:val="none" w:sz="0" w:space="0" w:color="auto"/>
        <w:bottom w:val="none" w:sz="0" w:space="0" w:color="auto"/>
        <w:right w:val="none" w:sz="0" w:space="0" w:color="auto"/>
      </w:divBdr>
    </w:div>
    <w:div w:id="1352532789">
      <w:bodyDiv w:val="1"/>
      <w:marLeft w:val="0"/>
      <w:marRight w:val="0"/>
      <w:marTop w:val="0"/>
      <w:marBottom w:val="0"/>
      <w:divBdr>
        <w:top w:val="none" w:sz="0" w:space="0" w:color="auto"/>
        <w:left w:val="none" w:sz="0" w:space="0" w:color="auto"/>
        <w:bottom w:val="none" w:sz="0" w:space="0" w:color="auto"/>
        <w:right w:val="none" w:sz="0" w:space="0" w:color="auto"/>
      </w:divBdr>
    </w:div>
    <w:div w:id="1354306972">
      <w:bodyDiv w:val="1"/>
      <w:marLeft w:val="0"/>
      <w:marRight w:val="0"/>
      <w:marTop w:val="0"/>
      <w:marBottom w:val="0"/>
      <w:divBdr>
        <w:top w:val="none" w:sz="0" w:space="0" w:color="auto"/>
        <w:left w:val="none" w:sz="0" w:space="0" w:color="auto"/>
        <w:bottom w:val="none" w:sz="0" w:space="0" w:color="auto"/>
        <w:right w:val="none" w:sz="0" w:space="0" w:color="auto"/>
      </w:divBdr>
    </w:div>
    <w:div w:id="1356347886">
      <w:bodyDiv w:val="1"/>
      <w:marLeft w:val="0"/>
      <w:marRight w:val="0"/>
      <w:marTop w:val="0"/>
      <w:marBottom w:val="0"/>
      <w:divBdr>
        <w:top w:val="none" w:sz="0" w:space="0" w:color="auto"/>
        <w:left w:val="none" w:sz="0" w:space="0" w:color="auto"/>
        <w:bottom w:val="none" w:sz="0" w:space="0" w:color="auto"/>
        <w:right w:val="none" w:sz="0" w:space="0" w:color="auto"/>
      </w:divBdr>
    </w:div>
    <w:div w:id="1364284202">
      <w:bodyDiv w:val="1"/>
      <w:marLeft w:val="0"/>
      <w:marRight w:val="0"/>
      <w:marTop w:val="0"/>
      <w:marBottom w:val="0"/>
      <w:divBdr>
        <w:top w:val="none" w:sz="0" w:space="0" w:color="auto"/>
        <w:left w:val="none" w:sz="0" w:space="0" w:color="auto"/>
        <w:bottom w:val="none" w:sz="0" w:space="0" w:color="auto"/>
        <w:right w:val="none" w:sz="0" w:space="0" w:color="auto"/>
      </w:divBdr>
    </w:div>
    <w:div w:id="1395085067">
      <w:bodyDiv w:val="1"/>
      <w:marLeft w:val="0"/>
      <w:marRight w:val="0"/>
      <w:marTop w:val="0"/>
      <w:marBottom w:val="0"/>
      <w:divBdr>
        <w:top w:val="none" w:sz="0" w:space="0" w:color="auto"/>
        <w:left w:val="none" w:sz="0" w:space="0" w:color="auto"/>
        <w:bottom w:val="none" w:sz="0" w:space="0" w:color="auto"/>
        <w:right w:val="none" w:sz="0" w:space="0" w:color="auto"/>
      </w:divBdr>
    </w:div>
    <w:div w:id="1403328801">
      <w:bodyDiv w:val="1"/>
      <w:marLeft w:val="0"/>
      <w:marRight w:val="0"/>
      <w:marTop w:val="0"/>
      <w:marBottom w:val="0"/>
      <w:divBdr>
        <w:top w:val="none" w:sz="0" w:space="0" w:color="auto"/>
        <w:left w:val="none" w:sz="0" w:space="0" w:color="auto"/>
        <w:bottom w:val="none" w:sz="0" w:space="0" w:color="auto"/>
        <w:right w:val="none" w:sz="0" w:space="0" w:color="auto"/>
      </w:divBdr>
    </w:div>
    <w:div w:id="1403406209">
      <w:bodyDiv w:val="1"/>
      <w:marLeft w:val="0"/>
      <w:marRight w:val="0"/>
      <w:marTop w:val="0"/>
      <w:marBottom w:val="0"/>
      <w:divBdr>
        <w:top w:val="none" w:sz="0" w:space="0" w:color="auto"/>
        <w:left w:val="none" w:sz="0" w:space="0" w:color="auto"/>
        <w:bottom w:val="none" w:sz="0" w:space="0" w:color="auto"/>
        <w:right w:val="none" w:sz="0" w:space="0" w:color="auto"/>
      </w:divBdr>
    </w:div>
    <w:div w:id="1405026680">
      <w:bodyDiv w:val="1"/>
      <w:marLeft w:val="0"/>
      <w:marRight w:val="0"/>
      <w:marTop w:val="0"/>
      <w:marBottom w:val="0"/>
      <w:divBdr>
        <w:top w:val="none" w:sz="0" w:space="0" w:color="auto"/>
        <w:left w:val="none" w:sz="0" w:space="0" w:color="auto"/>
        <w:bottom w:val="none" w:sz="0" w:space="0" w:color="auto"/>
        <w:right w:val="none" w:sz="0" w:space="0" w:color="auto"/>
      </w:divBdr>
    </w:div>
    <w:div w:id="1405957847">
      <w:bodyDiv w:val="1"/>
      <w:marLeft w:val="0"/>
      <w:marRight w:val="0"/>
      <w:marTop w:val="0"/>
      <w:marBottom w:val="0"/>
      <w:divBdr>
        <w:top w:val="none" w:sz="0" w:space="0" w:color="auto"/>
        <w:left w:val="none" w:sz="0" w:space="0" w:color="auto"/>
        <w:bottom w:val="none" w:sz="0" w:space="0" w:color="auto"/>
        <w:right w:val="none" w:sz="0" w:space="0" w:color="auto"/>
      </w:divBdr>
    </w:div>
    <w:div w:id="1415080446">
      <w:bodyDiv w:val="1"/>
      <w:marLeft w:val="0"/>
      <w:marRight w:val="0"/>
      <w:marTop w:val="0"/>
      <w:marBottom w:val="0"/>
      <w:divBdr>
        <w:top w:val="none" w:sz="0" w:space="0" w:color="auto"/>
        <w:left w:val="none" w:sz="0" w:space="0" w:color="auto"/>
        <w:bottom w:val="none" w:sz="0" w:space="0" w:color="auto"/>
        <w:right w:val="none" w:sz="0" w:space="0" w:color="auto"/>
      </w:divBdr>
    </w:div>
    <w:div w:id="1415586678">
      <w:bodyDiv w:val="1"/>
      <w:marLeft w:val="0"/>
      <w:marRight w:val="0"/>
      <w:marTop w:val="0"/>
      <w:marBottom w:val="0"/>
      <w:divBdr>
        <w:top w:val="none" w:sz="0" w:space="0" w:color="auto"/>
        <w:left w:val="none" w:sz="0" w:space="0" w:color="auto"/>
        <w:bottom w:val="none" w:sz="0" w:space="0" w:color="auto"/>
        <w:right w:val="none" w:sz="0" w:space="0" w:color="auto"/>
      </w:divBdr>
    </w:div>
    <w:div w:id="1424298415">
      <w:bodyDiv w:val="1"/>
      <w:marLeft w:val="0"/>
      <w:marRight w:val="0"/>
      <w:marTop w:val="0"/>
      <w:marBottom w:val="0"/>
      <w:divBdr>
        <w:top w:val="none" w:sz="0" w:space="0" w:color="auto"/>
        <w:left w:val="none" w:sz="0" w:space="0" w:color="auto"/>
        <w:bottom w:val="none" w:sz="0" w:space="0" w:color="auto"/>
        <w:right w:val="none" w:sz="0" w:space="0" w:color="auto"/>
      </w:divBdr>
    </w:div>
    <w:div w:id="1425760686">
      <w:bodyDiv w:val="1"/>
      <w:marLeft w:val="0"/>
      <w:marRight w:val="0"/>
      <w:marTop w:val="0"/>
      <w:marBottom w:val="0"/>
      <w:divBdr>
        <w:top w:val="none" w:sz="0" w:space="0" w:color="auto"/>
        <w:left w:val="none" w:sz="0" w:space="0" w:color="auto"/>
        <w:bottom w:val="none" w:sz="0" w:space="0" w:color="auto"/>
        <w:right w:val="none" w:sz="0" w:space="0" w:color="auto"/>
      </w:divBdr>
    </w:div>
    <w:div w:id="1426730333">
      <w:bodyDiv w:val="1"/>
      <w:marLeft w:val="0"/>
      <w:marRight w:val="0"/>
      <w:marTop w:val="0"/>
      <w:marBottom w:val="0"/>
      <w:divBdr>
        <w:top w:val="none" w:sz="0" w:space="0" w:color="auto"/>
        <w:left w:val="none" w:sz="0" w:space="0" w:color="auto"/>
        <w:bottom w:val="none" w:sz="0" w:space="0" w:color="auto"/>
        <w:right w:val="none" w:sz="0" w:space="0" w:color="auto"/>
      </w:divBdr>
    </w:div>
    <w:div w:id="1431001293">
      <w:bodyDiv w:val="1"/>
      <w:marLeft w:val="0"/>
      <w:marRight w:val="0"/>
      <w:marTop w:val="0"/>
      <w:marBottom w:val="0"/>
      <w:divBdr>
        <w:top w:val="none" w:sz="0" w:space="0" w:color="auto"/>
        <w:left w:val="none" w:sz="0" w:space="0" w:color="auto"/>
        <w:bottom w:val="none" w:sz="0" w:space="0" w:color="auto"/>
        <w:right w:val="none" w:sz="0" w:space="0" w:color="auto"/>
      </w:divBdr>
    </w:div>
    <w:div w:id="1433552864">
      <w:bodyDiv w:val="1"/>
      <w:marLeft w:val="0"/>
      <w:marRight w:val="0"/>
      <w:marTop w:val="0"/>
      <w:marBottom w:val="0"/>
      <w:divBdr>
        <w:top w:val="none" w:sz="0" w:space="0" w:color="auto"/>
        <w:left w:val="none" w:sz="0" w:space="0" w:color="auto"/>
        <w:bottom w:val="none" w:sz="0" w:space="0" w:color="auto"/>
        <w:right w:val="none" w:sz="0" w:space="0" w:color="auto"/>
      </w:divBdr>
    </w:div>
    <w:div w:id="1438526340">
      <w:bodyDiv w:val="1"/>
      <w:marLeft w:val="0"/>
      <w:marRight w:val="0"/>
      <w:marTop w:val="0"/>
      <w:marBottom w:val="0"/>
      <w:divBdr>
        <w:top w:val="none" w:sz="0" w:space="0" w:color="auto"/>
        <w:left w:val="none" w:sz="0" w:space="0" w:color="auto"/>
        <w:bottom w:val="none" w:sz="0" w:space="0" w:color="auto"/>
        <w:right w:val="none" w:sz="0" w:space="0" w:color="auto"/>
      </w:divBdr>
    </w:div>
    <w:div w:id="1440835157">
      <w:bodyDiv w:val="1"/>
      <w:marLeft w:val="0"/>
      <w:marRight w:val="0"/>
      <w:marTop w:val="0"/>
      <w:marBottom w:val="0"/>
      <w:divBdr>
        <w:top w:val="none" w:sz="0" w:space="0" w:color="auto"/>
        <w:left w:val="none" w:sz="0" w:space="0" w:color="auto"/>
        <w:bottom w:val="none" w:sz="0" w:space="0" w:color="auto"/>
        <w:right w:val="none" w:sz="0" w:space="0" w:color="auto"/>
      </w:divBdr>
    </w:div>
    <w:div w:id="1442989159">
      <w:bodyDiv w:val="1"/>
      <w:marLeft w:val="0"/>
      <w:marRight w:val="0"/>
      <w:marTop w:val="0"/>
      <w:marBottom w:val="0"/>
      <w:divBdr>
        <w:top w:val="none" w:sz="0" w:space="0" w:color="auto"/>
        <w:left w:val="none" w:sz="0" w:space="0" w:color="auto"/>
        <w:bottom w:val="none" w:sz="0" w:space="0" w:color="auto"/>
        <w:right w:val="none" w:sz="0" w:space="0" w:color="auto"/>
      </w:divBdr>
    </w:div>
    <w:div w:id="1443574664">
      <w:bodyDiv w:val="1"/>
      <w:marLeft w:val="0"/>
      <w:marRight w:val="0"/>
      <w:marTop w:val="0"/>
      <w:marBottom w:val="0"/>
      <w:divBdr>
        <w:top w:val="none" w:sz="0" w:space="0" w:color="auto"/>
        <w:left w:val="none" w:sz="0" w:space="0" w:color="auto"/>
        <w:bottom w:val="none" w:sz="0" w:space="0" w:color="auto"/>
        <w:right w:val="none" w:sz="0" w:space="0" w:color="auto"/>
      </w:divBdr>
    </w:div>
    <w:div w:id="1443651611">
      <w:bodyDiv w:val="1"/>
      <w:marLeft w:val="0"/>
      <w:marRight w:val="0"/>
      <w:marTop w:val="0"/>
      <w:marBottom w:val="0"/>
      <w:divBdr>
        <w:top w:val="none" w:sz="0" w:space="0" w:color="auto"/>
        <w:left w:val="none" w:sz="0" w:space="0" w:color="auto"/>
        <w:bottom w:val="none" w:sz="0" w:space="0" w:color="auto"/>
        <w:right w:val="none" w:sz="0" w:space="0" w:color="auto"/>
      </w:divBdr>
    </w:div>
    <w:div w:id="1445223748">
      <w:bodyDiv w:val="1"/>
      <w:marLeft w:val="0"/>
      <w:marRight w:val="0"/>
      <w:marTop w:val="0"/>
      <w:marBottom w:val="0"/>
      <w:divBdr>
        <w:top w:val="none" w:sz="0" w:space="0" w:color="auto"/>
        <w:left w:val="none" w:sz="0" w:space="0" w:color="auto"/>
        <w:bottom w:val="none" w:sz="0" w:space="0" w:color="auto"/>
        <w:right w:val="none" w:sz="0" w:space="0" w:color="auto"/>
      </w:divBdr>
    </w:div>
    <w:div w:id="1448810489">
      <w:bodyDiv w:val="1"/>
      <w:marLeft w:val="0"/>
      <w:marRight w:val="0"/>
      <w:marTop w:val="0"/>
      <w:marBottom w:val="0"/>
      <w:divBdr>
        <w:top w:val="none" w:sz="0" w:space="0" w:color="auto"/>
        <w:left w:val="none" w:sz="0" w:space="0" w:color="auto"/>
        <w:bottom w:val="none" w:sz="0" w:space="0" w:color="auto"/>
        <w:right w:val="none" w:sz="0" w:space="0" w:color="auto"/>
      </w:divBdr>
    </w:div>
    <w:div w:id="1457062266">
      <w:bodyDiv w:val="1"/>
      <w:marLeft w:val="0"/>
      <w:marRight w:val="0"/>
      <w:marTop w:val="0"/>
      <w:marBottom w:val="0"/>
      <w:divBdr>
        <w:top w:val="none" w:sz="0" w:space="0" w:color="auto"/>
        <w:left w:val="none" w:sz="0" w:space="0" w:color="auto"/>
        <w:bottom w:val="none" w:sz="0" w:space="0" w:color="auto"/>
        <w:right w:val="none" w:sz="0" w:space="0" w:color="auto"/>
      </w:divBdr>
    </w:div>
    <w:div w:id="1462922026">
      <w:bodyDiv w:val="1"/>
      <w:marLeft w:val="0"/>
      <w:marRight w:val="0"/>
      <w:marTop w:val="0"/>
      <w:marBottom w:val="0"/>
      <w:divBdr>
        <w:top w:val="none" w:sz="0" w:space="0" w:color="auto"/>
        <w:left w:val="none" w:sz="0" w:space="0" w:color="auto"/>
        <w:bottom w:val="none" w:sz="0" w:space="0" w:color="auto"/>
        <w:right w:val="none" w:sz="0" w:space="0" w:color="auto"/>
      </w:divBdr>
    </w:div>
    <w:div w:id="1479345890">
      <w:bodyDiv w:val="1"/>
      <w:marLeft w:val="0"/>
      <w:marRight w:val="0"/>
      <w:marTop w:val="0"/>
      <w:marBottom w:val="0"/>
      <w:divBdr>
        <w:top w:val="none" w:sz="0" w:space="0" w:color="auto"/>
        <w:left w:val="none" w:sz="0" w:space="0" w:color="auto"/>
        <w:bottom w:val="none" w:sz="0" w:space="0" w:color="auto"/>
        <w:right w:val="none" w:sz="0" w:space="0" w:color="auto"/>
      </w:divBdr>
    </w:div>
    <w:div w:id="1491556221">
      <w:bodyDiv w:val="1"/>
      <w:marLeft w:val="0"/>
      <w:marRight w:val="0"/>
      <w:marTop w:val="0"/>
      <w:marBottom w:val="0"/>
      <w:divBdr>
        <w:top w:val="none" w:sz="0" w:space="0" w:color="auto"/>
        <w:left w:val="none" w:sz="0" w:space="0" w:color="auto"/>
        <w:bottom w:val="none" w:sz="0" w:space="0" w:color="auto"/>
        <w:right w:val="none" w:sz="0" w:space="0" w:color="auto"/>
      </w:divBdr>
    </w:div>
    <w:div w:id="1500271889">
      <w:bodyDiv w:val="1"/>
      <w:marLeft w:val="0"/>
      <w:marRight w:val="0"/>
      <w:marTop w:val="0"/>
      <w:marBottom w:val="0"/>
      <w:divBdr>
        <w:top w:val="none" w:sz="0" w:space="0" w:color="auto"/>
        <w:left w:val="none" w:sz="0" w:space="0" w:color="auto"/>
        <w:bottom w:val="none" w:sz="0" w:space="0" w:color="auto"/>
        <w:right w:val="none" w:sz="0" w:space="0" w:color="auto"/>
      </w:divBdr>
    </w:div>
    <w:div w:id="1501198123">
      <w:bodyDiv w:val="1"/>
      <w:marLeft w:val="0"/>
      <w:marRight w:val="0"/>
      <w:marTop w:val="0"/>
      <w:marBottom w:val="0"/>
      <w:divBdr>
        <w:top w:val="none" w:sz="0" w:space="0" w:color="auto"/>
        <w:left w:val="none" w:sz="0" w:space="0" w:color="auto"/>
        <w:bottom w:val="none" w:sz="0" w:space="0" w:color="auto"/>
        <w:right w:val="none" w:sz="0" w:space="0" w:color="auto"/>
      </w:divBdr>
    </w:div>
    <w:div w:id="1502353509">
      <w:bodyDiv w:val="1"/>
      <w:marLeft w:val="0"/>
      <w:marRight w:val="0"/>
      <w:marTop w:val="0"/>
      <w:marBottom w:val="0"/>
      <w:divBdr>
        <w:top w:val="none" w:sz="0" w:space="0" w:color="auto"/>
        <w:left w:val="none" w:sz="0" w:space="0" w:color="auto"/>
        <w:bottom w:val="none" w:sz="0" w:space="0" w:color="auto"/>
        <w:right w:val="none" w:sz="0" w:space="0" w:color="auto"/>
      </w:divBdr>
    </w:div>
    <w:div w:id="1506746475">
      <w:bodyDiv w:val="1"/>
      <w:marLeft w:val="0"/>
      <w:marRight w:val="0"/>
      <w:marTop w:val="0"/>
      <w:marBottom w:val="0"/>
      <w:divBdr>
        <w:top w:val="none" w:sz="0" w:space="0" w:color="auto"/>
        <w:left w:val="none" w:sz="0" w:space="0" w:color="auto"/>
        <w:bottom w:val="none" w:sz="0" w:space="0" w:color="auto"/>
        <w:right w:val="none" w:sz="0" w:space="0" w:color="auto"/>
      </w:divBdr>
    </w:div>
    <w:div w:id="1506825097">
      <w:bodyDiv w:val="1"/>
      <w:marLeft w:val="0"/>
      <w:marRight w:val="0"/>
      <w:marTop w:val="0"/>
      <w:marBottom w:val="0"/>
      <w:divBdr>
        <w:top w:val="none" w:sz="0" w:space="0" w:color="auto"/>
        <w:left w:val="none" w:sz="0" w:space="0" w:color="auto"/>
        <w:bottom w:val="none" w:sz="0" w:space="0" w:color="auto"/>
        <w:right w:val="none" w:sz="0" w:space="0" w:color="auto"/>
      </w:divBdr>
    </w:div>
    <w:div w:id="1509713053">
      <w:bodyDiv w:val="1"/>
      <w:marLeft w:val="0"/>
      <w:marRight w:val="0"/>
      <w:marTop w:val="0"/>
      <w:marBottom w:val="0"/>
      <w:divBdr>
        <w:top w:val="none" w:sz="0" w:space="0" w:color="auto"/>
        <w:left w:val="none" w:sz="0" w:space="0" w:color="auto"/>
        <w:bottom w:val="none" w:sz="0" w:space="0" w:color="auto"/>
        <w:right w:val="none" w:sz="0" w:space="0" w:color="auto"/>
      </w:divBdr>
    </w:div>
    <w:div w:id="1514414668">
      <w:bodyDiv w:val="1"/>
      <w:marLeft w:val="0"/>
      <w:marRight w:val="0"/>
      <w:marTop w:val="0"/>
      <w:marBottom w:val="0"/>
      <w:divBdr>
        <w:top w:val="none" w:sz="0" w:space="0" w:color="auto"/>
        <w:left w:val="none" w:sz="0" w:space="0" w:color="auto"/>
        <w:bottom w:val="none" w:sz="0" w:space="0" w:color="auto"/>
        <w:right w:val="none" w:sz="0" w:space="0" w:color="auto"/>
      </w:divBdr>
    </w:div>
    <w:div w:id="1516187621">
      <w:bodyDiv w:val="1"/>
      <w:marLeft w:val="0"/>
      <w:marRight w:val="0"/>
      <w:marTop w:val="0"/>
      <w:marBottom w:val="0"/>
      <w:divBdr>
        <w:top w:val="none" w:sz="0" w:space="0" w:color="auto"/>
        <w:left w:val="none" w:sz="0" w:space="0" w:color="auto"/>
        <w:bottom w:val="none" w:sz="0" w:space="0" w:color="auto"/>
        <w:right w:val="none" w:sz="0" w:space="0" w:color="auto"/>
      </w:divBdr>
    </w:div>
    <w:div w:id="1527258182">
      <w:bodyDiv w:val="1"/>
      <w:marLeft w:val="0"/>
      <w:marRight w:val="0"/>
      <w:marTop w:val="0"/>
      <w:marBottom w:val="0"/>
      <w:divBdr>
        <w:top w:val="none" w:sz="0" w:space="0" w:color="auto"/>
        <w:left w:val="none" w:sz="0" w:space="0" w:color="auto"/>
        <w:bottom w:val="none" w:sz="0" w:space="0" w:color="auto"/>
        <w:right w:val="none" w:sz="0" w:space="0" w:color="auto"/>
      </w:divBdr>
    </w:div>
    <w:div w:id="1532500699">
      <w:bodyDiv w:val="1"/>
      <w:marLeft w:val="0"/>
      <w:marRight w:val="0"/>
      <w:marTop w:val="0"/>
      <w:marBottom w:val="0"/>
      <w:divBdr>
        <w:top w:val="none" w:sz="0" w:space="0" w:color="auto"/>
        <w:left w:val="none" w:sz="0" w:space="0" w:color="auto"/>
        <w:bottom w:val="none" w:sz="0" w:space="0" w:color="auto"/>
        <w:right w:val="none" w:sz="0" w:space="0" w:color="auto"/>
      </w:divBdr>
    </w:div>
    <w:div w:id="1535146097">
      <w:bodyDiv w:val="1"/>
      <w:marLeft w:val="0"/>
      <w:marRight w:val="0"/>
      <w:marTop w:val="0"/>
      <w:marBottom w:val="0"/>
      <w:divBdr>
        <w:top w:val="none" w:sz="0" w:space="0" w:color="auto"/>
        <w:left w:val="none" w:sz="0" w:space="0" w:color="auto"/>
        <w:bottom w:val="none" w:sz="0" w:space="0" w:color="auto"/>
        <w:right w:val="none" w:sz="0" w:space="0" w:color="auto"/>
      </w:divBdr>
    </w:div>
    <w:div w:id="1536574641">
      <w:bodyDiv w:val="1"/>
      <w:marLeft w:val="0"/>
      <w:marRight w:val="0"/>
      <w:marTop w:val="0"/>
      <w:marBottom w:val="0"/>
      <w:divBdr>
        <w:top w:val="none" w:sz="0" w:space="0" w:color="auto"/>
        <w:left w:val="none" w:sz="0" w:space="0" w:color="auto"/>
        <w:bottom w:val="none" w:sz="0" w:space="0" w:color="auto"/>
        <w:right w:val="none" w:sz="0" w:space="0" w:color="auto"/>
      </w:divBdr>
    </w:div>
    <w:div w:id="1538811827">
      <w:bodyDiv w:val="1"/>
      <w:marLeft w:val="0"/>
      <w:marRight w:val="0"/>
      <w:marTop w:val="0"/>
      <w:marBottom w:val="0"/>
      <w:divBdr>
        <w:top w:val="none" w:sz="0" w:space="0" w:color="auto"/>
        <w:left w:val="none" w:sz="0" w:space="0" w:color="auto"/>
        <w:bottom w:val="none" w:sz="0" w:space="0" w:color="auto"/>
        <w:right w:val="none" w:sz="0" w:space="0" w:color="auto"/>
      </w:divBdr>
    </w:div>
    <w:div w:id="1554195424">
      <w:bodyDiv w:val="1"/>
      <w:marLeft w:val="0"/>
      <w:marRight w:val="0"/>
      <w:marTop w:val="0"/>
      <w:marBottom w:val="0"/>
      <w:divBdr>
        <w:top w:val="none" w:sz="0" w:space="0" w:color="auto"/>
        <w:left w:val="none" w:sz="0" w:space="0" w:color="auto"/>
        <w:bottom w:val="none" w:sz="0" w:space="0" w:color="auto"/>
        <w:right w:val="none" w:sz="0" w:space="0" w:color="auto"/>
      </w:divBdr>
    </w:div>
    <w:div w:id="1554611014">
      <w:bodyDiv w:val="1"/>
      <w:marLeft w:val="0"/>
      <w:marRight w:val="0"/>
      <w:marTop w:val="0"/>
      <w:marBottom w:val="0"/>
      <w:divBdr>
        <w:top w:val="none" w:sz="0" w:space="0" w:color="auto"/>
        <w:left w:val="none" w:sz="0" w:space="0" w:color="auto"/>
        <w:bottom w:val="none" w:sz="0" w:space="0" w:color="auto"/>
        <w:right w:val="none" w:sz="0" w:space="0" w:color="auto"/>
      </w:divBdr>
    </w:div>
    <w:div w:id="1557206209">
      <w:bodyDiv w:val="1"/>
      <w:marLeft w:val="0"/>
      <w:marRight w:val="0"/>
      <w:marTop w:val="0"/>
      <w:marBottom w:val="0"/>
      <w:divBdr>
        <w:top w:val="none" w:sz="0" w:space="0" w:color="auto"/>
        <w:left w:val="none" w:sz="0" w:space="0" w:color="auto"/>
        <w:bottom w:val="none" w:sz="0" w:space="0" w:color="auto"/>
        <w:right w:val="none" w:sz="0" w:space="0" w:color="auto"/>
      </w:divBdr>
    </w:div>
    <w:div w:id="1558323122">
      <w:bodyDiv w:val="1"/>
      <w:marLeft w:val="0"/>
      <w:marRight w:val="0"/>
      <w:marTop w:val="0"/>
      <w:marBottom w:val="0"/>
      <w:divBdr>
        <w:top w:val="none" w:sz="0" w:space="0" w:color="auto"/>
        <w:left w:val="none" w:sz="0" w:space="0" w:color="auto"/>
        <w:bottom w:val="none" w:sz="0" w:space="0" w:color="auto"/>
        <w:right w:val="none" w:sz="0" w:space="0" w:color="auto"/>
      </w:divBdr>
    </w:div>
    <w:div w:id="1563103589">
      <w:bodyDiv w:val="1"/>
      <w:marLeft w:val="0"/>
      <w:marRight w:val="0"/>
      <w:marTop w:val="0"/>
      <w:marBottom w:val="0"/>
      <w:divBdr>
        <w:top w:val="none" w:sz="0" w:space="0" w:color="auto"/>
        <w:left w:val="none" w:sz="0" w:space="0" w:color="auto"/>
        <w:bottom w:val="none" w:sz="0" w:space="0" w:color="auto"/>
        <w:right w:val="none" w:sz="0" w:space="0" w:color="auto"/>
      </w:divBdr>
    </w:div>
    <w:div w:id="1564487827">
      <w:bodyDiv w:val="1"/>
      <w:marLeft w:val="0"/>
      <w:marRight w:val="0"/>
      <w:marTop w:val="0"/>
      <w:marBottom w:val="0"/>
      <w:divBdr>
        <w:top w:val="none" w:sz="0" w:space="0" w:color="auto"/>
        <w:left w:val="none" w:sz="0" w:space="0" w:color="auto"/>
        <w:bottom w:val="none" w:sz="0" w:space="0" w:color="auto"/>
        <w:right w:val="none" w:sz="0" w:space="0" w:color="auto"/>
      </w:divBdr>
    </w:div>
    <w:div w:id="1574586547">
      <w:bodyDiv w:val="1"/>
      <w:marLeft w:val="0"/>
      <w:marRight w:val="0"/>
      <w:marTop w:val="0"/>
      <w:marBottom w:val="0"/>
      <w:divBdr>
        <w:top w:val="none" w:sz="0" w:space="0" w:color="auto"/>
        <w:left w:val="none" w:sz="0" w:space="0" w:color="auto"/>
        <w:bottom w:val="none" w:sz="0" w:space="0" w:color="auto"/>
        <w:right w:val="none" w:sz="0" w:space="0" w:color="auto"/>
      </w:divBdr>
    </w:div>
    <w:div w:id="1576624132">
      <w:bodyDiv w:val="1"/>
      <w:marLeft w:val="0"/>
      <w:marRight w:val="0"/>
      <w:marTop w:val="0"/>
      <w:marBottom w:val="0"/>
      <w:divBdr>
        <w:top w:val="none" w:sz="0" w:space="0" w:color="auto"/>
        <w:left w:val="none" w:sz="0" w:space="0" w:color="auto"/>
        <w:bottom w:val="none" w:sz="0" w:space="0" w:color="auto"/>
        <w:right w:val="none" w:sz="0" w:space="0" w:color="auto"/>
      </w:divBdr>
    </w:div>
    <w:div w:id="1589777338">
      <w:bodyDiv w:val="1"/>
      <w:marLeft w:val="0"/>
      <w:marRight w:val="0"/>
      <w:marTop w:val="0"/>
      <w:marBottom w:val="0"/>
      <w:divBdr>
        <w:top w:val="none" w:sz="0" w:space="0" w:color="auto"/>
        <w:left w:val="none" w:sz="0" w:space="0" w:color="auto"/>
        <w:bottom w:val="none" w:sz="0" w:space="0" w:color="auto"/>
        <w:right w:val="none" w:sz="0" w:space="0" w:color="auto"/>
      </w:divBdr>
      <w:divsChild>
        <w:div w:id="536507886">
          <w:marLeft w:val="0"/>
          <w:marRight w:val="0"/>
          <w:marTop w:val="0"/>
          <w:marBottom w:val="0"/>
          <w:divBdr>
            <w:top w:val="none" w:sz="0" w:space="0" w:color="auto"/>
            <w:left w:val="none" w:sz="0" w:space="0" w:color="auto"/>
            <w:bottom w:val="none" w:sz="0" w:space="0" w:color="auto"/>
            <w:right w:val="none" w:sz="0" w:space="0" w:color="auto"/>
          </w:divBdr>
          <w:divsChild>
            <w:div w:id="380595118">
              <w:marLeft w:val="0"/>
              <w:marRight w:val="0"/>
              <w:marTop w:val="0"/>
              <w:marBottom w:val="0"/>
              <w:divBdr>
                <w:top w:val="none" w:sz="0" w:space="0" w:color="auto"/>
                <w:left w:val="none" w:sz="0" w:space="0" w:color="auto"/>
                <w:bottom w:val="none" w:sz="0" w:space="0" w:color="auto"/>
                <w:right w:val="none" w:sz="0" w:space="0" w:color="auto"/>
              </w:divBdr>
              <w:divsChild>
                <w:div w:id="1394692219">
                  <w:marLeft w:val="0"/>
                  <w:marRight w:val="0"/>
                  <w:marTop w:val="0"/>
                  <w:marBottom w:val="0"/>
                  <w:divBdr>
                    <w:top w:val="none" w:sz="0" w:space="0" w:color="auto"/>
                    <w:left w:val="none" w:sz="0" w:space="0" w:color="auto"/>
                    <w:bottom w:val="none" w:sz="0" w:space="0" w:color="auto"/>
                    <w:right w:val="none" w:sz="0" w:space="0" w:color="auto"/>
                  </w:divBdr>
                  <w:divsChild>
                    <w:div w:id="1902397364">
                      <w:marLeft w:val="0"/>
                      <w:marRight w:val="0"/>
                      <w:marTop w:val="0"/>
                      <w:marBottom w:val="0"/>
                      <w:divBdr>
                        <w:top w:val="none" w:sz="0" w:space="0" w:color="auto"/>
                        <w:left w:val="none" w:sz="0" w:space="0" w:color="auto"/>
                        <w:bottom w:val="none" w:sz="0" w:space="0" w:color="auto"/>
                        <w:right w:val="none" w:sz="0" w:space="0" w:color="auto"/>
                      </w:divBdr>
                      <w:divsChild>
                        <w:div w:id="583494073">
                          <w:marLeft w:val="0"/>
                          <w:marRight w:val="0"/>
                          <w:marTop w:val="300"/>
                          <w:marBottom w:val="0"/>
                          <w:divBdr>
                            <w:top w:val="none" w:sz="0" w:space="0" w:color="auto"/>
                            <w:left w:val="none" w:sz="0" w:space="0" w:color="auto"/>
                            <w:bottom w:val="none" w:sz="0" w:space="0" w:color="auto"/>
                            <w:right w:val="none" w:sz="0" w:space="0" w:color="auto"/>
                          </w:divBdr>
                          <w:divsChild>
                            <w:div w:id="237253611">
                              <w:marLeft w:val="0"/>
                              <w:marRight w:val="0"/>
                              <w:marTop w:val="0"/>
                              <w:marBottom w:val="0"/>
                              <w:divBdr>
                                <w:top w:val="none" w:sz="0" w:space="0" w:color="auto"/>
                                <w:left w:val="none" w:sz="0" w:space="0" w:color="auto"/>
                                <w:bottom w:val="none" w:sz="0" w:space="0" w:color="auto"/>
                                <w:right w:val="none" w:sz="0" w:space="0" w:color="auto"/>
                              </w:divBdr>
                              <w:divsChild>
                                <w:div w:id="384181815">
                                  <w:marLeft w:val="0"/>
                                  <w:marRight w:val="0"/>
                                  <w:marTop w:val="0"/>
                                  <w:marBottom w:val="0"/>
                                  <w:divBdr>
                                    <w:top w:val="none" w:sz="0" w:space="0" w:color="auto"/>
                                    <w:left w:val="none" w:sz="0" w:space="0" w:color="auto"/>
                                    <w:bottom w:val="none" w:sz="0" w:space="0" w:color="auto"/>
                                    <w:right w:val="none" w:sz="0" w:space="0" w:color="auto"/>
                                  </w:divBdr>
                                </w:div>
                              </w:divsChild>
                            </w:div>
                            <w:div w:id="162237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865331">
      <w:bodyDiv w:val="1"/>
      <w:marLeft w:val="0"/>
      <w:marRight w:val="0"/>
      <w:marTop w:val="0"/>
      <w:marBottom w:val="0"/>
      <w:divBdr>
        <w:top w:val="none" w:sz="0" w:space="0" w:color="auto"/>
        <w:left w:val="none" w:sz="0" w:space="0" w:color="auto"/>
        <w:bottom w:val="none" w:sz="0" w:space="0" w:color="auto"/>
        <w:right w:val="none" w:sz="0" w:space="0" w:color="auto"/>
      </w:divBdr>
    </w:div>
    <w:div w:id="1601181474">
      <w:bodyDiv w:val="1"/>
      <w:marLeft w:val="0"/>
      <w:marRight w:val="0"/>
      <w:marTop w:val="0"/>
      <w:marBottom w:val="0"/>
      <w:divBdr>
        <w:top w:val="none" w:sz="0" w:space="0" w:color="auto"/>
        <w:left w:val="none" w:sz="0" w:space="0" w:color="auto"/>
        <w:bottom w:val="none" w:sz="0" w:space="0" w:color="auto"/>
        <w:right w:val="none" w:sz="0" w:space="0" w:color="auto"/>
      </w:divBdr>
    </w:div>
    <w:div w:id="1602715228">
      <w:bodyDiv w:val="1"/>
      <w:marLeft w:val="0"/>
      <w:marRight w:val="0"/>
      <w:marTop w:val="0"/>
      <w:marBottom w:val="0"/>
      <w:divBdr>
        <w:top w:val="none" w:sz="0" w:space="0" w:color="auto"/>
        <w:left w:val="none" w:sz="0" w:space="0" w:color="auto"/>
        <w:bottom w:val="none" w:sz="0" w:space="0" w:color="auto"/>
        <w:right w:val="none" w:sz="0" w:space="0" w:color="auto"/>
      </w:divBdr>
    </w:div>
    <w:div w:id="1602757002">
      <w:bodyDiv w:val="1"/>
      <w:marLeft w:val="0"/>
      <w:marRight w:val="0"/>
      <w:marTop w:val="0"/>
      <w:marBottom w:val="0"/>
      <w:divBdr>
        <w:top w:val="none" w:sz="0" w:space="0" w:color="auto"/>
        <w:left w:val="none" w:sz="0" w:space="0" w:color="auto"/>
        <w:bottom w:val="none" w:sz="0" w:space="0" w:color="auto"/>
        <w:right w:val="none" w:sz="0" w:space="0" w:color="auto"/>
      </w:divBdr>
    </w:div>
    <w:div w:id="1603028138">
      <w:bodyDiv w:val="1"/>
      <w:marLeft w:val="0"/>
      <w:marRight w:val="0"/>
      <w:marTop w:val="0"/>
      <w:marBottom w:val="0"/>
      <w:divBdr>
        <w:top w:val="none" w:sz="0" w:space="0" w:color="auto"/>
        <w:left w:val="none" w:sz="0" w:space="0" w:color="auto"/>
        <w:bottom w:val="none" w:sz="0" w:space="0" w:color="auto"/>
        <w:right w:val="none" w:sz="0" w:space="0" w:color="auto"/>
      </w:divBdr>
    </w:div>
    <w:div w:id="1606621651">
      <w:bodyDiv w:val="1"/>
      <w:marLeft w:val="0"/>
      <w:marRight w:val="0"/>
      <w:marTop w:val="0"/>
      <w:marBottom w:val="0"/>
      <w:divBdr>
        <w:top w:val="none" w:sz="0" w:space="0" w:color="auto"/>
        <w:left w:val="none" w:sz="0" w:space="0" w:color="auto"/>
        <w:bottom w:val="none" w:sz="0" w:space="0" w:color="auto"/>
        <w:right w:val="none" w:sz="0" w:space="0" w:color="auto"/>
      </w:divBdr>
    </w:div>
    <w:div w:id="1611859364">
      <w:bodyDiv w:val="1"/>
      <w:marLeft w:val="0"/>
      <w:marRight w:val="0"/>
      <w:marTop w:val="0"/>
      <w:marBottom w:val="0"/>
      <w:divBdr>
        <w:top w:val="none" w:sz="0" w:space="0" w:color="auto"/>
        <w:left w:val="none" w:sz="0" w:space="0" w:color="auto"/>
        <w:bottom w:val="none" w:sz="0" w:space="0" w:color="auto"/>
        <w:right w:val="none" w:sz="0" w:space="0" w:color="auto"/>
      </w:divBdr>
    </w:div>
    <w:div w:id="1612594290">
      <w:bodyDiv w:val="1"/>
      <w:marLeft w:val="0"/>
      <w:marRight w:val="0"/>
      <w:marTop w:val="0"/>
      <w:marBottom w:val="0"/>
      <w:divBdr>
        <w:top w:val="none" w:sz="0" w:space="0" w:color="auto"/>
        <w:left w:val="none" w:sz="0" w:space="0" w:color="auto"/>
        <w:bottom w:val="none" w:sz="0" w:space="0" w:color="auto"/>
        <w:right w:val="none" w:sz="0" w:space="0" w:color="auto"/>
      </w:divBdr>
    </w:div>
    <w:div w:id="1612779089">
      <w:bodyDiv w:val="1"/>
      <w:marLeft w:val="0"/>
      <w:marRight w:val="0"/>
      <w:marTop w:val="0"/>
      <w:marBottom w:val="0"/>
      <w:divBdr>
        <w:top w:val="none" w:sz="0" w:space="0" w:color="auto"/>
        <w:left w:val="none" w:sz="0" w:space="0" w:color="auto"/>
        <w:bottom w:val="none" w:sz="0" w:space="0" w:color="auto"/>
        <w:right w:val="none" w:sz="0" w:space="0" w:color="auto"/>
      </w:divBdr>
    </w:div>
    <w:div w:id="1614440360">
      <w:bodyDiv w:val="1"/>
      <w:marLeft w:val="0"/>
      <w:marRight w:val="0"/>
      <w:marTop w:val="0"/>
      <w:marBottom w:val="0"/>
      <w:divBdr>
        <w:top w:val="none" w:sz="0" w:space="0" w:color="auto"/>
        <w:left w:val="none" w:sz="0" w:space="0" w:color="auto"/>
        <w:bottom w:val="none" w:sz="0" w:space="0" w:color="auto"/>
        <w:right w:val="none" w:sz="0" w:space="0" w:color="auto"/>
      </w:divBdr>
    </w:div>
    <w:div w:id="1622684926">
      <w:bodyDiv w:val="1"/>
      <w:marLeft w:val="0"/>
      <w:marRight w:val="0"/>
      <w:marTop w:val="0"/>
      <w:marBottom w:val="0"/>
      <w:divBdr>
        <w:top w:val="none" w:sz="0" w:space="0" w:color="auto"/>
        <w:left w:val="none" w:sz="0" w:space="0" w:color="auto"/>
        <w:bottom w:val="none" w:sz="0" w:space="0" w:color="auto"/>
        <w:right w:val="none" w:sz="0" w:space="0" w:color="auto"/>
      </w:divBdr>
    </w:div>
    <w:div w:id="1623413734">
      <w:bodyDiv w:val="1"/>
      <w:marLeft w:val="0"/>
      <w:marRight w:val="0"/>
      <w:marTop w:val="0"/>
      <w:marBottom w:val="0"/>
      <w:divBdr>
        <w:top w:val="none" w:sz="0" w:space="0" w:color="auto"/>
        <w:left w:val="none" w:sz="0" w:space="0" w:color="auto"/>
        <w:bottom w:val="none" w:sz="0" w:space="0" w:color="auto"/>
        <w:right w:val="none" w:sz="0" w:space="0" w:color="auto"/>
      </w:divBdr>
    </w:div>
    <w:div w:id="1635990511">
      <w:bodyDiv w:val="1"/>
      <w:marLeft w:val="0"/>
      <w:marRight w:val="0"/>
      <w:marTop w:val="0"/>
      <w:marBottom w:val="0"/>
      <w:divBdr>
        <w:top w:val="none" w:sz="0" w:space="0" w:color="auto"/>
        <w:left w:val="none" w:sz="0" w:space="0" w:color="auto"/>
        <w:bottom w:val="none" w:sz="0" w:space="0" w:color="auto"/>
        <w:right w:val="none" w:sz="0" w:space="0" w:color="auto"/>
      </w:divBdr>
    </w:div>
    <w:div w:id="1637905020">
      <w:bodyDiv w:val="1"/>
      <w:marLeft w:val="0"/>
      <w:marRight w:val="0"/>
      <w:marTop w:val="0"/>
      <w:marBottom w:val="0"/>
      <w:divBdr>
        <w:top w:val="none" w:sz="0" w:space="0" w:color="auto"/>
        <w:left w:val="none" w:sz="0" w:space="0" w:color="auto"/>
        <w:bottom w:val="none" w:sz="0" w:space="0" w:color="auto"/>
        <w:right w:val="none" w:sz="0" w:space="0" w:color="auto"/>
      </w:divBdr>
    </w:div>
    <w:div w:id="1638225296">
      <w:bodyDiv w:val="1"/>
      <w:marLeft w:val="0"/>
      <w:marRight w:val="0"/>
      <w:marTop w:val="0"/>
      <w:marBottom w:val="0"/>
      <w:divBdr>
        <w:top w:val="none" w:sz="0" w:space="0" w:color="auto"/>
        <w:left w:val="none" w:sz="0" w:space="0" w:color="auto"/>
        <w:bottom w:val="none" w:sz="0" w:space="0" w:color="auto"/>
        <w:right w:val="none" w:sz="0" w:space="0" w:color="auto"/>
      </w:divBdr>
    </w:div>
    <w:div w:id="1648511351">
      <w:bodyDiv w:val="1"/>
      <w:marLeft w:val="0"/>
      <w:marRight w:val="0"/>
      <w:marTop w:val="0"/>
      <w:marBottom w:val="0"/>
      <w:divBdr>
        <w:top w:val="none" w:sz="0" w:space="0" w:color="auto"/>
        <w:left w:val="none" w:sz="0" w:space="0" w:color="auto"/>
        <w:bottom w:val="none" w:sz="0" w:space="0" w:color="auto"/>
        <w:right w:val="none" w:sz="0" w:space="0" w:color="auto"/>
      </w:divBdr>
    </w:div>
    <w:div w:id="1649826295">
      <w:bodyDiv w:val="1"/>
      <w:marLeft w:val="0"/>
      <w:marRight w:val="0"/>
      <w:marTop w:val="0"/>
      <w:marBottom w:val="0"/>
      <w:divBdr>
        <w:top w:val="none" w:sz="0" w:space="0" w:color="auto"/>
        <w:left w:val="none" w:sz="0" w:space="0" w:color="auto"/>
        <w:bottom w:val="none" w:sz="0" w:space="0" w:color="auto"/>
        <w:right w:val="none" w:sz="0" w:space="0" w:color="auto"/>
      </w:divBdr>
    </w:div>
    <w:div w:id="1653489597">
      <w:bodyDiv w:val="1"/>
      <w:marLeft w:val="0"/>
      <w:marRight w:val="0"/>
      <w:marTop w:val="0"/>
      <w:marBottom w:val="0"/>
      <w:divBdr>
        <w:top w:val="none" w:sz="0" w:space="0" w:color="auto"/>
        <w:left w:val="none" w:sz="0" w:space="0" w:color="auto"/>
        <w:bottom w:val="none" w:sz="0" w:space="0" w:color="auto"/>
        <w:right w:val="none" w:sz="0" w:space="0" w:color="auto"/>
      </w:divBdr>
    </w:div>
    <w:div w:id="1662197615">
      <w:bodyDiv w:val="1"/>
      <w:marLeft w:val="0"/>
      <w:marRight w:val="0"/>
      <w:marTop w:val="0"/>
      <w:marBottom w:val="0"/>
      <w:divBdr>
        <w:top w:val="none" w:sz="0" w:space="0" w:color="auto"/>
        <w:left w:val="none" w:sz="0" w:space="0" w:color="auto"/>
        <w:bottom w:val="none" w:sz="0" w:space="0" w:color="auto"/>
        <w:right w:val="none" w:sz="0" w:space="0" w:color="auto"/>
      </w:divBdr>
    </w:div>
    <w:div w:id="1668361063">
      <w:bodyDiv w:val="1"/>
      <w:marLeft w:val="0"/>
      <w:marRight w:val="0"/>
      <w:marTop w:val="0"/>
      <w:marBottom w:val="0"/>
      <w:divBdr>
        <w:top w:val="none" w:sz="0" w:space="0" w:color="auto"/>
        <w:left w:val="none" w:sz="0" w:space="0" w:color="auto"/>
        <w:bottom w:val="none" w:sz="0" w:space="0" w:color="auto"/>
        <w:right w:val="none" w:sz="0" w:space="0" w:color="auto"/>
      </w:divBdr>
    </w:div>
    <w:div w:id="1670520344">
      <w:bodyDiv w:val="1"/>
      <w:marLeft w:val="0"/>
      <w:marRight w:val="0"/>
      <w:marTop w:val="0"/>
      <w:marBottom w:val="0"/>
      <w:divBdr>
        <w:top w:val="none" w:sz="0" w:space="0" w:color="auto"/>
        <w:left w:val="none" w:sz="0" w:space="0" w:color="auto"/>
        <w:bottom w:val="none" w:sz="0" w:space="0" w:color="auto"/>
        <w:right w:val="none" w:sz="0" w:space="0" w:color="auto"/>
      </w:divBdr>
    </w:div>
    <w:div w:id="1672023530">
      <w:bodyDiv w:val="1"/>
      <w:marLeft w:val="0"/>
      <w:marRight w:val="0"/>
      <w:marTop w:val="0"/>
      <w:marBottom w:val="0"/>
      <w:divBdr>
        <w:top w:val="none" w:sz="0" w:space="0" w:color="auto"/>
        <w:left w:val="none" w:sz="0" w:space="0" w:color="auto"/>
        <w:bottom w:val="none" w:sz="0" w:space="0" w:color="auto"/>
        <w:right w:val="none" w:sz="0" w:space="0" w:color="auto"/>
      </w:divBdr>
    </w:div>
    <w:div w:id="1672221393">
      <w:bodyDiv w:val="1"/>
      <w:marLeft w:val="0"/>
      <w:marRight w:val="0"/>
      <w:marTop w:val="0"/>
      <w:marBottom w:val="0"/>
      <w:divBdr>
        <w:top w:val="none" w:sz="0" w:space="0" w:color="auto"/>
        <w:left w:val="none" w:sz="0" w:space="0" w:color="auto"/>
        <w:bottom w:val="none" w:sz="0" w:space="0" w:color="auto"/>
        <w:right w:val="none" w:sz="0" w:space="0" w:color="auto"/>
      </w:divBdr>
    </w:div>
    <w:div w:id="1675065824">
      <w:bodyDiv w:val="1"/>
      <w:marLeft w:val="0"/>
      <w:marRight w:val="0"/>
      <w:marTop w:val="0"/>
      <w:marBottom w:val="0"/>
      <w:divBdr>
        <w:top w:val="none" w:sz="0" w:space="0" w:color="auto"/>
        <w:left w:val="none" w:sz="0" w:space="0" w:color="auto"/>
        <w:bottom w:val="none" w:sz="0" w:space="0" w:color="auto"/>
        <w:right w:val="none" w:sz="0" w:space="0" w:color="auto"/>
      </w:divBdr>
    </w:div>
    <w:div w:id="1678649403">
      <w:bodyDiv w:val="1"/>
      <w:marLeft w:val="0"/>
      <w:marRight w:val="0"/>
      <w:marTop w:val="0"/>
      <w:marBottom w:val="0"/>
      <w:divBdr>
        <w:top w:val="none" w:sz="0" w:space="0" w:color="auto"/>
        <w:left w:val="none" w:sz="0" w:space="0" w:color="auto"/>
        <w:bottom w:val="none" w:sz="0" w:space="0" w:color="auto"/>
        <w:right w:val="none" w:sz="0" w:space="0" w:color="auto"/>
      </w:divBdr>
      <w:divsChild>
        <w:div w:id="71897912">
          <w:marLeft w:val="0"/>
          <w:marRight w:val="0"/>
          <w:marTop w:val="0"/>
          <w:marBottom w:val="0"/>
          <w:divBdr>
            <w:top w:val="none" w:sz="0" w:space="0" w:color="auto"/>
            <w:left w:val="none" w:sz="0" w:space="0" w:color="auto"/>
            <w:bottom w:val="none" w:sz="0" w:space="0" w:color="auto"/>
            <w:right w:val="none" w:sz="0" w:space="0" w:color="auto"/>
          </w:divBdr>
          <w:divsChild>
            <w:div w:id="475731693">
              <w:marLeft w:val="0"/>
              <w:marRight w:val="0"/>
              <w:marTop w:val="0"/>
              <w:marBottom w:val="0"/>
              <w:divBdr>
                <w:top w:val="none" w:sz="0" w:space="0" w:color="auto"/>
                <w:left w:val="none" w:sz="0" w:space="0" w:color="auto"/>
                <w:bottom w:val="none" w:sz="0" w:space="0" w:color="auto"/>
                <w:right w:val="none" w:sz="0" w:space="0" w:color="auto"/>
              </w:divBdr>
              <w:divsChild>
                <w:div w:id="2032604202">
                  <w:marLeft w:val="0"/>
                  <w:marRight w:val="0"/>
                  <w:marTop w:val="0"/>
                  <w:marBottom w:val="0"/>
                  <w:divBdr>
                    <w:top w:val="none" w:sz="0" w:space="0" w:color="auto"/>
                    <w:left w:val="none" w:sz="0" w:space="0" w:color="auto"/>
                    <w:bottom w:val="none" w:sz="0" w:space="0" w:color="auto"/>
                    <w:right w:val="none" w:sz="0" w:space="0" w:color="auto"/>
                  </w:divBdr>
                  <w:divsChild>
                    <w:div w:id="1361977409">
                      <w:marLeft w:val="0"/>
                      <w:marRight w:val="0"/>
                      <w:marTop w:val="0"/>
                      <w:marBottom w:val="0"/>
                      <w:divBdr>
                        <w:top w:val="none" w:sz="0" w:space="0" w:color="auto"/>
                        <w:left w:val="none" w:sz="0" w:space="0" w:color="auto"/>
                        <w:bottom w:val="none" w:sz="0" w:space="0" w:color="auto"/>
                        <w:right w:val="none" w:sz="0" w:space="0" w:color="auto"/>
                      </w:divBdr>
                      <w:divsChild>
                        <w:div w:id="1276407668">
                          <w:marLeft w:val="0"/>
                          <w:marRight w:val="0"/>
                          <w:marTop w:val="300"/>
                          <w:marBottom w:val="0"/>
                          <w:divBdr>
                            <w:top w:val="none" w:sz="0" w:space="0" w:color="auto"/>
                            <w:left w:val="none" w:sz="0" w:space="0" w:color="auto"/>
                            <w:bottom w:val="none" w:sz="0" w:space="0" w:color="auto"/>
                            <w:right w:val="none" w:sz="0" w:space="0" w:color="auto"/>
                          </w:divBdr>
                          <w:divsChild>
                            <w:div w:id="187946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354038">
      <w:bodyDiv w:val="1"/>
      <w:marLeft w:val="0"/>
      <w:marRight w:val="0"/>
      <w:marTop w:val="0"/>
      <w:marBottom w:val="0"/>
      <w:divBdr>
        <w:top w:val="none" w:sz="0" w:space="0" w:color="auto"/>
        <w:left w:val="none" w:sz="0" w:space="0" w:color="auto"/>
        <w:bottom w:val="none" w:sz="0" w:space="0" w:color="auto"/>
        <w:right w:val="none" w:sz="0" w:space="0" w:color="auto"/>
      </w:divBdr>
    </w:div>
    <w:div w:id="1687899921">
      <w:bodyDiv w:val="1"/>
      <w:marLeft w:val="0"/>
      <w:marRight w:val="0"/>
      <w:marTop w:val="0"/>
      <w:marBottom w:val="0"/>
      <w:divBdr>
        <w:top w:val="none" w:sz="0" w:space="0" w:color="auto"/>
        <w:left w:val="none" w:sz="0" w:space="0" w:color="auto"/>
        <w:bottom w:val="none" w:sz="0" w:space="0" w:color="auto"/>
        <w:right w:val="none" w:sz="0" w:space="0" w:color="auto"/>
      </w:divBdr>
    </w:div>
    <w:div w:id="1690402545">
      <w:bodyDiv w:val="1"/>
      <w:marLeft w:val="0"/>
      <w:marRight w:val="0"/>
      <w:marTop w:val="0"/>
      <w:marBottom w:val="0"/>
      <w:divBdr>
        <w:top w:val="none" w:sz="0" w:space="0" w:color="auto"/>
        <w:left w:val="none" w:sz="0" w:space="0" w:color="auto"/>
        <w:bottom w:val="none" w:sz="0" w:space="0" w:color="auto"/>
        <w:right w:val="none" w:sz="0" w:space="0" w:color="auto"/>
      </w:divBdr>
    </w:div>
    <w:div w:id="1691179173">
      <w:bodyDiv w:val="1"/>
      <w:marLeft w:val="0"/>
      <w:marRight w:val="0"/>
      <w:marTop w:val="0"/>
      <w:marBottom w:val="0"/>
      <w:divBdr>
        <w:top w:val="none" w:sz="0" w:space="0" w:color="auto"/>
        <w:left w:val="none" w:sz="0" w:space="0" w:color="auto"/>
        <w:bottom w:val="none" w:sz="0" w:space="0" w:color="auto"/>
        <w:right w:val="none" w:sz="0" w:space="0" w:color="auto"/>
      </w:divBdr>
    </w:div>
    <w:div w:id="1691295093">
      <w:bodyDiv w:val="1"/>
      <w:marLeft w:val="0"/>
      <w:marRight w:val="0"/>
      <w:marTop w:val="0"/>
      <w:marBottom w:val="0"/>
      <w:divBdr>
        <w:top w:val="none" w:sz="0" w:space="0" w:color="auto"/>
        <w:left w:val="none" w:sz="0" w:space="0" w:color="auto"/>
        <w:bottom w:val="none" w:sz="0" w:space="0" w:color="auto"/>
        <w:right w:val="none" w:sz="0" w:space="0" w:color="auto"/>
      </w:divBdr>
    </w:div>
    <w:div w:id="1691952170">
      <w:bodyDiv w:val="1"/>
      <w:marLeft w:val="0"/>
      <w:marRight w:val="0"/>
      <w:marTop w:val="0"/>
      <w:marBottom w:val="0"/>
      <w:divBdr>
        <w:top w:val="none" w:sz="0" w:space="0" w:color="auto"/>
        <w:left w:val="none" w:sz="0" w:space="0" w:color="auto"/>
        <w:bottom w:val="none" w:sz="0" w:space="0" w:color="auto"/>
        <w:right w:val="none" w:sz="0" w:space="0" w:color="auto"/>
      </w:divBdr>
    </w:div>
    <w:div w:id="1692605882">
      <w:bodyDiv w:val="1"/>
      <w:marLeft w:val="0"/>
      <w:marRight w:val="0"/>
      <w:marTop w:val="0"/>
      <w:marBottom w:val="0"/>
      <w:divBdr>
        <w:top w:val="none" w:sz="0" w:space="0" w:color="auto"/>
        <w:left w:val="none" w:sz="0" w:space="0" w:color="auto"/>
        <w:bottom w:val="none" w:sz="0" w:space="0" w:color="auto"/>
        <w:right w:val="none" w:sz="0" w:space="0" w:color="auto"/>
      </w:divBdr>
    </w:div>
    <w:div w:id="1699816389">
      <w:bodyDiv w:val="1"/>
      <w:marLeft w:val="0"/>
      <w:marRight w:val="0"/>
      <w:marTop w:val="0"/>
      <w:marBottom w:val="0"/>
      <w:divBdr>
        <w:top w:val="none" w:sz="0" w:space="0" w:color="auto"/>
        <w:left w:val="none" w:sz="0" w:space="0" w:color="auto"/>
        <w:bottom w:val="none" w:sz="0" w:space="0" w:color="auto"/>
        <w:right w:val="none" w:sz="0" w:space="0" w:color="auto"/>
      </w:divBdr>
    </w:div>
    <w:div w:id="1702433704">
      <w:bodyDiv w:val="1"/>
      <w:marLeft w:val="0"/>
      <w:marRight w:val="0"/>
      <w:marTop w:val="0"/>
      <w:marBottom w:val="0"/>
      <w:divBdr>
        <w:top w:val="none" w:sz="0" w:space="0" w:color="auto"/>
        <w:left w:val="none" w:sz="0" w:space="0" w:color="auto"/>
        <w:bottom w:val="none" w:sz="0" w:space="0" w:color="auto"/>
        <w:right w:val="none" w:sz="0" w:space="0" w:color="auto"/>
      </w:divBdr>
    </w:div>
    <w:div w:id="1725563633">
      <w:bodyDiv w:val="1"/>
      <w:marLeft w:val="0"/>
      <w:marRight w:val="0"/>
      <w:marTop w:val="0"/>
      <w:marBottom w:val="0"/>
      <w:divBdr>
        <w:top w:val="none" w:sz="0" w:space="0" w:color="auto"/>
        <w:left w:val="none" w:sz="0" w:space="0" w:color="auto"/>
        <w:bottom w:val="none" w:sz="0" w:space="0" w:color="auto"/>
        <w:right w:val="none" w:sz="0" w:space="0" w:color="auto"/>
      </w:divBdr>
    </w:div>
    <w:div w:id="1725717734">
      <w:bodyDiv w:val="1"/>
      <w:marLeft w:val="0"/>
      <w:marRight w:val="0"/>
      <w:marTop w:val="0"/>
      <w:marBottom w:val="0"/>
      <w:divBdr>
        <w:top w:val="none" w:sz="0" w:space="0" w:color="auto"/>
        <w:left w:val="none" w:sz="0" w:space="0" w:color="auto"/>
        <w:bottom w:val="none" w:sz="0" w:space="0" w:color="auto"/>
        <w:right w:val="none" w:sz="0" w:space="0" w:color="auto"/>
      </w:divBdr>
    </w:div>
    <w:div w:id="1742632873">
      <w:bodyDiv w:val="1"/>
      <w:marLeft w:val="0"/>
      <w:marRight w:val="0"/>
      <w:marTop w:val="0"/>
      <w:marBottom w:val="0"/>
      <w:divBdr>
        <w:top w:val="none" w:sz="0" w:space="0" w:color="auto"/>
        <w:left w:val="none" w:sz="0" w:space="0" w:color="auto"/>
        <w:bottom w:val="none" w:sz="0" w:space="0" w:color="auto"/>
        <w:right w:val="none" w:sz="0" w:space="0" w:color="auto"/>
      </w:divBdr>
    </w:div>
    <w:div w:id="1742829037">
      <w:bodyDiv w:val="1"/>
      <w:marLeft w:val="0"/>
      <w:marRight w:val="0"/>
      <w:marTop w:val="0"/>
      <w:marBottom w:val="0"/>
      <w:divBdr>
        <w:top w:val="none" w:sz="0" w:space="0" w:color="auto"/>
        <w:left w:val="none" w:sz="0" w:space="0" w:color="auto"/>
        <w:bottom w:val="none" w:sz="0" w:space="0" w:color="auto"/>
        <w:right w:val="none" w:sz="0" w:space="0" w:color="auto"/>
      </w:divBdr>
    </w:div>
    <w:div w:id="1746566772">
      <w:bodyDiv w:val="1"/>
      <w:marLeft w:val="0"/>
      <w:marRight w:val="0"/>
      <w:marTop w:val="0"/>
      <w:marBottom w:val="0"/>
      <w:divBdr>
        <w:top w:val="none" w:sz="0" w:space="0" w:color="auto"/>
        <w:left w:val="none" w:sz="0" w:space="0" w:color="auto"/>
        <w:bottom w:val="none" w:sz="0" w:space="0" w:color="auto"/>
        <w:right w:val="none" w:sz="0" w:space="0" w:color="auto"/>
      </w:divBdr>
    </w:div>
    <w:div w:id="1751777673">
      <w:bodyDiv w:val="1"/>
      <w:marLeft w:val="0"/>
      <w:marRight w:val="0"/>
      <w:marTop w:val="0"/>
      <w:marBottom w:val="0"/>
      <w:divBdr>
        <w:top w:val="none" w:sz="0" w:space="0" w:color="auto"/>
        <w:left w:val="none" w:sz="0" w:space="0" w:color="auto"/>
        <w:bottom w:val="none" w:sz="0" w:space="0" w:color="auto"/>
        <w:right w:val="none" w:sz="0" w:space="0" w:color="auto"/>
      </w:divBdr>
    </w:div>
    <w:div w:id="1759593109">
      <w:bodyDiv w:val="1"/>
      <w:marLeft w:val="0"/>
      <w:marRight w:val="0"/>
      <w:marTop w:val="0"/>
      <w:marBottom w:val="0"/>
      <w:divBdr>
        <w:top w:val="none" w:sz="0" w:space="0" w:color="auto"/>
        <w:left w:val="none" w:sz="0" w:space="0" w:color="auto"/>
        <w:bottom w:val="none" w:sz="0" w:space="0" w:color="auto"/>
        <w:right w:val="none" w:sz="0" w:space="0" w:color="auto"/>
      </w:divBdr>
    </w:div>
    <w:div w:id="1759986917">
      <w:bodyDiv w:val="1"/>
      <w:marLeft w:val="0"/>
      <w:marRight w:val="0"/>
      <w:marTop w:val="0"/>
      <w:marBottom w:val="0"/>
      <w:divBdr>
        <w:top w:val="none" w:sz="0" w:space="0" w:color="auto"/>
        <w:left w:val="none" w:sz="0" w:space="0" w:color="auto"/>
        <w:bottom w:val="none" w:sz="0" w:space="0" w:color="auto"/>
        <w:right w:val="none" w:sz="0" w:space="0" w:color="auto"/>
      </w:divBdr>
    </w:div>
    <w:div w:id="1759987048">
      <w:bodyDiv w:val="1"/>
      <w:marLeft w:val="0"/>
      <w:marRight w:val="0"/>
      <w:marTop w:val="0"/>
      <w:marBottom w:val="0"/>
      <w:divBdr>
        <w:top w:val="none" w:sz="0" w:space="0" w:color="auto"/>
        <w:left w:val="none" w:sz="0" w:space="0" w:color="auto"/>
        <w:bottom w:val="none" w:sz="0" w:space="0" w:color="auto"/>
        <w:right w:val="none" w:sz="0" w:space="0" w:color="auto"/>
      </w:divBdr>
      <w:divsChild>
        <w:div w:id="1176075776">
          <w:marLeft w:val="0"/>
          <w:marRight w:val="0"/>
          <w:marTop w:val="0"/>
          <w:marBottom w:val="0"/>
          <w:divBdr>
            <w:top w:val="none" w:sz="0" w:space="0" w:color="auto"/>
            <w:left w:val="none" w:sz="0" w:space="0" w:color="auto"/>
            <w:bottom w:val="none" w:sz="0" w:space="0" w:color="auto"/>
            <w:right w:val="none" w:sz="0" w:space="0" w:color="auto"/>
          </w:divBdr>
          <w:divsChild>
            <w:div w:id="2035183672">
              <w:marLeft w:val="0"/>
              <w:marRight w:val="0"/>
              <w:marTop w:val="0"/>
              <w:marBottom w:val="0"/>
              <w:divBdr>
                <w:top w:val="none" w:sz="0" w:space="0" w:color="auto"/>
                <w:left w:val="none" w:sz="0" w:space="0" w:color="auto"/>
                <w:bottom w:val="none" w:sz="0" w:space="0" w:color="auto"/>
                <w:right w:val="none" w:sz="0" w:space="0" w:color="auto"/>
              </w:divBdr>
              <w:divsChild>
                <w:div w:id="675232055">
                  <w:marLeft w:val="0"/>
                  <w:marRight w:val="0"/>
                  <w:marTop w:val="0"/>
                  <w:marBottom w:val="0"/>
                  <w:divBdr>
                    <w:top w:val="none" w:sz="0" w:space="0" w:color="auto"/>
                    <w:left w:val="none" w:sz="0" w:space="0" w:color="auto"/>
                    <w:bottom w:val="none" w:sz="0" w:space="0" w:color="auto"/>
                    <w:right w:val="none" w:sz="0" w:space="0" w:color="auto"/>
                  </w:divBdr>
                  <w:divsChild>
                    <w:div w:id="392967486">
                      <w:marLeft w:val="0"/>
                      <w:marRight w:val="0"/>
                      <w:marTop w:val="0"/>
                      <w:marBottom w:val="0"/>
                      <w:divBdr>
                        <w:top w:val="none" w:sz="0" w:space="0" w:color="auto"/>
                        <w:left w:val="none" w:sz="0" w:space="0" w:color="auto"/>
                        <w:bottom w:val="none" w:sz="0" w:space="0" w:color="auto"/>
                        <w:right w:val="none" w:sz="0" w:space="0" w:color="auto"/>
                      </w:divBdr>
                      <w:divsChild>
                        <w:div w:id="3242258">
                          <w:marLeft w:val="0"/>
                          <w:marRight w:val="0"/>
                          <w:marTop w:val="300"/>
                          <w:marBottom w:val="0"/>
                          <w:divBdr>
                            <w:top w:val="none" w:sz="0" w:space="0" w:color="auto"/>
                            <w:left w:val="none" w:sz="0" w:space="0" w:color="auto"/>
                            <w:bottom w:val="none" w:sz="0" w:space="0" w:color="auto"/>
                            <w:right w:val="none" w:sz="0" w:space="0" w:color="auto"/>
                          </w:divBdr>
                          <w:divsChild>
                            <w:div w:id="168416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721854">
      <w:bodyDiv w:val="1"/>
      <w:marLeft w:val="0"/>
      <w:marRight w:val="0"/>
      <w:marTop w:val="0"/>
      <w:marBottom w:val="0"/>
      <w:divBdr>
        <w:top w:val="none" w:sz="0" w:space="0" w:color="auto"/>
        <w:left w:val="none" w:sz="0" w:space="0" w:color="auto"/>
        <w:bottom w:val="none" w:sz="0" w:space="0" w:color="auto"/>
        <w:right w:val="none" w:sz="0" w:space="0" w:color="auto"/>
      </w:divBdr>
    </w:div>
    <w:div w:id="1764568034">
      <w:bodyDiv w:val="1"/>
      <w:marLeft w:val="0"/>
      <w:marRight w:val="0"/>
      <w:marTop w:val="0"/>
      <w:marBottom w:val="0"/>
      <w:divBdr>
        <w:top w:val="none" w:sz="0" w:space="0" w:color="auto"/>
        <w:left w:val="none" w:sz="0" w:space="0" w:color="auto"/>
        <w:bottom w:val="none" w:sz="0" w:space="0" w:color="auto"/>
        <w:right w:val="none" w:sz="0" w:space="0" w:color="auto"/>
      </w:divBdr>
    </w:div>
    <w:div w:id="1765151436">
      <w:bodyDiv w:val="1"/>
      <w:marLeft w:val="0"/>
      <w:marRight w:val="0"/>
      <w:marTop w:val="0"/>
      <w:marBottom w:val="0"/>
      <w:divBdr>
        <w:top w:val="none" w:sz="0" w:space="0" w:color="auto"/>
        <w:left w:val="none" w:sz="0" w:space="0" w:color="auto"/>
        <w:bottom w:val="none" w:sz="0" w:space="0" w:color="auto"/>
        <w:right w:val="none" w:sz="0" w:space="0" w:color="auto"/>
      </w:divBdr>
    </w:div>
    <w:div w:id="1768622111">
      <w:bodyDiv w:val="1"/>
      <w:marLeft w:val="0"/>
      <w:marRight w:val="0"/>
      <w:marTop w:val="0"/>
      <w:marBottom w:val="0"/>
      <w:divBdr>
        <w:top w:val="none" w:sz="0" w:space="0" w:color="auto"/>
        <w:left w:val="none" w:sz="0" w:space="0" w:color="auto"/>
        <w:bottom w:val="none" w:sz="0" w:space="0" w:color="auto"/>
        <w:right w:val="none" w:sz="0" w:space="0" w:color="auto"/>
      </w:divBdr>
    </w:div>
    <w:div w:id="1769813336">
      <w:bodyDiv w:val="1"/>
      <w:marLeft w:val="0"/>
      <w:marRight w:val="0"/>
      <w:marTop w:val="0"/>
      <w:marBottom w:val="0"/>
      <w:divBdr>
        <w:top w:val="none" w:sz="0" w:space="0" w:color="auto"/>
        <w:left w:val="none" w:sz="0" w:space="0" w:color="auto"/>
        <w:bottom w:val="none" w:sz="0" w:space="0" w:color="auto"/>
        <w:right w:val="none" w:sz="0" w:space="0" w:color="auto"/>
      </w:divBdr>
    </w:div>
    <w:div w:id="1782798224">
      <w:bodyDiv w:val="1"/>
      <w:marLeft w:val="0"/>
      <w:marRight w:val="0"/>
      <w:marTop w:val="0"/>
      <w:marBottom w:val="0"/>
      <w:divBdr>
        <w:top w:val="none" w:sz="0" w:space="0" w:color="auto"/>
        <w:left w:val="none" w:sz="0" w:space="0" w:color="auto"/>
        <w:bottom w:val="none" w:sz="0" w:space="0" w:color="auto"/>
        <w:right w:val="none" w:sz="0" w:space="0" w:color="auto"/>
      </w:divBdr>
    </w:div>
    <w:div w:id="1782993282">
      <w:bodyDiv w:val="1"/>
      <w:marLeft w:val="0"/>
      <w:marRight w:val="0"/>
      <w:marTop w:val="0"/>
      <w:marBottom w:val="0"/>
      <w:divBdr>
        <w:top w:val="none" w:sz="0" w:space="0" w:color="auto"/>
        <w:left w:val="none" w:sz="0" w:space="0" w:color="auto"/>
        <w:bottom w:val="none" w:sz="0" w:space="0" w:color="auto"/>
        <w:right w:val="none" w:sz="0" w:space="0" w:color="auto"/>
      </w:divBdr>
    </w:div>
    <w:div w:id="1785802274">
      <w:bodyDiv w:val="1"/>
      <w:marLeft w:val="0"/>
      <w:marRight w:val="0"/>
      <w:marTop w:val="0"/>
      <w:marBottom w:val="0"/>
      <w:divBdr>
        <w:top w:val="none" w:sz="0" w:space="0" w:color="auto"/>
        <w:left w:val="none" w:sz="0" w:space="0" w:color="auto"/>
        <w:bottom w:val="none" w:sz="0" w:space="0" w:color="auto"/>
        <w:right w:val="none" w:sz="0" w:space="0" w:color="auto"/>
      </w:divBdr>
    </w:div>
    <w:div w:id="1791624956">
      <w:bodyDiv w:val="1"/>
      <w:marLeft w:val="0"/>
      <w:marRight w:val="0"/>
      <w:marTop w:val="0"/>
      <w:marBottom w:val="0"/>
      <w:divBdr>
        <w:top w:val="none" w:sz="0" w:space="0" w:color="auto"/>
        <w:left w:val="none" w:sz="0" w:space="0" w:color="auto"/>
        <w:bottom w:val="none" w:sz="0" w:space="0" w:color="auto"/>
        <w:right w:val="none" w:sz="0" w:space="0" w:color="auto"/>
      </w:divBdr>
    </w:div>
    <w:div w:id="1792899099">
      <w:bodyDiv w:val="1"/>
      <w:marLeft w:val="0"/>
      <w:marRight w:val="0"/>
      <w:marTop w:val="0"/>
      <w:marBottom w:val="0"/>
      <w:divBdr>
        <w:top w:val="none" w:sz="0" w:space="0" w:color="auto"/>
        <w:left w:val="none" w:sz="0" w:space="0" w:color="auto"/>
        <w:bottom w:val="none" w:sz="0" w:space="0" w:color="auto"/>
        <w:right w:val="none" w:sz="0" w:space="0" w:color="auto"/>
      </w:divBdr>
    </w:div>
    <w:div w:id="1803421114">
      <w:bodyDiv w:val="1"/>
      <w:marLeft w:val="0"/>
      <w:marRight w:val="0"/>
      <w:marTop w:val="0"/>
      <w:marBottom w:val="0"/>
      <w:divBdr>
        <w:top w:val="none" w:sz="0" w:space="0" w:color="auto"/>
        <w:left w:val="none" w:sz="0" w:space="0" w:color="auto"/>
        <w:bottom w:val="none" w:sz="0" w:space="0" w:color="auto"/>
        <w:right w:val="none" w:sz="0" w:space="0" w:color="auto"/>
      </w:divBdr>
    </w:div>
    <w:div w:id="1804419765">
      <w:bodyDiv w:val="1"/>
      <w:marLeft w:val="0"/>
      <w:marRight w:val="0"/>
      <w:marTop w:val="0"/>
      <w:marBottom w:val="0"/>
      <w:divBdr>
        <w:top w:val="none" w:sz="0" w:space="0" w:color="auto"/>
        <w:left w:val="none" w:sz="0" w:space="0" w:color="auto"/>
        <w:bottom w:val="none" w:sz="0" w:space="0" w:color="auto"/>
        <w:right w:val="none" w:sz="0" w:space="0" w:color="auto"/>
      </w:divBdr>
    </w:div>
    <w:div w:id="1804689379">
      <w:bodyDiv w:val="1"/>
      <w:marLeft w:val="0"/>
      <w:marRight w:val="0"/>
      <w:marTop w:val="0"/>
      <w:marBottom w:val="0"/>
      <w:divBdr>
        <w:top w:val="none" w:sz="0" w:space="0" w:color="auto"/>
        <w:left w:val="none" w:sz="0" w:space="0" w:color="auto"/>
        <w:bottom w:val="none" w:sz="0" w:space="0" w:color="auto"/>
        <w:right w:val="none" w:sz="0" w:space="0" w:color="auto"/>
      </w:divBdr>
    </w:div>
    <w:div w:id="1805150012">
      <w:bodyDiv w:val="1"/>
      <w:marLeft w:val="0"/>
      <w:marRight w:val="0"/>
      <w:marTop w:val="0"/>
      <w:marBottom w:val="0"/>
      <w:divBdr>
        <w:top w:val="none" w:sz="0" w:space="0" w:color="auto"/>
        <w:left w:val="none" w:sz="0" w:space="0" w:color="auto"/>
        <w:bottom w:val="none" w:sz="0" w:space="0" w:color="auto"/>
        <w:right w:val="none" w:sz="0" w:space="0" w:color="auto"/>
      </w:divBdr>
    </w:div>
    <w:div w:id="1805734433">
      <w:bodyDiv w:val="1"/>
      <w:marLeft w:val="0"/>
      <w:marRight w:val="0"/>
      <w:marTop w:val="0"/>
      <w:marBottom w:val="0"/>
      <w:divBdr>
        <w:top w:val="none" w:sz="0" w:space="0" w:color="auto"/>
        <w:left w:val="none" w:sz="0" w:space="0" w:color="auto"/>
        <w:bottom w:val="none" w:sz="0" w:space="0" w:color="auto"/>
        <w:right w:val="none" w:sz="0" w:space="0" w:color="auto"/>
      </w:divBdr>
    </w:div>
    <w:div w:id="1805922227">
      <w:bodyDiv w:val="1"/>
      <w:marLeft w:val="0"/>
      <w:marRight w:val="0"/>
      <w:marTop w:val="0"/>
      <w:marBottom w:val="0"/>
      <w:divBdr>
        <w:top w:val="none" w:sz="0" w:space="0" w:color="auto"/>
        <w:left w:val="none" w:sz="0" w:space="0" w:color="auto"/>
        <w:bottom w:val="none" w:sz="0" w:space="0" w:color="auto"/>
        <w:right w:val="none" w:sz="0" w:space="0" w:color="auto"/>
      </w:divBdr>
    </w:div>
    <w:div w:id="1806509668">
      <w:bodyDiv w:val="1"/>
      <w:marLeft w:val="0"/>
      <w:marRight w:val="0"/>
      <w:marTop w:val="0"/>
      <w:marBottom w:val="0"/>
      <w:divBdr>
        <w:top w:val="none" w:sz="0" w:space="0" w:color="auto"/>
        <w:left w:val="none" w:sz="0" w:space="0" w:color="auto"/>
        <w:bottom w:val="none" w:sz="0" w:space="0" w:color="auto"/>
        <w:right w:val="none" w:sz="0" w:space="0" w:color="auto"/>
      </w:divBdr>
      <w:divsChild>
        <w:div w:id="1066222730">
          <w:marLeft w:val="0"/>
          <w:marRight w:val="0"/>
          <w:marTop w:val="0"/>
          <w:marBottom w:val="0"/>
          <w:divBdr>
            <w:top w:val="none" w:sz="0" w:space="0" w:color="auto"/>
            <w:left w:val="none" w:sz="0" w:space="0" w:color="auto"/>
            <w:bottom w:val="none" w:sz="0" w:space="0" w:color="auto"/>
            <w:right w:val="none" w:sz="0" w:space="0" w:color="auto"/>
          </w:divBdr>
          <w:divsChild>
            <w:div w:id="1491556256">
              <w:marLeft w:val="0"/>
              <w:marRight w:val="0"/>
              <w:marTop w:val="0"/>
              <w:marBottom w:val="0"/>
              <w:divBdr>
                <w:top w:val="none" w:sz="0" w:space="0" w:color="auto"/>
                <w:left w:val="none" w:sz="0" w:space="0" w:color="auto"/>
                <w:bottom w:val="none" w:sz="0" w:space="0" w:color="auto"/>
                <w:right w:val="none" w:sz="0" w:space="0" w:color="auto"/>
              </w:divBdr>
              <w:divsChild>
                <w:div w:id="1101102942">
                  <w:marLeft w:val="0"/>
                  <w:marRight w:val="0"/>
                  <w:marTop w:val="0"/>
                  <w:marBottom w:val="0"/>
                  <w:divBdr>
                    <w:top w:val="none" w:sz="0" w:space="0" w:color="auto"/>
                    <w:left w:val="none" w:sz="0" w:space="0" w:color="auto"/>
                    <w:bottom w:val="none" w:sz="0" w:space="0" w:color="auto"/>
                    <w:right w:val="none" w:sz="0" w:space="0" w:color="auto"/>
                  </w:divBdr>
                  <w:divsChild>
                    <w:div w:id="67727536">
                      <w:marLeft w:val="0"/>
                      <w:marRight w:val="0"/>
                      <w:marTop w:val="0"/>
                      <w:marBottom w:val="0"/>
                      <w:divBdr>
                        <w:top w:val="none" w:sz="0" w:space="0" w:color="auto"/>
                        <w:left w:val="none" w:sz="0" w:space="0" w:color="auto"/>
                        <w:bottom w:val="none" w:sz="0" w:space="0" w:color="auto"/>
                        <w:right w:val="none" w:sz="0" w:space="0" w:color="auto"/>
                      </w:divBdr>
                      <w:divsChild>
                        <w:div w:id="46925363">
                          <w:marLeft w:val="0"/>
                          <w:marRight w:val="0"/>
                          <w:marTop w:val="0"/>
                          <w:marBottom w:val="0"/>
                          <w:divBdr>
                            <w:top w:val="none" w:sz="0" w:space="0" w:color="auto"/>
                            <w:left w:val="none" w:sz="0" w:space="0" w:color="auto"/>
                            <w:bottom w:val="none" w:sz="0" w:space="0" w:color="auto"/>
                            <w:right w:val="none" w:sz="0" w:space="0" w:color="auto"/>
                          </w:divBdr>
                          <w:divsChild>
                            <w:div w:id="208833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8157549">
      <w:bodyDiv w:val="1"/>
      <w:marLeft w:val="0"/>
      <w:marRight w:val="0"/>
      <w:marTop w:val="0"/>
      <w:marBottom w:val="0"/>
      <w:divBdr>
        <w:top w:val="none" w:sz="0" w:space="0" w:color="auto"/>
        <w:left w:val="none" w:sz="0" w:space="0" w:color="auto"/>
        <w:bottom w:val="none" w:sz="0" w:space="0" w:color="auto"/>
        <w:right w:val="none" w:sz="0" w:space="0" w:color="auto"/>
      </w:divBdr>
    </w:div>
    <w:div w:id="1812357344">
      <w:bodyDiv w:val="1"/>
      <w:marLeft w:val="0"/>
      <w:marRight w:val="0"/>
      <w:marTop w:val="0"/>
      <w:marBottom w:val="0"/>
      <w:divBdr>
        <w:top w:val="none" w:sz="0" w:space="0" w:color="auto"/>
        <w:left w:val="none" w:sz="0" w:space="0" w:color="auto"/>
        <w:bottom w:val="none" w:sz="0" w:space="0" w:color="auto"/>
        <w:right w:val="none" w:sz="0" w:space="0" w:color="auto"/>
      </w:divBdr>
    </w:div>
    <w:div w:id="1818181948">
      <w:bodyDiv w:val="1"/>
      <w:marLeft w:val="0"/>
      <w:marRight w:val="0"/>
      <w:marTop w:val="0"/>
      <w:marBottom w:val="0"/>
      <w:divBdr>
        <w:top w:val="none" w:sz="0" w:space="0" w:color="auto"/>
        <w:left w:val="none" w:sz="0" w:space="0" w:color="auto"/>
        <w:bottom w:val="none" w:sz="0" w:space="0" w:color="auto"/>
        <w:right w:val="none" w:sz="0" w:space="0" w:color="auto"/>
      </w:divBdr>
    </w:div>
    <w:div w:id="1821573382">
      <w:bodyDiv w:val="1"/>
      <w:marLeft w:val="0"/>
      <w:marRight w:val="0"/>
      <w:marTop w:val="0"/>
      <w:marBottom w:val="0"/>
      <w:divBdr>
        <w:top w:val="none" w:sz="0" w:space="0" w:color="auto"/>
        <w:left w:val="none" w:sz="0" w:space="0" w:color="auto"/>
        <w:bottom w:val="none" w:sz="0" w:space="0" w:color="auto"/>
        <w:right w:val="none" w:sz="0" w:space="0" w:color="auto"/>
      </w:divBdr>
    </w:div>
    <w:div w:id="1824613840">
      <w:bodyDiv w:val="1"/>
      <w:marLeft w:val="0"/>
      <w:marRight w:val="0"/>
      <w:marTop w:val="0"/>
      <w:marBottom w:val="0"/>
      <w:divBdr>
        <w:top w:val="none" w:sz="0" w:space="0" w:color="auto"/>
        <w:left w:val="none" w:sz="0" w:space="0" w:color="auto"/>
        <w:bottom w:val="none" w:sz="0" w:space="0" w:color="auto"/>
        <w:right w:val="none" w:sz="0" w:space="0" w:color="auto"/>
      </w:divBdr>
    </w:div>
    <w:div w:id="1826773409">
      <w:bodyDiv w:val="1"/>
      <w:marLeft w:val="0"/>
      <w:marRight w:val="0"/>
      <w:marTop w:val="0"/>
      <w:marBottom w:val="0"/>
      <w:divBdr>
        <w:top w:val="none" w:sz="0" w:space="0" w:color="auto"/>
        <w:left w:val="none" w:sz="0" w:space="0" w:color="auto"/>
        <w:bottom w:val="none" w:sz="0" w:space="0" w:color="auto"/>
        <w:right w:val="none" w:sz="0" w:space="0" w:color="auto"/>
      </w:divBdr>
    </w:div>
    <w:div w:id="1827239274">
      <w:bodyDiv w:val="1"/>
      <w:marLeft w:val="0"/>
      <w:marRight w:val="0"/>
      <w:marTop w:val="0"/>
      <w:marBottom w:val="0"/>
      <w:divBdr>
        <w:top w:val="none" w:sz="0" w:space="0" w:color="auto"/>
        <w:left w:val="none" w:sz="0" w:space="0" w:color="auto"/>
        <w:bottom w:val="none" w:sz="0" w:space="0" w:color="auto"/>
        <w:right w:val="none" w:sz="0" w:space="0" w:color="auto"/>
      </w:divBdr>
    </w:div>
    <w:div w:id="1834174630">
      <w:bodyDiv w:val="1"/>
      <w:marLeft w:val="0"/>
      <w:marRight w:val="0"/>
      <w:marTop w:val="0"/>
      <w:marBottom w:val="0"/>
      <w:divBdr>
        <w:top w:val="none" w:sz="0" w:space="0" w:color="auto"/>
        <w:left w:val="none" w:sz="0" w:space="0" w:color="auto"/>
        <w:bottom w:val="none" w:sz="0" w:space="0" w:color="auto"/>
        <w:right w:val="none" w:sz="0" w:space="0" w:color="auto"/>
      </w:divBdr>
    </w:div>
    <w:div w:id="1836069934">
      <w:bodyDiv w:val="1"/>
      <w:marLeft w:val="0"/>
      <w:marRight w:val="0"/>
      <w:marTop w:val="0"/>
      <w:marBottom w:val="0"/>
      <w:divBdr>
        <w:top w:val="none" w:sz="0" w:space="0" w:color="auto"/>
        <w:left w:val="none" w:sz="0" w:space="0" w:color="auto"/>
        <w:bottom w:val="none" w:sz="0" w:space="0" w:color="auto"/>
        <w:right w:val="none" w:sz="0" w:space="0" w:color="auto"/>
      </w:divBdr>
    </w:div>
    <w:div w:id="1842043855">
      <w:bodyDiv w:val="1"/>
      <w:marLeft w:val="0"/>
      <w:marRight w:val="0"/>
      <w:marTop w:val="0"/>
      <w:marBottom w:val="0"/>
      <w:divBdr>
        <w:top w:val="none" w:sz="0" w:space="0" w:color="auto"/>
        <w:left w:val="none" w:sz="0" w:space="0" w:color="auto"/>
        <w:bottom w:val="none" w:sz="0" w:space="0" w:color="auto"/>
        <w:right w:val="none" w:sz="0" w:space="0" w:color="auto"/>
      </w:divBdr>
    </w:div>
    <w:div w:id="1842770092">
      <w:bodyDiv w:val="1"/>
      <w:marLeft w:val="0"/>
      <w:marRight w:val="0"/>
      <w:marTop w:val="0"/>
      <w:marBottom w:val="0"/>
      <w:divBdr>
        <w:top w:val="none" w:sz="0" w:space="0" w:color="auto"/>
        <w:left w:val="none" w:sz="0" w:space="0" w:color="auto"/>
        <w:bottom w:val="none" w:sz="0" w:space="0" w:color="auto"/>
        <w:right w:val="none" w:sz="0" w:space="0" w:color="auto"/>
      </w:divBdr>
      <w:divsChild>
        <w:div w:id="780759938">
          <w:marLeft w:val="0"/>
          <w:marRight w:val="0"/>
          <w:marTop w:val="0"/>
          <w:marBottom w:val="0"/>
          <w:divBdr>
            <w:top w:val="none" w:sz="0" w:space="0" w:color="auto"/>
            <w:left w:val="none" w:sz="0" w:space="0" w:color="auto"/>
            <w:bottom w:val="none" w:sz="0" w:space="0" w:color="auto"/>
            <w:right w:val="none" w:sz="0" w:space="0" w:color="auto"/>
          </w:divBdr>
          <w:divsChild>
            <w:div w:id="961695587">
              <w:marLeft w:val="0"/>
              <w:marRight w:val="0"/>
              <w:marTop w:val="0"/>
              <w:marBottom w:val="0"/>
              <w:divBdr>
                <w:top w:val="none" w:sz="0" w:space="0" w:color="auto"/>
                <w:left w:val="none" w:sz="0" w:space="0" w:color="auto"/>
                <w:bottom w:val="none" w:sz="0" w:space="0" w:color="auto"/>
                <w:right w:val="none" w:sz="0" w:space="0" w:color="auto"/>
              </w:divBdr>
              <w:divsChild>
                <w:div w:id="1105268034">
                  <w:marLeft w:val="0"/>
                  <w:marRight w:val="0"/>
                  <w:marTop w:val="0"/>
                  <w:marBottom w:val="0"/>
                  <w:divBdr>
                    <w:top w:val="none" w:sz="0" w:space="0" w:color="auto"/>
                    <w:left w:val="none" w:sz="0" w:space="0" w:color="auto"/>
                    <w:bottom w:val="none" w:sz="0" w:space="0" w:color="auto"/>
                    <w:right w:val="none" w:sz="0" w:space="0" w:color="auto"/>
                  </w:divBdr>
                  <w:divsChild>
                    <w:div w:id="1404374596">
                      <w:marLeft w:val="0"/>
                      <w:marRight w:val="0"/>
                      <w:marTop w:val="0"/>
                      <w:marBottom w:val="0"/>
                      <w:divBdr>
                        <w:top w:val="none" w:sz="0" w:space="0" w:color="auto"/>
                        <w:left w:val="none" w:sz="0" w:space="0" w:color="auto"/>
                        <w:bottom w:val="none" w:sz="0" w:space="0" w:color="auto"/>
                        <w:right w:val="none" w:sz="0" w:space="0" w:color="auto"/>
                      </w:divBdr>
                      <w:divsChild>
                        <w:div w:id="837960968">
                          <w:marLeft w:val="0"/>
                          <w:marRight w:val="0"/>
                          <w:marTop w:val="300"/>
                          <w:marBottom w:val="0"/>
                          <w:divBdr>
                            <w:top w:val="none" w:sz="0" w:space="0" w:color="auto"/>
                            <w:left w:val="none" w:sz="0" w:space="0" w:color="auto"/>
                            <w:bottom w:val="none" w:sz="0" w:space="0" w:color="auto"/>
                            <w:right w:val="none" w:sz="0" w:space="0" w:color="auto"/>
                          </w:divBdr>
                          <w:divsChild>
                            <w:div w:id="7112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0946669">
      <w:bodyDiv w:val="1"/>
      <w:marLeft w:val="0"/>
      <w:marRight w:val="0"/>
      <w:marTop w:val="0"/>
      <w:marBottom w:val="0"/>
      <w:divBdr>
        <w:top w:val="none" w:sz="0" w:space="0" w:color="auto"/>
        <w:left w:val="none" w:sz="0" w:space="0" w:color="auto"/>
        <w:bottom w:val="none" w:sz="0" w:space="0" w:color="auto"/>
        <w:right w:val="none" w:sz="0" w:space="0" w:color="auto"/>
      </w:divBdr>
    </w:div>
    <w:div w:id="1859079039">
      <w:bodyDiv w:val="1"/>
      <w:marLeft w:val="0"/>
      <w:marRight w:val="0"/>
      <w:marTop w:val="0"/>
      <w:marBottom w:val="0"/>
      <w:divBdr>
        <w:top w:val="none" w:sz="0" w:space="0" w:color="auto"/>
        <w:left w:val="none" w:sz="0" w:space="0" w:color="auto"/>
        <w:bottom w:val="none" w:sz="0" w:space="0" w:color="auto"/>
        <w:right w:val="none" w:sz="0" w:space="0" w:color="auto"/>
      </w:divBdr>
    </w:div>
    <w:div w:id="1859466411">
      <w:bodyDiv w:val="1"/>
      <w:marLeft w:val="0"/>
      <w:marRight w:val="0"/>
      <w:marTop w:val="0"/>
      <w:marBottom w:val="0"/>
      <w:divBdr>
        <w:top w:val="none" w:sz="0" w:space="0" w:color="auto"/>
        <w:left w:val="none" w:sz="0" w:space="0" w:color="auto"/>
        <w:bottom w:val="none" w:sz="0" w:space="0" w:color="auto"/>
        <w:right w:val="none" w:sz="0" w:space="0" w:color="auto"/>
      </w:divBdr>
    </w:div>
    <w:div w:id="1861237642">
      <w:bodyDiv w:val="1"/>
      <w:marLeft w:val="0"/>
      <w:marRight w:val="0"/>
      <w:marTop w:val="0"/>
      <w:marBottom w:val="0"/>
      <w:divBdr>
        <w:top w:val="none" w:sz="0" w:space="0" w:color="auto"/>
        <w:left w:val="none" w:sz="0" w:space="0" w:color="auto"/>
        <w:bottom w:val="none" w:sz="0" w:space="0" w:color="auto"/>
        <w:right w:val="none" w:sz="0" w:space="0" w:color="auto"/>
      </w:divBdr>
    </w:div>
    <w:div w:id="1861356548">
      <w:bodyDiv w:val="1"/>
      <w:marLeft w:val="0"/>
      <w:marRight w:val="0"/>
      <w:marTop w:val="0"/>
      <w:marBottom w:val="0"/>
      <w:divBdr>
        <w:top w:val="none" w:sz="0" w:space="0" w:color="auto"/>
        <w:left w:val="none" w:sz="0" w:space="0" w:color="auto"/>
        <w:bottom w:val="none" w:sz="0" w:space="0" w:color="auto"/>
        <w:right w:val="none" w:sz="0" w:space="0" w:color="auto"/>
      </w:divBdr>
    </w:div>
    <w:div w:id="1873686752">
      <w:bodyDiv w:val="1"/>
      <w:marLeft w:val="0"/>
      <w:marRight w:val="0"/>
      <w:marTop w:val="0"/>
      <w:marBottom w:val="0"/>
      <w:divBdr>
        <w:top w:val="none" w:sz="0" w:space="0" w:color="auto"/>
        <w:left w:val="none" w:sz="0" w:space="0" w:color="auto"/>
        <w:bottom w:val="none" w:sz="0" w:space="0" w:color="auto"/>
        <w:right w:val="none" w:sz="0" w:space="0" w:color="auto"/>
      </w:divBdr>
    </w:div>
    <w:div w:id="1885368554">
      <w:bodyDiv w:val="1"/>
      <w:marLeft w:val="0"/>
      <w:marRight w:val="0"/>
      <w:marTop w:val="0"/>
      <w:marBottom w:val="0"/>
      <w:divBdr>
        <w:top w:val="none" w:sz="0" w:space="0" w:color="auto"/>
        <w:left w:val="none" w:sz="0" w:space="0" w:color="auto"/>
        <w:bottom w:val="none" w:sz="0" w:space="0" w:color="auto"/>
        <w:right w:val="none" w:sz="0" w:space="0" w:color="auto"/>
      </w:divBdr>
    </w:div>
    <w:div w:id="1885602404">
      <w:bodyDiv w:val="1"/>
      <w:marLeft w:val="0"/>
      <w:marRight w:val="0"/>
      <w:marTop w:val="0"/>
      <w:marBottom w:val="0"/>
      <w:divBdr>
        <w:top w:val="none" w:sz="0" w:space="0" w:color="auto"/>
        <w:left w:val="none" w:sz="0" w:space="0" w:color="auto"/>
        <w:bottom w:val="none" w:sz="0" w:space="0" w:color="auto"/>
        <w:right w:val="none" w:sz="0" w:space="0" w:color="auto"/>
      </w:divBdr>
    </w:div>
    <w:div w:id="1888491103">
      <w:bodyDiv w:val="1"/>
      <w:marLeft w:val="0"/>
      <w:marRight w:val="0"/>
      <w:marTop w:val="0"/>
      <w:marBottom w:val="0"/>
      <w:divBdr>
        <w:top w:val="none" w:sz="0" w:space="0" w:color="auto"/>
        <w:left w:val="none" w:sz="0" w:space="0" w:color="auto"/>
        <w:bottom w:val="none" w:sz="0" w:space="0" w:color="auto"/>
        <w:right w:val="none" w:sz="0" w:space="0" w:color="auto"/>
      </w:divBdr>
    </w:div>
    <w:div w:id="1891452600">
      <w:bodyDiv w:val="1"/>
      <w:marLeft w:val="0"/>
      <w:marRight w:val="0"/>
      <w:marTop w:val="0"/>
      <w:marBottom w:val="0"/>
      <w:divBdr>
        <w:top w:val="none" w:sz="0" w:space="0" w:color="auto"/>
        <w:left w:val="none" w:sz="0" w:space="0" w:color="auto"/>
        <w:bottom w:val="none" w:sz="0" w:space="0" w:color="auto"/>
        <w:right w:val="none" w:sz="0" w:space="0" w:color="auto"/>
      </w:divBdr>
    </w:div>
    <w:div w:id="1894343140">
      <w:bodyDiv w:val="1"/>
      <w:marLeft w:val="0"/>
      <w:marRight w:val="0"/>
      <w:marTop w:val="0"/>
      <w:marBottom w:val="0"/>
      <w:divBdr>
        <w:top w:val="none" w:sz="0" w:space="0" w:color="auto"/>
        <w:left w:val="none" w:sz="0" w:space="0" w:color="auto"/>
        <w:bottom w:val="none" w:sz="0" w:space="0" w:color="auto"/>
        <w:right w:val="none" w:sz="0" w:space="0" w:color="auto"/>
      </w:divBdr>
    </w:div>
    <w:div w:id="1899658579">
      <w:bodyDiv w:val="1"/>
      <w:marLeft w:val="0"/>
      <w:marRight w:val="0"/>
      <w:marTop w:val="0"/>
      <w:marBottom w:val="0"/>
      <w:divBdr>
        <w:top w:val="none" w:sz="0" w:space="0" w:color="auto"/>
        <w:left w:val="none" w:sz="0" w:space="0" w:color="auto"/>
        <w:bottom w:val="none" w:sz="0" w:space="0" w:color="auto"/>
        <w:right w:val="none" w:sz="0" w:space="0" w:color="auto"/>
      </w:divBdr>
    </w:div>
    <w:div w:id="1899703203">
      <w:bodyDiv w:val="1"/>
      <w:marLeft w:val="0"/>
      <w:marRight w:val="0"/>
      <w:marTop w:val="0"/>
      <w:marBottom w:val="0"/>
      <w:divBdr>
        <w:top w:val="none" w:sz="0" w:space="0" w:color="auto"/>
        <w:left w:val="none" w:sz="0" w:space="0" w:color="auto"/>
        <w:bottom w:val="none" w:sz="0" w:space="0" w:color="auto"/>
        <w:right w:val="none" w:sz="0" w:space="0" w:color="auto"/>
      </w:divBdr>
    </w:div>
    <w:div w:id="1912500901">
      <w:bodyDiv w:val="1"/>
      <w:marLeft w:val="0"/>
      <w:marRight w:val="0"/>
      <w:marTop w:val="0"/>
      <w:marBottom w:val="0"/>
      <w:divBdr>
        <w:top w:val="none" w:sz="0" w:space="0" w:color="auto"/>
        <w:left w:val="none" w:sz="0" w:space="0" w:color="auto"/>
        <w:bottom w:val="none" w:sz="0" w:space="0" w:color="auto"/>
        <w:right w:val="none" w:sz="0" w:space="0" w:color="auto"/>
      </w:divBdr>
    </w:div>
    <w:div w:id="1913731021">
      <w:bodyDiv w:val="1"/>
      <w:marLeft w:val="0"/>
      <w:marRight w:val="0"/>
      <w:marTop w:val="0"/>
      <w:marBottom w:val="0"/>
      <w:divBdr>
        <w:top w:val="none" w:sz="0" w:space="0" w:color="auto"/>
        <w:left w:val="none" w:sz="0" w:space="0" w:color="auto"/>
        <w:bottom w:val="none" w:sz="0" w:space="0" w:color="auto"/>
        <w:right w:val="none" w:sz="0" w:space="0" w:color="auto"/>
      </w:divBdr>
    </w:div>
    <w:div w:id="1914897869">
      <w:bodyDiv w:val="1"/>
      <w:marLeft w:val="0"/>
      <w:marRight w:val="0"/>
      <w:marTop w:val="0"/>
      <w:marBottom w:val="0"/>
      <w:divBdr>
        <w:top w:val="none" w:sz="0" w:space="0" w:color="auto"/>
        <w:left w:val="none" w:sz="0" w:space="0" w:color="auto"/>
        <w:bottom w:val="none" w:sz="0" w:space="0" w:color="auto"/>
        <w:right w:val="none" w:sz="0" w:space="0" w:color="auto"/>
      </w:divBdr>
    </w:div>
    <w:div w:id="1915427903">
      <w:bodyDiv w:val="1"/>
      <w:marLeft w:val="0"/>
      <w:marRight w:val="0"/>
      <w:marTop w:val="0"/>
      <w:marBottom w:val="0"/>
      <w:divBdr>
        <w:top w:val="none" w:sz="0" w:space="0" w:color="auto"/>
        <w:left w:val="none" w:sz="0" w:space="0" w:color="auto"/>
        <w:bottom w:val="none" w:sz="0" w:space="0" w:color="auto"/>
        <w:right w:val="none" w:sz="0" w:space="0" w:color="auto"/>
      </w:divBdr>
    </w:div>
    <w:div w:id="1928536068">
      <w:bodyDiv w:val="1"/>
      <w:marLeft w:val="0"/>
      <w:marRight w:val="0"/>
      <w:marTop w:val="0"/>
      <w:marBottom w:val="0"/>
      <w:divBdr>
        <w:top w:val="none" w:sz="0" w:space="0" w:color="auto"/>
        <w:left w:val="none" w:sz="0" w:space="0" w:color="auto"/>
        <w:bottom w:val="none" w:sz="0" w:space="0" w:color="auto"/>
        <w:right w:val="none" w:sz="0" w:space="0" w:color="auto"/>
      </w:divBdr>
    </w:div>
    <w:div w:id="1928997776">
      <w:bodyDiv w:val="1"/>
      <w:marLeft w:val="0"/>
      <w:marRight w:val="0"/>
      <w:marTop w:val="0"/>
      <w:marBottom w:val="0"/>
      <w:divBdr>
        <w:top w:val="none" w:sz="0" w:space="0" w:color="auto"/>
        <w:left w:val="none" w:sz="0" w:space="0" w:color="auto"/>
        <w:bottom w:val="none" w:sz="0" w:space="0" w:color="auto"/>
        <w:right w:val="none" w:sz="0" w:space="0" w:color="auto"/>
      </w:divBdr>
    </w:div>
    <w:div w:id="1930430912">
      <w:bodyDiv w:val="1"/>
      <w:marLeft w:val="0"/>
      <w:marRight w:val="0"/>
      <w:marTop w:val="0"/>
      <w:marBottom w:val="0"/>
      <w:divBdr>
        <w:top w:val="none" w:sz="0" w:space="0" w:color="auto"/>
        <w:left w:val="none" w:sz="0" w:space="0" w:color="auto"/>
        <w:bottom w:val="none" w:sz="0" w:space="0" w:color="auto"/>
        <w:right w:val="none" w:sz="0" w:space="0" w:color="auto"/>
      </w:divBdr>
    </w:div>
    <w:div w:id="1930458612">
      <w:bodyDiv w:val="1"/>
      <w:marLeft w:val="0"/>
      <w:marRight w:val="0"/>
      <w:marTop w:val="0"/>
      <w:marBottom w:val="0"/>
      <w:divBdr>
        <w:top w:val="none" w:sz="0" w:space="0" w:color="auto"/>
        <w:left w:val="none" w:sz="0" w:space="0" w:color="auto"/>
        <w:bottom w:val="none" w:sz="0" w:space="0" w:color="auto"/>
        <w:right w:val="none" w:sz="0" w:space="0" w:color="auto"/>
      </w:divBdr>
    </w:div>
    <w:div w:id="1931158977">
      <w:bodyDiv w:val="1"/>
      <w:marLeft w:val="0"/>
      <w:marRight w:val="0"/>
      <w:marTop w:val="0"/>
      <w:marBottom w:val="0"/>
      <w:divBdr>
        <w:top w:val="none" w:sz="0" w:space="0" w:color="auto"/>
        <w:left w:val="none" w:sz="0" w:space="0" w:color="auto"/>
        <w:bottom w:val="none" w:sz="0" w:space="0" w:color="auto"/>
        <w:right w:val="none" w:sz="0" w:space="0" w:color="auto"/>
      </w:divBdr>
    </w:div>
    <w:div w:id="1932733223">
      <w:bodyDiv w:val="1"/>
      <w:marLeft w:val="0"/>
      <w:marRight w:val="0"/>
      <w:marTop w:val="0"/>
      <w:marBottom w:val="0"/>
      <w:divBdr>
        <w:top w:val="none" w:sz="0" w:space="0" w:color="auto"/>
        <w:left w:val="none" w:sz="0" w:space="0" w:color="auto"/>
        <w:bottom w:val="none" w:sz="0" w:space="0" w:color="auto"/>
        <w:right w:val="none" w:sz="0" w:space="0" w:color="auto"/>
      </w:divBdr>
    </w:div>
    <w:div w:id="1933775008">
      <w:bodyDiv w:val="1"/>
      <w:marLeft w:val="0"/>
      <w:marRight w:val="0"/>
      <w:marTop w:val="0"/>
      <w:marBottom w:val="0"/>
      <w:divBdr>
        <w:top w:val="none" w:sz="0" w:space="0" w:color="auto"/>
        <w:left w:val="none" w:sz="0" w:space="0" w:color="auto"/>
        <w:bottom w:val="none" w:sz="0" w:space="0" w:color="auto"/>
        <w:right w:val="none" w:sz="0" w:space="0" w:color="auto"/>
      </w:divBdr>
    </w:div>
    <w:div w:id="1935236438">
      <w:bodyDiv w:val="1"/>
      <w:marLeft w:val="0"/>
      <w:marRight w:val="0"/>
      <w:marTop w:val="0"/>
      <w:marBottom w:val="0"/>
      <w:divBdr>
        <w:top w:val="none" w:sz="0" w:space="0" w:color="auto"/>
        <w:left w:val="none" w:sz="0" w:space="0" w:color="auto"/>
        <w:bottom w:val="none" w:sz="0" w:space="0" w:color="auto"/>
        <w:right w:val="none" w:sz="0" w:space="0" w:color="auto"/>
      </w:divBdr>
    </w:div>
    <w:div w:id="1935241591">
      <w:bodyDiv w:val="1"/>
      <w:marLeft w:val="0"/>
      <w:marRight w:val="0"/>
      <w:marTop w:val="0"/>
      <w:marBottom w:val="0"/>
      <w:divBdr>
        <w:top w:val="none" w:sz="0" w:space="0" w:color="auto"/>
        <w:left w:val="none" w:sz="0" w:space="0" w:color="auto"/>
        <w:bottom w:val="none" w:sz="0" w:space="0" w:color="auto"/>
        <w:right w:val="none" w:sz="0" w:space="0" w:color="auto"/>
      </w:divBdr>
    </w:div>
    <w:div w:id="1940214851">
      <w:bodyDiv w:val="1"/>
      <w:marLeft w:val="0"/>
      <w:marRight w:val="0"/>
      <w:marTop w:val="0"/>
      <w:marBottom w:val="0"/>
      <w:divBdr>
        <w:top w:val="none" w:sz="0" w:space="0" w:color="auto"/>
        <w:left w:val="none" w:sz="0" w:space="0" w:color="auto"/>
        <w:bottom w:val="none" w:sz="0" w:space="0" w:color="auto"/>
        <w:right w:val="none" w:sz="0" w:space="0" w:color="auto"/>
      </w:divBdr>
    </w:div>
    <w:div w:id="1941519975">
      <w:bodyDiv w:val="1"/>
      <w:marLeft w:val="0"/>
      <w:marRight w:val="0"/>
      <w:marTop w:val="0"/>
      <w:marBottom w:val="0"/>
      <w:divBdr>
        <w:top w:val="none" w:sz="0" w:space="0" w:color="auto"/>
        <w:left w:val="none" w:sz="0" w:space="0" w:color="auto"/>
        <w:bottom w:val="none" w:sz="0" w:space="0" w:color="auto"/>
        <w:right w:val="none" w:sz="0" w:space="0" w:color="auto"/>
      </w:divBdr>
    </w:div>
    <w:div w:id="1951618399">
      <w:bodyDiv w:val="1"/>
      <w:marLeft w:val="0"/>
      <w:marRight w:val="0"/>
      <w:marTop w:val="0"/>
      <w:marBottom w:val="0"/>
      <w:divBdr>
        <w:top w:val="none" w:sz="0" w:space="0" w:color="auto"/>
        <w:left w:val="none" w:sz="0" w:space="0" w:color="auto"/>
        <w:bottom w:val="none" w:sz="0" w:space="0" w:color="auto"/>
        <w:right w:val="none" w:sz="0" w:space="0" w:color="auto"/>
      </w:divBdr>
    </w:div>
    <w:div w:id="1954435324">
      <w:bodyDiv w:val="1"/>
      <w:marLeft w:val="0"/>
      <w:marRight w:val="0"/>
      <w:marTop w:val="0"/>
      <w:marBottom w:val="0"/>
      <w:divBdr>
        <w:top w:val="none" w:sz="0" w:space="0" w:color="auto"/>
        <w:left w:val="none" w:sz="0" w:space="0" w:color="auto"/>
        <w:bottom w:val="none" w:sz="0" w:space="0" w:color="auto"/>
        <w:right w:val="none" w:sz="0" w:space="0" w:color="auto"/>
      </w:divBdr>
    </w:div>
    <w:div w:id="1955557785">
      <w:bodyDiv w:val="1"/>
      <w:marLeft w:val="0"/>
      <w:marRight w:val="0"/>
      <w:marTop w:val="0"/>
      <w:marBottom w:val="0"/>
      <w:divBdr>
        <w:top w:val="none" w:sz="0" w:space="0" w:color="auto"/>
        <w:left w:val="none" w:sz="0" w:space="0" w:color="auto"/>
        <w:bottom w:val="none" w:sz="0" w:space="0" w:color="auto"/>
        <w:right w:val="none" w:sz="0" w:space="0" w:color="auto"/>
      </w:divBdr>
    </w:div>
    <w:div w:id="1960843516">
      <w:bodyDiv w:val="1"/>
      <w:marLeft w:val="0"/>
      <w:marRight w:val="0"/>
      <w:marTop w:val="0"/>
      <w:marBottom w:val="0"/>
      <w:divBdr>
        <w:top w:val="none" w:sz="0" w:space="0" w:color="auto"/>
        <w:left w:val="none" w:sz="0" w:space="0" w:color="auto"/>
        <w:bottom w:val="none" w:sz="0" w:space="0" w:color="auto"/>
        <w:right w:val="none" w:sz="0" w:space="0" w:color="auto"/>
      </w:divBdr>
    </w:div>
    <w:div w:id="1962419813">
      <w:bodyDiv w:val="1"/>
      <w:marLeft w:val="0"/>
      <w:marRight w:val="0"/>
      <w:marTop w:val="0"/>
      <w:marBottom w:val="0"/>
      <w:divBdr>
        <w:top w:val="none" w:sz="0" w:space="0" w:color="auto"/>
        <w:left w:val="none" w:sz="0" w:space="0" w:color="auto"/>
        <w:bottom w:val="none" w:sz="0" w:space="0" w:color="auto"/>
        <w:right w:val="none" w:sz="0" w:space="0" w:color="auto"/>
      </w:divBdr>
    </w:div>
    <w:div w:id="1963657819">
      <w:bodyDiv w:val="1"/>
      <w:marLeft w:val="0"/>
      <w:marRight w:val="0"/>
      <w:marTop w:val="0"/>
      <w:marBottom w:val="0"/>
      <w:divBdr>
        <w:top w:val="none" w:sz="0" w:space="0" w:color="auto"/>
        <w:left w:val="none" w:sz="0" w:space="0" w:color="auto"/>
        <w:bottom w:val="none" w:sz="0" w:space="0" w:color="auto"/>
        <w:right w:val="none" w:sz="0" w:space="0" w:color="auto"/>
      </w:divBdr>
    </w:div>
    <w:div w:id="1969972687">
      <w:bodyDiv w:val="1"/>
      <w:marLeft w:val="0"/>
      <w:marRight w:val="0"/>
      <w:marTop w:val="0"/>
      <w:marBottom w:val="0"/>
      <w:divBdr>
        <w:top w:val="none" w:sz="0" w:space="0" w:color="auto"/>
        <w:left w:val="none" w:sz="0" w:space="0" w:color="auto"/>
        <w:bottom w:val="none" w:sz="0" w:space="0" w:color="auto"/>
        <w:right w:val="none" w:sz="0" w:space="0" w:color="auto"/>
      </w:divBdr>
    </w:div>
    <w:div w:id="1970554211">
      <w:bodyDiv w:val="1"/>
      <w:marLeft w:val="0"/>
      <w:marRight w:val="0"/>
      <w:marTop w:val="0"/>
      <w:marBottom w:val="0"/>
      <w:divBdr>
        <w:top w:val="none" w:sz="0" w:space="0" w:color="auto"/>
        <w:left w:val="none" w:sz="0" w:space="0" w:color="auto"/>
        <w:bottom w:val="none" w:sz="0" w:space="0" w:color="auto"/>
        <w:right w:val="none" w:sz="0" w:space="0" w:color="auto"/>
      </w:divBdr>
    </w:div>
    <w:div w:id="1975139545">
      <w:bodyDiv w:val="1"/>
      <w:marLeft w:val="0"/>
      <w:marRight w:val="0"/>
      <w:marTop w:val="0"/>
      <w:marBottom w:val="0"/>
      <w:divBdr>
        <w:top w:val="none" w:sz="0" w:space="0" w:color="auto"/>
        <w:left w:val="none" w:sz="0" w:space="0" w:color="auto"/>
        <w:bottom w:val="none" w:sz="0" w:space="0" w:color="auto"/>
        <w:right w:val="none" w:sz="0" w:space="0" w:color="auto"/>
      </w:divBdr>
    </w:div>
    <w:div w:id="1976714932">
      <w:bodyDiv w:val="1"/>
      <w:marLeft w:val="0"/>
      <w:marRight w:val="0"/>
      <w:marTop w:val="0"/>
      <w:marBottom w:val="0"/>
      <w:divBdr>
        <w:top w:val="none" w:sz="0" w:space="0" w:color="auto"/>
        <w:left w:val="none" w:sz="0" w:space="0" w:color="auto"/>
        <w:bottom w:val="none" w:sz="0" w:space="0" w:color="auto"/>
        <w:right w:val="none" w:sz="0" w:space="0" w:color="auto"/>
      </w:divBdr>
    </w:div>
    <w:div w:id="1982034351">
      <w:bodyDiv w:val="1"/>
      <w:marLeft w:val="0"/>
      <w:marRight w:val="0"/>
      <w:marTop w:val="0"/>
      <w:marBottom w:val="0"/>
      <w:divBdr>
        <w:top w:val="none" w:sz="0" w:space="0" w:color="auto"/>
        <w:left w:val="none" w:sz="0" w:space="0" w:color="auto"/>
        <w:bottom w:val="none" w:sz="0" w:space="0" w:color="auto"/>
        <w:right w:val="none" w:sz="0" w:space="0" w:color="auto"/>
      </w:divBdr>
    </w:div>
    <w:div w:id="1985625980">
      <w:bodyDiv w:val="1"/>
      <w:marLeft w:val="0"/>
      <w:marRight w:val="0"/>
      <w:marTop w:val="0"/>
      <w:marBottom w:val="0"/>
      <w:divBdr>
        <w:top w:val="none" w:sz="0" w:space="0" w:color="auto"/>
        <w:left w:val="none" w:sz="0" w:space="0" w:color="auto"/>
        <w:bottom w:val="none" w:sz="0" w:space="0" w:color="auto"/>
        <w:right w:val="none" w:sz="0" w:space="0" w:color="auto"/>
      </w:divBdr>
    </w:div>
    <w:div w:id="1986202883">
      <w:bodyDiv w:val="1"/>
      <w:marLeft w:val="0"/>
      <w:marRight w:val="0"/>
      <w:marTop w:val="0"/>
      <w:marBottom w:val="0"/>
      <w:divBdr>
        <w:top w:val="none" w:sz="0" w:space="0" w:color="auto"/>
        <w:left w:val="none" w:sz="0" w:space="0" w:color="auto"/>
        <w:bottom w:val="none" w:sz="0" w:space="0" w:color="auto"/>
        <w:right w:val="none" w:sz="0" w:space="0" w:color="auto"/>
      </w:divBdr>
    </w:div>
    <w:div w:id="1989702014">
      <w:bodyDiv w:val="1"/>
      <w:marLeft w:val="0"/>
      <w:marRight w:val="0"/>
      <w:marTop w:val="0"/>
      <w:marBottom w:val="0"/>
      <w:divBdr>
        <w:top w:val="none" w:sz="0" w:space="0" w:color="auto"/>
        <w:left w:val="none" w:sz="0" w:space="0" w:color="auto"/>
        <w:bottom w:val="none" w:sz="0" w:space="0" w:color="auto"/>
        <w:right w:val="none" w:sz="0" w:space="0" w:color="auto"/>
      </w:divBdr>
    </w:div>
    <w:div w:id="2000038896">
      <w:bodyDiv w:val="1"/>
      <w:marLeft w:val="0"/>
      <w:marRight w:val="0"/>
      <w:marTop w:val="0"/>
      <w:marBottom w:val="0"/>
      <w:divBdr>
        <w:top w:val="none" w:sz="0" w:space="0" w:color="auto"/>
        <w:left w:val="none" w:sz="0" w:space="0" w:color="auto"/>
        <w:bottom w:val="none" w:sz="0" w:space="0" w:color="auto"/>
        <w:right w:val="none" w:sz="0" w:space="0" w:color="auto"/>
      </w:divBdr>
      <w:divsChild>
        <w:div w:id="727416740">
          <w:marLeft w:val="0"/>
          <w:marRight w:val="0"/>
          <w:marTop w:val="0"/>
          <w:marBottom w:val="0"/>
          <w:divBdr>
            <w:top w:val="none" w:sz="0" w:space="0" w:color="auto"/>
            <w:left w:val="none" w:sz="0" w:space="0" w:color="auto"/>
            <w:bottom w:val="none" w:sz="0" w:space="0" w:color="auto"/>
            <w:right w:val="none" w:sz="0" w:space="0" w:color="auto"/>
          </w:divBdr>
          <w:divsChild>
            <w:div w:id="979918389">
              <w:marLeft w:val="0"/>
              <w:marRight w:val="0"/>
              <w:marTop w:val="0"/>
              <w:marBottom w:val="0"/>
              <w:divBdr>
                <w:top w:val="none" w:sz="0" w:space="0" w:color="auto"/>
                <w:left w:val="none" w:sz="0" w:space="0" w:color="auto"/>
                <w:bottom w:val="none" w:sz="0" w:space="0" w:color="auto"/>
                <w:right w:val="none" w:sz="0" w:space="0" w:color="auto"/>
              </w:divBdr>
              <w:divsChild>
                <w:div w:id="1273126883">
                  <w:marLeft w:val="0"/>
                  <w:marRight w:val="0"/>
                  <w:marTop w:val="0"/>
                  <w:marBottom w:val="0"/>
                  <w:divBdr>
                    <w:top w:val="none" w:sz="0" w:space="0" w:color="auto"/>
                    <w:left w:val="none" w:sz="0" w:space="0" w:color="auto"/>
                    <w:bottom w:val="none" w:sz="0" w:space="0" w:color="auto"/>
                    <w:right w:val="none" w:sz="0" w:space="0" w:color="auto"/>
                  </w:divBdr>
                  <w:divsChild>
                    <w:div w:id="1712876106">
                      <w:marLeft w:val="0"/>
                      <w:marRight w:val="0"/>
                      <w:marTop w:val="0"/>
                      <w:marBottom w:val="0"/>
                      <w:divBdr>
                        <w:top w:val="none" w:sz="0" w:space="0" w:color="auto"/>
                        <w:left w:val="none" w:sz="0" w:space="0" w:color="auto"/>
                        <w:bottom w:val="none" w:sz="0" w:space="0" w:color="auto"/>
                        <w:right w:val="none" w:sz="0" w:space="0" w:color="auto"/>
                      </w:divBdr>
                      <w:divsChild>
                        <w:div w:id="68041625">
                          <w:marLeft w:val="0"/>
                          <w:marRight w:val="0"/>
                          <w:marTop w:val="300"/>
                          <w:marBottom w:val="0"/>
                          <w:divBdr>
                            <w:top w:val="none" w:sz="0" w:space="0" w:color="auto"/>
                            <w:left w:val="none" w:sz="0" w:space="0" w:color="auto"/>
                            <w:bottom w:val="none" w:sz="0" w:space="0" w:color="auto"/>
                            <w:right w:val="none" w:sz="0" w:space="0" w:color="auto"/>
                          </w:divBdr>
                          <w:divsChild>
                            <w:div w:id="914168681">
                              <w:marLeft w:val="0"/>
                              <w:marRight w:val="0"/>
                              <w:marTop w:val="0"/>
                              <w:marBottom w:val="0"/>
                              <w:divBdr>
                                <w:top w:val="none" w:sz="0" w:space="0" w:color="auto"/>
                                <w:left w:val="none" w:sz="0" w:space="0" w:color="auto"/>
                                <w:bottom w:val="none" w:sz="0" w:space="0" w:color="auto"/>
                                <w:right w:val="none" w:sz="0" w:space="0" w:color="auto"/>
                              </w:divBdr>
                              <w:divsChild>
                                <w:div w:id="1981228379">
                                  <w:marLeft w:val="0"/>
                                  <w:marRight w:val="0"/>
                                  <w:marTop w:val="0"/>
                                  <w:marBottom w:val="0"/>
                                  <w:divBdr>
                                    <w:top w:val="none" w:sz="0" w:space="0" w:color="auto"/>
                                    <w:left w:val="none" w:sz="0" w:space="0" w:color="auto"/>
                                    <w:bottom w:val="none" w:sz="0" w:space="0" w:color="auto"/>
                                    <w:right w:val="none" w:sz="0" w:space="0" w:color="auto"/>
                                  </w:divBdr>
                                </w:div>
                              </w:divsChild>
                            </w:div>
                            <w:div w:id="983777425">
                              <w:marLeft w:val="0"/>
                              <w:marRight w:val="0"/>
                              <w:marTop w:val="0"/>
                              <w:marBottom w:val="0"/>
                              <w:divBdr>
                                <w:top w:val="none" w:sz="0" w:space="0" w:color="auto"/>
                                <w:left w:val="none" w:sz="0" w:space="0" w:color="auto"/>
                                <w:bottom w:val="none" w:sz="0" w:space="0" w:color="auto"/>
                                <w:right w:val="none" w:sz="0" w:space="0" w:color="auto"/>
                              </w:divBdr>
                              <w:divsChild>
                                <w:div w:id="477186041">
                                  <w:marLeft w:val="0"/>
                                  <w:marRight w:val="0"/>
                                  <w:marTop w:val="0"/>
                                  <w:marBottom w:val="0"/>
                                  <w:divBdr>
                                    <w:top w:val="none" w:sz="0" w:space="0" w:color="auto"/>
                                    <w:left w:val="none" w:sz="0" w:space="0" w:color="auto"/>
                                    <w:bottom w:val="none" w:sz="0" w:space="0" w:color="auto"/>
                                    <w:right w:val="none" w:sz="0" w:space="0" w:color="auto"/>
                                  </w:divBdr>
                                </w:div>
                              </w:divsChild>
                            </w:div>
                            <w:div w:id="1039819646">
                              <w:marLeft w:val="0"/>
                              <w:marRight w:val="0"/>
                              <w:marTop w:val="0"/>
                              <w:marBottom w:val="0"/>
                              <w:divBdr>
                                <w:top w:val="none" w:sz="0" w:space="0" w:color="auto"/>
                                <w:left w:val="none" w:sz="0" w:space="0" w:color="auto"/>
                                <w:bottom w:val="none" w:sz="0" w:space="0" w:color="auto"/>
                                <w:right w:val="none" w:sz="0" w:space="0" w:color="auto"/>
                              </w:divBdr>
                              <w:divsChild>
                                <w:div w:id="453061850">
                                  <w:marLeft w:val="0"/>
                                  <w:marRight w:val="0"/>
                                  <w:marTop w:val="0"/>
                                  <w:marBottom w:val="0"/>
                                  <w:divBdr>
                                    <w:top w:val="none" w:sz="0" w:space="0" w:color="auto"/>
                                    <w:left w:val="none" w:sz="0" w:space="0" w:color="auto"/>
                                    <w:bottom w:val="none" w:sz="0" w:space="0" w:color="auto"/>
                                    <w:right w:val="none" w:sz="0" w:space="0" w:color="auto"/>
                                  </w:divBdr>
                                </w:div>
                              </w:divsChild>
                            </w:div>
                            <w:div w:id="1369141787">
                              <w:marLeft w:val="0"/>
                              <w:marRight w:val="0"/>
                              <w:marTop w:val="0"/>
                              <w:marBottom w:val="0"/>
                              <w:divBdr>
                                <w:top w:val="none" w:sz="0" w:space="0" w:color="auto"/>
                                <w:left w:val="none" w:sz="0" w:space="0" w:color="auto"/>
                                <w:bottom w:val="none" w:sz="0" w:space="0" w:color="auto"/>
                                <w:right w:val="none" w:sz="0" w:space="0" w:color="auto"/>
                              </w:divBdr>
                              <w:divsChild>
                                <w:div w:id="29032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544135">
      <w:bodyDiv w:val="1"/>
      <w:marLeft w:val="0"/>
      <w:marRight w:val="0"/>
      <w:marTop w:val="0"/>
      <w:marBottom w:val="0"/>
      <w:divBdr>
        <w:top w:val="none" w:sz="0" w:space="0" w:color="auto"/>
        <w:left w:val="none" w:sz="0" w:space="0" w:color="auto"/>
        <w:bottom w:val="none" w:sz="0" w:space="0" w:color="auto"/>
        <w:right w:val="none" w:sz="0" w:space="0" w:color="auto"/>
      </w:divBdr>
    </w:div>
    <w:div w:id="2005275674">
      <w:bodyDiv w:val="1"/>
      <w:marLeft w:val="0"/>
      <w:marRight w:val="0"/>
      <w:marTop w:val="0"/>
      <w:marBottom w:val="0"/>
      <w:divBdr>
        <w:top w:val="none" w:sz="0" w:space="0" w:color="auto"/>
        <w:left w:val="none" w:sz="0" w:space="0" w:color="auto"/>
        <w:bottom w:val="none" w:sz="0" w:space="0" w:color="auto"/>
        <w:right w:val="none" w:sz="0" w:space="0" w:color="auto"/>
      </w:divBdr>
    </w:div>
    <w:div w:id="2007393651">
      <w:bodyDiv w:val="1"/>
      <w:marLeft w:val="0"/>
      <w:marRight w:val="0"/>
      <w:marTop w:val="0"/>
      <w:marBottom w:val="0"/>
      <w:divBdr>
        <w:top w:val="none" w:sz="0" w:space="0" w:color="auto"/>
        <w:left w:val="none" w:sz="0" w:space="0" w:color="auto"/>
        <w:bottom w:val="none" w:sz="0" w:space="0" w:color="auto"/>
        <w:right w:val="none" w:sz="0" w:space="0" w:color="auto"/>
      </w:divBdr>
    </w:div>
    <w:div w:id="2008973146">
      <w:bodyDiv w:val="1"/>
      <w:marLeft w:val="0"/>
      <w:marRight w:val="0"/>
      <w:marTop w:val="0"/>
      <w:marBottom w:val="0"/>
      <w:divBdr>
        <w:top w:val="none" w:sz="0" w:space="0" w:color="auto"/>
        <w:left w:val="none" w:sz="0" w:space="0" w:color="auto"/>
        <w:bottom w:val="none" w:sz="0" w:space="0" w:color="auto"/>
        <w:right w:val="none" w:sz="0" w:space="0" w:color="auto"/>
      </w:divBdr>
    </w:div>
    <w:div w:id="2010596773">
      <w:bodyDiv w:val="1"/>
      <w:marLeft w:val="0"/>
      <w:marRight w:val="0"/>
      <w:marTop w:val="0"/>
      <w:marBottom w:val="0"/>
      <w:divBdr>
        <w:top w:val="none" w:sz="0" w:space="0" w:color="auto"/>
        <w:left w:val="none" w:sz="0" w:space="0" w:color="auto"/>
        <w:bottom w:val="none" w:sz="0" w:space="0" w:color="auto"/>
        <w:right w:val="none" w:sz="0" w:space="0" w:color="auto"/>
      </w:divBdr>
    </w:div>
    <w:div w:id="2021084862">
      <w:bodyDiv w:val="1"/>
      <w:marLeft w:val="0"/>
      <w:marRight w:val="0"/>
      <w:marTop w:val="0"/>
      <w:marBottom w:val="0"/>
      <w:divBdr>
        <w:top w:val="none" w:sz="0" w:space="0" w:color="auto"/>
        <w:left w:val="none" w:sz="0" w:space="0" w:color="auto"/>
        <w:bottom w:val="none" w:sz="0" w:space="0" w:color="auto"/>
        <w:right w:val="none" w:sz="0" w:space="0" w:color="auto"/>
      </w:divBdr>
    </w:div>
    <w:div w:id="2022275924">
      <w:bodyDiv w:val="1"/>
      <w:marLeft w:val="0"/>
      <w:marRight w:val="0"/>
      <w:marTop w:val="0"/>
      <w:marBottom w:val="0"/>
      <w:divBdr>
        <w:top w:val="none" w:sz="0" w:space="0" w:color="auto"/>
        <w:left w:val="none" w:sz="0" w:space="0" w:color="auto"/>
        <w:bottom w:val="none" w:sz="0" w:space="0" w:color="auto"/>
        <w:right w:val="none" w:sz="0" w:space="0" w:color="auto"/>
      </w:divBdr>
    </w:div>
    <w:div w:id="2022537994">
      <w:bodyDiv w:val="1"/>
      <w:marLeft w:val="0"/>
      <w:marRight w:val="0"/>
      <w:marTop w:val="0"/>
      <w:marBottom w:val="0"/>
      <w:divBdr>
        <w:top w:val="none" w:sz="0" w:space="0" w:color="auto"/>
        <w:left w:val="none" w:sz="0" w:space="0" w:color="auto"/>
        <w:bottom w:val="none" w:sz="0" w:space="0" w:color="auto"/>
        <w:right w:val="none" w:sz="0" w:space="0" w:color="auto"/>
      </w:divBdr>
      <w:divsChild>
        <w:div w:id="1874807286">
          <w:marLeft w:val="0"/>
          <w:marRight w:val="0"/>
          <w:marTop w:val="0"/>
          <w:marBottom w:val="0"/>
          <w:divBdr>
            <w:top w:val="none" w:sz="0" w:space="0" w:color="auto"/>
            <w:left w:val="none" w:sz="0" w:space="0" w:color="auto"/>
            <w:bottom w:val="none" w:sz="0" w:space="0" w:color="auto"/>
            <w:right w:val="none" w:sz="0" w:space="0" w:color="auto"/>
          </w:divBdr>
          <w:divsChild>
            <w:div w:id="773746015">
              <w:marLeft w:val="0"/>
              <w:marRight w:val="0"/>
              <w:marTop w:val="0"/>
              <w:marBottom w:val="0"/>
              <w:divBdr>
                <w:top w:val="none" w:sz="0" w:space="0" w:color="auto"/>
                <w:left w:val="none" w:sz="0" w:space="0" w:color="auto"/>
                <w:bottom w:val="none" w:sz="0" w:space="0" w:color="auto"/>
                <w:right w:val="none" w:sz="0" w:space="0" w:color="auto"/>
              </w:divBdr>
              <w:divsChild>
                <w:div w:id="1608149214">
                  <w:marLeft w:val="0"/>
                  <w:marRight w:val="0"/>
                  <w:marTop w:val="0"/>
                  <w:marBottom w:val="0"/>
                  <w:divBdr>
                    <w:top w:val="none" w:sz="0" w:space="0" w:color="auto"/>
                    <w:left w:val="none" w:sz="0" w:space="0" w:color="auto"/>
                    <w:bottom w:val="none" w:sz="0" w:space="0" w:color="auto"/>
                    <w:right w:val="none" w:sz="0" w:space="0" w:color="auto"/>
                  </w:divBdr>
                  <w:divsChild>
                    <w:div w:id="1893733593">
                      <w:marLeft w:val="0"/>
                      <w:marRight w:val="0"/>
                      <w:marTop w:val="0"/>
                      <w:marBottom w:val="0"/>
                      <w:divBdr>
                        <w:top w:val="none" w:sz="0" w:space="0" w:color="auto"/>
                        <w:left w:val="none" w:sz="0" w:space="0" w:color="auto"/>
                        <w:bottom w:val="none" w:sz="0" w:space="0" w:color="auto"/>
                        <w:right w:val="none" w:sz="0" w:space="0" w:color="auto"/>
                      </w:divBdr>
                      <w:divsChild>
                        <w:div w:id="1794783703">
                          <w:marLeft w:val="0"/>
                          <w:marRight w:val="0"/>
                          <w:marTop w:val="300"/>
                          <w:marBottom w:val="0"/>
                          <w:divBdr>
                            <w:top w:val="none" w:sz="0" w:space="0" w:color="auto"/>
                            <w:left w:val="none" w:sz="0" w:space="0" w:color="auto"/>
                            <w:bottom w:val="none" w:sz="0" w:space="0" w:color="auto"/>
                            <w:right w:val="none" w:sz="0" w:space="0" w:color="auto"/>
                          </w:divBdr>
                          <w:divsChild>
                            <w:div w:id="150342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3359331">
      <w:bodyDiv w:val="1"/>
      <w:marLeft w:val="0"/>
      <w:marRight w:val="0"/>
      <w:marTop w:val="0"/>
      <w:marBottom w:val="0"/>
      <w:divBdr>
        <w:top w:val="none" w:sz="0" w:space="0" w:color="auto"/>
        <w:left w:val="none" w:sz="0" w:space="0" w:color="auto"/>
        <w:bottom w:val="none" w:sz="0" w:space="0" w:color="auto"/>
        <w:right w:val="none" w:sz="0" w:space="0" w:color="auto"/>
      </w:divBdr>
    </w:div>
    <w:div w:id="2034574732">
      <w:bodyDiv w:val="1"/>
      <w:marLeft w:val="0"/>
      <w:marRight w:val="0"/>
      <w:marTop w:val="0"/>
      <w:marBottom w:val="0"/>
      <w:divBdr>
        <w:top w:val="none" w:sz="0" w:space="0" w:color="auto"/>
        <w:left w:val="none" w:sz="0" w:space="0" w:color="auto"/>
        <w:bottom w:val="none" w:sz="0" w:space="0" w:color="auto"/>
        <w:right w:val="none" w:sz="0" w:space="0" w:color="auto"/>
      </w:divBdr>
    </w:div>
    <w:div w:id="2036147359">
      <w:bodyDiv w:val="1"/>
      <w:marLeft w:val="0"/>
      <w:marRight w:val="0"/>
      <w:marTop w:val="0"/>
      <w:marBottom w:val="0"/>
      <w:divBdr>
        <w:top w:val="none" w:sz="0" w:space="0" w:color="auto"/>
        <w:left w:val="none" w:sz="0" w:space="0" w:color="auto"/>
        <w:bottom w:val="none" w:sz="0" w:space="0" w:color="auto"/>
        <w:right w:val="none" w:sz="0" w:space="0" w:color="auto"/>
      </w:divBdr>
    </w:div>
    <w:div w:id="2040547375">
      <w:bodyDiv w:val="1"/>
      <w:marLeft w:val="0"/>
      <w:marRight w:val="0"/>
      <w:marTop w:val="0"/>
      <w:marBottom w:val="0"/>
      <w:divBdr>
        <w:top w:val="none" w:sz="0" w:space="0" w:color="auto"/>
        <w:left w:val="none" w:sz="0" w:space="0" w:color="auto"/>
        <w:bottom w:val="none" w:sz="0" w:space="0" w:color="auto"/>
        <w:right w:val="none" w:sz="0" w:space="0" w:color="auto"/>
      </w:divBdr>
    </w:div>
    <w:div w:id="2040662219">
      <w:bodyDiv w:val="1"/>
      <w:marLeft w:val="0"/>
      <w:marRight w:val="0"/>
      <w:marTop w:val="0"/>
      <w:marBottom w:val="0"/>
      <w:divBdr>
        <w:top w:val="none" w:sz="0" w:space="0" w:color="auto"/>
        <w:left w:val="none" w:sz="0" w:space="0" w:color="auto"/>
        <w:bottom w:val="none" w:sz="0" w:space="0" w:color="auto"/>
        <w:right w:val="none" w:sz="0" w:space="0" w:color="auto"/>
      </w:divBdr>
    </w:div>
    <w:div w:id="2058624363">
      <w:bodyDiv w:val="1"/>
      <w:marLeft w:val="0"/>
      <w:marRight w:val="0"/>
      <w:marTop w:val="0"/>
      <w:marBottom w:val="0"/>
      <w:divBdr>
        <w:top w:val="none" w:sz="0" w:space="0" w:color="auto"/>
        <w:left w:val="none" w:sz="0" w:space="0" w:color="auto"/>
        <w:bottom w:val="none" w:sz="0" w:space="0" w:color="auto"/>
        <w:right w:val="none" w:sz="0" w:space="0" w:color="auto"/>
      </w:divBdr>
    </w:div>
    <w:div w:id="2065836863">
      <w:bodyDiv w:val="1"/>
      <w:marLeft w:val="0"/>
      <w:marRight w:val="0"/>
      <w:marTop w:val="0"/>
      <w:marBottom w:val="0"/>
      <w:divBdr>
        <w:top w:val="none" w:sz="0" w:space="0" w:color="auto"/>
        <w:left w:val="none" w:sz="0" w:space="0" w:color="auto"/>
        <w:bottom w:val="none" w:sz="0" w:space="0" w:color="auto"/>
        <w:right w:val="none" w:sz="0" w:space="0" w:color="auto"/>
      </w:divBdr>
    </w:div>
    <w:div w:id="2065983444">
      <w:bodyDiv w:val="1"/>
      <w:marLeft w:val="0"/>
      <w:marRight w:val="0"/>
      <w:marTop w:val="0"/>
      <w:marBottom w:val="0"/>
      <w:divBdr>
        <w:top w:val="none" w:sz="0" w:space="0" w:color="auto"/>
        <w:left w:val="none" w:sz="0" w:space="0" w:color="auto"/>
        <w:bottom w:val="none" w:sz="0" w:space="0" w:color="auto"/>
        <w:right w:val="none" w:sz="0" w:space="0" w:color="auto"/>
      </w:divBdr>
    </w:div>
    <w:div w:id="2070302766">
      <w:bodyDiv w:val="1"/>
      <w:marLeft w:val="0"/>
      <w:marRight w:val="0"/>
      <w:marTop w:val="0"/>
      <w:marBottom w:val="0"/>
      <w:divBdr>
        <w:top w:val="none" w:sz="0" w:space="0" w:color="auto"/>
        <w:left w:val="none" w:sz="0" w:space="0" w:color="auto"/>
        <w:bottom w:val="none" w:sz="0" w:space="0" w:color="auto"/>
        <w:right w:val="none" w:sz="0" w:space="0" w:color="auto"/>
      </w:divBdr>
    </w:div>
    <w:div w:id="2080516582">
      <w:bodyDiv w:val="1"/>
      <w:marLeft w:val="0"/>
      <w:marRight w:val="0"/>
      <w:marTop w:val="0"/>
      <w:marBottom w:val="0"/>
      <w:divBdr>
        <w:top w:val="none" w:sz="0" w:space="0" w:color="auto"/>
        <w:left w:val="none" w:sz="0" w:space="0" w:color="auto"/>
        <w:bottom w:val="none" w:sz="0" w:space="0" w:color="auto"/>
        <w:right w:val="none" w:sz="0" w:space="0" w:color="auto"/>
      </w:divBdr>
    </w:div>
    <w:div w:id="2085565703">
      <w:bodyDiv w:val="1"/>
      <w:marLeft w:val="0"/>
      <w:marRight w:val="0"/>
      <w:marTop w:val="0"/>
      <w:marBottom w:val="0"/>
      <w:divBdr>
        <w:top w:val="none" w:sz="0" w:space="0" w:color="auto"/>
        <w:left w:val="none" w:sz="0" w:space="0" w:color="auto"/>
        <w:bottom w:val="none" w:sz="0" w:space="0" w:color="auto"/>
        <w:right w:val="none" w:sz="0" w:space="0" w:color="auto"/>
      </w:divBdr>
    </w:div>
    <w:div w:id="2085952760">
      <w:bodyDiv w:val="1"/>
      <w:marLeft w:val="0"/>
      <w:marRight w:val="0"/>
      <w:marTop w:val="0"/>
      <w:marBottom w:val="0"/>
      <w:divBdr>
        <w:top w:val="none" w:sz="0" w:space="0" w:color="auto"/>
        <w:left w:val="none" w:sz="0" w:space="0" w:color="auto"/>
        <w:bottom w:val="none" w:sz="0" w:space="0" w:color="auto"/>
        <w:right w:val="none" w:sz="0" w:space="0" w:color="auto"/>
      </w:divBdr>
    </w:div>
    <w:div w:id="2105219576">
      <w:bodyDiv w:val="1"/>
      <w:marLeft w:val="0"/>
      <w:marRight w:val="0"/>
      <w:marTop w:val="0"/>
      <w:marBottom w:val="0"/>
      <w:divBdr>
        <w:top w:val="none" w:sz="0" w:space="0" w:color="auto"/>
        <w:left w:val="none" w:sz="0" w:space="0" w:color="auto"/>
        <w:bottom w:val="none" w:sz="0" w:space="0" w:color="auto"/>
        <w:right w:val="none" w:sz="0" w:space="0" w:color="auto"/>
      </w:divBdr>
    </w:div>
    <w:div w:id="2109619030">
      <w:bodyDiv w:val="1"/>
      <w:marLeft w:val="0"/>
      <w:marRight w:val="0"/>
      <w:marTop w:val="0"/>
      <w:marBottom w:val="0"/>
      <w:divBdr>
        <w:top w:val="none" w:sz="0" w:space="0" w:color="auto"/>
        <w:left w:val="none" w:sz="0" w:space="0" w:color="auto"/>
        <w:bottom w:val="none" w:sz="0" w:space="0" w:color="auto"/>
        <w:right w:val="none" w:sz="0" w:space="0" w:color="auto"/>
      </w:divBdr>
    </w:div>
    <w:div w:id="2111389561">
      <w:bodyDiv w:val="1"/>
      <w:marLeft w:val="0"/>
      <w:marRight w:val="0"/>
      <w:marTop w:val="0"/>
      <w:marBottom w:val="0"/>
      <w:divBdr>
        <w:top w:val="none" w:sz="0" w:space="0" w:color="auto"/>
        <w:left w:val="none" w:sz="0" w:space="0" w:color="auto"/>
        <w:bottom w:val="none" w:sz="0" w:space="0" w:color="auto"/>
        <w:right w:val="none" w:sz="0" w:space="0" w:color="auto"/>
      </w:divBdr>
    </w:div>
    <w:div w:id="2114981548">
      <w:bodyDiv w:val="1"/>
      <w:marLeft w:val="0"/>
      <w:marRight w:val="0"/>
      <w:marTop w:val="0"/>
      <w:marBottom w:val="0"/>
      <w:divBdr>
        <w:top w:val="none" w:sz="0" w:space="0" w:color="auto"/>
        <w:left w:val="none" w:sz="0" w:space="0" w:color="auto"/>
        <w:bottom w:val="none" w:sz="0" w:space="0" w:color="auto"/>
        <w:right w:val="none" w:sz="0" w:space="0" w:color="auto"/>
      </w:divBdr>
    </w:div>
    <w:div w:id="2118256870">
      <w:bodyDiv w:val="1"/>
      <w:marLeft w:val="0"/>
      <w:marRight w:val="0"/>
      <w:marTop w:val="0"/>
      <w:marBottom w:val="0"/>
      <w:divBdr>
        <w:top w:val="none" w:sz="0" w:space="0" w:color="auto"/>
        <w:left w:val="none" w:sz="0" w:space="0" w:color="auto"/>
        <w:bottom w:val="none" w:sz="0" w:space="0" w:color="auto"/>
        <w:right w:val="none" w:sz="0" w:space="0" w:color="auto"/>
      </w:divBdr>
    </w:div>
    <w:div w:id="2122335117">
      <w:bodyDiv w:val="1"/>
      <w:marLeft w:val="0"/>
      <w:marRight w:val="0"/>
      <w:marTop w:val="0"/>
      <w:marBottom w:val="0"/>
      <w:divBdr>
        <w:top w:val="none" w:sz="0" w:space="0" w:color="auto"/>
        <w:left w:val="none" w:sz="0" w:space="0" w:color="auto"/>
        <w:bottom w:val="none" w:sz="0" w:space="0" w:color="auto"/>
        <w:right w:val="none" w:sz="0" w:space="0" w:color="auto"/>
      </w:divBdr>
    </w:div>
    <w:div w:id="2126002150">
      <w:bodyDiv w:val="1"/>
      <w:marLeft w:val="0"/>
      <w:marRight w:val="0"/>
      <w:marTop w:val="0"/>
      <w:marBottom w:val="0"/>
      <w:divBdr>
        <w:top w:val="none" w:sz="0" w:space="0" w:color="auto"/>
        <w:left w:val="none" w:sz="0" w:space="0" w:color="auto"/>
        <w:bottom w:val="none" w:sz="0" w:space="0" w:color="auto"/>
        <w:right w:val="none" w:sz="0" w:space="0" w:color="auto"/>
      </w:divBdr>
    </w:div>
    <w:div w:id="2128504944">
      <w:bodyDiv w:val="1"/>
      <w:marLeft w:val="0"/>
      <w:marRight w:val="0"/>
      <w:marTop w:val="0"/>
      <w:marBottom w:val="0"/>
      <w:divBdr>
        <w:top w:val="none" w:sz="0" w:space="0" w:color="auto"/>
        <w:left w:val="none" w:sz="0" w:space="0" w:color="auto"/>
        <w:bottom w:val="none" w:sz="0" w:space="0" w:color="auto"/>
        <w:right w:val="none" w:sz="0" w:space="0" w:color="auto"/>
      </w:divBdr>
    </w:div>
    <w:div w:id="2132698975">
      <w:bodyDiv w:val="1"/>
      <w:marLeft w:val="0"/>
      <w:marRight w:val="0"/>
      <w:marTop w:val="0"/>
      <w:marBottom w:val="0"/>
      <w:divBdr>
        <w:top w:val="none" w:sz="0" w:space="0" w:color="auto"/>
        <w:left w:val="none" w:sz="0" w:space="0" w:color="auto"/>
        <w:bottom w:val="none" w:sz="0" w:space="0" w:color="auto"/>
        <w:right w:val="none" w:sz="0" w:space="0" w:color="auto"/>
      </w:divBdr>
      <w:divsChild>
        <w:div w:id="821704174">
          <w:marLeft w:val="0"/>
          <w:marRight w:val="0"/>
          <w:marTop w:val="0"/>
          <w:marBottom w:val="0"/>
          <w:divBdr>
            <w:top w:val="none" w:sz="0" w:space="0" w:color="auto"/>
            <w:left w:val="none" w:sz="0" w:space="0" w:color="auto"/>
            <w:bottom w:val="none" w:sz="0" w:space="0" w:color="auto"/>
            <w:right w:val="none" w:sz="0" w:space="0" w:color="auto"/>
          </w:divBdr>
          <w:divsChild>
            <w:div w:id="549272251">
              <w:marLeft w:val="0"/>
              <w:marRight w:val="0"/>
              <w:marTop w:val="0"/>
              <w:marBottom w:val="0"/>
              <w:divBdr>
                <w:top w:val="none" w:sz="0" w:space="0" w:color="auto"/>
                <w:left w:val="none" w:sz="0" w:space="0" w:color="auto"/>
                <w:bottom w:val="none" w:sz="0" w:space="0" w:color="auto"/>
                <w:right w:val="none" w:sz="0" w:space="0" w:color="auto"/>
              </w:divBdr>
              <w:divsChild>
                <w:div w:id="200439383">
                  <w:marLeft w:val="0"/>
                  <w:marRight w:val="0"/>
                  <w:marTop w:val="0"/>
                  <w:marBottom w:val="0"/>
                  <w:divBdr>
                    <w:top w:val="none" w:sz="0" w:space="0" w:color="auto"/>
                    <w:left w:val="none" w:sz="0" w:space="0" w:color="auto"/>
                    <w:bottom w:val="none" w:sz="0" w:space="0" w:color="auto"/>
                    <w:right w:val="none" w:sz="0" w:space="0" w:color="auto"/>
                  </w:divBdr>
                  <w:divsChild>
                    <w:div w:id="2068530658">
                      <w:marLeft w:val="0"/>
                      <w:marRight w:val="0"/>
                      <w:marTop w:val="0"/>
                      <w:marBottom w:val="0"/>
                      <w:divBdr>
                        <w:top w:val="none" w:sz="0" w:space="0" w:color="auto"/>
                        <w:left w:val="none" w:sz="0" w:space="0" w:color="auto"/>
                        <w:bottom w:val="none" w:sz="0" w:space="0" w:color="auto"/>
                        <w:right w:val="none" w:sz="0" w:space="0" w:color="auto"/>
                      </w:divBdr>
                      <w:divsChild>
                        <w:div w:id="2101171021">
                          <w:marLeft w:val="0"/>
                          <w:marRight w:val="0"/>
                          <w:marTop w:val="300"/>
                          <w:marBottom w:val="0"/>
                          <w:divBdr>
                            <w:top w:val="none" w:sz="0" w:space="0" w:color="auto"/>
                            <w:left w:val="none" w:sz="0" w:space="0" w:color="auto"/>
                            <w:bottom w:val="none" w:sz="0" w:space="0" w:color="auto"/>
                            <w:right w:val="none" w:sz="0" w:space="0" w:color="auto"/>
                          </w:divBdr>
                          <w:divsChild>
                            <w:div w:id="172453400">
                              <w:marLeft w:val="0"/>
                              <w:marRight w:val="0"/>
                              <w:marTop w:val="0"/>
                              <w:marBottom w:val="0"/>
                              <w:divBdr>
                                <w:top w:val="none" w:sz="0" w:space="0" w:color="auto"/>
                                <w:left w:val="none" w:sz="0" w:space="0" w:color="auto"/>
                                <w:bottom w:val="none" w:sz="0" w:space="0" w:color="auto"/>
                                <w:right w:val="none" w:sz="0" w:space="0" w:color="auto"/>
                              </w:divBdr>
                              <w:divsChild>
                                <w:div w:id="467481113">
                                  <w:marLeft w:val="0"/>
                                  <w:marRight w:val="0"/>
                                  <w:marTop w:val="0"/>
                                  <w:marBottom w:val="0"/>
                                  <w:divBdr>
                                    <w:top w:val="none" w:sz="0" w:space="0" w:color="auto"/>
                                    <w:left w:val="none" w:sz="0" w:space="0" w:color="auto"/>
                                    <w:bottom w:val="none" w:sz="0" w:space="0" w:color="auto"/>
                                    <w:right w:val="none" w:sz="0" w:space="0" w:color="auto"/>
                                  </w:divBdr>
                                </w:div>
                              </w:divsChild>
                            </w:div>
                            <w:div w:id="1200166646">
                              <w:marLeft w:val="0"/>
                              <w:marRight w:val="0"/>
                              <w:marTop w:val="0"/>
                              <w:marBottom w:val="0"/>
                              <w:divBdr>
                                <w:top w:val="none" w:sz="0" w:space="0" w:color="auto"/>
                                <w:left w:val="none" w:sz="0" w:space="0" w:color="auto"/>
                                <w:bottom w:val="none" w:sz="0" w:space="0" w:color="auto"/>
                                <w:right w:val="none" w:sz="0" w:space="0" w:color="auto"/>
                              </w:divBdr>
                            </w:div>
                            <w:div w:id="1263106072">
                              <w:marLeft w:val="0"/>
                              <w:marRight w:val="0"/>
                              <w:marTop w:val="0"/>
                              <w:marBottom w:val="0"/>
                              <w:divBdr>
                                <w:top w:val="none" w:sz="0" w:space="0" w:color="auto"/>
                                <w:left w:val="none" w:sz="0" w:space="0" w:color="auto"/>
                                <w:bottom w:val="none" w:sz="0" w:space="0" w:color="auto"/>
                                <w:right w:val="none" w:sz="0" w:space="0" w:color="auto"/>
                              </w:divBdr>
                              <w:divsChild>
                                <w:div w:id="1097020765">
                                  <w:marLeft w:val="0"/>
                                  <w:marRight w:val="0"/>
                                  <w:marTop w:val="0"/>
                                  <w:marBottom w:val="0"/>
                                  <w:divBdr>
                                    <w:top w:val="none" w:sz="0" w:space="0" w:color="auto"/>
                                    <w:left w:val="none" w:sz="0" w:space="0" w:color="auto"/>
                                    <w:bottom w:val="none" w:sz="0" w:space="0" w:color="auto"/>
                                    <w:right w:val="none" w:sz="0" w:space="0" w:color="auto"/>
                                  </w:divBdr>
                                </w:div>
                              </w:divsChild>
                            </w:div>
                            <w:div w:id="1898785045">
                              <w:marLeft w:val="0"/>
                              <w:marRight w:val="0"/>
                              <w:marTop w:val="0"/>
                              <w:marBottom w:val="0"/>
                              <w:divBdr>
                                <w:top w:val="none" w:sz="0" w:space="0" w:color="auto"/>
                                <w:left w:val="none" w:sz="0" w:space="0" w:color="auto"/>
                                <w:bottom w:val="none" w:sz="0" w:space="0" w:color="auto"/>
                                <w:right w:val="none" w:sz="0" w:space="0" w:color="auto"/>
                              </w:divBdr>
                              <w:divsChild>
                                <w:div w:id="1306620635">
                                  <w:marLeft w:val="0"/>
                                  <w:marRight w:val="0"/>
                                  <w:marTop w:val="0"/>
                                  <w:marBottom w:val="0"/>
                                  <w:divBdr>
                                    <w:top w:val="none" w:sz="0" w:space="0" w:color="auto"/>
                                    <w:left w:val="none" w:sz="0" w:space="0" w:color="auto"/>
                                    <w:bottom w:val="none" w:sz="0" w:space="0" w:color="auto"/>
                                    <w:right w:val="none" w:sz="0" w:space="0" w:color="auto"/>
                                  </w:divBdr>
                                </w:div>
                              </w:divsChild>
                            </w:div>
                            <w:div w:id="2143187120">
                              <w:marLeft w:val="0"/>
                              <w:marRight w:val="0"/>
                              <w:marTop w:val="0"/>
                              <w:marBottom w:val="0"/>
                              <w:divBdr>
                                <w:top w:val="none" w:sz="0" w:space="0" w:color="auto"/>
                                <w:left w:val="none" w:sz="0" w:space="0" w:color="auto"/>
                                <w:bottom w:val="none" w:sz="0" w:space="0" w:color="auto"/>
                                <w:right w:val="none" w:sz="0" w:space="0" w:color="auto"/>
                              </w:divBdr>
                              <w:divsChild>
                                <w:div w:id="11437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4639870">
      <w:bodyDiv w:val="1"/>
      <w:marLeft w:val="0"/>
      <w:marRight w:val="0"/>
      <w:marTop w:val="0"/>
      <w:marBottom w:val="0"/>
      <w:divBdr>
        <w:top w:val="none" w:sz="0" w:space="0" w:color="auto"/>
        <w:left w:val="none" w:sz="0" w:space="0" w:color="auto"/>
        <w:bottom w:val="none" w:sz="0" w:space="0" w:color="auto"/>
        <w:right w:val="none" w:sz="0" w:space="0" w:color="auto"/>
      </w:divBdr>
    </w:div>
    <w:div w:id="2136215640">
      <w:bodyDiv w:val="1"/>
      <w:marLeft w:val="0"/>
      <w:marRight w:val="0"/>
      <w:marTop w:val="0"/>
      <w:marBottom w:val="0"/>
      <w:divBdr>
        <w:top w:val="none" w:sz="0" w:space="0" w:color="auto"/>
        <w:left w:val="none" w:sz="0" w:space="0" w:color="auto"/>
        <w:bottom w:val="none" w:sz="0" w:space="0" w:color="auto"/>
        <w:right w:val="none" w:sz="0" w:space="0" w:color="auto"/>
      </w:divBdr>
      <w:divsChild>
        <w:div w:id="1032192991">
          <w:marLeft w:val="0"/>
          <w:marRight w:val="0"/>
          <w:marTop w:val="0"/>
          <w:marBottom w:val="0"/>
          <w:divBdr>
            <w:top w:val="none" w:sz="0" w:space="0" w:color="auto"/>
            <w:left w:val="none" w:sz="0" w:space="0" w:color="auto"/>
            <w:bottom w:val="none" w:sz="0" w:space="0" w:color="auto"/>
            <w:right w:val="none" w:sz="0" w:space="0" w:color="auto"/>
          </w:divBdr>
          <w:divsChild>
            <w:div w:id="1733459455">
              <w:marLeft w:val="0"/>
              <w:marRight w:val="0"/>
              <w:marTop w:val="0"/>
              <w:marBottom w:val="0"/>
              <w:divBdr>
                <w:top w:val="none" w:sz="0" w:space="0" w:color="auto"/>
                <w:left w:val="none" w:sz="0" w:space="0" w:color="auto"/>
                <w:bottom w:val="none" w:sz="0" w:space="0" w:color="auto"/>
                <w:right w:val="none" w:sz="0" w:space="0" w:color="auto"/>
              </w:divBdr>
              <w:divsChild>
                <w:div w:id="1580746539">
                  <w:marLeft w:val="0"/>
                  <w:marRight w:val="0"/>
                  <w:marTop w:val="0"/>
                  <w:marBottom w:val="0"/>
                  <w:divBdr>
                    <w:top w:val="none" w:sz="0" w:space="0" w:color="auto"/>
                    <w:left w:val="none" w:sz="0" w:space="0" w:color="auto"/>
                    <w:bottom w:val="none" w:sz="0" w:space="0" w:color="auto"/>
                    <w:right w:val="none" w:sz="0" w:space="0" w:color="auto"/>
                  </w:divBdr>
                  <w:divsChild>
                    <w:div w:id="492524302">
                      <w:marLeft w:val="0"/>
                      <w:marRight w:val="0"/>
                      <w:marTop w:val="0"/>
                      <w:marBottom w:val="0"/>
                      <w:divBdr>
                        <w:top w:val="none" w:sz="0" w:space="0" w:color="auto"/>
                        <w:left w:val="none" w:sz="0" w:space="0" w:color="auto"/>
                        <w:bottom w:val="none" w:sz="0" w:space="0" w:color="auto"/>
                        <w:right w:val="none" w:sz="0" w:space="0" w:color="auto"/>
                      </w:divBdr>
                      <w:divsChild>
                        <w:div w:id="1478452986">
                          <w:marLeft w:val="0"/>
                          <w:marRight w:val="0"/>
                          <w:marTop w:val="300"/>
                          <w:marBottom w:val="0"/>
                          <w:divBdr>
                            <w:top w:val="none" w:sz="0" w:space="0" w:color="auto"/>
                            <w:left w:val="none" w:sz="0" w:space="0" w:color="auto"/>
                            <w:bottom w:val="none" w:sz="0" w:space="0" w:color="auto"/>
                            <w:right w:val="none" w:sz="0" w:space="0" w:color="auto"/>
                          </w:divBdr>
                          <w:divsChild>
                            <w:div w:id="200608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6289482">
      <w:bodyDiv w:val="1"/>
      <w:marLeft w:val="0"/>
      <w:marRight w:val="0"/>
      <w:marTop w:val="0"/>
      <w:marBottom w:val="0"/>
      <w:divBdr>
        <w:top w:val="none" w:sz="0" w:space="0" w:color="auto"/>
        <w:left w:val="none" w:sz="0" w:space="0" w:color="auto"/>
        <w:bottom w:val="none" w:sz="0" w:space="0" w:color="auto"/>
        <w:right w:val="none" w:sz="0" w:space="0" w:color="auto"/>
      </w:divBdr>
    </w:div>
    <w:div w:id="2136410537">
      <w:bodyDiv w:val="1"/>
      <w:marLeft w:val="0"/>
      <w:marRight w:val="0"/>
      <w:marTop w:val="0"/>
      <w:marBottom w:val="0"/>
      <w:divBdr>
        <w:top w:val="none" w:sz="0" w:space="0" w:color="auto"/>
        <w:left w:val="none" w:sz="0" w:space="0" w:color="auto"/>
        <w:bottom w:val="none" w:sz="0" w:space="0" w:color="auto"/>
        <w:right w:val="none" w:sz="0" w:space="0" w:color="auto"/>
      </w:divBdr>
    </w:div>
    <w:div w:id="2142192586">
      <w:bodyDiv w:val="1"/>
      <w:marLeft w:val="0"/>
      <w:marRight w:val="0"/>
      <w:marTop w:val="0"/>
      <w:marBottom w:val="0"/>
      <w:divBdr>
        <w:top w:val="none" w:sz="0" w:space="0" w:color="auto"/>
        <w:left w:val="none" w:sz="0" w:space="0" w:color="auto"/>
        <w:bottom w:val="none" w:sz="0" w:space="0" w:color="auto"/>
        <w:right w:val="none" w:sz="0" w:space="0" w:color="auto"/>
      </w:divBdr>
      <w:divsChild>
        <w:div w:id="1245139580">
          <w:marLeft w:val="0"/>
          <w:marRight w:val="0"/>
          <w:marTop w:val="0"/>
          <w:marBottom w:val="0"/>
          <w:divBdr>
            <w:top w:val="none" w:sz="0" w:space="0" w:color="auto"/>
            <w:left w:val="none" w:sz="0" w:space="0" w:color="auto"/>
            <w:bottom w:val="none" w:sz="0" w:space="0" w:color="auto"/>
            <w:right w:val="none" w:sz="0" w:space="0" w:color="auto"/>
          </w:divBdr>
          <w:divsChild>
            <w:div w:id="976030572">
              <w:marLeft w:val="0"/>
              <w:marRight w:val="0"/>
              <w:marTop w:val="0"/>
              <w:marBottom w:val="0"/>
              <w:divBdr>
                <w:top w:val="none" w:sz="0" w:space="0" w:color="auto"/>
                <w:left w:val="none" w:sz="0" w:space="0" w:color="auto"/>
                <w:bottom w:val="none" w:sz="0" w:space="0" w:color="auto"/>
                <w:right w:val="none" w:sz="0" w:space="0" w:color="auto"/>
              </w:divBdr>
              <w:divsChild>
                <w:div w:id="878668415">
                  <w:marLeft w:val="0"/>
                  <w:marRight w:val="0"/>
                  <w:marTop w:val="0"/>
                  <w:marBottom w:val="0"/>
                  <w:divBdr>
                    <w:top w:val="none" w:sz="0" w:space="0" w:color="auto"/>
                    <w:left w:val="none" w:sz="0" w:space="0" w:color="auto"/>
                    <w:bottom w:val="none" w:sz="0" w:space="0" w:color="auto"/>
                    <w:right w:val="none" w:sz="0" w:space="0" w:color="auto"/>
                  </w:divBdr>
                  <w:divsChild>
                    <w:div w:id="1572304078">
                      <w:marLeft w:val="0"/>
                      <w:marRight w:val="0"/>
                      <w:marTop w:val="0"/>
                      <w:marBottom w:val="0"/>
                      <w:divBdr>
                        <w:top w:val="none" w:sz="0" w:space="0" w:color="auto"/>
                        <w:left w:val="none" w:sz="0" w:space="0" w:color="auto"/>
                        <w:bottom w:val="none" w:sz="0" w:space="0" w:color="auto"/>
                        <w:right w:val="none" w:sz="0" w:space="0" w:color="auto"/>
                      </w:divBdr>
                      <w:divsChild>
                        <w:div w:id="691302004">
                          <w:marLeft w:val="0"/>
                          <w:marRight w:val="0"/>
                          <w:marTop w:val="300"/>
                          <w:marBottom w:val="0"/>
                          <w:divBdr>
                            <w:top w:val="none" w:sz="0" w:space="0" w:color="auto"/>
                            <w:left w:val="none" w:sz="0" w:space="0" w:color="auto"/>
                            <w:bottom w:val="none" w:sz="0" w:space="0" w:color="auto"/>
                            <w:right w:val="none" w:sz="0" w:space="0" w:color="auto"/>
                          </w:divBdr>
                          <w:divsChild>
                            <w:div w:id="124133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4495244">
      <w:bodyDiv w:val="1"/>
      <w:marLeft w:val="0"/>
      <w:marRight w:val="0"/>
      <w:marTop w:val="0"/>
      <w:marBottom w:val="0"/>
      <w:divBdr>
        <w:top w:val="none" w:sz="0" w:space="0" w:color="auto"/>
        <w:left w:val="none" w:sz="0" w:space="0" w:color="auto"/>
        <w:bottom w:val="none" w:sz="0" w:space="0" w:color="auto"/>
        <w:right w:val="none" w:sz="0" w:space="0" w:color="auto"/>
      </w:divBdr>
    </w:div>
    <w:div w:id="214480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ase.gov.lv/parskati-un-tames/latvijas-republikas-gada-parska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ase.gov.lv/metodika/butiskum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se.gov.lv/metodika/butiskum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kase.gov.lv/sites/default/files/public/SSD/PVNLVS/PVNLVS_2018.pdf" TargetMode="External"/></Relationships>
</file>

<file path=word/theme/theme1.xml><?xml version="1.0" encoding="utf-8"?>
<a:theme xmlns:a="http://schemas.openxmlformats.org/drawingml/2006/main" name="Office Theme">
  <a:themeElements>
    <a:clrScheme name="Custom 1">
      <a:dk1>
        <a:srgbClr val="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83329C144DA9A846BB0CECFDE58D00F3" ma:contentTypeVersion="0" ma:contentTypeDescription="Izveidot jaunu dokumentu." ma:contentTypeScope="" ma:versionID="592fe25209eb061037e482297b83987c">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C42EA-1EB6-41D2-8083-E729A445CB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79C0384-56EF-48E9-8CE9-ED7DCEA3B5A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1BD45E9A-BD52-49DF-AC80-2FEF01B2EC1E}">
  <ds:schemaRefs>
    <ds:schemaRef ds:uri="http://schemas.microsoft.com/sharepoint/v3/contenttype/forms"/>
  </ds:schemaRefs>
</ds:datastoreItem>
</file>

<file path=customXml/itemProps4.xml><?xml version="1.0" encoding="utf-8"?>
<ds:datastoreItem xmlns:ds="http://schemas.openxmlformats.org/officeDocument/2006/customXml" ds:itemID="{0B637F93-4C46-4487-BE70-E2C68F1F8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78</Pages>
  <Words>142884</Words>
  <Characters>81444</Characters>
  <Application>Microsoft Office Word</Application>
  <DocSecurity>0</DocSecurity>
  <Lines>678</Lines>
  <Paragraphs>447</Paragraphs>
  <ScaleCrop>false</ScaleCrop>
  <HeadingPairs>
    <vt:vector size="2" baseType="variant">
      <vt:variant>
        <vt:lpstr>Title</vt:lpstr>
      </vt:variant>
      <vt:variant>
        <vt:i4>1</vt:i4>
      </vt:variant>
    </vt:vector>
  </HeadingPairs>
  <TitlesOfParts>
    <vt:vector size="1" baseType="lpstr">
      <vt:lpstr>Latvijas Republikas 2022. gada pārskats par valsts budžeta izpildi un par pašvaldību budžetiem</vt:lpstr>
    </vt:vector>
  </TitlesOfParts>
  <Company>Valsts kase</Company>
  <LinksUpToDate>false</LinksUpToDate>
  <CharactersWithSpaces>223881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2022. gada pārskats par valsts budžeta izpildi un par pašvaldību budžetiem</dc:title>
  <dc:subject>Skaidrojums</dc:subject>
  <dc:creator>Atbildīgā amatpersona: Irēna Šuksta, 67094210, Irena.Suksta@kase.gov.lv</dc:creator>
  <cp:lastModifiedBy>Sandija Krūmiņa</cp:lastModifiedBy>
  <cp:revision>4</cp:revision>
  <cp:lastPrinted>2023-08-15T09:47:00Z</cp:lastPrinted>
  <dcterms:created xsi:type="dcterms:W3CDTF">2023-09-13T15:44:00Z</dcterms:created>
  <dcterms:modified xsi:type="dcterms:W3CDTF">2023-09-14T05:39:00Z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0x01010083329C144DA9A846BB0CECFDE58D00F3</vt:lpwstr>
  </property>
</Properties>
</file>