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theme/themeOverride1.xml" ContentType="application/vnd.openxmlformats-officedocument.themeOverride+xml"/>
  <Override PartName="/word/charts/chart7.xml" ContentType="application/vnd.openxmlformats-officedocument.drawingml.chart+xml"/>
  <Override PartName="/word/theme/themeOverride2.xml" ContentType="application/vnd.openxmlformats-officedocument.themeOverride+xml"/>
  <Override PartName="/word/charts/chart8.xml" ContentType="application/vnd.openxmlformats-officedocument.drawingml.chart+xml"/>
  <Override PartName="/word/theme/themeOverride3.xml" ContentType="application/vnd.openxmlformats-officedocument.themeOverride+xml"/>
  <Override PartName="/word/charts/chart9.xml" ContentType="application/vnd.openxmlformats-officedocument.drawingml.chart+xml"/>
  <Override PartName="/word/theme/themeOverride4.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34CC3" w14:textId="77777777" w:rsidR="00A2789A" w:rsidRPr="00FC4A34" w:rsidRDefault="00A2789A" w:rsidP="00A2789A">
      <w:pPr>
        <w:pStyle w:val="Title"/>
        <w:rPr>
          <w:noProof w:val="0"/>
          <w:color w:val="17365D"/>
        </w:rPr>
      </w:pPr>
      <w:r w:rsidRPr="00FC4A34">
        <w:rPr>
          <w:noProof w:val="0"/>
          <w:color w:val="17365D"/>
        </w:rPr>
        <w:t>Skaidrojums pārskatam par valsts konsolidēto parādu</w:t>
      </w:r>
    </w:p>
    <w:p w14:paraId="5724C528" w14:textId="77777777" w:rsidR="00A2789A" w:rsidRPr="00FC4A34" w:rsidRDefault="00A2789A" w:rsidP="00A2789A">
      <w:pPr>
        <w:pStyle w:val="Heading1"/>
        <w:rPr>
          <w:noProof w:val="0"/>
          <w:color w:val="17365D"/>
        </w:rPr>
      </w:pPr>
      <w:r w:rsidRPr="00FC4A34">
        <w:rPr>
          <w:noProof w:val="0"/>
          <w:color w:val="17365D"/>
        </w:rPr>
        <w:t>Vispārīgie principi</w:t>
      </w:r>
    </w:p>
    <w:p w14:paraId="38AC7416" w14:textId="77777777" w:rsidR="00A2789A" w:rsidRPr="00FC4A34" w:rsidRDefault="00A2789A" w:rsidP="00A2789A">
      <w:pPr>
        <w:pStyle w:val="Heading2"/>
        <w:rPr>
          <w:noProof w:val="0"/>
          <w:color w:val="17365D"/>
        </w:rPr>
      </w:pPr>
      <w:r w:rsidRPr="00FC4A34">
        <w:rPr>
          <w:noProof w:val="0"/>
          <w:color w:val="17365D"/>
        </w:rPr>
        <w:t>Pārskata un tā pielikumu pamatnostādnes</w:t>
      </w:r>
    </w:p>
    <w:p w14:paraId="4AEE40B1" w14:textId="1C88A284" w:rsidR="00A2789A" w:rsidRPr="00FC4A34" w:rsidRDefault="00A2789A" w:rsidP="00A2789A">
      <w:pPr>
        <w:pStyle w:val="Pamatteksts"/>
        <w:rPr>
          <w:noProof w:val="0"/>
          <w:color w:val="17365D"/>
        </w:rPr>
      </w:pPr>
      <w:r w:rsidRPr="00FC4A34">
        <w:rPr>
          <w:noProof w:val="0"/>
          <w:color w:val="17365D"/>
        </w:rPr>
        <w:t xml:space="preserve">Pārskats par valsts konsolidēto parādu un tā pielikumi sagatavoti atbilstoši likumam “Par budžetu un finanšu vadību” un Ministru kabineta </w:t>
      </w:r>
      <w:r w:rsidR="004F273C" w:rsidRPr="00FC4A34">
        <w:rPr>
          <w:noProof w:val="0"/>
          <w:color w:val="17365D"/>
        </w:rPr>
        <w:t>2020.</w:t>
      </w:r>
      <w:r w:rsidR="0065571F" w:rsidRPr="00FC4A34">
        <w:rPr>
          <w:noProof w:val="0"/>
          <w:color w:val="17365D"/>
        </w:rPr>
        <w:t xml:space="preserve"> g</w:t>
      </w:r>
      <w:r w:rsidRPr="00FC4A34">
        <w:rPr>
          <w:noProof w:val="0"/>
          <w:color w:val="17365D"/>
        </w:rPr>
        <w:t xml:space="preserve">ada </w:t>
      </w:r>
      <w:r w:rsidR="0019545B" w:rsidRPr="00FC4A34">
        <w:rPr>
          <w:noProof w:val="0"/>
          <w:color w:val="17365D"/>
        </w:rPr>
        <w:t>30</w:t>
      </w:r>
      <w:r w:rsidRPr="00FC4A34">
        <w:rPr>
          <w:noProof w:val="0"/>
          <w:color w:val="17365D"/>
        </w:rPr>
        <w:t>. </w:t>
      </w:r>
      <w:r w:rsidR="0019545B" w:rsidRPr="00FC4A34">
        <w:rPr>
          <w:noProof w:val="0"/>
          <w:color w:val="17365D"/>
        </w:rPr>
        <w:t>jūnija</w:t>
      </w:r>
      <w:r w:rsidRPr="00FC4A34">
        <w:rPr>
          <w:noProof w:val="0"/>
          <w:color w:val="17365D"/>
        </w:rPr>
        <w:t xml:space="preserve"> noteikumiem Nr. </w:t>
      </w:r>
      <w:r w:rsidR="0019545B" w:rsidRPr="00FC4A34">
        <w:rPr>
          <w:noProof w:val="0"/>
          <w:color w:val="17365D"/>
        </w:rPr>
        <w:t>430</w:t>
      </w:r>
      <w:r w:rsidRPr="00FC4A34">
        <w:rPr>
          <w:noProof w:val="0"/>
          <w:color w:val="17365D"/>
        </w:rPr>
        <w:t xml:space="preserve"> “Saimnieciskā gada pārskata sagatavošanas kārtība”. Pārskatā par valsts konsolidēto parādu </w:t>
      </w:r>
      <w:r w:rsidR="004F273C" w:rsidRPr="00FC4A34">
        <w:rPr>
          <w:noProof w:val="0"/>
          <w:color w:val="17365D"/>
        </w:rPr>
        <w:t>2022.</w:t>
      </w:r>
      <w:r w:rsidR="002437F1" w:rsidRPr="00FC4A34">
        <w:rPr>
          <w:noProof w:val="0"/>
          <w:color w:val="17365D"/>
        </w:rPr>
        <w:t> </w:t>
      </w:r>
      <w:r w:rsidR="0065571F" w:rsidRPr="00FC4A34">
        <w:rPr>
          <w:noProof w:val="0"/>
          <w:color w:val="17365D"/>
        </w:rPr>
        <w:t>g</w:t>
      </w:r>
      <w:r w:rsidRPr="00FC4A34">
        <w:rPr>
          <w:noProof w:val="0"/>
          <w:color w:val="17365D"/>
        </w:rPr>
        <w:t>ada 31. decembrī norāda informāciju par konsolidēto valsts un pašvaldību parādu uzskaites vērtībā un nominālvērtībā.</w:t>
      </w:r>
    </w:p>
    <w:p w14:paraId="313491D4" w14:textId="77777777" w:rsidR="00A2789A" w:rsidRPr="00FC4A34" w:rsidRDefault="00A2789A" w:rsidP="00A2789A">
      <w:pPr>
        <w:pStyle w:val="Pamatteksts"/>
        <w:rPr>
          <w:noProof w:val="0"/>
          <w:color w:val="17365D"/>
        </w:rPr>
      </w:pPr>
      <w:r w:rsidRPr="00FC4A34">
        <w:rPr>
          <w:b/>
          <w:noProof w:val="0"/>
          <w:color w:val="17365D"/>
        </w:rPr>
        <w:t>Valsts parādu</w:t>
      </w:r>
      <w:r w:rsidRPr="00FC4A34">
        <w:rPr>
          <w:noProof w:val="0"/>
          <w:color w:val="17365D"/>
        </w:rPr>
        <w:t xml:space="preserve"> veido valsts struktūru parāds (aizņēmumi, līzingi, emitētie vērtspapīri,</w:t>
      </w:r>
      <w:r w:rsidR="00E81AEC" w:rsidRPr="00FC4A34">
        <w:rPr>
          <w:noProof w:val="0"/>
          <w:color w:val="17365D"/>
        </w:rPr>
        <w:t xml:space="preserve"> bezprocentu obligācijas,</w:t>
      </w:r>
      <w:r w:rsidRPr="00FC4A34">
        <w:rPr>
          <w:noProof w:val="0"/>
          <w:color w:val="17365D"/>
        </w:rPr>
        <w:t xml:space="preserve"> pieņemtie pieprasījuma noguldījumi un termiņnoguldījumi, t.sk. </w:t>
      </w:r>
      <w:proofErr w:type="spellStart"/>
      <w:r w:rsidRPr="00FC4A34">
        <w:rPr>
          <w:noProof w:val="0"/>
          <w:color w:val="17365D"/>
        </w:rPr>
        <w:t>krājobligācijas</w:t>
      </w:r>
      <w:proofErr w:type="spellEnd"/>
      <w:r w:rsidR="00D152D3" w:rsidRPr="00FC4A34">
        <w:rPr>
          <w:noProof w:val="0"/>
          <w:color w:val="17365D"/>
        </w:rPr>
        <w:t>,</w:t>
      </w:r>
      <w:r w:rsidRPr="00FC4A34">
        <w:rPr>
          <w:noProof w:val="0"/>
          <w:color w:val="17365D"/>
        </w:rPr>
        <w:t xml:space="preserve"> un kredītlīniju/</w:t>
      </w:r>
      <w:proofErr w:type="spellStart"/>
      <w:r w:rsidRPr="00FC4A34">
        <w:rPr>
          <w:noProof w:val="0"/>
          <w:color w:val="17365D"/>
        </w:rPr>
        <w:t>overdraftu</w:t>
      </w:r>
      <w:proofErr w:type="spellEnd"/>
      <w:r w:rsidRPr="00FC4A34">
        <w:rPr>
          <w:noProof w:val="0"/>
          <w:color w:val="17365D"/>
        </w:rPr>
        <w:t xml:space="preserve"> neatmaksātie finanšu līdzekļi), konsolidēšanas procesā izslēdzot savstarpējos atlikumus.</w:t>
      </w:r>
      <w:r w:rsidR="0082407C" w:rsidRPr="00FC4A34">
        <w:rPr>
          <w:b/>
          <w:color w:val="17365D"/>
        </w:rPr>
        <w:t xml:space="preserve"> </w:t>
      </w:r>
    </w:p>
    <w:p w14:paraId="48CB4F73" w14:textId="77777777" w:rsidR="00A2789A" w:rsidRPr="00FC4A34" w:rsidRDefault="00A2789A" w:rsidP="00A2789A">
      <w:pPr>
        <w:pStyle w:val="Pamatteksts"/>
        <w:rPr>
          <w:noProof w:val="0"/>
          <w:color w:val="17365D"/>
        </w:rPr>
      </w:pPr>
      <w:r w:rsidRPr="00FC4A34">
        <w:rPr>
          <w:b/>
          <w:noProof w:val="0"/>
          <w:color w:val="17365D"/>
        </w:rPr>
        <w:t>Pašvaldību parādu</w:t>
      </w:r>
      <w:r w:rsidRPr="00FC4A34">
        <w:rPr>
          <w:noProof w:val="0"/>
          <w:color w:val="17365D"/>
        </w:rPr>
        <w:t xml:space="preserve"> veido pašvaldību struktūru parāds (aizņēmumi, līz</w:t>
      </w:r>
      <w:r w:rsidR="00AB33BF" w:rsidRPr="00FC4A34">
        <w:rPr>
          <w:noProof w:val="0"/>
          <w:color w:val="17365D"/>
        </w:rPr>
        <w:t>ingi</w:t>
      </w:r>
      <w:r w:rsidRPr="00FC4A34">
        <w:rPr>
          <w:noProof w:val="0"/>
          <w:color w:val="17365D"/>
        </w:rPr>
        <w:t xml:space="preserve"> un kredītlīniju/</w:t>
      </w:r>
      <w:proofErr w:type="spellStart"/>
      <w:r w:rsidRPr="00FC4A34">
        <w:rPr>
          <w:noProof w:val="0"/>
          <w:color w:val="17365D"/>
        </w:rPr>
        <w:t>overdraftu</w:t>
      </w:r>
      <w:proofErr w:type="spellEnd"/>
      <w:r w:rsidRPr="00FC4A34">
        <w:rPr>
          <w:noProof w:val="0"/>
          <w:color w:val="17365D"/>
        </w:rPr>
        <w:t xml:space="preserve"> neatmaksātie finanšu līdzekļi).</w:t>
      </w:r>
    </w:p>
    <w:p w14:paraId="3AB3DC06" w14:textId="77777777" w:rsidR="00A2789A" w:rsidRPr="00FC4A34" w:rsidRDefault="00A2789A" w:rsidP="00A2789A">
      <w:pPr>
        <w:pStyle w:val="Pamatteksts"/>
        <w:rPr>
          <w:noProof w:val="0"/>
          <w:color w:val="17365D"/>
        </w:rPr>
      </w:pPr>
      <w:r w:rsidRPr="00FC4A34">
        <w:rPr>
          <w:b/>
          <w:noProof w:val="0"/>
          <w:color w:val="17365D"/>
        </w:rPr>
        <w:t>Valsts konsolidēto parādu</w:t>
      </w:r>
      <w:r w:rsidRPr="00FC4A34">
        <w:rPr>
          <w:noProof w:val="0"/>
          <w:color w:val="17365D"/>
        </w:rPr>
        <w:t xml:space="preserve"> veido valsts parāds un pašvaldību parāds, no kura konsolidēšanas procesā izslēgti savstarpējie atlikumi.</w:t>
      </w:r>
    </w:p>
    <w:p w14:paraId="210CA594" w14:textId="77777777" w:rsidR="00A2789A" w:rsidRPr="00FC4A34" w:rsidRDefault="00A2789A" w:rsidP="00A2789A">
      <w:pPr>
        <w:pStyle w:val="Heading2"/>
        <w:rPr>
          <w:noProof w:val="0"/>
          <w:color w:val="17365D"/>
        </w:rPr>
      </w:pPr>
      <w:r w:rsidRPr="00FC4A34">
        <w:rPr>
          <w:noProof w:val="0"/>
          <w:color w:val="17365D"/>
        </w:rPr>
        <w:t>Konsolidācijas principi</w:t>
      </w:r>
    </w:p>
    <w:p w14:paraId="7D38D89B" w14:textId="77777777" w:rsidR="00A2789A" w:rsidRPr="00FC4A34" w:rsidRDefault="00A2789A" w:rsidP="00A2789A">
      <w:pPr>
        <w:pStyle w:val="Pamatteksts"/>
        <w:rPr>
          <w:noProof w:val="0"/>
          <w:color w:val="17365D"/>
        </w:rPr>
      </w:pPr>
      <w:r w:rsidRPr="00FC4A34">
        <w:rPr>
          <w:noProof w:val="0"/>
          <w:color w:val="17365D"/>
        </w:rPr>
        <w:t xml:space="preserve">Sagatavojot pārskatu par valsts konsolidēto parādu, veikta valsts un pašvaldību parāda konsolidēšana, izslēdzot valsts un pašvaldību </w:t>
      </w:r>
      <w:r w:rsidR="0056570F" w:rsidRPr="00FC4A34">
        <w:rPr>
          <w:noProof w:val="0"/>
          <w:color w:val="17365D"/>
        </w:rPr>
        <w:t xml:space="preserve">parāda pozīciju </w:t>
      </w:r>
      <w:r w:rsidRPr="00FC4A34">
        <w:rPr>
          <w:noProof w:val="0"/>
          <w:color w:val="17365D"/>
        </w:rPr>
        <w:t>savstarpējos atlikumus</w:t>
      </w:r>
      <w:r w:rsidR="00C36301" w:rsidRPr="00FC4A34">
        <w:rPr>
          <w:noProof w:val="0"/>
          <w:color w:val="17365D"/>
        </w:rPr>
        <w:t>.</w:t>
      </w:r>
    </w:p>
    <w:p w14:paraId="08DABB35" w14:textId="77777777" w:rsidR="00A2789A" w:rsidRPr="00FC4A34" w:rsidRDefault="00A2789A" w:rsidP="00A2789A">
      <w:pPr>
        <w:pStyle w:val="Heading2"/>
        <w:rPr>
          <w:noProof w:val="0"/>
          <w:color w:val="17365D"/>
        </w:rPr>
      </w:pPr>
      <w:r w:rsidRPr="00FC4A34">
        <w:rPr>
          <w:noProof w:val="0"/>
          <w:color w:val="17365D"/>
        </w:rPr>
        <w:t>Ārvalstu valūtu pārvērtēšana</w:t>
      </w:r>
    </w:p>
    <w:p w14:paraId="4A4C8E56" w14:textId="77777777" w:rsidR="003D08A5" w:rsidRPr="00FC4A34" w:rsidRDefault="00C5321E" w:rsidP="00A2789A">
      <w:pPr>
        <w:pStyle w:val="Pamatteksts"/>
        <w:rPr>
          <w:noProof w:val="0"/>
          <w:color w:val="17365D"/>
        </w:rPr>
      </w:pPr>
      <w:r w:rsidRPr="00FC4A34">
        <w:rPr>
          <w:noProof w:val="0"/>
          <w:color w:val="17365D"/>
        </w:rPr>
        <w:t>Pamatprincipu skaidrojums sniegts valsts konsolidētās grāmatvedības bilances sadaļā “Ārvalstu valūtu pārvērtēšana”.</w:t>
      </w:r>
    </w:p>
    <w:p w14:paraId="75FD47EA" w14:textId="77777777" w:rsidR="0013604C" w:rsidRPr="00FC4A34" w:rsidRDefault="0013604C" w:rsidP="0013604C">
      <w:pPr>
        <w:pStyle w:val="Heading1"/>
        <w:rPr>
          <w:noProof w:val="0"/>
          <w:color w:val="17365D"/>
        </w:rPr>
      </w:pPr>
      <w:r w:rsidRPr="00FC4A34">
        <w:rPr>
          <w:noProof w:val="0"/>
          <w:color w:val="17365D"/>
        </w:rPr>
        <w:t>Valsts konsolidētais parāds</w:t>
      </w:r>
    </w:p>
    <w:p w14:paraId="10BCD193" w14:textId="549243DE" w:rsidR="00421107" w:rsidRPr="00FC4A34" w:rsidRDefault="00276960" w:rsidP="00421107">
      <w:pPr>
        <w:pStyle w:val="Pamatteksts"/>
        <w:rPr>
          <w:noProof w:val="0"/>
          <w:color w:val="17365D"/>
        </w:rPr>
      </w:pPr>
      <w:r w:rsidRPr="00FC4A34">
        <w:rPr>
          <w:b/>
          <w:color w:val="17365D"/>
        </w:rPr>
        <mc:AlternateContent>
          <mc:Choice Requires="wps">
            <w:drawing>
              <wp:anchor distT="0" distB="0" distL="114300" distR="114300" simplePos="0" relativeHeight="251700224" behindDoc="0" locked="0" layoutInCell="1" allowOverlap="1" wp14:anchorId="665072C1" wp14:editId="69185607">
                <wp:simplePos x="0" y="0"/>
                <wp:positionH relativeFrom="column">
                  <wp:posOffset>4265930</wp:posOffset>
                </wp:positionH>
                <wp:positionV relativeFrom="paragraph">
                  <wp:posOffset>9525</wp:posOffset>
                </wp:positionV>
                <wp:extent cx="1681200" cy="1029600"/>
                <wp:effectExtent l="0" t="0" r="14605" b="18415"/>
                <wp:wrapSquare wrapText="bothSides"/>
                <wp:docPr id="24" name="Rectangle 24"/>
                <wp:cNvGraphicFramePr/>
                <a:graphic xmlns:a="http://schemas.openxmlformats.org/drawingml/2006/main">
                  <a:graphicData uri="http://schemas.microsoft.com/office/word/2010/wordprocessingShape">
                    <wps:wsp>
                      <wps:cNvSpPr/>
                      <wps:spPr>
                        <a:xfrm>
                          <a:off x="0" y="0"/>
                          <a:ext cx="1681200" cy="1029600"/>
                        </a:xfrm>
                        <a:prstGeom prst="rect">
                          <a:avLst/>
                        </a:prstGeom>
                        <a:solidFill>
                          <a:sysClr val="window" lastClr="FFFFFF"/>
                        </a:solidFill>
                        <a:ln w="25400" cap="flat" cmpd="sng" algn="ctr">
                          <a:solidFill>
                            <a:srgbClr val="17375E"/>
                          </a:solidFill>
                          <a:prstDash val="sysDot"/>
                        </a:ln>
                        <a:effectLst/>
                      </wps:spPr>
                      <wps:txbx>
                        <w:txbxContent>
                          <w:p w14:paraId="4CFAA972" w14:textId="77777777" w:rsidR="00C50725" w:rsidRDefault="00C50725" w:rsidP="004935DC">
                            <w:pPr>
                              <w:spacing w:after="0"/>
                              <w:ind w:firstLine="0"/>
                              <w:jc w:val="center"/>
                              <w:rPr>
                                <w:color w:val="17375E"/>
                              </w:rPr>
                            </w:pPr>
                            <w:r>
                              <w:rPr>
                                <w:color w:val="17375E"/>
                              </w:rPr>
                              <w:t xml:space="preserve">Valsts konsolidētais parāds </w:t>
                            </w:r>
                            <w:r w:rsidRPr="0036074F">
                              <w:rPr>
                                <w:i/>
                                <w:color w:val="17375E"/>
                              </w:rPr>
                              <w:t>uzskaites vērtībā</w:t>
                            </w:r>
                            <w:r>
                              <w:rPr>
                                <w:i/>
                                <w:color w:val="17375E"/>
                              </w:rPr>
                              <w:t> </w:t>
                            </w:r>
                            <w:r>
                              <w:rPr>
                                <w:color w:val="17375E"/>
                              </w:rPr>
                              <w:t xml:space="preserve">– </w:t>
                            </w:r>
                          </w:p>
                          <w:p w14:paraId="47434950" w14:textId="4CC9C942" w:rsidR="00C50725" w:rsidRPr="00554158" w:rsidRDefault="00C50725" w:rsidP="004935DC">
                            <w:pPr>
                              <w:spacing w:after="0"/>
                              <w:ind w:firstLine="0"/>
                              <w:jc w:val="center"/>
                              <w:rPr>
                                <w:color w:val="17375E"/>
                              </w:rPr>
                            </w:pPr>
                            <w:r w:rsidRPr="00FC4A34">
                              <w:rPr>
                                <w:b/>
                                <w:color w:val="17375E"/>
                              </w:rPr>
                              <w:t>1</w:t>
                            </w:r>
                            <w:r w:rsidR="00D93292" w:rsidRPr="00FC4A34">
                              <w:rPr>
                                <w:b/>
                                <w:color w:val="17375E"/>
                              </w:rPr>
                              <w:t>6</w:t>
                            </w:r>
                            <w:r w:rsidRPr="00FC4A34">
                              <w:rPr>
                                <w:b/>
                                <w:color w:val="17375E"/>
                              </w:rPr>
                              <w:t> </w:t>
                            </w:r>
                            <w:r w:rsidR="00D93292" w:rsidRPr="00FC4A34">
                              <w:rPr>
                                <w:b/>
                                <w:color w:val="17375E"/>
                              </w:rPr>
                              <w:t>625</w:t>
                            </w:r>
                            <w:r w:rsidRPr="00FC4A34">
                              <w:rPr>
                                <w:b/>
                                <w:color w:val="17375E"/>
                              </w:rPr>
                              <w:t>,</w:t>
                            </w:r>
                            <w:r w:rsidR="00D93292" w:rsidRPr="00FC4A34">
                              <w:rPr>
                                <w:b/>
                                <w:color w:val="17375E"/>
                              </w:rPr>
                              <w:t>6</w:t>
                            </w:r>
                            <w:r w:rsidRPr="00ED3CBE">
                              <w:rPr>
                                <w:color w:val="17375E"/>
                              </w:rPr>
                              <w:t xml:space="preserve"> milj</w:t>
                            </w:r>
                            <w:r>
                              <w:rPr>
                                <w:color w:val="17375E"/>
                              </w:rPr>
                              <w:t xml:space="preserve">. </w:t>
                            </w:r>
                            <w:proofErr w:type="spellStart"/>
                            <w:r w:rsidRPr="00F2180E">
                              <w:rPr>
                                <w:i/>
                                <w:color w:val="17375E"/>
                              </w:rPr>
                              <w:t>euro</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5072C1" id="Rectangle 24" o:spid="_x0000_s1026" style="position:absolute;left:0;text-align:left;margin-left:335.9pt;margin-top:.75pt;width:132.4pt;height:81.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" fillcolor="window" strokecolor="#17375e" strokeweight="2pt">
                <v:stroke dashstyle="1 1"/>
                <v:textbox>
                  <w:txbxContent>
                    <w:p w14:paraId="4CFAA972" w14:textId="77777777" w:rsidR="00C50725" w:rsidRDefault="00C50725" w:rsidP="004935DC">
                      <w:pPr>
                        <w:spacing w:after="0"/>
                        <w:ind w:firstLine="0"/>
                        <w:jc w:val="center"/>
                        <w:rPr>
                          <w:color w:val="17375E"/>
                        </w:rPr>
                      </w:pPr>
                      <w:r>
                        <w:rPr>
                          <w:color w:val="17375E"/>
                        </w:rPr>
                        <w:t xml:space="preserve">Valsts konsolidētais parāds </w:t>
                      </w:r>
                      <w:r w:rsidRPr="0036074F">
                        <w:rPr>
                          <w:i/>
                          <w:color w:val="17375E"/>
                        </w:rPr>
                        <w:t>uzskaites vērtībā</w:t>
                      </w:r>
                      <w:r>
                        <w:rPr>
                          <w:i/>
                          <w:color w:val="17375E"/>
                        </w:rPr>
                        <w:t> </w:t>
                      </w:r>
                      <w:r>
                        <w:rPr>
                          <w:color w:val="17375E"/>
                        </w:rPr>
                        <w:t xml:space="preserve">– </w:t>
                      </w:r>
                    </w:p>
                    <w:p w14:paraId="47434950" w14:textId="4CC9C942" w:rsidR="00C50725" w:rsidRPr="00554158" w:rsidRDefault="00C50725" w:rsidP="004935DC">
                      <w:pPr>
                        <w:spacing w:after="0"/>
                        <w:ind w:firstLine="0"/>
                        <w:jc w:val="center"/>
                        <w:rPr>
                          <w:color w:val="17375E"/>
                        </w:rPr>
                      </w:pPr>
                      <w:r w:rsidRPr="00FC4A34">
                        <w:rPr>
                          <w:b/>
                          <w:color w:val="17375E"/>
                        </w:rPr>
                        <w:t>1</w:t>
                      </w:r>
                      <w:r w:rsidR="00D93292" w:rsidRPr="00FC4A34">
                        <w:rPr>
                          <w:b/>
                          <w:color w:val="17375E"/>
                        </w:rPr>
                        <w:t>6</w:t>
                      </w:r>
                      <w:r w:rsidRPr="00FC4A34">
                        <w:rPr>
                          <w:b/>
                          <w:color w:val="17375E"/>
                        </w:rPr>
                        <w:t> </w:t>
                      </w:r>
                      <w:r w:rsidR="00D93292" w:rsidRPr="00FC4A34">
                        <w:rPr>
                          <w:b/>
                          <w:color w:val="17375E"/>
                        </w:rPr>
                        <w:t>625</w:t>
                      </w:r>
                      <w:r w:rsidRPr="00FC4A34">
                        <w:rPr>
                          <w:b/>
                          <w:color w:val="17375E"/>
                        </w:rPr>
                        <w:t>,</w:t>
                      </w:r>
                      <w:r w:rsidR="00D93292" w:rsidRPr="00FC4A34">
                        <w:rPr>
                          <w:b/>
                          <w:color w:val="17375E"/>
                        </w:rPr>
                        <w:t>6</w:t>
                      </w:r>
                      <w:r w:rsidRPr="00ED3CBE">
                        <w:rPr>
                          <w:color w:val="17375E"/>
                        </w:rPr>
                        <w:t xml:space="preserve"> milj</w:t>
                      </w:r>
                      <w:r>
                        <w:rPr>
                          <w:color w:val="17375E"/>
                        </w:rPr>
                        <w:t xml:space="preserve">. </w:t>
                      </w:r>
                      <w:proofErr w:type="spellStart"/>
                      <w:r w:rsidRPr="00F2180E">
                        <w:rPr>
                          <w:i/>
                          <w:color w:val="17375E"/>
                        </w:rPr>
                        <w:t>euro</w:t>
                      </w:r>
                      <w:proofErr w:type="spellEnd"/>
                    </w:p>
                  </w:txbxContent>
                </v:textbox>
                <w10:wrap type="square"/>
              </v:rect>
            </w:pict>
          </mc:Fallback>
        </mc:AlternateContent>
      </w:r>
      <w:r w:rsidR="00421107" w:rsidRPr="00FC4A34">
        <w:rPr>
          <w:noProof w:val="0"/>
          <w:color w:val="17365D"/>
        </w:rPr>
        <w:t xml:space="preserve">Valsts konsolidētais parāds </w:t>
      </w:r>
      <w:r w:rsidR="00421107" w:rsidRPr="00FC4A34">
        <w:rPr>
          <w:i/>
          <w:noProof w:val="0"/>
          <w:color w:val="17365D"/>
        </w:rPr>
        <w:t>uzskaites vērtībā</w:t>
      </w:r>
      <w:r w:rsidR="00C2123F" w:rsidRPr="00FC4A34">
        <w:rPr>
          <w:noProof w:val="0"/>
          <w:color w:val="17365D"/>
        </w:rPr>
        <w:t xml:space="preserve"> (</w:t>
      </w:r>
      <w:r w:rsidR="00421107" w:rsidRPr="00FC4A34">
        <w:rPr>
          <w:noProof w:val="0"/>
          <w:color w:val="17365D"/>
        </w:rPr>
        <w:t xml:space="preserve">finanšu instrumenta iegādes </w:t>
      </w:r>
      <w:r w:rsidR="00C2123F" w:rsidRPr="00FC4A34">
        <w:rPr>
          <w:noProof w:val="0"/>
          <w:color w:val="17365D"/>
        </w:rPr>
        <w:t>cena</w:t>
      </w:r>
      <w:r w:rsidR="00421107" w:rsidRPr="00FC4A34">
        <w:rPr>
          <w:noProof w:val="0"/>
          <w:color w:val="17365D"/>
        </w:rPr>
        <w:t>, kam pieskaitītas vai no kā atņemtas pārvērtēšanas, amortizācijas vai citas summas, kuras atzīst izdevumos</w:t>
      </w:r>
      <w:r w:rsidR="00BC38C8" w:rsidRPr="00FC4A34">
        <w:rPr>
          <w:noProof w:val="0"/>
          <w:color w:val="17365D"/>
        </w:rPr>
        <w:t>/ieņēmumos</w:t>
      </w:r>
      <w:r w:rsidR="00C2123F" w:rsidRPr="00FC4A34">
        <w:rPr>
          <w:noProof w:val="0"/>
          <w:color w:val="17365D"/>
        </w:rPr>
        <w:t xml:space="preserve">) </w:t>
      </w:r>
      <w:r w:rsidR="00421107" w:rsidRPr="00FC4A34">
        <w:rPr>
          <w:noProof w:val="0"/>
          <w:color w:val="17365D"/>
        </w:rPr>
        <w:t xml:space="preserve">pārskata gadā, salīdzinot ar </w:t>
      </w:r>
      <w:r w:rsidR="004F273C" w:rsidRPr="00FC4A34">
        <w:rPr>
          <w:noProof w:val="0"/>
          <w:color w:val="17365D"/>
        </w:rPr>
        <w:t>2021.</w:t>
      </w:r>
      <w:r w:rsidR="0065571F" w:rsidRPr="00FC4A34">
        <w:rPr>
          <w:noProof w:val="0"/>
          <w:color w:val="17365D"/>
        </w:rPr>
        <w:t xml:space="preserve"> g</w:t>
      </w:r>
      <w:r w:rsidR="00421107" w:rsidRPr="00FC4A34">
        <w:rPr>
          <w:noProof w:val="0"/>
          <w:color w:val="17365D"/>
        </w:rPr>
        <w:t xml:space="preserve">adu, ir </w:t>
      </w:r>
      <w:r w:rsidR="0050537A" w:rsidRPr="00FC4A34">
        <w:rPr>
          <w:noProof w:val="0"/>
          <w:color w:val="17365D"/>
        </w:rPr>
        <w:t>palielinājies</w:t>
      </w:r>
      <w:r w:rsidR="00013A69" w:rsidRPr="00FC4A34">
        <w:rPr>
          <w:noProof w:val="0"/>
          <w:color w:val="17365D"/>
        </w:rPr>
        <w:t xml:space="preserve"> </w:t>
      </w:r>
      <w:r w:rsidR="00421107" w:rsidRPr="00FC4A34">
        <w:rPr>
          <w:noProof w:val="0"/>
          <w:color w:val="17365D"/>
        </w:rPr>
        <w:t xml:space="preserve">par </w:t>
      </w:r>
      <w:r w:rsidR="00D93292" w:rsidRPr="00FC4A34">
        <w:rPr>
          <w:noProof w:val="0"/>
          <w:color w:val="17365D"/>
        </w:rPr>
        <w:t>1</w:t>
      </w:r>
      <w:r w:rsidR="00323AAE" w:rsidRPr="00FC4A34">
        <w:rPr>
          <w:noProof w:val="0"/>
          <w:color w:val="17365D"/>
        </w:rPr>
        <w:t> </w:t>
      </w:r>
      <w:r w:rsidR="00D93292" w:rsidRPr="00FC4A34">
        <w:rPr>
          <w:noProof w:val="0"/>
          <w:color w:val="17365D"/>
        </w:rPr>
        <w:t>437</w:t>
      </w:r>
      <w:r w:rsidR="00516415" w:rsidRPr="00FC4A34">
        <w:rPr>
          <w:noProof w:val="0"/>
          <w:color w:val="17365D"/>
        </w:rPr>
        <w:t>,</w:t>
      </w:r>
      <w:r w:rsidR="00D93292" w:rsidRPr="00FC4A34">
        <w:rPr>
          <w:noProof w:val="0"/>
          <w:color w:val="17365D"/>
        </w:rPr>
        <w:t>1</w:t>
      </w:r>
      <w:r w:rsidR="0056570F" w:rsidRPr="00FC4A34">
        <w:rPr>
          <w:noProof w:val="0"/>
          <w:color w:val="17365D"/>
        </w:rPr>
        <w:t> </w:t>
      </w:r>
      <w:r w:rsidR="00421107" w:rsidRPr="00FC4A34">
        <w:rPr>
          <w:noProof w:val="0"/>
          <w:color w:val="17365D"/>
        </w:rPr>
        <w:t>milj. </w:t>
      </w:r>
      <w:proofErr w:type="spellStart"/>
      <w:r w:rsidR="00BE1F85" w:rsidRPr="00FC4A34">
        <w:rPr>
          <w:i/>
          <w:noProof w:val="0"/>
          <w:color w:val="17365D"/>
        </w:rPr>
        <w:t>euro</w:t>
      </w:r>
      <w:proofErr w:type="spellEnd"/>
      <w:r w:rsidR="00BE1F85" w:rsidRPr="00FC4A34">
        <w:rPr>
          <w:noProof w:val="0"/>
          <w:color w:val="17365D"/>
        </w:rPr>
        <w:t xml:space="preserve"> </w:t>
      </w:r>
      <w:r w:rsidR="00421107" w:rsidRPr="00FC4A34">
        <w:rPr>
          <w:noProof w:val="0"/>
          <w:color w:val="17365D"/>
        </w:rPr>
        <w:t xml:space="preserve">un </w:t>
      </w:r>
      <w:r w:rsidR="004F273C" w:rsidRPr="00FC4A34">
        <w:rPr>
          <w:noProof w:val="0"/>
          <w:color w:val="17365D"/>
        </w:rPr>
        <w:t>2022.</w:t>
      </w:r>
      <w:r w:rsidR="0065571F" w:rsidRPr="00FC4A34">
        <w:rPr>
          <w:noProof w:val="0"/>
          <w:color w:val="17365D"/>
        </w:rPr>
        <w:t xml:space="preserve"> g</w:t>
      </w:r>
      <w:r w:rsidR="00421107" w:rsidRPr="00FC4A34">
        <w:rPr>
          <w:noProof w:val="0"/>
          <w:color w:val="17365D"/>
        </w:rPr>
        <w:t xml:space="preserve">ada 31. decembrī ir </w:t>
      </w:r>
      <w:r w:rsidR="00F9132D" w:rsidRPr="00FC4A34">
        <w:rPr>
          <w:noProof w:val="0"/>
          <w:color w:val="17365D"/>
        </w:rPr>
        <w:t>1</w:t>
      </w:r>
      <w:r w:rsidR="00D93292" w:rsidRPr="00FC4A34">
        <w:rPr>
          <w:noProof w:val="0"/>
          <w:color w:val="17365D"/>
        </w:rPr>
        <w:t>6</w:t>
      </w:r>
      <w:r w:rsidR="00013A69" w:rsidRPr="00FC4A34">
        <w:rPr>
          <w:noProof w:val="0"/>
          <w:color w:val="17365D"/>
        </w:rPr>
        <w:t> </w:t>
      </w:r>
      <w:r w:rsidR="00D93292" w:rsidRPr="00FC4A34">
        <w:rPr>
          <w:noProof w:val="0"/>
          <w:color w:val="17365D"/>
        </w:rPr>
        <w:t>625</w:t>
      </w:r>
      <w:r w:rsidR="00A60632" w:rsidRPr="00FC4A34">
        <w:rPr>
          <w:noProof w:val="0"/>
          <w:color w:val="17365D"/>
        </w:rPr>
        <w:t>,</w:t>
      </w:r>
      <w:r w:rsidR="00D93292" w:rsidRPr="00FC4A34">
        <w:rPr>
          <w:noProof w:val="0"/>
          <w:color w:val="17365D"/>
        </w:rPr>
        <w:t>6</w:t>
      </w:r>
      <w:r w:rsidR="0056570F" w:rsidRPr="00FC4A34">
        <w:rPr>
          <w:noProof w:val="0"/>
          <w:color w:val="17365D"/>
        </w:rPr>
        <w:t> </w:t>
      </w:r>
      <w:r w:rsidR="00421107" w:rsidRPr="00FC4A34">
        <w:rPr>
          <w:noProof w:val="0"/>
          <w:color w:val="17365D"/>
        </w:rPr>
        <w:t>milj. </w:t>
      </w:r>
      <w:proofErr w:type="spellStart"/>
      <w:r w:rsidR="0056570F" w:rsidRPr="00FC4A34">
        <w:rPr>
          <w:i/>
          <w:noProof w:val="0"/>
          <w:color w:val="17365D"/>
        </w:rPr>
        <w:t>euro</w:t>
      </w:r>
      <w:proofErr w:type="spellEnd"/>
      <w:r w:rsidR="0056570F" w:rsidRPr="00FC4A34">
        <w:rPr>
          <w:noProof w:val="0"/>
          <w:color w:val="17365D"/>
        </w:rPr>
        <w:t xml:space="preserve"> </w:t>
      </w:r>
      <w:r w:rsidR="00421107" w:rsidRPr="00FC4A34">
        <w:rPr>
          <w:noProof w:val="0"/>
          <w:color w:val="17365D"/>
        </w:rPr>
        <w:t xml:space="preserve">jeb </w:t>
      </w:r>
      <w:r w:rsidR="00F9132D" w:rsidRPr="00FC4A34">
        <w:rPr>
          <w:noProof w:val="0"/>
          <w:color w:val="17365D"/>
        </w:rPr>
        <w:t>4</w:t>
      </w:r>
      <w:r w:rsidR="00D93292" w:rsidRPr="00FC4A34">
        <w:rPr>
          <w:noProof w:val="0"/>
          <w:color w:val="17365D"/>
        </w:rPr>
        <w:t>2</w:t>
      </w:r>
      <w:r w:rsidR="00A60632" w:rsidRPr="00FC4A34">
        <w:rPr>
          <w:noProof w:val="0"/>
          <w:color w:val="17365D"/>
        </w:rPr>
        <w:t>,</w:t>
      </w:r>
      <w:r w:rsidR="00D93292" w:rsidRPr="00FC4A34">
        <w:rPr>
          <w:noProof w:val="0"/>
          <w:color w:val="17365D"/>
        </w:rPr>
        <w:t>6</w:t>
      </w:r>
      <w:r w:rsidR="0056570F" w:rsidRPr="00FC4A34">
        <w:rPr>
          <w:noProof w:val="0"/>
          <w:color w:val="17365D"/>
        </w:rPr>
        <w:t> </w:t>
      </w:r>
      <w:r w:rsidR="00421107" w:rsidRPr="00FC4A34">
        <w:rPr>
          <w:noProof w:val="0"/>
          <w:color w:val="17365D"/>
        </w:rPr>
        <w:t xml:space="preserve">% no iekšzemes kopprodukta (turpmāk – IKP </w:t>
      </w:r>
      <w:bookmarkStart w:id="0" w:name="_Ref359404077"/>
      <w:r w:rsidR="00421107" w:rsidRPr="00FC4A34">
        <w:rPr>
          <w:rStyle w:val="FootnoteReference"/>
          <w:noProof w:val="0"/>
          <w:color w:val="17365D"/>
        </w:rPr>
        <w:footnoteReference w:id="1"/>
      </w:r>
      <w:bookmarkEnd w:id="0"/>
      <w:r w:rsidR="00421107" w:rsidRPr="00FC4A34">
        <w:rPr>
          <w:noProof w:val="0"/>
          <w:color w:val="17365D"/>
        </w:rPr>
        <w:t>).</w:t>
      </w:r>
    </w:p>
    <w:p w14:paraId="36C0A7BB" w14:textId="1E86ACF3" w:rsidR="0013604C" w:rsidRPr="00FC4A34" w:rsidRDefault="00276960" w:rsidP="00421107">
      <w:pPr>
        <w:pStyle w:val="Pamatteksts"/>
        <w:rPr>
          <w:noProof w:val="0"/>
          <w:color w:val="17365D"/>
        </w:rPr>
      </w:pPr>
      <w:r w:rsidRPr="00FC4A34">
        <w:rPr>
          <w:b/>
          <w:color w:val="17365D"/>
        </w:rPr>
        <mc:AlternateContent>
          <mc:Choice Requires="wps">
            <w:drawing>
              <wp:anchor distT="0" distB="0" distL="114300" distR="114300" simplePos="0" relativeHeight="251702272" behindDoc="0" locked="0" layoutInCell="1" allowOverlap="1" wp14:anchorId="78EBBBE3" wp14:editId="6977ECC2">
                <wp:simplePos x="0" y="0"/>
                <wp:positionH relativeFrom="column">
                  <wp:posOffset>4265930</wp:posOffset>
                </wp:positionH>
                <wp:positionV relativeFrom="paragraph">
                  <wp:posOffset>229235</wp:posOffset>
                </wp:positionV>
                <wp:extent cx="1681200" cy="1029600"/>
                <wp:effectExtent l="0" t="0" r="14605" b="18415"/>
                <wp:wrapSquare wrapText="bothSides"/>
                <wp:docPr id="2" name="Rectangle 2"/>
                <wp:cNvGraphicFramePr/>
                <a:graphic xmlns:a="http://schemas.openxmlformats.org/drawingml/2006/main">
                  <a:graphicData uri="http://schemas.microsoft.com/office/word/2010/wordprocessingShape">
                    <wps:wsp>
                      <wps:cNvSpPr/>
                      <wps:spPr>
                        <a:xfrm>
                          <a:off x="0" y="0"/>
                          <a:ext cx="1681200" cy="1029600"/>
                        </a:xfrm>
                        <a:prstGeom prst="rect">
                          <a:avLst/>
                        </a:prstGeom>
                        <a:solidFill>
                          <a:sysClr val="window" lastClr="FFFFFF"/>
                        </a:solidFill>
                        <a:ln w="25400" cap="flat" cmpd="sng" algn="ctr">
                          <a:solidFill>
                            <a:srgbClr val="17375E"/>
                          </a:solidFill>
                          <a:prstDash val="sysDot"/>
                        </a:ln>
                        <a:effectLst/>
                      </wps:spPr>
                      <wps:txbx>
                        <w:txbxContent>
                          <w:p w14:paraId="3C3C4CDF" w14:textId="77777777" w:rsidR="00C50725" w:rsidRPr="00ED3CBE" w:rsidRDefault="00C50725" w:rsidP="004935DC">
                            <w:pPr>
                              <w:spacing w:after="0"/>
                              <w:ind w:firstLine="0"/>
                              <w:jc w:val="center"/>
                              <w:rPr>
                                <w:color w:val="17375E"/>
                              </w:rPr>
                            </w:pPr>
                            <w:r>
                              <w:rPr>
                                <w:color w:val="17375E"/>
                              </w:rPr>
                              <w:t xml:space="preserve">Valsts konsolidētais parāds </w:t>
                            </w:r>
                            <w:r w:rsidRPr="00ED3CBE">
                              <w:rPr>
                                <w:i/>
                                <w:color w:val="17375E"/>
                              </w:rPr>
                              <w:t>nominālvērtībā </w:t>
                            </w:r>
                            <w:r w:rsidRPr="00ED3CBE">
                              <w:rPr>
                                <w:color w:val="17375E"/>
                              </w:rPr>
                              <w:t xml:space="preserve">– </w:t>
                            </w:r>
                          </w:p>
                          <w:p w14:paraId="705DEB57" w14:textId="63CA99E9" w:rsidR="00C50725" w:rsidRPr="00554158" w:rsidRDefault="00C50725" w:rsidP="004935DC">
                            <w:pPr>
                              <w:spacing w:after="0"/>
                              <w:ind w:firstLine="0"/>
                              <w:jc w:val="center"/>
                              <w:rPr>
                                <w:color w:val="17375E"/>
                              </w:rPr>
                            </w:pPr>
                            <w:r w:rsidRPr="00FC4A34">
                              <w:rPr>
                                <w:b/>
                                <w:color w:val="17375E"/>
                              </w:rPr>
                              <w:t>1</w:t>
                            </w:r>
                            <w:r w:rsidR="00D93292" w:rsidRPr="00FC4A34">
                              <w:rPr>
                                <w:b/>
                                <w:color w:val="17375E"/>
                              </w:rPr>
                              <w:t>6</w:t>
                            </w:r>
                            <w:r w:rsidRPr="00FC4A34">
                              <w:rPr>
                                <w:b/>
                                <w:color w:val="17375E"/>
                              </w:rPr>
                              <w:t> </w:t>
                            </w:r>
                            <w:r w:rsidR="00D93292" w:rsidRPr="00FC4A34">
                              <w:rPr>
                                <w:b/>
                                <w:color w:val="17375E"/>
                              </w:rPr>
                              <w:t>628</w:t>
                            </w:r>
                            <w:r w:rsidRPr="00FC4A34">
                              <w:rPr>
                                <w:b/>
                                <w:color w:val="17375E"/>
                              </w:rPr>
                              <w:t>,</w:t>
                            </w:r>
                            <w:r w:rsidR="00D93292" w:rsidRPr="00FC4A34">
                              <w:rPr>
                                <w:b/>
                                <w:color w:val="17375E"/>
                              </w:rPr>
                              <w:t>7</w:t>
                            </w:r>
                            <w:r w:rsidRPr="00ED3CBE">
                              <w:rPr>
                                <w:color w:val="17375E"/>
                              </w:rPr>
                              <w:t xml:space="preserve"> milj</w:t>
                            </w:r>
                            <w:r>
                              <w:rPr>
                                <w:color w:val="17375E"/>
                              </w:rPr>
                              <w:t xml:space="preserve">. </w:t>
                            </w:r>
                            <w:proofErr w:type="spellStart"/>
                            <w:r w:rsidRPr="00F2180E">
                              <w:rPr>
                                <w:i/>
                                <w:color w:val="17375E"/>
                              </w:rPr>
                              <w:t>euro</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EBBBE3" id="Rectangle 2" o:spid="_x0000_s1027" style="position:absolute;left:0;text-align:left;margin-left:335.9pt;margin-top:18.05pt;width:132.4pt;height:81.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" fillcolor="window" strokecolor="#17375e" strokeweight="2pt">
                <v:stroke dashstyle="1 1"/>
                <v:textbox>
                  <w:txbxContent>
                    <w:p w14:paraId="3C3C4CDF" w14:textId="77777777" w:rsidR="00C50725" w:rsidRPr="00ED3CBE" w:rsidRDefault="00C50725" w:rsidP="004935DC">
                      <w:pPr>
                        <w:spacing w:after="0"/>
                        <w:ind w:firstLine="0"/>
                        <w:jc w:val="center"/>
                        <w:rPr>
                          <w:color w:val="17375E"/>
                        </w:rPr>
                      </w:pPr>
                      <w:r>
                        <w:rPr>
                          <w:color w:val="17375E"/>
                        </w:rPr>
                        <w:t xml:space="preserve">Valsts konsolidētais parāds </w:t>
                      </w:r>
                      <w:r w:rsidRPr="00ED3CBE">
                        <w:rPr>
                          <w:i/>
                          <w:color w:val="17375E"/>
                        </w:rPr>
                        <w:t>nominālvērtībā </w:t>
                      </w:r>
                      <w:r w:rsidRPr="00ED3CBE">
                        <w:rPr>
                          <w:color w:val="17375E"/>
                        </w:rPr>
                        <w:t xml:space="preserve">– </w:t>
                      </w:r>
                    </w:p>
                    <w:p w14:paraId="705DEB57" w14:textId="63CA99E9" w:rsidR="00C50725" w:rsidRPr="00554158" w:rsidRDefault="00C50725" w:rsidP="004935DC">
                      <w:pPr>
                        <w:spacing w:after="0"/>
                        <w:ind w:firstLine="0"/>
                        <w:jc w:val="center"/>
                        <w:rPr>
                          <w:color w:val="17375E"/>
                        </w:rPr>
                      </w:pPr>
                      <w:r w:rsidRPr="00FC4A34">
                        <w:rPr>
                          <w:b/>
                          <w:color w:val="17375E"/>
                        </w:rPr>
                        <w:t>1</w:t>
                      </w:r>
                      <w:r w:rsidR="00D93292" w:rsidRPr="00FC4A34">
                        <w:rPr>
                          <w:b/>
                          <w:color w:val="17375E"/>
                        </w:rPr>
                        <w:t>6</w:t>
                      </w:r>
                      <w:r w:rsidRPr="00FC4A34">
                        <w:rPr>
                          <w:b/>
                          <w:color w:val="17375E"/>
                        </w:rPr>
                        <w:t> </w:t>
                      </w:r>
                      <w:r w:rsidR="00D93292" w:rsidRPr="00FC4A34">
                        <w:rPr>
                          <w:b/>
                          <w:color w:val="17375E"/>
                        </w:rPr>
                        <w:t>628</w:t>
                      </w:r>
                      <w:r w:rsidRPr="00FC4A34">
                        <w:rPr>
                          <w:b/>
                          <w:color w:val="17375E"/>
                        </w:rPr>
                        <w:t>,</w:t>
                      </w:r>
                      <w:r w:rsidR="00D93292" w:rsidRPr="00FC4A34">
                        <w:rPr>
                          <w:b/>
                          <w:color w:val="17375E"/>
                        </w:rPr>
                        <w:t>7</w:t>
                      </w:r>
                      <w:r w:rsidRPr="00ED3CBE">
                        <w:rPr>
                          <w:color w:val="17375E"/>
                        </w:rPr>
                        <w:t xml:space="preserve"> milj</w:t>
                      </w:r>
                      <w:r>
                        <w:rPr>
                          <w:color w:val="17375E"/>
                        </w:rPr>
                        <w:t xml:space="preserve">. </w:t>
                      </w:r>
                      <w:proofErr w:type="spellStart"/>
                      <w:r w:rsidRPr="00F2180E">
                        <w:rPr>
                          <w:i/>
                          <w:color w:val="17375E"/>
                        </w:rPr>
                        <w:t>euro</w:t>
                      </w:r>
                      <w:proofErr w:type="spellEnd"/>
                    </w:p>
                  </w:txbxContent>
                </v:textbox>
                <w10:wrap type="square"/>
              </v:rect>
            </w:pict>
          </mc:Fallback>
        </mc:AlternateContent>
      </w:r>
      <w:r w:rsidR="00421107" w:rsidRPr="00FC4A34">
        <w:rPr>
          <w:noProof w:val="0"/>
          <w:color w:val="17365D"/>
        </w:rPr>
        <w:t xml:space="preserve">Valsts konsolidētais parāds </w:t>
      </w:r>
      <w:r w:rsidR="00421107" w:rsidRPr="00FC4A34">
        <w:rPr>
          <w:i/>
          <w:noProof w:val="0"/>
          <w:color w:val="17365D"/>
        </w:rPr>
        <w:t>nominālvērtībā</w:t>
      </w:r>
      <w:r w:rsidR="00421107" w:rsidRPr="00FC4A34">
        <w:rPr>
          <w:noProof w:val="0"/>
          <w:color w:val="17365D"/>
        </w:rPr>
        <w:t xml:space="preserve"> jeb parāds pēc nomināla</w:t>
      </w:r>
      <w:r w:rsidR="00C2123F" w:rsidRPr="00FC4A34">
        <w:rPr>
          <w:noProof w:val="0"/>
          <w:color w:val="17365D"/>
        </w:rPr>
        <w:t xml:space="preserve"> (</w:t>
      </w:r>
      <w:r w:rsidR="00421107" w:rsidRPr="00FC4A34">
        <w:rPr>
          <w:noProof w:val="0"/>
          <w:color w:val="17365D"/>
        </w:rPr>
        <w:t>finanšu instrumenta</w:t>
      </w:r>
      <w:r w:rsidR="00421107" w:rsidRPr="00FC4A34" w:rsidDel="00050404">
        <w:rPr>
          <w:noProof w:val="0"/>
          <w:color w:val="17365D"/>
        </w:rPr>
        <w:t xml:space="preserve"> </w:t>
      </w:r>
      <w:r w:rsidR="00421107" w:rsidRPr="00FC4A34">
        <w:rPr>
          <w:noProof w:val="0"/>
          <w:color w:val="17365D"/>
        </w:rPr>
        <w:t>cena vai vērtība, ko ir noteikusi izlaides organizācija (vērtspapīru gadījumā)</w:t>
      </w:r>
      <w:r w:rsidR="008F20E1" w:rsidRPr="00FC4A34">
        <w:rPr>
          <w:noProof w:val="0"/>
          <w:color w:val="17365D"/>
        </w:rPr>
        <w:t>,</w:t>
      </w:r>
      <w:r w:rsidR="00421107" w:rsidRPr="00FC4A34">
        <w:rPr>
          <w:noProof w:val="0"/>
          <w:color w:val="17365D"/>
        </w:rPr>
        <w:t xml:space="preserve"> vai kas ir norādīta da</w:t>
      </w:r>
      <w:bookmarkStart w:id="1" w:name="_GoBack"/>
      <w:bookmarkEnd w:id="1"/>
      <w:r w:rsidR="00421107" w:rsidRPr="00FC4A34">
        <w:rPr>
          <w:noProof w:val="0"/>
          <w:color w:val="17365D"/>
        </w:rPr>
        <w:t>rījuma līgumā kā parāda summa</w:t>
      </w:r>
      <w:r w:rsidR="00C2123F" w:rsidRPr="00FC4A34">
        <w:rPr>
          <w:noProof w:val="0"/>
          <w:color w:val="17365D"/>
        </w:rPr>
        <w:t>)</w:t>
      </w:r>
      <w:r w:rsidR="00421107" w:rsidRPr="00FC4A34">
        <w:rPr>
          <w:noProof w:val="0"/>
          <w:color w:val="17365D"/>
        </w:rPr>
        <w:t xml:space="preserve"> </w:t>
      </w:r>
      <w:r w:rsidR="004F273C" w:rsidRPr="00FC4A34">
        <w:rPr>
          <w:noProof w:val="0"/>
          <w:color w:val="17365D"/>
        </w:rPr>
        <w:t>2022.</w:t>
      </w:r>
      <w:r w:rsidR="0065571F" w:rsidRPr="00FC4A34">
        <w:rPr>
          <w:noProof w:val="0"/>
          <w:color w:val="17365D"/>
        </w:rPr>
        <w:t xml:space="preserve"> g</w:t>
      </w:r>
      <w:r w:rsidR="00421107" w:rsidRPr="00FC4A34">
        <w:rPr>
          <w:noProof w:val="0"/>
          <w:color w:val="17365D"/>
        </w:rPr>
        <w:t>ada 31.</w:t>
      </w:r>
      <w:r w:rsidR="009B45CC" w:rsidRPr="00FC4A34">
        <w:rPr>
          <w:noProof w:val="0"/>
          <w:color w:val="17365D"/>
        </w:rPr>
        <w:t> </w:t>
      </w:r>
      <w:r w:rsidR="00421107" w:rsidRPr="00FC4A34">
        <w:rPr>
          <w:noProof w:val="0"/>
          <w:color w:val="17365D"/>
        </w:rPr>
        <w:t xml:space="preserve">decembrī ir </w:t>
      </w:r>
      <w:r w:rsidR="00A67DB3" w:rsidRPr="00FC4A34">
        <w:rPr>
          <w:noProof w:val="0"/>
          <w:color w:val="17365D"/>
        </w:rPr>
        <w:t>1</w:t>
      </w:r>
      <w:r w:rsidR="00D93292" w:rsidRPr="00FC4A34">
        <w:rPr>
          <w:noProof w:val="0"/>
          <w:color w:val="17365D"/>
        </w:rPr>
        <w:t>6</w:t>
      </w:r>
      <w:r w:rsidR="00013A69" w:rsidRPr="00FC4A34">
        <w:rPr>
          <w:noProof w:val="0"/>
          <w:color w:val="17365D"/>
        </w:rPr>
        <w:t> </w:t>
      </w:r>
      <w:r w:rsidR="00D93292" w:rsidRPr="00FC4A34">
        <w:rPr>
          <w:noProof w:val="0"/>
          <w:color w:val="17365D"/>
        </w:rPr>
        <w:t>628</w:t>
      </w:r>
      <w:r w:rsidR="007414C5" w:rsidRPr="00FC4A34">
        <w:rPr>
          <w:noProof w:val="0"/>
          <w:color w:val="17365D"/>
        </w:rPr>
        <w:t>,</w:t>
      </w:r>
      <w:r w:rsidR="00D93292" w:rsidRPr="00FC4A34">
        <w:rPr>
          <w:noProof w:val="0"/>
          <w:color w:val="17365D"/>
        </w:rPr>
        <w:t>7</w:t>
      </w:r>
      <w:r w:rsidR="00A24014" w:rsidRPr="00FC4A34">
        <w:rPr>
          <w:noProof w:val="0"/>
          <w:color w:val="17365D"/>
        </w:rPr>
        <w:t> </w:t>
      </w:r>
      <w:r w:rsidR="00421107" w:rsidRPr="00FC4A34">
        <w:rPr>
          <w:noProof w:val="0"/>
          <w:color w:val="17365D"/>
        </w:rPr>
        <w:t>milj. </w:t>
      </w:r>
      <w:proofErr w:type="spellStart"/>
      <w:r w:rsidR="00A24014" w:rsidRPr="00FC4A34">
        <w:rPr>
          <w:i/>
          <w:noProof w:val="0"/>
          <w:color w:val="17365D"/>
        </w:rPr>
        <w:t>euro</w:t>
      </w:r>
      <w:proofErr w:type="spellEnd"/>
      <w:r w:rsidR="00A24014" w:rsidRPr="00FC4A34">
        <w:rPr>
          <w:noProof w:val="0"/>
          <w:color w:val="17365D"/>
        </w:rPr>
        <w:t xml:space="preserve"> </w:t>
      </w:r>
      <w:r w:rsidR="00421107" w:rsidRPr="00FC4A34">
        <w:rPr>
          <w:noProof w:val="0"/>
          <w:color w:val="17365D"/>
        </w:rPr>
        <w:t xml:space="preserve">jeb </w:t>
      </w:r>
      <w:r w:rsidR="00F9132D" w:rsidRPr="00FC4A34">
        <w:rPr>
          <w:noProof w:val="0"/>
          <w:color w:val="17365D"/>
        </w:rPr>
        <w:t>4</w:t>
      </w:r>
      <w:r w:rsidR="00D93292" w:rsidRPr="00FC4A34">
        <w:rPr>
          <w:noProof w:val="0"/>
          <w:color w:val="17365D"/>
        </w:rPr>
        <w:t>2</w:t>
      </w:r>
      <w:r w:rsidR="00C64BC5" w:rsidRPr="00FC4A34">
        <w:rPr>
          <w:noProof w:val="0"/>
          <w:color w:val="17365D"/>
        </w:rPr>
        <w:t>,</w:t>
      </w:r>
      <w:r w:rsidR="00D93292" w:rsidRPr="00FC4A34">
        <w:rPr>
          <w:noProof w:val="0"/>
          <w:color w:val="17365D"/>
        </w:rPr>
        <w:t>6</w:t>
      </w:r>
      <w:r w:rsidR="00A24014" w:rsidRPr="00FC4A34">
        <w:rPr>
          <w:noProof w:val="0"/>
          <w:color w:val="17365D"/>
        </w:rPr>
        <w:t> </w:t>
      </w:r>
      <w:r w:rsidR="00421107" w:rsidRPr="00FC4A34">
        <w:rPr>
          <w:noProof w:val="0"/>
          <w:color w:val="17365D"/>
        </w:rPr>
        <w:t>% no IKP</w:t>
      </w:r>
      <w:r w:rsidR="0013604C" w:rsidRPr="00FC4A34">
        <w:rPr>
          <w:noProof w:val="0"/>
          <w:color w:val="17365D"/>
        </w:rPr>
        <w:t>.</w:t>
      </w:r>
      <w:r w:rsidRPr="00FC4A34">
        <w:rPr>
          <w:b/>
          <w:color w:val="17365D"/>
        </w:rPr>
        <w:t xml:space="preserve"> </w:t>
      </w:r>
    </w:p>
    <w:p w14:paraId="17EF74AC" w14:textId="7554353B" w:rsidR="0013604C" w:rsidRPr="00FC4A34" w:rsidRDefault="009B50CB" w:rsidP="00322E60">
      <w:pPr>
        <w:pStyle w:val="Pamatteksts"/>
        <w:rPr>
          <w:noProof w:val="0"/>
          <w:color w:val="17365D"/>
        </w:rPr>
      </w:pPr>
      <w:r w:rsidRPr="00FC4A34">
        <w:rPr>
          <w:noProof w:val="0"/>
          <w:color w:val="17365D"/>
        </w:rPr>
        <w:t>Pašvaldību parāda</w:t>
      </w:r>
      <w:r w:rsidR="00C64BC5" w:rsidRPr="00FC4A34">
        <w:rPr>
          <w:noProof w:val="0"/>
          <w:color w:val="17365D"/>
        </w:rPr>
        <w:t xml:space="preserve"> īpatsvars valsts konsolidētajā parādā</w:t>
      </w:r>
      <w:r w:rsidRPr="00FC4A34">
        <w:rPr>
          <w:noProof w:val="0"/>
          <w:color w:val="17365D"/>
        </w:rPr>
        <w:t xml:space="preserve"> </w:t>
      </w:r>
      <w:r w:rsidR="004F273C" w:rsidRPr="00FC4A34">
        <w:rPr>
          <w:noProof w:val="0"/>
          <w:color w:val="17365D"/>
        </w:rPr>
        <w:t>2022.</w:t>
      </w:r>
      <w:r w:rsidR="00F9132D" w:rsidRPr="00FC4A34">
        <w:rPr>
          <w:noProof w:val="0"/>
          <w:color w:val="17365D"/>
        </w:rPr>
        <w:t> </w:t>
      </w:r>
      <w:r w:rsidR="0065571F" w:rsidRPr="00FC4A34">
        <w:rPr>
          <w:noProof w:val="0"/>
          <w:color w:val="17365D"/>
        </w:rPr>
        <w:t>g</w:t>
      </w:r>
      <w:r w:rsidR="00F231BB" w:rsidRPr="00FC4A34">
        <w:rPr>
          <w:noProof w:val="0"/>
          <w:color w:val="17365D"/>
        </w:rPr>
        <w:t xml:space="preserve">ada 31. decembrī </w:t>
      </w:r>
      <w:r w:rsidR="003F6BBC" w:rsidRPr="00FC4A34">
        <w:rPr>
          <w:noProof w:val="0"/>
          <w:color w:val="17365D"/>
        </w:rPr>
        <w:t xml:space="preserve">gan uzskaites vērtībā, gan nominālvērtībā ir </w:t>
      </w:r>
      <w:r w:rsidR="00E15A66" w:rsidRPr="00FC4A34">
        <w:rPr>
          <w:noProof w:val="0"/>
          <w:color w:val="17365D"/>
        </w:rPr>
        <w:t xml:space="preserve">zemāks par </w:t>
      </w:r>
      <w:r w:rsidR="00D93292" w:rsidRPr="00FC4A34">
        <w:rPr>
          <w:noProof w:val="0"/>
          <w:color w:val="17365D"/>
        </w:rPr>
        <w:t>1,5</w:t>
      </w:r>
      <w:r w:rsidR="00013A69" w:rsidRPr="00FC4A34">
        <w:rPr>
          <w:noProof w:val="0"/>
          <w:color w:val="17365D"/>
        </w:rPr>
        <w:t> </w:t>
      </w:r>
      <w:r w:rsidRPr="00FC4A34">
        <w:rPr>
          <w:noProof w:val="0"/>
          <w:color w:val="17365D"/>
        </w:rPr>
        <w:t>%.</w:t>
      </w:r>
    </w:p>
    <w:p w14:paraId="585BA5C0" w14:textId="77777777" w:rsidR="0013604C" w:rsidRPr="00FC4A34" w:rsidRDefault="0013604C" w:rsidP="009B45CC">
      <w:pPr>
        <w:pStyle w:val="Heading1"/>
        <w:rPr>
          <w:noProof w:val="0"/>
          <w:color w:val="17365D"/>
        </w:rPr>
      </w:pPr>
      <w:r w:rsidRPr="00FC4A34">
        <w:rPr>
          <w:noProof w:val="0"/>
          <w:color w:val="17365D"/>
        </w:rPr>
        <w:lastRenderedPageBreak/>
        <w:t>Valsts parāds</w:t>
      </w:r>
    </w:p>
    <w:p w14:paraId="4EF2AA97" w14:textId="00EA213E" w:rsidR="00586CC3" w:rsidRPr="00FC4A34" w:rsidRDefault="007411C0" w:rsidP="00586CC3">
      <w:pPr>
        <w:pStyle w:val="Pamatteksts"/>
        <w:rPr>
          <w:noProof w:val="0"/>
          <w:color w:val="17365D"/>
        </w:rPr>
      </w:pPr>
      <w:r w:rsidRPr="00FC4A34">
        <w:rPr>
          <w:noProof w:val="0"/>
          <w:color w:val="17365D"/>
        </w:rPr>
        <w:t xml:space="preserve">Valsts konsolidētā parāda līmeni galvenokārt ietekmē valsts parāds, kas </w:t>
      </w:r>
      <w:r w:rsidR="004F273C" w:rsidRPr="00FC4A34">
        <w:rPr>
          <w:noProof w:val="0"/>
          <w:color w:val="17365D"/>
        </w:rPr>
        <w:t>2022.</w:t>
      </w:r>
      <w:r w:rsidR="0065571F" w:rsidRPr="00FC4A34">
        <w:rPr>
          <w:noProof w:val="0"/>
          <w:color w:val="17365D"/>
        </w:rPr>
        <w:t xml:space="preserve"> g</w:t>
      </w:r>
      <w:r w:rsidR="00657B1C" w:rsidRPr="00FC4A34">
        <w:rPr>
          <w:noProof w:val="0"/>
          <w:color w:val="17365D"/>
        </w:rPr>
        <w:t xml:space="preserve">adā ir </w:t>
      </w:r>
      <w:r w:rsidR="00002A57" w:rsidRPr="00FC4A34">
        <w:rPr>
          <w:noProof w:val="0"/>
          <w:color w:val="17365D"/>
        </w:rPr>
        <w:t>palielināji</w:t>
      </w:r>
      <w:r w:rsidR="003F42C8" w:rsidRPr="00FC4A34">
        <w:rPr>
          <w:noProof w:val="0"/>
          <w:color w:val="17365D"/>
        </w:rPr>
        <w:t>e</w:t>
      </w:r>
      <w:r w:rsidR="00002A57" w:rsidRPr="00FC4A34">
        <w:rPr>
          <w:noProof w:val="0"/>
          <w:color w:val="17365D"/>
        </w:rPr>
        <w:t>s</w:t>
      </w:r>
      <w:r w:rsidR="00A420EA" w:rsidRPr="00FC4A34">
        <w:rPr>
          <w:noProof w:val="0"/>
          <w:color w:val="17365D"/>
        </w:rPr>
        <w:t xml:space="preserve"> </w:t>
      </w:r>
      <w:r w:rsidR="00657B1C" w:rsidRPr="00FC4A34">
        <w:rPr>
          <w:noProof w:val="0"/>
          <w:color w:val="17365D"/>
        </w:rPr>
        <w:t xml:space="preserve">par </w:t>
      </w:r>
      <w:r w:rsidR="00D93292" w:rsidRPr="00FC4A34">
        <w:rPr>
          <w:noProof w:val="0"/>
          <w:color w:val="17365D"/>
        </w:rPr>
        <w:t>1</w:t>
      </w:r>
      <w:r w:rsidR="00C702F7" w:rsidRPr="00FC4A34">
        <w:rPr>
          <w:noProof w:val="0"/>
          <w:color w:val="17365D"/>
        </w:rPr>
        <w:t> </w:t>
      </w:r>
      <w:r w:rsidR="00D93292" w:rsidRPr="00FC4A34">
        <w:rPr>
          <w:noProof w:val="0"/>
          <w:color w:val="17365D"/>
        </w:rPr>
        <w:t>508</w:t>
      </w:r>
      <w:r w:rsidR="002973DD" w:rsidRPr="00FC4A34">
        <w:rPr>
          <w:noProof w:val="0"/>
          <w:color w:val="17365D"/>
        </w:rPr>
        <w:t>,2</w:t>
      </w:r>
      <w:r w:rsidR="003A28CB" w:rsidRPr="00FC4A34">
        <w:rPr>
          <w:noProof w:val="0"/>
          <w:color w:val="17365D"/>
        </w:rPr>
        <w:t> </w:t>
      </w:r>
      <w:r w:rsidR="00657B1C" w:rsidRPr="00FC4A34">
        <w:rPr>
          <w:noProof w:val="0"/>
          <w:color w:val="17365D"/>
        </w:rPr>
        <w:t>milj. </w:t>
      </w:r>
      <w:proofErr w:type="spellStart"/>
      <w:r w:rsidR="003A28CB" w:rsidRPr="00FC4A34">
        <w:rPr>
          <w:i/>
          <w:noProof w:val="0"/>
          <w:color w:val="17365D"/>
        </w:rPr>
        <w:t>euro</w:t>
      </w:r>
      <w:proofErr w:type="spellEnd"/>
      <w:r w:rsidR="003A28CB" w:rsidRPr="00FC4A34">
        <w:rPr>
          <w:noProof w:val="0"/>
          <w:color w:val="17365D"/>
        </w:rPr>
        <w:t xml:space="preserve"> </w:t>
      </w:r>
      <w:r w:rsidR="00657B1C" w:rsidRPr="00FC4A34">
        <w:rPr>
          <w:noProof w:val="0"/>
          <w:color w:val="17365D"/>
        </w:rPr>
        <w:t xml:space="preserve">un </w:t>
      </w:r>
      <w:r w:rsidR="004F273C" w:rsidRPr="00FC4A34">
        <w:rPr>
          <w:noProof w:val="0"/>
          <w:color w:val="17365D"/>
        </w:rPr>
        <w:t>2022.</w:t>
      </w:r>
      <w:r w:rsidR="0065571F" w:rsidRPr="00FC4A34">
        <w:rPr>
          <w:noProof w:val="0"/>
          <w:color w:val="17365D"/>
        </w:rPr>
        <w:t xml:space="preserve"> g</w:t>
      </w:r>
      <w:r w:rsidR="00586CC3" w:rsidRPr="00FC4A34">
        <w:rPr>
          <w:noProof w:val="0"/>
          <w:color w:val="17365D"/>
        </w:rPr>
        <w:t xml:space="preserve">ada 31. decembrī </w:t>
      </w:r>
      <w:r w:rsidR="00D2009D" w:rsidRPr="00FC4A34">
        <w:rPr>
          <w:noProof w:val="0"/>
          <w:color w:val="17365D"/>
        </w:rPr>
        <w:t>ir</w:t>
      </w:r>
      <w:r w:rsidR="00DC298D" w:rsidRPr="00FC4A34">
        <w:rPr>
          <w:noProof w:val="0"/>
          <w:color w:val="17365D"/>
        </w:rPr>
        <w:t xml:space="preserve"> </w:t>
      </w:r>
      <w:r w:rsidR="002973DD" w:rsidRPr="00FC4A34">
        <w:rPr>
          <w:noProof w:val="0"/>
          <w:color w:val="17365D"/>
        </w:rPr>
        <w:t>1</w:t>
      </w:r>
      <w:r w:rsidR="00D93292" w:rsidRPr="00FC4A34">
        <w:rPr>
          <w:noProof w:val="0"/>
          <w:color w:val="17365D"/>
        </w:rPr>
        <w:t>6</w:t>
      </w:r>
      <w:r w:rsidR="00730A88" w:rsidRPr="00FC4A34">
        <w:rPr>
          <w:noProof w:val="0"/>
          <w:color w:val="17365D"/>
        </w:rPr>
        <w:t> </w:t>
      </w:r>
      <w:r w:rsidR="00D93292" w:rsidRPr="00FC4A34">
        <w:rPr>
          <w:noProof w:val="0"/>
          <w:color w:val="17365D"/>
        </w:rPr>
        <w:t>767</w:t>
      </w:r>
      <w:r w:rsidR="00002A57" w:rsidRPr="00FC4A34">
        <w:rPr>
          <w:noProof w:val="0"/>
          <w:color w:val="17365D"/>
        </w:rPr>
        <w:t>,</w:t>
      </w:r>
      <w:r w:rsidR="00D93292" w:rsidRPr="00FC4A34">
        <w:rPr>
          <w:noProof w:val="0"/>
          <w:color w:val="17365D"/>
        </w:rPr>
        <w:t>1</w:t>
      </w:r>
      <w:r w:rsidR="001A0EEC" w:rsidRPr="00FC4A34">
        <w:rPr>
          <w:noProof w:val="0"/>
          <w:color w:val="17365D"/>
        </w:rPr>
        <w:t> </w:t>
      </w:r>
      <w:r w:rsidR="00586CC3" w:rsidRPr="00FC4A34">
        <w:rPr>
          <w:noProof w:val="0"/>
          <w:color w:val="17365D"/>
        </w:rPr>
        <w:t>milj. </w:t>
      </w:r>
      <w:proofErr w:type="spellStart"/>
      <w:r w:rsidR="003A28CB" w:rsidRPr="00FC4A34">
        <w:rPr>
          <w:i/>
          <w:noProof w:val="0"/>
          <w:color w:val="17365D"/>
        </w:rPr>
        <w:t>euro</w:t>
      </w:r>
      <w:proofErr w:type="spellEnd"/>
      <w:r w:rsidR="003A28CB" w:rsidRPr="00FC4A34">
        <w:rPr>
          <w:noProof w:val="0"/>
          <w:color w:val="17365D"/>
        </w:rPr>
        <w:t xml:space="preserve"> </w:t>
      </w:r>
      <w:r w:rsidRPr="00FC4A34">
        <w:rPr>
          <w:noProof w:val="0"/>
          <w:color w:val="17365D"/>
        </w:rPr>
        <w:t xml:space="preserve">nominālvērtībā </w:t>
      </w:r>
      <w:r w:rsidR="00586CC3" w:rsidRPr="00FC4A34">
        <w:rPr>
          <w:noProof w:val="0"/>
          <w:color w:val="17365D"/>
        </w:rPr>
        <w:t>(</w:t>
      </w:r>
      <w:r w:rsidR="002973DD" w:rsidRPr="00FC4A34">
        <w:rPr>
          <w:noProof w:val="0"/>
          <w:color w:val="17365D"/>
        </w:rPr>
        <w:t>4</w:t>
      </w:r>
      <w:r w:rsidR="00D93292" w:rsidRPr="00FC4A34">
        <w:rPr>
          <w:noProof w:val="0"/>
          <w:color w:val="17365D"/>
        </w:rPr>
        <w:t>2</w:t>
      </w:r>
      <w:r w:rsidR="002973DD" w:rsidRPr="00FC4A34">
        <w:rPr>
          <w:noProof w:val="0"/>
          <w:color w:val="17365D"/>
        </w:rPr>
        <w:t>,</w:t>
      </w:r>
      <w:r w:rsidR="00D93292" w:rsidRPr="00FC4A34">
        <w:rPr>
          <w:noProof w:val="0"/>
          <w:color w:val="17365D"/>
        </w:rPr>
        <w:t>9</w:t>
      </w:r>
      <w:r w:rsidR="003A28CB" w:rsidRPr="00FC4A34">
        <w:rPr>
          <w:noProof w:val="0"/>
          <w:color w:val="17365D"/>
        </w:rPr>
        <w:t> </w:t>
      </w:r>
      <w:r w:rsidR="00586CC3" w:rsidRPr="00FC4A34">
        <w:rPr>
          <w:noProof w:val="0"/>
          <w:color w:val="17365D"/>
        </w:rPr>
        <w:t xml:space="preserve">% no IKP), </w:t>
      </w:r>
      <w:r w:rsidR="00D93292" w:rsidRPr="00FC4A34">
        <w:rPr>
          <w:noProof w:val="0"/>
          <w:color w:val="17365D"/>
        </w:rPr>
        <w:t>ne</w:t>
      </w:r>
      <w:r w:rsidR="00CB645A">
        <w:rPr>
          <w:noProof w:val="0"/>
          <w:color w:val="17365D"/>
        </w:rPr>
        <w:t>sasniedzot</w:t>
      </w:r>
      <w:r w:rsidRPr="00FC4A34">
        <w:rPr>
          <w:noProof w:val="0"/>
          <w:color w:val="17365D"/>
        </w:rPr>
        <w:t xml:space="preserve"> </w:t>
      </w:r>
      <w:r w:rsidR="00586CC3" w:rsidRPr="00FC4A34">
        <w:rPr>
          <w:noProof w:val="0"/>
          <w:color w:val="17365D"/>
        </w:rPr>
        <w:t xml:space="preserve">likumā “Par valsts budžetu </w:t>
      </w:r>
      <w:r w:rsidR="004F273C" w:rsidRPr="00FC4A34">
        <w:rPr>
          <w:noProof w:val="0"/>
          <w:color w:val="17365D"/>
        </w:rPr>
        <w:t>2022.</w:t>
      </w:r>
      <w:r w:rsidR="0065571F" w:rsidRPr="00FC4A34">
        <w:rPr>
          <w:noProof w:val="0"/>
          <w:color w:val="17365D"/>
        </w:rPr>
        <w:t xml:space="preserve"> g</w:t>
      </w:r>
      <w:r w:rsidR="00586CC3" w:rsidRPr="00FC4A34">
        <w:rPr>
          <w:noProof w:val="0"/>
          <w:color w:val="17365D"/>
        </w:rPr>
        <w:t>adam” noteikt</w:t>
      </w:r>
      <w:r w:rsidRPr="00FC4A34">
        <w:rPr>
          <w:noProof w:val="0"/>
          <w:color w:val="17365D"/>
        </w:rPr>
        <w:t>o</w:t>
      </w:r>
      <w:r w:rsidR="00586CC3" w:rsidRPr="00FC4A34">
        <w:rPr>
          <w:noProof w:val="0"/>
          <w:color w:val="17365D"/>
        </w:rPr>
        <w:t xml:space="preserve"> maksimāl</w:t>
      </w:r>
      <w:r w:rsidR="00C615EF" w:rsidRPr="00FC4A34">
        <w:rPr>
          <w:noProof w:val="0"/>
          <w:color w:val="17365D"/>
        </w:rPr>
        <w:t>o valsts</w:t>
      </w:r>
      <w:r w:rsidR="00586CC3" w:rsidRPr="00FC4A34">
        <w:rPr>
          <w:noProof w:val="0"/>
          <w:color w:val="17365D"/>
        </w:rPr>
        <w:t xml:space="preserve"> parād</w:t>
      </w:r>
      <w:r w:rsidR="00C615EF" w:rsidRPr="00FC4A34">
        <w:rPr>
          <w:noProof w:val="0"/>
          <w:color w:val="17365D"/>
        </w:rPr>
        <w:t>u gada beigās</w:t>
      </w:r>
      <w:r w:rsidR="00586CC3" w:rsidRPr="00FC4A34">
        <w:rPr>
          <w:noProof w:val="0"/>
          <w:color w:val="17365D"/>
        </w:rPr>
        <w:t xml:space="preserve"> </w:t>
      </w:r>
      <w:r w:rsidR="002973DD" w:rsidRPr="00FC4A34">
        <w:rPr>
          <w:noProof w:val="0"/>
          <w:color w:val="17365D"/>
        </w:rPr>
        <w:t>1</w:t>
      </w:r>
      <w:r w:rsidR="00D93292" w:rsidRPr="00FC4A34">
        <w:rPr>
          <w:noProof w:val="0"/>
          <w:color w:val="17365D"/>
        </w:rPr>
        <w:t>7</w:t>
      </w:r>
      <w:r w:rsidR="005D6D28" w:rsidRPr="00FC4A34">
        <w:rPr>
          <w:noProof w:val="0"/>
          <w:color w:val="17365D"/>
        </w:rPr>
        <w:t> </w:t>
      </w:r>
      <w:r w:rsidR="00D93292" w:rsidRPr="00FC4A34">
        <w:rPr>
          <w:noProof w:val="0"/>
          <w:color w:val="17365D"/>
        </w:rPr>
        <w:t>015</w:t>
      </w:r>
      <w:r w:rsidR="00E1373E" w:rsidRPr="00FC4A34">
        <w:rPr>
          <w:noProof w:val="0"/>
          <w:color w:val="17365D"/>
        </w:rPr>
        <w:t> </w:t>
      </w:r>
      <w:r w:rsidR="00586CC3" w:rsidRPr="00FC4A34">
        <w:rPr>
          <w:noProof w:val="0"/>
          <w:color w:val="17365D"/>
        </w:rPr>
        <w:t>milj.</w:t>
      </w:r>
      <w:r w:rsidR="00F40829" w:rsidRPr="00FC4A34">
        <w:rPr>
          <w:noProof w:val="0"/>
          <w:color w:val="17365D"/>
        </w:rPr>
        <w:t> </w:t>
      </w:r>
      <w:proofErr w:type="spellStart"/>
      <w:r w:rsidR="003A28CB" w:rsidRPr="00FC4A34">
        <w:rPr>
          <w:i/>
          <w:noProof w:val="0"/>
          <w:color w:val="17365D"/>
        </w:rPr>
        <w:t>euro</w:t>
      </w:r>
      <w:proofErr w:type="spellEnd"/>
      <w:r w:rsidR="003A28CB" w:rsidRPr="00FC4A34">
        <w:rPr>
          <w:noProof w:val="0"/>
          <w:color w:val="17365D"/>
        </w:rPr>
        <w:t xml:space="preserve"> </w:t>
      </w:r>
      <w:r w:rsidR="00586CC3" w:rsidRPr="00FC4A34">
        <w:rPr>
          <w:noProof w:val="0"/>
          <w:color w:val="17365D"/>
        </w:rPr>
        <w:t>nominālvērtībā.</w:t>
      </w:r>
    </w:p>
    <w:p w14:paraId="3711A295" w14:textId="452A3060" w:rsidR="00301A1E" w:rsidRPr="00FC4A34" w:rsidRDefault="00301A1E" w:rsidP="00CD620A">
      <w:pPr>
        <w:pStyle w:val="Pamatteksts"/>
        <w:rPr>
          <w:noProof w:val="0"/>
          <w:color w:val="17365D"/>
        </w:rPr>
      </w:pPr>
      <w:r w:rsidRPr="00FC4A34">
        <w:rPr>
          <w:noProof w:val="0"/>
          <w:color w:val="17365D"/>
        </w:rPr>
        <w:t xml:space="preserve">Ievērojamu valsts parāda pieaugumu izraisīja nepieciešamība nodrošināt </w:t>
      </w:r>
      <w:r w:rsidR="000D224A" w:rsidRPr="00FC4A34">
        <w:rPr>
          <w:noProof w:val="0"/>
          <w:color w:val="17365D"/>
        </w:rPr>
        <w:t>resursus</w:t>
      </w:r>
      <w:r w:rsidRPr="00FC4A34">
        <w:rPr>
          <w:noProof w:val="0"/>
          <w:color w:val="17365D"/>
        </w:rPr>
        <w:t xml:space="preserve"> kopējās finansēšanas nepieciešamības segšanai</w:t>
      </w:r>
      <w:r w:rsidR="000D224A" w:rsidRPr="00FC4A34">
        <w:rPr>
          <w:noProof w:val="0"/>
          <w:color w:val="17365D"/>
        </w:rPr>
        <w:t xml:space="preserve"> – valsts budžeta deficīta finansēšanai, valsts aizdevumu nodrošināšanai un valsts parāda saistību izpildei, t.sk. Covid-19 </w:t>
      </w:r>
      <w:r w:rsidRPr="00FC4A34">
        <w:rPr>
          <w:noProof w:val="0"/>
          <w:color w:val="17365D"/>
        </w:rPr>
        <w:t xml:space="preserve">uzliesmojuma ietekmes mazināšanas un </w:t>
      </w:r>
      <w:r w:rsidR="000D224A" w:rsidRPr="00FC4A34">
        <w:rPr>
          <w:noProof w:val="0"/>
          <w:color w:val="17365D"/>
        </w:rPr>
        <w:t>augsto enerģijas cenu kompensēšanai.</w:t>
      </w:r>
    </w:p>
    <w:p w14:paraId="4E8735A7" w14:textId="5965DEDF" w:rsidR="00A2789A" w:rsidRPr="00FC4A34" w:rsidRDefault="00586CC3" w:rsidP="00586CC3">
      <w:pPr>
        <w:pStyle w:val="Pamatteksts"/>
        <w:rPr>
          <w:noProof w:val="0"/>
          <w:color w:val="17365D"/>
        </w:rPr>
      </w:pPr>
      <w:r w:rsidRPr="00FC4A34">
        <w:rPr>
          <w:noProof w:val="0"/>
          <w:color w:val="17365D"/>
        </w:rPr>
        <w:t xml:space="preserve">Valsts parāds uzskaites vērtībā </w:t>
      </w:r>
      <w:r w:rsidR="004F273C" w:rsidRPr="00FC4A34">
        <w:rPr>
          <w:noProof w:val="0"/>
          <w:color w:val="17365D"/>
        </w:rPr>
        <w:t>2022.</w:t>
      </w:r>
      <w:r w:rsidR="0065571F" w:rsidRPr="00FC4A34">
        <w:rPr>
          <w:noProof w:val="0"/>
          <w:color w:val="17365D"/>
        </w:rPr>
        <w:t xml:space="preserve"> g</w:t>
      </w:r>
      <w:r w:rsidRPr="00FC4A34">
        <w:rPr>
          <w:noProof w:val="0"/>
          <w:color w:val="17365D"/>
        </w:rPr>
        <w:t>ada 31.</w:t>
      </w:r>
      <w:r w:rsidR="00CA2BC9" w:rsidRPr="00FC4A34">
        <w:rPr>
          <w:noProof w:val="0"/>
          <w:color w:val="17365D"/>
        </w:rPr>
        <w:t> </w:t>
      </w:r>
      <w:r w:rsidRPr="00FC4A34">
        <w:rPr>
          <w:noProof w:val="0"/>
          <w:color w:val="17365D"/>
        </w:rPr>
        <w:t xml:space="preserve">decembrī ir </w:t>
      </w:r>
      <w:r w:rsidR="002973DD" w:rsidRPr="00FC4A34">
        <w:rPr>
          <w:noProof w:val="0"/>
          <w:color w:val="17365D"/>
        </w:rPr>
        <w:t>1</w:t>
      </w:r>
      <w:r w:rsidR="00781FC4" w:rsidRPr="00FC4A34">
        <w:rPr>
          <w:noProof w:val="0"/>
          <w:color w:val="17365D"/>
        </w:rPr>
        <w:t>6</w:t>
      </w:r>
      <w:r w:rsidR="00A420EA" w:rsidRPr="00FC4A34">
        <w:rPr>
          <w:noProof w:val="0"/>
          <w:color w:val="17365D"/>
        </w:rPr>
        <w:t> </w:t>
      </w:r>
      <w:r w:rsidR="00781FC4" w:rsidRPr="00FC4A34">
        <w:rPr>
          <w:noProof w:val="0"/>
          <w:color w:val="17365D"/>
        </w:rPr>
        <w:t>763</w:t>
      </w:r>
      <w:r w:rsidR="00A420EA" w:rsidRPr="00FC4A34">
        <w:rPr>
          <w:noProof w:val="0"/>
          <w:color w:val="17365D"/>
        </w:rPr>
        <w:t>,</w:t>
      </w:r>
      <w:r w:rsidR="00781FC4" w:rsidRPr="00FC4A34">
        <w:rPr>
          <w:noProof w:val="0"/>
          <w:color w:val="17365D"/>
        </w:rPr>
        <w:t>9</w:t>
      </w:r>
      <w:r w:rsidR="006A3514" w:rsidRPr="00FC4A34">
        <w:rPr>
          <w:noProof w:val="0"/>
          <w:color w:val="17365D"/>
        </w:rPr>
        <w:t xml:space="preserve"> </w:t>
      </w:r>
      <w:r w:rsidRPr="00FC4A34">
        <w:rPr>
          <w:noProof w:val="0"/>
          <w:color w:val="17365D"/>
        </w:rPr>
        <w:t xml:space="preserve">milj. </w:t>
      </w:r>
      <w:proofErr w:type="spellStart"/>
      <w:r w:rsidR="006A3514" w:rsidRPr="00FC4A34">
        <w:rPr>
          <w:i/>
          <w:noProof w:val="0"/>
          <w:color w:val="17365D"/>
        </w:rPr>
        <w:t>euro</w:t>
      </w:r>
      <w:proofErr w:type="spellEnd"/>
      <w:r w:rsidR="006A3514" w:rsidRPr="00FC4A34">
        <w:rPr>
          <w:noProof w:val="0"/>
          <w:color w:val="17365D"/>
        </w:rPr>
        <w:t xml:space="preserve"> </w:t>
      </w:r>
      <w:r w:rsidRPr="00FC4A34">
        <w:rPr>
          <w:noProof w:val="0"/>
          <w:color w:val="17365D"/>
        </w:rPr>
        <w:t>(</w:t>
      </w:r>
      <w:r w:rsidR="002973DD" w:rsidRPr="00FC4A34">
        <w:rPr>
          <w:noProof w:val="0"/>
          <w:color w:val="17365D"/>
        </w:rPr>
        <w:t>4</w:t>
      </w:r>
      <w:r w:rsidR="00781FC4" w:rsidRPr="00FC4A34">
        <w:rPr>
          <w:noProof w:val="0"/>
          <w:color w:val="17365D"/>
        </w:rPr>
        <w:t>2</w:t>
      </w:r>
      <w:r w:rsidR="00BA0171" w:rsidRPr="00FC4A34">
        <w:rPr>
          <w:noProof w:val="0"/>
          <w:color w:val="17365D"/>
        </w:rPr>
        <w:t>,</w:t>
      </w:r>
      <w:r w:rsidR="00781FC4" w:rsidRPr="00FC4A34">
        <w:rPr>
          <w:noProof w:val="0"/>
          <w:color w:val="17365D"/>
        </w:rPr>
        <w:t>9</w:t>
      </w:r>
      <w:r w:rsidR="00730A88" w:rsidRPr="00FC4A34">
        <w:rPr>
          <w:noProof w:val="0"/>
          <w:color w:val="17365D"/>
        </w:rPr>
        <w:t> </w:t>
      </w:r>
      <w:r w:rsidRPr="00FC4A34">
        <w:rPr>
          <w:noProof w:val="0"/>
          <w:color w:val="17365D"/>
        </w:rPr>
        <w:t>% no IKP (skatīt 1.</w:t>
      </w:r>
      <w:r w:rsidR="00CA2BC9" w:rsidRPr="00FC4A34">
        <w:rPr>
          <w:noProof w:val="0"/>
          <w:color w:val="17365D"/>
        </w:rPr>
        <w:t> </w:t>
      </w:r>
      <w:r w:rsidR="00D2009D" w:rsidRPr="00FC4A34">
        <w:rPr>
          <w:noProof w:val="0"/>
          <w:color w:val="17365D"/>
        </w:rPr>
        <w:t>attēlu</w:t>
      </w:r>
      <w:r w:rsidRPr="00FC4A34">
        <w:rPr>
          <w:noProof w:val="0"/>
          <w:color w:val="17365D"/>
        </w:rPr>
        <w:t>).</w:t>
      </w:r>
    </w:p>
    <w:p w14:paraId="3422167E" w14:textId="5A3874E5" w:rsidR="00123F69" w:rsidRPr="00FC4A34" w:rsidRDefault="00F562B1" w:rsidP="00AA2A7F">
      <w:pPr>
        <w:pStyle w:val="Pamatteksts"/>
        <w:ind w:firstLine="0"/>
        <w:rPr>
          <w:noProof w:val="0"/>
          <w:color w:val="17365D"/>
        </w:rPr>
      </w:pPr>
      <w:r w:rsidRPr="00FC4A34">
        <w:rPr>
          <w:color w:val="17365D"/>
        </w:rPr>
        <w:t xml:space="preserve"> </w:t>
      </w:r>
      <w:r w:rsidR="00781FC4" w:rsidRPr="00FC4A34">
        <w:rPr>
          <w:color w:val="17365D"/>
        </w:rPr>
        <w:drawing>
          <wp:inline distT="0" distB="0" distL="0" distR="0" wp14:anchorId="5B0AF637" wp14:editId="337C9068">
            <wp:extent cx="5939790" cy="3878580"/>
            <wp:effectExtent l="0" t="0" r="381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781FC4" w:rsidRPr="00FC4A34">
        <w:rPr>
          <w:color w:val="17365D"/>
        </w:rPr>
        <w:t xml:space="preserve"> </w:t>
      </w:r>
    </w:p>
    <w:p w14:paraId="1AC5BCE9" w14:textId="77777777" w:rsidR="004D0F51" w:rsidRPr="00FC4A34" w:rsidRDefault="004D0F51" w:rsidP="009854D4">
      <w:pPr>
        <w:pStyle w:val="Pamatteksts"/>
        <w:spacing w:line="360" w:lineRule="auto"/>
        <w:ind w:firstLine="0"/>
        <w:jc w:val="center"/>
        <w:rPr>
          <w:noProof w:val="0"/>
          <w:color w:val="17365D"/>
        </w:rPr>
      </w:pPr>
      <w:r w:rsidRPr="00FC4A34">
        <w:rPr>
          <w:i/>
          <w:noProof w:val="0"/>
          <w:color w:val="17365D"/>
          <w:sz w:val="20"/>
          <w:szCs w:val="20"/>
        </w:rPr>
        <w:t>1. attēls</w:t>
      </w:r>
      <w:r w:rsidR="0065024F" w:rsidRPr="00FC4A34">
        <w:rPr>
          <w:i/>
          <w:noProof w:val="0"/>
          <w:color w:val="17365D"/>
          <w:sz w:val="20"/>
          <w:szCs w:val="20"/>
        </w:rPr>
        <w:t>.</w:t>
      </w:r>
      <w:r w:rsidRPr="00FC4A34">
        <w:rPr>
          <w:i/>
          <w:noProof w:val="0"/>
          <w:color w:val="17365D"/>
          <w:sz w:val="20"/>
          <w:szCs w:val="20"/>
        </w:rPr>
        <w:t xml:space="preserve"> Valsts parāda </w:t>
      </w:r>
      <w:r w:rsidR="00F14635" w:rsidRPr="00FC4A34">
        <w:rPr>
          <w:i/>
          <w:noProof w:val="0"/>
          <w:color w:val="17365D"/>
          <w:sz w:val="20"/>
          <w:szCs w:val="20"/>
        </w:rPr>
        <w:t>izmaiņas</w:t>
      </w:r>
      <w:r w:rsidR="009D4755" w:rsidRPr="00FC4A34">
        <w:rPr>
          <w:i/>
          <w:noProof w:val="0"/>
          <w:color w:val="17365D"/>
          <w:sz w:val="20"/>
          <w:szCs w:val="20"/>
        </w:rPr>
        <w:t xml:space="preserve"> </w:t>
      </w:r>
      <w:r w:rsidRPr="00FC4A34">
        <w:rPr>
          <w:i/>
          <w:noProof w:val="0"/>
          <w:color w:val="17365D"/>
          <w:sz w:val="20"/>
          <w:szCs w:val="20"/>
        </w:rPr>
        <w:t>(uzskaites vērtībā, % no IKP)</w:t>
      </w:r>
    </w:p>
    <w:p w14:paraId="2EED0805" w14:textId="26C2C81A" w:rsidR="00D3259D" w:rsidRPr="00FC4A34" w:rsidRDefault="004F273C" w:rsidP="00D3259D">
      <w:pPr>
        <w:pStyle w:val="Pamatteksts"/>
        <w:rPr>
          <w:noProof w:val="0"/>
          <w:color w:val="17365D"/>
        </w:rPr>
      </w:pPr>
      <w:r w:rsidRPr="00FC4A34">
        <w:rPr>
          <w:noProof w:val="0"/>
          <w:color w:val="17365D"/>
        </w:rPr>
        <w:t>2022.</w:t>
      </w:r>
      <w:r w:rsidR="0065571F" w:rsidRPr="00FC4A34">
        <w:rPr>
          <w:noProof w:val="0"/>
          <w:color w:val="17365D"/>
        </w:rPr>
        <w:t xml:space="preserve"> g</w:t>
      </w:r>
      <w:r w:rsidR="0061737C" w:rsidRPr="00FC4A34">
        <w:rPr>
          <w:noProof w:val="0"/>
          <w:color w:val="17365D"/>
        </w:rPr>
        <w:t xml:space="preserve">ada beigās valsts parāda struktūrā lielāko </w:t>
      </w:r>
      <w:r w:rsidR="001457B9" w:rsidRPr="00FC4A34">
        <w:rPr>
          <w:noProof w:val="0"/>
          <w:color w:val="17365D"/>
        </w:rPr>
        <w:t>īpatsvaru</w:t>
      </w:r>
      <w:r w:rsidR="00764B13" w:rsidRPr="00FC4A34">
        <w:rPr>
          <w:noProof w:val="0"/>
          <w:color w:val="17365D"/>
        </w:rPr>
        <w:t xml:space="preserve"> veido</w:t>
      </w:r>
      <w:r w:rsidR="00884765" w:rsidRPr="00FC4A34">
        <w:rPr>
          <w:noProof w:val="0"/>
          <w:color w:val="17365D"/>
        </w:rPr>
        <w:t>ja</w:t>
      </w:r>
      <w:r w:rsidR="001457B9" w:rsidRPr="00FC4A34">
        <w:rPr>
          <w:noProof w:val="0"/>
          <w:color w:val="17365D"/>
        </w:rPr>
        <w:t xml:space="preserve"> ārējais parāds</w:t>
      </w:r>
      <w:r w:rsidR="00101767" w:rsidRPr="00FC4A34">
        <w:rPr>
          <w:noProof w:val="0"/>
          <w:color w:val="17365D"/>
        </w:rPr>
        <w:t>. Liel</w:t>
      </w:r>
      <w:r w:rsidR="00764B13" w:rsidRPr="00FC4A34">
        <w:rPr>
          <w:noProof w:val="0"/>
          <w:color w:val="17365D"/>
        </w:rPr>
        <w:t>āko ārējā parāda daļu veido</w:t>
      </w:r>
      <w:r w:rsidR="0061737C" w:rsidRPr="00FC4A34">
        <w:rPr>
          <w:noProof w:val="0"/>
          <w:color w:val="17365D"/>
        </w:rPr>
        <w:t xml:space="preserve"> Latvijas valdības starptautiskajos finan</w:t>
      </w:r>
      <w:r w:rsidR="004F3663" w:rsidRPr="00FC4A34">
        <w:rPr>
          <w:noProof w:val="0"/>
          <w:color w:val="17365D"/>
        </w:rPr>
        <w:t xml:space="preserve">šu tirgos emitētās </w:t>
      </w:r>
      <w:r w:rsidR="002437F1" w:rsidRPr="00FC4A34">
        <w:rPr>
          <w:noProof w:val="0"/>
          <w:color w:val="17365D"/>
        </w:rPr>
        <w:t>eiro</w:t>
      </w:r>
      <w:r w:rsidR="004F3663" w:rsidRPr="00FC4A34">
        <w:rPr>
          <w:noProof w:val="0"/>
          <w:color w:val="17365D"/>
        </w:rPr>
        <w:t>obligācijas</w:t>
      </w:r>
      <w:r w:rsidR="00BF629B" w:rsidRPr="00FC4A34">
        <w:rPr>
          <w:noProof w:val="0"/>
          <w:color w:val="17365D"/>
        </w:rPr>
        <w:t>, kuru papildu laidieni tiek piedāvāti arī iekšējā tirgū</w:t>
      </w:r>
      <w:r w:rsidR="004F3663" w:rsidRPr="00FC4A34">
        <w:rPr>
          <w:noProof w:val="0"/>
          <w:color w:val="17365D"/>
        </w:rPr>
        <w:t xml:space="preserve">. </w:t>
      </w:r>
      <w:r w:rsidR="0061737C" w:rsidRPr="00FC4A34">
        <w:rPr>
          <w:noProof w:val="0"/>
          <w:color w:val="17365D"/>
        </w:rPr>
        <w:t>Nelielu</w:t>
      </w:r>
      <w:r w:rsidR="001457B9" w:rsidRPr="00FC4A34">
        <w:rPr>
          <w:noProof w:val="0"/>
          <w:color w:val="17365D"/>
        </w:rPr>
        <w:t xml:space="preserve"> </w:t>
      </w:r>
      <w:r w:rsidR="008427F9" w:rsidRPr="00FC4A34">
        <w:rPr>
          <w:noProof w:val="0"/>
          <w:color w:val="17365D"/>
        </w:rPr>
        <w:t xml:space="preserve">ārējā </w:t>
      </w:r>
      <w:r w:rsidR="001457B9" w:rsidRPr="00FC4A34">
        <w:rPr>
          <w:noProof w:val="0"/>
          <w:color w:val="17365D"/>
        </w:rPr>
        <w:t>parāda daļu</w:t>
      </w:r>
      <w:r w:rsidR="0061737C" w:rsidRPr="00FC4A34">
        <w:rPr>
          <w:noProof w:val="0"/>
          <w:color w:val="17365D"/>
        </w:rPr>
        <w:t xml:space="preserve"> veido aizņēmumi no</w:t>
      </w:r>
      <w:r w:rsidR="00BE0055" w:rsidRPr="00FC4A34">
        <w:rPr>
          <w:noProof w:val="0"/>
          <w:color w:val="17365D"/>
        </w:rPr>
        <w:t xml:space="preserve"> Eiropas </w:t>
      </w:r>
      <w:r w:rsidR="003411BB" w:rsidRPr="00FC4A34">
        <w:rPr>
          <w:noProof w:val="0"/>
          <w:color w:val="17365D"/>
        </w:rPr>
        <w:t>Komisijas</w:t>
      </w:r>
      <w:r w:rsidR="001457B9" w:rsidRPr="00FC4A34">
        <w:rPr>
          <w:noProof w:val="0"/>
          <w:color w:val="17365D"/>
        </w:rPr>
        <w:t>, Ziemeļu Investīciju bankas</w:t>
      </w:r>
      <w:r w:rsidR="004F3663" w:rsidRPr="00FC4A34">
        <w:rPr>
          <w:noProof w:val="0"/>
          <w:color w:val="17365D"/>
        </w:rPr>
        <w:t xml:space="preserve"> </w:t>
      </w:r>
      <w:r w:rsidR="0061737C" w:rsidRPr="00FC4A34">
        <w:rPr>
          <w:noProof w:val="0"/>
          <w:color w:val="17365D"/>
        </w:rPr>
        <w:t>un citām starptautiskajām finanšu institūcijām</w:t>
      </w:r>
      <w:r w:rsidR="009B05B7" w:rsidRPr="00FC4A34">
        <w:rPr>
          <w:noProof w:val="0"/>
          <w:color w:val="17365D"/>
        </w:rPr>
        <w:t>.</w:t>
      </w:r>
      <w:r w:rsidR="0061737C" w:rsidRPr="00FC4A34">
        <w:rPr>
          <w:noProof w:val="0"/>
          <w:color w:val="17365D"/>
        </w:rPr>
        <w:t xml:space="preserve"> </w:t>
      </w:r>
      <w:r w:rsidR="009B05B7" w:rsidRPr="00FC4A34">
        <w:rPr>
          <w:noProof w:val="0"/>
          <w:color w:val="17365D"/>
        </w:rPr>
        <w:t>K</w:t>
      </w:r>
      <w:r w:rsidR="0061737C" w:rsidRPr="00FC4A34">
        <w:rPr>
          <w:noProof w:val="0"/>
          <w:color w:val="17365D"/>
        </w:rPr>
        <w:t>opēja</w:t>
      </w:r>
      <w:r w:rsidR="009B05B7" w:rsidRPr="00FC4A34">
        <w:rPr>
          <w:noProof w:val="0"/>
          <w:color w:val="17365D"/>
        </w:rPr>
        <w:t>is</w:t>
      </w:r>
      <w:r w:rsidR="0061737C" w:rsidRPr="00FC4A34">
        <w:rPr>
          <w:noProof w:val="0"/>
          <w:color w:val="17365D"/>
        </w:rPr>
        <w:t xml:space="preserve"> ārējā parāda </w:t>
      </w:r>
      <w:r w:rsidR="009B05B7" w:rsidRPr="00FC4A34">
        <w:rPr>
          <w:noProof w:val="0"/>
          <w:color w:val="17365D"/>
        </w:rPr>
        <w:t xml:space="preserve">īpatsvars </w:t>
      </w:r>
      <w:r w:rsidR="0061737C" w:rsidRPr="00FC4A34">
        <w:rPr>
          <w:noProof w:val="0"/>
          <w:color w:val="17365D"/>
        </w:rPr>
        <w:t>valsts parāda struktūrā sasniedz</w:t>
      </w:r>
      <w:r w:rsidR="001D7528" w:rsidRPr="00FC4A34">
        <w:rPr>
          <w:noProof w:val="0"/>
          <w:color w:val="17365D"/>
        </w:rPr>
        <w:t xml:space="preserve"> </w:t>
      </w:r>
      <w:r w:rsidR="00BA21BF" w:rsidRPr="00FC4A34">
        <w:rPr>
          <w:noProof w:val="0"/>
          <w:color w:val="17365D"/>
        </w:rPr>
        <w:t>8</w:t>
      </w:r>
      <w:r w:rsidR="00CD63EE" w:rsidRPr="00FC4A34">
        <w:rPr>
          <w:noProof w:val="0"/>
          <w:color w:val="17365D"/>
        </w:rPr>
        <w:t>6</w:t>
      </w:r>
      <w:r w:rsidR="0084767D" w:rsidRPr="00FC4A34">
        <w:rPr>
          <w:noProof w:val="0"/>
          <w:color w:val="17365D"/>
        </w:rPr>
        <w:t>,</w:t>
      </w:r>
      <w:r w:rsidR="00BA21BF" w:rsidRPr="00FC4A34">
        <w:rPr>
          <w:noProof w:val="0"/>
          <w:color w:val="17365D"/>
        </w:rPr>
        <w:t>1</w:t>
      </w:r>
      <w:r w:rsidR="0061737C" w:rsidRPr="00FC4A34">
        <w:rPr>
          <w:noProof w:val="0"/>
          <w:color w:val="17365D"/>
        </w:rPr>
        <w:t xml:space="preserve"> %. </w:t>
      </w:r>
      <w:r w:rsidR="00D3259D" w:rsidRPr="00FC4A34">
        <w:rPr>
          <w:noProof w:val="0"/>
          <w:color w:val="17365D"/>
        </w:rPr>
        <w:t xml:space="preserve">Iekšējais parāds </w:t>
      </w:r>
      <w:r w:rsidR="009B0B43" w:rsidRPr="00FC4A34">
        <w:rPr>
          <w:noProof w:val="0"/>
          <w:color w:val="17365D"/>
        </w:rPr>
        <w:t>veido</w:t>
      </w:r>
      <w:r w:rsidR="00D3259D" w:rsidRPr="00FC4A34">
        <w:rPr>
          <w:noProof w:val="0"/>
          <w:color w:val="17365D"/>
        </w:rPr>
        <w:t xml:space="preserve"> </w:t>
      </w:r>
      <w:r w:rsidR="00BA21BF" w:rsidRPr="00FC4A34">
        <w:rPr>
          <w:noProof w:val="0"/>
          <w:color w:val="17365D"/>
        </w:rPr>
        <w:t>1</w:t>
      </w:r>
      <w:r w:rsidR="00CD63EE" w:rsidRPr="00FC4A34">
        <w:rPr>
          <w:noProof w:val="0"/>
          <w:color w:val="17365D"/>
        </w:rPr>
        <w:t>3</w:t>
      </w:r>
      <w:r w:rsidR="009C6020" w:rsidRPr="00FC4A34">
        <w:rPr>
          <w:noProof w:val="0"/>
          <w:color w:val="17365D"/>
        </w:rPr>
        <w:t>,</w:t>
      </w:r>
      <w:r w:rsidR="00BA21BF" w:rsidRPr="00FC4A34">
        <w:rPr>
          <w:noProof w:val="0"/>
          <w:color w:val="17365D"/>
        </w:rPr>
        <w:t>9</w:t>
      </w:r>
      <w:r w:rsidR="00E42D55" w:rsidRPr="00FC4A34">
        <w:rPr>
          <w:noProof w:val="0"/>
          <w:color w:val="17365D"/>
        </w:rPr>
        <w:t> </w:t>
      </w:r>
      <w:r w:rsidR="00D3259D" w:rsidRPr="00FC4A34">
        <w:rPr>
          <w:noProof w:val="0"/>
          <w:color w:val="17365D"/>
        </w:rPr>
        <w:t xml:space="preserve">% no kopējā </w:t>
      </w:r>
      <w:r w:rsidR="009B0B43" w:rsidRPr="00FC4A34">
        <w:rPr>
          <w:noProof w:val="0"/>
          <w:color w:val="17365D"/>
        </w:rPr>
        <w:t xml:space="preserve">valsts </w:t>
      </w:r>
      <w:r w:rsidR="00D3259D" w:rsidRPr="00FC4A34">
        <w:rPr>
          <w:noProof w:val="0"/>
          <w:color w:val="17365D"/>
        </w:rPr>
        <w:t>parāda apjoma.</w:t>
      </w:r>
      <w:r w:rsidR="00F6473B" w:rsidRPr="00FC4A34">
        <w:rPr>
          <w:b/>
          <w:color w:val="17365D"/>
        </w:rPr>
        <w:t xml:space="preserve"> </w:t>
      </w:r>
    </w:p>
    <w:p w14:paraId="56596555" w14:textId="291012EE" w:rsidR="00AE7885" w:rsidRPr="00FC4A34" w:rsidRDefault="00510D9C" w:rsidP="00AE7885">
      <w:pPr>
        <w:pStyle w:val="Pamatteksts"/>
        <w:rPr>
          <w:noProof w:val="0"/>
          <w:color w:val="17365D"/>
        </w:rPr>
      </w:pPr>
      <w:r w:rsidRPr="00FC4A34">
        <w:rPr>
          <w:b/>
          <w:color w:val="17365D"/>
        </w:rPr>
        <mc:AlternateContent>
          <mc:Choice Requires="wps">
            <w:drawing>
              <wp:anchor distT="0" distB="0" distL="114300" distR="114300" simplePos="0" relativeHeight="251704320" behindDoc="0" locked="0" layoutInCell="1" allowOverlap="1" wp14:anchorId="445CFE3F" wp14:editId="26560436">
                <wp:simplePos x="0" y="0"/>
                <wp:positionH relativeFrom="column">
                  <wp:posOffset>4261485</wp:posOffset>
                </wp:positionH>
                <wp:positionV relativeFrom="paragraph">
                  <wp:posOffset>418465</wp:posOffset>
                </wp:positionV>
                <wp:extent cx="1681200" cy="1029600"/>
                <wp:effectExtent l="0" t="0" r="14605" b="18415"/>
                <wp:wrapSquare wrapText="bothSides"/>
                <wp:docPr id="3" name="Rectangle 3"/>
                <wp:cNvGraphicFramePr/>
                <a:graphic xmlns:a="http://schemas.openxmlformats.org/drawingml/2006/main">
                  <a:graphicData uri="http://schemas.microsoft.com/office/word/2010/wordprocessingShape">
                    <wps:wsp>
                      <wps:cNvSpPr/>
                      <wps:spPr>
                        <a:xfrm>
                          <a:off x="0" y="0"/>
                          <a:ext cx="1681200" cy="1029600"/>
                        </a:xfrm>
                        <a:prstGeom prst="rect">
                          <a:avLst/>
                        </a:prstGeom>
                        <a:solidFill>
                          <a:sysClr val="window" lastClr="FFFFFF"/>
                        </a:solidFill>
                        <a:ln w="25400" cap="flat" cmpd="sng" algn="ctr">
                          <a:solidFill>
                            <a:srgbClr val="17375E"/>
                          </a:solidFill>
                          <a:prstDash val="sysDot"/>
                        </a:ln>
                        <a:effectLst/>
                      </wps:spPr>
                      <wps:txbx>
                        <w:txbxContent>
                          <w:p w14:paraId="31B2F2E2" w14:textId="723FA6A5" w:rsidR="00C50725" w:rsidRPr="00554158" w:rsidRDefault="00C50725" w:rsidP="00510D9C">
                            <w:pPr>
                              <w:spacing w:after="0"/>
                              <w:ind w:firstLine="0"/>
                              <w:jc w:val="center"/>
                              <w:rPr>
                                <w:color w:val="17375E"/>
                              </w:rPr>
                            </w:pPr>
                            <w:r>
                              <w:rPr>
                                <w:color w:val="17375E"/>
                              </w:rPr>
                              <w:t xml:space="preserve">Valsts ārējais parāds </w:t>
                            </w:r>
                            <w:r w:rsidRPr="00F27773">
                              <w:rPr>
                                <w:i/>
                                <w:color w:val="17375E"/>
                              </w:rPr>
                              <w:t xml:space="preserve">nominālvērtībā </w:t>
                            </w:r>
                            <w:r>
                              <w:rPr>
                                <w:color w:val="17375E"/>
                              </w:rPr>
                              <w:t xml:space="preserve">– </w:t>
                            </w:r>
                            <w:r w:rsidR="00CD63EE" w:rsidRPr="00FC4A34">
                              <w:rPr>
                                <w:b/>
                                <w:color w:val="17375E"/>
                              </w:rPr>
                              <w:t>1</w:t>
                            </w:r>
                            <w:r w:rsidR="00312D93" w:rsidRPr="00FC4A34">
                              <w:rPr>
                                <w:b/>
                                <w:color w:val="17375E"/>
                              </w:rPr>
                              <w:t>4</w:t>
                            </w:r>
                            <w:r w:rsidRPr="00FC4A34">
                              <w:rPr>
                                <w:b/>
                                <w:color w:val="17375E"/>
                              </w:rPr>
                              <w:t> </w:t>
                            </w:r>
                            <w:r w:rsidR="00312D93" w:rsidRPr="00FC4A34">
                              <w:rPr>
                                <w:b/>
                                <w:color w:val="17375E"/>
                              </w:rPr>
                              <w:t>431</w:t>
                            </w:r>
                            <w:r w:rsidRPr="00FC4A34">
                              <w:rPr>
                                <w:b/>
                                <w:color w:val="17375E"/>
                              </w:rPr>
                              <w:t>,</w:t>
                            </w:r>
                            <w:r w:rsidR="00312D93" w:rsidRPr="00FC4A34">
                              <w:rPr>
                                <w:b/>
                                <w:color w:val="17375E"/>
                              </w:rPr>
                              <w:t>5</w:t>
                            </w:r>
                            <w:r w:rsidRPr="008F21B9">
                              <w:rPr>
                                <w:color w:val="17375E"/>
                              </w:rPr>
                              <w:t xml:space="preserve"> milj</w:t>
                            </w:r>
                            <w:r>
                              <w:rPr>
                                <w:color w:val="17375E"/>
                              </w:rPr>
                              <w:t xml:space="preserve">. </w:t>
                            </w:r>
                            <w:proofErr w:type="spellStart"/>
                            <w:r w:rsidRPr="00AE7885">
                              <w:rPr>
                                <w:i/>
                                <w:color w:val="17375E"/>
                              </w:rPr>
                              <w:t>euro</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5CFE3F" id="Rectangle 3" o:spid="_x0000_s1028" style="position:absolute;left:0;text-align:left;margin-left:335.55pt;margin-top:32.95pt;width:132.4pt;height:81.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" fillcolor="window" strokecolor="#17375e" strokeweight="2pt">
                <v:stroke dashstyle="1 1"/>
                <v:textbox>
                  <w:txbxContent>
                    <w:p w14:paraId="31B2F2E2" w14:textId="723FA6A5" w:rsidR="00C50725" w:rsidRPr="00554158" w:rsidRDefault="00C50725" w:rsidP="00510D9C">
                      <w:pPr>
                        <w:spacing w:after="0"/>
                        <w:ind w:firstLine="0"/>
                        <w:jc w:val="center"/>
                        <w:rPr>
                          <w:color w:val="17375E"/>
                        </w:rPr>
                      </w:pPr>
                      <w:r>
                        <w:rPr>
                          <w:color w:val="17375E"/>
                        </w:rPr>
                        <w:t xml:space="preserve">Valsts ārējais parāds </w:t>
                      </w:r>
                      <w:r w:rsidRPr="00F27773">
                        <w:rPr>
                          <w:i/>
                          <w:color w:val="17375E"/>
                        </w:rPr>
                        <w:t xml:space="preserve">nominālvērtībā </w:t>
                      </w:r>
                      <w:r>
                        <w:rPr>
                          <w:color w:val="17375E"/>
                        </w:rPr>
                        <w:t xml:space="preserve">– </w:t>
                      </w:r>
                      <w:r w:rsidR="00CD63EE" w:rsidRPr="00FC4A34">
                        <w:rPr>
                          <w:b/>
                          <w:color w:val="17375E"/>
                        </w:rPr>
                        <w:t>1</w:t>
                      </w:r>
                      <w:r w:rsidR="00312D93" w:rsidRPr="00FC4A34">
                        <w:rPr>
                          <w:b/>
                          <w:color w:val="17375E"/>
                        </w:rPr>
                        <w:t>4</w:t>
                      </w:r>
                      <w:r w:rsidRPr="00FC4A34">
                        <w:rPr>
                          <w:b/>
                          <w:color w:val="17375E"/>
                        </w:rPr>
                        <w:t> </w:t>
                      </w:r>
                      <w:r w:rsidR="00312D93" w:rsidRPr="00FC4A34">
                        <w:rPr>
                          <w:b/>
                          <w:color w:val="17375E"/>
                        </w:rPr>
                        <w:t>431</w:t>
                      </w:r>
                      <w:r w:rsidRPr="00FC4A34">
                        <w:rPr>
                          <w:b/>
                          <w:color w:val="17375E"/>
                        </w:rPr>
                        <w:t>,</w:t>
                      </w:r>
                      <w:r w:rsidR="00312D93" w:rsidRPr="00FC4A34">
                        <w:rPr>
                          <w:b/>
                          <w:color w:val="17375E"/>
                        </w:rPr>
                        <w:t>5</w:t>
                      </w:r>
                      <w:r w:rsidRPr="008F21B9">
                        <w:rPr>
                          <w:color w:val="17375E"/>
                        </w:rPr>
                        <w:t xml:space="preserve"> milj</w:t>
                      </w:r>
                      <w:r>
                        <w:rPr>
                          <w:color w:val="17375E"/>
                        </w:rPr>
                        <w:t xml:space="preserve">. </w:t>
                      </w:r>
                      <w:proofErr w:type="spellStart"/>
                      <w:r w:rsidRPr="00AE7885">
                        <w:rPr>
                          <w:i/>
                          <w:color w:val="17375E"/>
                        </w:rPr>
                        <w:t>euro</w:t>
                      </w:r>
                      <w:proofErr w:type="spellEnd"/>
                    </w:p>
                  </w:txbxContent>
                </v:textbox>
                <w10:wrap type="square"/>
              </v:rect>
            </w:pict>
          </mc:Fallback>
        </mc:AlternateContent>
      </w:r>
      <w:r w:rsidR="00AE7885" w:rsidRPr="00FC4A34">
        <w:rPr>
          <w:rFonts w:eastAsiaTheme="majorEastAsia"/>
          <w:b/>
          <w:noProof w:val="0"/>
          <w:color w:val="17365D"/>
        </w:rPr>
        <w:t>Valsts ārējais parāds</w:t>
      </w:r>
      <w:r w:rsidR="00AE7885" w:rsidRPr="00FC4A34">
        <w:rPr>
          <w:noProof w:val="0"/>
          <w:color w:val="17365D"/>
        </w:rPr>
        <w:t xml:space="preserve"> </w:t>
      </w:r>
      <w:r w:rsidR="00F27773" w:rsidRPr="00FC4A34">
        <w:rPr>
          <w:noProof w:val="0"/>
          <w:color w:val="17365D"/>
        </w:rPr>
        <w:t>nominālvērtībā</w:t>
      </w:r>
      <w:r w:rsidR="003A2EC6" w:rsidRPr="00FC4A34">
        <w:rPr>
          <w:noProof w:val="0"/>
          <w:color w:val="17365D"/>
        </w:rPr>
        <w:t xml:space="preserve"> </w:t>
      </w:r>
      <w:r w:rsidR="004F273C" w:rsidRPr="00FC4A34">
        <w:rPr>
          <w:noProof w:val="0"/>
          <w:color w:val="17365D"/>
        </w:rPr>
        <w:t>2022.</w:t>
      </w:r>
      <w:r w:rsidR="0065571F" w:rsidRPr="00FC4A34">
        <w:rPr>
          <w:noProof w:val="0"/>
          <w:color w:val="17365D"/>
        </w:rPr>
        <w:t xml:space="preserve"> g</w:t>
      </w:r>
      <w:r w:rsidR="00AE7885" w:rsidRPr="00FC4A34">
        <w:rPr>
          <w:noProof w:val="0"/>
          <w:color w:val="17365D"/>
        </w:rPr>
        <w:t xml:space="preserve">ada 31. decembrī ir </w:t>
      </w:r>
      <w:r w:rsidR="0049325A" w:rsidRPr="00FC4A34">
        <w:rPr>
          <w:noProof w:val="0"/>
          <w:color w:val="17365D"/>
        </w:rPr>
        <w:t>1</w:t>
      </w:r>
      <w:r w:rsidR="00312D93" w:rsidRPr="00FC4A34">
        <w:rPr>
          <w:noProof w:val="0"/>
          <w:color w:val="17365D"/>
        </w:rPr>
        <w:t>4</w:t>
      </w:r>
      <w:r w:rsidR="00AE7885" w:rsidRPr="00FC4A34">
        <w:rPr>
          <w:noProof w:val="0"/>
          <w:color w:val="17365D"/>
        </w:rPr>
        <w:t> </w:t>
      </w:r>
      <w:r w:rsidR="00312D93" w:rsidRPr="00FC4A34">
        <w:rPr>
          <w:noProof w:val="0"/>
          <w:color w:val="17365D"/>
        </w:rPr>
        <w:t>431</w:t>
      </w:r>
      <w:r w:rsidR="00AE7885" w:rsidRPr="00FC4A34">
        <w:rPr>
          <w:noProof w:val="0"/>
          <w:color w:val="17365D"/>
        </w:rPr>
        <w:t>,</w:t>
      </w:r>
      <w:r w:rsidR="00312D93" w:rsidRPr="00FC4A34">
        <w:rPr>
          <w:noProof w:val="0"/>
          <w:color w:val="17365D"/>
        </w:rPr>
        <w:t>5</w:t>
      </w:r>
      <w:r w:rsidR="00AE7885" w:rsidRPr="00FC4A34">
        <w:rPr>
          <w:noProof w:val="0"/>
          <w:color w:val="17365D"/>
        </w:rPr>
        <w:t xml:space="preserve"> milj. </w:t>
      </w:r>
      <w:proofErr w:type="spellStart"/>
      <w:r w:rsidR="00AE7885" w:rsidRPr="00FC4A34">
        <w:rPr>
          <w:i/>
          <w:noProof w:val="0"/>
          <w:color w:val="17365D"/>
        </w:rPr>
        <w:t>euro</w:t>
      </w:r>
      <w:proofErr w:type="spellEnd"/>
      <w:r w:rsidR="00311041" w:rsidRPr="00FC4A34">
        <w:rPr>
          <w:noProof w:val="0"/>
          <w:color w:val="17365D"/>
        </w:rPr>
        <w:t xml:space="preserve"> jeb </w:t>
      </w:r>
      <w:r w:rsidR="00312D93" w:rsidRPr="00FC4A34">
        <w:rPr>
          <w:noProof w:val="0"/>
          <w:color w:val="17365D"/>
        </w:rPr>
        <w:t>86</w:t>
      </w:r>
      <w:r w:rsidR="003A2EC6" w:rsidRPr="00FC4A34">
        <w:rPr>
          <w:noProof w:val="0"/>
          <w:color w:val="17365D"/>
        </w:rPr>
        <w:t>,</w:t>
      </w:r>
      <w:r w:rsidR="00312D93" w:rsidRPr="00FC4A34">
        <w:rPr>
          <w:noProof w:val="0"/>
          <w:color w:val="17365D"/>
        </w:rPr>
        <w:t>1</w:t>
      </w:r>
      <w:r w:rsidR="00AE7885" w:rsidRPr="00FC4A34">
        <w:rPr>
          <w:noProof w:val="0"/>
          <w:color w:val="17365D"/>
        </w:rPr>
        <w:t> % no kopējā valsts parāda apjoma (skatīt 2. attēlu).</w:t>
      </w:r>
    </w:p>
    <w:p w14:paraId="3E914C97" w14:textId="291487DA" w:rsidR="00AE7885" w:rsidRPr="00FC4A34" w:rsidRDefault="004F273C" w:rsidP="00AE7885">
      <w:pPr>
        <w:pStyle w:val="Pamatteksts"/>
        <w:rPr>
          <w:noProof w:val="0"/>
          <w:color w:val="17365D"/>
        </w:rPr>
      </w:pPr>
      <w:r w:rsidRPr="00FC4A34">
        <w:rPr>
          <w:noProof w:val="0"/>
          <w:color w:val="17365D"/>
        </w:rPr>
        <w:t>2022.</w:t>
      </w:r>
      <w:r w:rsidR="0065571F" w:rsidRPr="00FC4A34">
        <w:rPr>
          <w:noProof w:val="0"/>
          <w:color w:val="17365D"/>
        </w:rPr>
        <w:t xml:space="preserve"> g</w:t>
      </w:r>
      <w:r w:rsidR="00AE7885" w:rsidRPr="00FC4A34">
        <w:rPr>
          <w:noProof w:val="0"/>
          <w:color w:val="17365D"/>
        </w:rPr>
        <w:t xml:space="preserve">adā valsts ārējais parāds pēc nomināla </w:t>
      </w:r>
      <w:r w:rsidR="00311041" w:rsidRPr="00FC4A34">
        <w:rPr>
          <w:noProof w:val="0"/>
          <w:color w:val="17365D"/>
        </w:rPr>
        <w:t>palielinājās</w:t>
      </w:r>
      <w:r w:rsidR="00AE7885" w:rsidRPr="00FC4A34">
        <w:rPr>
          <w:noProof w:val="0"/>
          <w:color w:val="17365D"/>
        </w:rPr>
        <w:t xml:space="preserve"> par </w:t>
      </w:r>
      <w:r w:rsidR="00312D93" w:rsidRPr="00FC4A34">
        <w:rPr>
          <w:noProof w:val="0"/>
          <w:color w:val="17365D"/>
        </w:rPr>
        <w:t>2</w:t>
      </w:r>
      <w:r w:rsidR="00C442F3" w:rsidRPr="00FC4A34">
        <w:rPr>
          <w:noProof w:val="0"/>
          <w:color w:val="17365D"/>
        </w:rPr>
        <w:t xml:space="preserve"> </w:t>
      </w:r>
      <w:r w:rsidR="00312D93" w:rsidRPr="00FC4A34">
        <w:rPr>
          <w:noProof w:val="0"/>
          <w:color w:val="17365D"/>
        </w:rPr>
        <w:t>144</w:t>
      </w:r>
      <w:r w:rsidR="003A2EC6" w:rsidRPr="00FC4A34">
        <w:rPr>
          <w:noProof w:val="0"/>
          <w:color w:val="17365D"/>
        </w:rPr>
        <w:t>,</w:t>
      </w:r>
      <w:r w:rsidR="00312D93" w:rsidRPr="00FC4A34">
        <w:rPr>
          <w:noProof w:val="0"/>
          <w:color w:val="17365D"/>
        </w:rPr>
        <w:t>5</w:t>
      </w:r>
      <w:r w:rsidR="00AE7885" w:rsidRPr="00FC4A34">
        <w:rPr>
          <w:noProof w:val="0"/>
          <w:color w:val="17365D"/>
        </w:rPr>
        <w:t> milj. </w:t>
      </w:r>
      <w:proofErr w:type="spellStart"/>
      <w:r w:rsidR="00AE7885" w:rsidRPr="00FC4A34">
        <w:rPr>
          <w:i/>
          <w:noProof w:val="0"/>
          <w:color w:val="17365D"/>
        </w:rPr>
        <w:t>euro</w:t>
      </w:r>
      <w:proofErr w:type="spellEnd"/>
      <w:r w:rsidR="00AE7885" w:rsidRPr="00FC4A34">
        <w:rPr>
          <w:noProof w:val="0"/>
          <w:color w:val="17365D"/>
        </w:rPr>
        <w:t xml:space="preserve">, </w:t>
      </w:r>
      <w:r w:rsidR="004931B4" w:rsidRPr="00FC4A34">
        <w:rPr>
          <w:noProof w:val="0"/>
          <w:color w:val="17365D"/>
        </w:rPr>
        <w:t>palielinājumam veidojoties</w:t>
      </w:r>
      <w:r w:rsidR="00AE7885" w:rsidRPr="00FC4A34">
        <w:rPr>
          <w:noProof w:val="0"/>
          <w:color w:val="17365D"/>
        </w:rPr>
        <w:t xml:space="preserve"> galvenokārt</w:t>
      </w:r>
      <w:r w:rsidR="00FC7202" w:rsidRPr="00FC4A34">
        <w:rPr>
          <w:noProof w:val="0"/>
          <w:color w:val="17365D"/>
        </w:rPr>
        <w:t xml:space="preserve"> </w:t>
      </w:r>
      <w:r w:rsidR="00AE7885" w:rsidRPr="00FC4A34">
        <w:rPr>
          <w:noProof w:val="0"/>
          <w:color w:val="17365D"/>
        </w:rPr>
        <w:t>no</w:t>
      </w:r>
      <w:r w:rsidR="003A2EC6" w:rsidRPr="00FC4A34">
        <w:rPr>
          <w:noProof w:val="0"/>
          <w:color w:val="17365D"/>
        </w:rPr>
        <w:t xml:space="preserve"> </w:t>
      </w:r>
      <w:r w:rsidR="00311041" w:rsidRPr="00FC4A34">
        <w:rPr>
          <w:noProof w:val="0"/>
          <w:color w:val="17365D"/>
        </w:rPr>
        <w:t>eiro</w:t>
      </w:r>
      <w:r w:rsidR="009A2307" w:rsidRPr="00FC4A34">
        <w:rPr>
          <w:noProof w:val="0"/>
          <w:color w:val="17365D"/>
        </w:rPr>
        <w:t xml:space="preserve">obligāciju </w:t>
      </w:r>
      <w:r w:rsidR="00311041" w:rsidRPr="00FC4A34">
        <w:rPr>
          <w:noProof w:val="0"/>
          <w:color w:val="17365D"/>
        </w:rPr>
        <w:t>emisijas</w:t>
      </w:r>
      <w:r w:rsidR="009A2307" w:rsidRPr="00FC4A34">
        <w:rPr>
          <w:noProof w:val="0"/>
          <w:color w:val="17365D"/>
        </w:rPr>
        <w:t xml:space="preserve"> (</w:t>
      </w:r>
      <w:r w:rsidR="00764B13" w:rsidRPr="00FC4A34">
        <w:rPr>
          <w:noProof w:val="0"/>
          <w:color w:val="17365D"/>
        </w:rPr>
        <w:t>2</w:t>
      </w:r>
      <w:r w:rsidR="002F425E" w:rsidRPr="00FC4A34">
        <w:rPr>
          <w:noProof w:val="0"/>
          <w:color w:val="17365D"/>
        </w:rPr>
        <w:t> </w:t>
      </w:r>
      <w:r w:rsidR="00E1003B" w:rsidRPr="00FC4A34">
        <w:rPr>
          <w:noProof w:val="0"/>
          <w:color w:val="17365D"/>
        </w:rPr>
        <w:t>045</w:t>
      </w:r>
      <w:r w:rsidR="00311041" w:rsidRPr="00FC4A34">
        <w:rPr>
          <w:noProof w:val="0"/>
          <w:color w:val="17365D"/>
        </w:rPr>
        <w:t>,</w:t>
      </w:r>
      <w:r w:rsidR="0049325A" w:rsidRPr="00FC4A34">
        <w:rPr>
          <w:noProof w:val="0"/>
          <w:color w:val="17365D"/>
        </w:rPr>
        <w:t>0</w:t>
      </w:r>
      <w:r w:rsidR="00730A88" w:rsidRPr="00FC4A34">
        <w:rPr>
          <w:noProof w:val="0"/>
          <w:color w:val="17365D"/>
        </w:rPr>
        <w:t> milj. </w:t>
      </w:r>
      <w:proofErr w:type="spellStart"/>
      <w:r w:rsidR="00F6473B" w:rsidRPr="00FC4A34">
        <w:rPr>
          <w:i/>
          <w:noProof w:val="0"/>
          <w:color w:val="17365D"/>
        </w:rPr>
        <w:t>euro</w:t>
      </w:r>
      <w:proofErr w:type="spellEnd"/>
      <w:r w:rsidR="00F6473B" w:rsidRPr="00FC4A34">
        <w:rPr>
          <w:noProof w:val="0"/>
          <w:color w:val="17365D"/>
        </w:rPr>
        <w:t>)</w:t>
      </w:r>
      <w:r w:rsidR="00E1003B" w:rsidRPr="00FC4A34">
        <w:rPr>
          <w:noProof w:val="0"/>
          <w:color w:val="17365D"/>
        </w:rPr>
        <w:t xml:space="preserve"> un</w:t>
      </w:r>
      <w:r w:rsidR="006B040F" w:rsidRPr="00FC4A34">
        <w:rPr>
          <w:noProof w:val="0"/>
          <w:color w:val="17365D"/>
        </w:rPr>
        <w:t xml:space="preserve"> aizņēmuma no </w:t>
      </w:r>
      <w:r w:rsidR="00764B13" w:rsidRPr="00FC4A34">
        <w:rPr>
          <w:noProof w:val="0"/>
          <w:color w:val="17365D"/>
        </w:rPr>
        <w:t>Eiropas Komisijas (1</w:t>
      </w:r>
      <w:r w:rsidR="00E1003B" w:rsidRPr="00FC4A34">
        <w:rPr>
          <w:noProof w:val="0"/>
          <w:color w:val="17365D"/>
        </w:rPr>
        <w:t>67</w:t>
      </w:r>
      <w:r w:rsidR="00F14B78" w:rsidRPr="00FC4A34">
        <w:rPr>
          <w:noProof w:val="0"/>
          <w:color w:val="17365D"/>
        </w:rPr>
        <w:t>,0 milj. </w:t>
      </w:r>
      <w:proofErr w:type="spellStart"/>
      <w:r w:rsidR="00F14B78" w:rsidRPr="00FC4A34">
        <w:rPr>
          <w:i/>
          <w:noProof w:val="0"/>
          <w:color w:val="17365D"/>
        </w:rPr>
        <w:t>euro</w:t>
      </w:r>
      <w:proofErr w:type="spellEnd"/>
      <w:r w:rsidR="00E1003B" w:rsidRPr="00FC4A34">
        <w:rPr>
          <w:noProof w:val="0"/>
          <w:color w:val="17365D"/>
        </w:rPr>
        <w:t>).</w:t>
      </w:r>
    </w:p>
    <w:p w14:paraId="791452E7" w14:textId="3DC9F144" w:rsidR="007A151A" w:rsidRPr="00FC4A34" w:rsidRDefault="00AE7885" w:rsidP="007A151A">
      <w:pPr>
        <w:pStyle w:val="Pamatteksts"/>
        <w:rPr>
          <w:noProof w:val="0"/>
          <w:color w:val="17365D"/>
        </w:rPr>
      </w:pPr>
      <w:r w:rsidRPr="00FC4A34">
        <w:rPr>
          <w:noProof w:val="0"/>
          <w:color w:val="17365D"/>
        </w:rPr>
        <w:lastRenderedPageBreak/>
        <w:t>Lielāko daļu valsts ārējā parādā</w:t>
      </w:r>
      <w:r w:rsidR="009C6020" w:rsidRPr="00FC4A34">
        <w:rPr>
          <w:noProof w:val="0"/>
          <w:color w:val="17365D"/>
        </w:rPr>
        <w:t xml:space="preserve"> </w:t>
      </w:r>
      <w:r w:rsidRPr="00FC4A34">
        <w:rPr>
          <w:noProof w:val="0"/>
          <w:color w:val="17365D"/>
        </w:rPr>
        <w:t>veido</w:t>
      </w:r>
      <w:r w:rsidR="00F9757B" w:rsidRPr="00FC4A34">
        <w:rPr>
          <w:noProof w:val="0"/>
          <w:color w:val="17365D"/>
        </w:rPr>
        <w:t>ja</w:t>
      </w:r>
      <w:r w:rsidRPr="00FC4A34">
        <w:rPr>
          <w:noProof w:val="0"/>
          <w:color w:val="17365D"/>
        </w:rPr>
        <w:t xml:space="preserve"> </w:t>
      </w:r>
      <w:r w:rsidR="000925ED" w:rsidRPr="00FC4A34">
        <w:rPr>
          <w:noProof w:val="0"/>
          <w:color w:val="17365D"/>
        </w:rPr>
        <w:t>Latvijas</w:t>
      </w:r>
      <w:r w:rsidRPr="00FC4A34">
        <w:rPr>
          <w:noProof w:val="0"/>
          <w:color w:val="17365D"/>
        </w:rPr>
        <w:t xml:space="preserve"> emitētās</w:t>
      </w:r>
      <w:r w:rsidR="000925ED" w:rsidRPr="00FC4A34">
        <w:rPr>
          <w:noProof w:val="0"/>
          <w:color w:val="17365D"/>
        </w:rPr>
        <w:t xml:space="preserve"> </w:t>
      </w:r>
      <w:r w:rsidR="00371A82" w:rsidRPr="00FC4A34">
        <w:rPr>
          <w:noProof w:val="0"/>
          <w:color w:val="17365D"/>
        </w:rPr>
        <w:t>eiro</w:t>
      </w:r>
      <w:r w:rsidRPr="00FC4A34">
        <w:rPr>
          <w:noProof w:val="0"/>
          <w:color w:val="17365D"/>
        </w:rPr>
        <w:t xml:space="preserve">obligācijas </w:t>
      </w:r>
      <w:r w:rsidR="000925ED" w:rsidRPr="00FC4A34">
        <w:rPr>
          <w:noProof w:val="0"/>
          <w:color w:val="17365D"/>
        </w:rPr>
        <w:t>starptautiskajos finan</w:t>
      </w:r>
      <w:r w:rsidR="00884765" w:rsidRPr="00FC4A34">
        <w:rPr>
          <w:noProof w:val="0"/>
          <w:color w:val="17365D"/>
        </w:rPr>
        <w:t>šu tirgos</w:t>
      </w:r>
      <w:r w:rsidR="00417F3E" w:rsidRPr="00FC4A34">
        <w:rPr>
          <w:noProof w:val="0"/>
          <w:color w:val="17365D"/>
        </w:rPr>
        <w:t xml:space="preserve"> – 6</w:t>
      </w:r>
      <w:r w:rsidR="00E1003B" w:rsidRPr="00FC4A34">
        <w:rPr>
          <w:noProof w:val="0"/>
          <w:color w:val="17365D"/>
        </w:rPr>
        <w:t>2</w:t>
      </w:r>
      <w:r w:rsidR="00417F3E" w:rsidRPr="00FC4A34">
        <w:rPr>
          <w:noProof w:val="0"/>
          <w:color w:val="17365D"/>
        </w:rPr>
        <w:t>,</w:t>
      </w:r>
      <w:r w:rsidR="00E1003B" w:rsidRPr="00FC4A34">
        <w:rPr>
          <w:noProof w:val="0"/>
          <w:color w:val="17365D"/>
        </w:rPr>
        <w:t>9</w:t>
      </w:r>
      <w:r w:rsidR="00417F3E" w:rsidRPr="00FC4A34">
        <w:rPr>
          <w:noProof w:val="0"/>
          <w:color w:val="17365D"/>
        </w:rPr>
        <w:t xml:space="preserve"> % no kopējā valsts parāda apjoma</w:t>
      </w:r>
      <w:r w:rsidR="00C50725" w:rsidRPr="00FC4A34">
        <w:rPr>
          <w:noProof w:val="0"/>
          <w:color w:val="17365D"/>
        </w:rPr>
        <w:t>.</w:t>
      </w:r>
      <w:r w:rsidR="000D60E9" w:rsidRPr="00FC4A34">
        <w:rPr>
          <w:noProof w:val="0"/>
          <w:color w:val="17365D"/>
        </w:rPr>
        <w:t xml:space="preserve"> </w:t>
      </w:r>
      <w:r w:rsidR="00C50725" w:rsidRPr="00FC4A34">
        <w:rPr>
          <w:noProof w:val="0"/>
          <w:color w:val="17365D"/>
        </w:rPr>
        <w:t>Pārējās valsts ārējā parāda saistības veidoja</w:t>
      </w:r>
      <w:r w:rsidR="00E1003B" w:rsidRPr="00FC4A34">
        <w:rPr>
          <w:noProof w:val="0"/>
          <w:color w:val="17365D"/>
        </w:rPr>
        <w:t xml:space="preserve"> Latvijas emitētās eiroobligācijas iekšējā tirgū – 11,1 % no kopējā valsts parāda apjoma,</w:t>
      </w:r>
      <w:r w:rsidR="00C50725" w:rsidRPr="00FC4A34">
        <w:rPr>
          <w:noProof w:val="0"/>
          <w:color w:val="17365D"/>
        </w:rPr>
        <w:t xml:space="preserve"> </w:t>
      </w:r>
      <w:r w:rsidRPr="00FC4A34">
        <w:rPr>
          <w:noProof w:val="0"/>
          <w:color w:val="17365D"/>
        </w:rPr>
        <w:t xml:space="preserve"> Eiropas Komisijas</w:t>
      </w:r>
      <w:r w:rsidR="000925ED" w:rsidRPr="00FC4A34">
        <w:rPr>
          <w:noProof w:val="0"/>
          <w:color w:val="17365D"/>
        </w:rPr>
        <w:t xml:space="preserve"> </w:t>
      </w:r>
      <w:r w:rsidR="00371A82" w:rsidRPr="00FC4A34">
        <w:rPr>
          <w:noProof w:val="0"/>
          <w:color w:val="17365D"/>
        </w:rPr>
        <w:t xml:space="preserve">aizdevumi </w:t>
      </w:r>
      <w:r w:rsidR="00417F3E" w:rsidRPr="00FC4A34">
        <w:rPr>
          <w:color w:val="17365D"/>
        </w:rPr>
        <w:t xml:space="preserve">– </w:t>
      </w:r>
      <w:r w:rsidR="00E1003B" w:rsidRPr="00FC4A34">
        <w:rPr>
          <w:noProof w:val="0"/>
          <w:color w:val="17365D"/>
        </w:rPr>
        <w:t>4</w:t>
      </w:r>
      <w:r w:rsidR="00C75915" w:rsidRPr="00FC4A34">
        <w:rPr>
          <w:noProof w:val="0"/>
          <w:color w:val="17365D"/>
        </w:rPr>
        <w:t>,</w:t>
      </w:r>
      <w:r w:rsidR="00E1003B" w:rsidRPr="00FC4A34">
        <w:rPr>
          <w:noProof w:val="0"/>
          <w:color w:val="17365D"/>
        </w:rPr>
        <w:t>0</w:t>
      </w:r>
      <w:r w:rsidR="00730A88" w:rsidRPr="00FC4A34">
        <w:rPr>
          <w:noProof w:val="0"/>
          <w:color w:val="17365D"/>
        </w:rPr>
        <w:t> </w:t>
      </w:r>
      <w:r w:rsidR="000D60E9" w:rsidRPr="00FC4A34">
        <w:rPr>
          <w:noProof w:val="0"/>
          <w:color w:val="17365D"/>
        </w:rPr>
        <w:t>%</w:t>
      </w:r>
      <w:r w:rsidR="00417F3E" w:rsidRPr="00FC4A34">
        <w:rPr>
          <w:noProof w:val="0"/>
          <w:color w:val="17365D"/>
        </w:rPr>
        <w:t xml:space="preserve"> </w:t>
      </w:r>
      <w:r w:rsidR="00C50725" w:rsidRPr="00FC4A34">
        <w:rPr>
          <w:noProof w:val="0"/>
          <w:color w:val="17365D"/>
        </w:rPr>
        <w:t xml:space="preserve">no kopējā valsts parāda apjoma </w:t>
      </w:r>
      <w:r w:rsidR="00417F3E" w:rsidRPr="00FC4A34">
        <w:rPr>
          <w:noProof w:val="0"/>
          <w:color w:val="17365D"/>
        </w:rPr>
        <w:t>(t.sk. SURE</w:t>
      </w:r>
      <w:r w:rsidR="00417F3E" w:rsidRPr="00FC4A34">
        <w:rPr>
          <w:rStyle w:val="FootnoteReference"/>
          <w:noProof w:val="0"/>
          <w:color w:val="17365D"/>
        </w:rPr>
        <w:footnoteReference w:id="2"/>
      </w:r>
      <w:r w:rsidR="00417F3E" w:rsidRPr="00FC4A34">
        <w:rPr>
          <w:noProof w:val="0"/>
          <w:color w:val="17365D"/>
        </w:rPr>
        <w:t xml:space="preserve"> aizdevums </w:t>
      </w:r>
      <w:r w:rsidR="00E1003B" w:rsidRPr="00FC4A34">
        <w:rPr>
          <w:noProof w:val="0"/>
          <w:color w:val="17365D"/>
        </w:rPr>
        <w:t>472</w:t>
      </w:r>
      <w:r w:rsidR="00417F3E" w:rsidRPr="00FC4A34">
        <w:rPr>
          <w:noProof w:val="0"/>
          <w:color w:val="17365D"/>
        </w:rPr>
        <w:t>,0</w:t>
      </w:r>
      <w:r w:rsidR="00C50725" w:rsidRPr="00FC4A34">
        <w:rPr>
          <w:noProof w:val="0"/>
          <w:color w:val="17365D"/>
        </w:rPr>
        <w:t> </w:t>
      </w:r>
      <w:r w:rsidR="00417F3E" w:rsidRPr="00FC4A34">
        <w:rPr>
          <w:noProof w:val="0"/>
          <w:color w:val="17365D"/>
        </w:rPr>
        <w:t>milj. </w:t>
      </w:r>
      <w:proofErr w:type="spellStart"/>
      <w:r w:rsidR="00417F3E" w:rsidRPr="00FC4A34">
        <w:rPr>
          <w:i/>
          <w:noProof w:val="0"/>
          <w:color w:val="17365D"/>
        </w:rPr>
        <w:t>euro</w:t>
      </w:r>
      <w:proofErr w:type="spellEnd"/>
      <w:r w:rsidR="00417F3E" w:rsidRPr="00FC4A34">
        <w:rPr>
          <w:noProof w:val="0"/>
          <w:color w:val="17365D"/>
        </w:rPr>
        <w:t>)</w:t>
      </w:r>
      <w:r w:rsidR="00C50725" w:rsidRPr="00FC4A34">
        <w:rPr>
          <w:noProof w:val="0"/>
          <w:color w:val="17365D"/>
        </w:rPr>
        <w:t>,</w:t>
      </w:r>
      <w:r w:rsidR="00417F3E" w:rsidRPr="00FC4A34">
        <w:rPr>
          <w:noProof w:val="0"/>
          <w:color w:val="17365D"/>
        </w:rPr>
        <w:t xml:space="preserve"> Ziemeļu Investīciju bankas</w:t>
      </w:r>
      <w:r w:rsidR="00371A82" w:rsidRPr="00FC4A34">
        <w:rPr>
          <w:noProof w:val="0"/>
          <w:color w:val="17365D"/>
        </w:rPr>
        <w:t xml:space="preserve"> aizdevumi</w:t>
      </w:r>
      <w:r w:rsidR="00C50725" w:rsidRPr="00FC4A34">
        <w:rPr>
          <w:noProof w:val="0"/>
          <w:color w:val="17365D"/>
        </w:rPr>
        <w:t xml:space="preserve"> </w:t>
      </w:r>
      <w:r w:rsidR="00C50725" w:rsidRPr="00FC4A34">
        <w:rPr>
          <w:color w:val="17365D"/>
        </w:rPr>
        <w:t xml:space="preserve">– </w:t>
      </w:r>
      <w:r w:rsidR="00C50725" w:rsidRPr="00FC4A34">
        <w:rPr>
          <w:noProof w:val="0"/>
          <w:color w:val="17365D"/>
        </w:rPr>
        <w:t>3,</w:t>
      </w:r>
      <w:r w:rsidR="00E1003B" w:rsidRPr="00FC4A34">
        <w:rPr>
          <w:noProof w:val="0"/>
          <w:color w:val="17365D"/>
        </w:rPr>
        <w:t>0</w:t>
      </w:r>
      <w:r w:rsidR="00C50725" w:rsidRPr="00FC4A34">
        <w:rPr>
          <w:noProof w:val="0"/>
          <w:color w:val="17365D"/>
        </w:rPr>
        <w:t> %</w:t>
      </w:r>
      <w:r w:rsidR="00417F3E" w:rsidRPr="00FC4A34">
        <w:rPr>
          <w:noProof w:val="0"/>
          <w:color w:val="17365D"/>
        </w:rPr>
        <w:t xml:space="preserve"> </w:t>
      </w:r>
      <w:r w:rsidR="00C50725" w:rsidRPr="00FC4A34">
        <w:rPr>
          <w:noProof w:val="0"/>
          <w:color w:val="17365D"/>
        </w:rPr>
        <w:t xml:space="preserve">no kopējā valsts parāda apjoma </w:t>
      </w:r>
      <w:r w:rsidR="00417F3E" w:rsidRPr="00FC4A34">
        <w:rPr>
          <w:noProof w:val="0"/>
          <w:color w:val="17365D"/>
        </w:rPr>
        <w:t>(t.sk.</w:t>
      </w:r>
      <w:r w:rsidR="00C50725" w:rsidRPr="00FC4A34">
        <w:rPr>
          <w:noProof w:val="0"/>
          <w:color w:val="17365D"/>
        </w:rPr>
        <w:t> </w:t>
      </w:r>
      <w:r w:rsidR="00417F3E" w:rsidRPr="00FC4A34">
        <w:rPr>
          <w:noProof w:val="0"/>
          <w:color w:val="17365D"/>
        </w:rPr>
        <w:t>49</w:t>
      </w:r>
      <w:r w:rsidR="00E1003B" w:rsidRPr="00FC4A34">
        <w:rPr>
          <w:noProof w:val="0"/>
          <w:color w:val="17365D"/>
        </w:rPr>
        <w:t>8</w:t>
      </w:r>
      <w:r w:rsidR="00417F3E" w:rsidRPr="00FC4A34">
        <w:rPr>
          <w:noProof w:val="0"/>
          <w:color w:val="17365D"/>
        </w:rPr>
        <w:t>,</w:t>
      </w:r>
      <w:r w:rsidR="00E1003B" w:rsidRPr="00FC4A34">
        <w:rPr>
          <w:noProof w:val="0"/>
          <w:color w:val="17365D"/>
        </w:rPr>
        <w:t>9</w:t>
      </w:r>
      <w:r w:rsidR="00417F3E" w:rsidRPr="00FC4A34">
        <w:rPr>
          <w:noProof w:val="0"/>
          <w:color w:val="17365D"/>
        </w:rPr>
        <w:t> milj. </w:t>
      </w:r>
      <w:proofErr w:type="spellStart"/>
      <w:r w:rsidR="00417F3E" w:rsidRPr="00FC4A34">
        <w:rPr>
          <w:i/>
          <w:noProof w:val="0"/>
          <w:color w:val="17365D"/>
        </w:rPr>
        <w:t>euro</w:t>
      </w:r>
      <w:proofErr w:type="spellEnd"/>
      <w:r w:rsidR="00417F3E" w:rsidRPr="00FC4A34">
        <w:rPr>
          <w:noProof w:val="0"/>
          <w:color w:val="17365D"/>
        </w:rPr>
        <w:t xml:space="preserve"> Covid-19 seku mazināšanas un pārvarēšanas pasākumu finansēšanai)</w:t>
      </w:r>
      <w:r w:rsidR="00C50725" w:rsidRPr="00FC4A34">
        <w:rPr>
          <w:noProof w:val="0"/>
          <w:color w:val="17365D"/>
        </w:rPr>
        <w:t xml:space="preserve"> un citu starptautisko finanšu institūciju aizdevumi. </w:t>
      </w:r>
      <w:r w:rsidRPr="00FC4A34">
        <w:rPr>
          <w:noProof w:val="0"/>
          <w:color w:val="17365D"/>
        </w:rPr>
        <w:t>(skatīt 2. attēlu).</w:t>
      </w:r>
    </w:p>
    <w:p w14:paraId="3019D7A2" w14:textId="58B5B677" w:rsidR="00A961C8" w:rsidRPr="00FC4A34" w:rsidRDefault="00F324A5" w:rsidP="00A961C8">
      <w:pPr>
        <w:pStyle w:val="Pamatteksts"/>
        <w:ind w:firstLine="0"/>
        <w:rPr>
          <w:noProof w:val="0"/>
          <w:color w:val="17365D"/>
        </w:rPr>
      </w:pPr>
      <w:r w:rsidRPr="00FC4A34">
        <w:rPr>
          <w:color w:val="17365D"/>
        </w:rPr>
        <w:drawing>
          <wp:inline distT="0" distB="0" distL="0" distR="0" wp14:anchorId="52133E56" wp14:editId="4CBCA77E">
            <wp:extent cx="5939790" cy="225044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FC4A34">
        <w:rPr>
          <w:color w:val="17365D"/>
        </w:rPr>
        <w:t xml:space="preserve"> </w:t>
      </w:r>
      <w:r w:rsidR="00762CE7" w:rsidRPr="00FC4A34">
        <w:rPr>
          <w:color w:val="17365D"/>
        </w:rPr>
        <w:t xml:space="preserve"> </w:t>
      </w:r>
    </w:p>
    <w:p w14:paraId="6AA192E6" w14:textId="0BE34230" w:rsidR="009B0B43" w:rsidRPr="00FC4A34" w:rsidRDefault="009B0B43" w:rsidP="009854D4">
      <w:pPr>
        <w:pStyle w:val="Attlanosaukums"/>
        <w:spacing w:line="360" w:lineRule="auto"/>
        <w:rPr>
          <w:noProof w:val="0"/>
          <w:color w:val="17365D"/>
          <w:sz w:val="22"/>
        </w:rPr>
      </w:pPr>
      <w:r w:rsidRPr="00FC4A34">
        <w:rPr>
          <w:noProof w:val="0"/>
          <w:color w:val="17365D"/>
        </w:rPr>
        <w:t xml:space="preserve">2. attēls. Valsts parāda struktūra </w:t>
      </w:r>
      <w:r w:rsidR="00FD3C16" w:rsidRPr="00FC4A34">
        <w:rPr>
          <w:noProof w:val="0"/>
          <w:color w:val="17365D"/>
        </w:rPr>
        <w:t xml:space="preserve">% no kopējā valsts parāda apjoma </w:t>
      </w:r>
      <w:r w:rsidR="004F273C" w:rsidRPr="00FC4A34">
        <w:rPr>
          <w:noProof w:val="0"/>
          <w:color w:val="17365D"/>
        </w:rPr>
        <w:t>2022.</w:t>
      </w:r>
      <w:r w:rsidR="0065571F" w:rsidRPr="00FC4A34">
        <w:rPr>
          <w:noProof w:val="0"/>
          <w:color w:val="17365D"/>
        </w:rPr>
        <w:t xml:space="preserve"> g</w:t>
      </w:r>
      <w:r w:rsidR="0065024F" w:rsidRPr="00FC4A34">
        <w:rPr>
          <w:noProof w:val="0"/>
          <w:color w:val="17365D"/>
        </w:rPr>
        <w:t>ada 31. </w:t>
      </w:r>
      <w:r w:rsidRPr="00FC4A34">
        <w:rPr>
          <w:noProof w:val="0"/>
          <w:color w:val="17365D"/>
        </w:rPr>
        <w:t>decembrī</w:t>
      </w:r>
    </w:p>
    <w:p w14:paraId="48B37935" w14:textId="28DDDA47" w:rsidR="004D35C6" w:rsidRPr="00FC4A34" w:rsidRDefault="00011672" w:rsidP="009D76FB">
      <w:pPr>
        <w:pStyle w:val="Pamatteksts"/>
        <w:rPr>
          <w:color w:val="17365D"/>
        </w:rPr>
      </w:pPr>
      <w:r w:rsidRPr="00FC4A34">
        <w:rPr>
          <w:b/>
          <w:color w:val="17365D"/>
        </w:rPr>
        <mc:AlternateContent>
          <mc:Choice Requires="wps">
            <w:drawing>
              <wp:anchor distT="0" distB="0" distL="114300" distR="114300" simplePos="0" relativeHeight="251706368" behindDoc="0" locked="0" layoutInCell="1" allowOverlap="1" wp14:anchorId="3E555242" wp14:editId="279797A3">
                <wp:simplePos x="0" y="0"/>
                <wp:positionH relativeFrom="column">
                  <wp:posOffset>4267200</wp:posOffset>
                </wp:positionH>
                <wp:positionV relativeFrom="paragraph">
                  <wp:posOffset>246380</wp:posOffset>
                </wp:positionV>
                <wp:extent cx="1681200" cy="1029600"/>
                <wp:effectExtent l="0" t="0" r="14605" b="18415"/>
                <wp:wrapSquare wrapText="bothSides"/>
                <wp:docPr id="5" name="Rectangle 5"/>
                <wp:cNvGraphicFramePr/>
                <a:graphic xmlns:a="http://schemas.openxmlformats.org/drawingml/2006/main">
                  <a:graphicData uri="http://schemas.microsoft.com/office/word/2010/wordprocessingShape">
                    <wps:wsp>
                      <wps:cNvSpPr/>
                      <wps:spPr>
                        <a:xfrm>
                          <a:off x="0" y="0"/>
                          <a:ext cx="1681200" cy="1029600"/>
                        </a:xfrm>
                        <a:prstGeom prst="rect">
                          <a:avLst/>
                        </a:prstGeom>
                        <a:solidFill>
                          <a:sysClr val="window" lastClr="FFFFFF"/>
                        </a:solidFill>
                        <a:ln w="25400" cap="flat" cmpd="sng" algn="ctr">
                          <a:solidFill>
                            <a:srgbClr val="17375E"/>
                          </a:solidFill>
                          <a:prstDash val="sysDot"/>
                        </a:ln>
                        <a:effectLst/>
                      </wps:spPr>
                      <wps:txbx>
                        <w:txbxContent>
                          <w:p w14:paraId="1733321E" w14:textId="77777777" w:rsidR="00C50725" w:rsidRDefault="00C50725" w:rsidP="00011672">
                            <w:pPr>
                              <w:spacing w:after="0"/>
                              <w:ind w:firstLine="0"/>
                              <w:jc w:val="center"/>
                              <w:rPr>
                                <w:color w:val="17375E"/>
                              </w:rPr>
                            </w:pPr>
                            <w:r>
                              <w:rPr>
                                <w:color w:val="17375E"/>
                              </w:rPr>
                              <w:t xml:space="preserve">Valsts iekšējais parāds </w:t>
                            </w:r>
                            <w:r w:rsidRPr="00F27773">
                              <w:rPr>
                                <w:i/>
                                <w:color w:val="17375E"/>
                              </w:rPr>
                              <w:t>nominālvērtībā</w:t>
                            </w:r>
                            <w:r>
                              <w:rPr>
                                <w:color w:val="17375E"/>
                              </w:rPr>
                              <w:t xml:space="preserve"> –</w:t>
                            </w:r>
                          </w:p>
                          <w:p w14:paraId="22166E22" w14:textId="13FBA3BB" w:rsidR="00C50725" w:rsidRPr="00554158" w:rsidRDefault="00362B4F" w:rsidP="00011672">
                            <w:pPr>
                              <w:spacing w:after="0"/>
                              <w:ind w:firstLine="0"/>
                              <w:jc w:val="center"/>
                              <w:rPr>
                                <w:color w:val="17375E"/>
                              </w:rPr>
                            </w:pPr>
                            <w:r w:rsidRPr="00FC4A34">
                              <w:rPr>
                                <w:b/>
                                <w:color w:val="17375E"/>
                              </w:rPr>
                              <w:t>2</w:t>
                            </w:r>
                            <w:r w:rsidR="00C50725" w:rsidRPr="00FC4A34">
                              <w:rPr>
                                <w:b/>
                                <w:color w:val="17375E"/>
                              </w:rPr>
                              <w:t> </w:t>
                            </w:r>
                            <w:r w:rsidRPr="00FC4A34">
                              <w:rPr>
                                <w:b/>
                                <w:color w:val="17375E"/>
                              </w:rPr>
                              <w:t>335</w:t>
                            </w:r>
                            <w:r w:rsidR="00C50725" w:rsidRPr="00FC4A34">
                              <w:rPr>
                                <w:b/>
                                <w:color w:val="17375E"/>
                              </w:rPr>
                              <w:t>,</w:t>
                            </w:r>
                            <w:r w:rsidRPr="00FC4A34">
                              <w:rPr>
                                <w:b/>
                                <w:color w:val="17375E"/>
                              </w:rPr>
                              <w:t>6</w:t>
                            </w:r>
                            <w:r w:rsidR="00C50725" w:rsidRPr="00ED3CBE">
                              <w:rPr>
                                <w:color w:val="17375E"/>
                              </w:rPr>
                              <w:t xml:space="preserve"> milj</w:t>
                            </w:r>
                            <w:r w:rsidR="00C50725">
                              <w:rPr>
                                <w:color w:val="17375E"/>
                              </w:rPr>
                              <w:t xml:space="preserve">. </w:t>
                            </w:r>
                            <w:proofErr w:type="spellStart"/>
                            <w:r w:rsidR="00C50725" w:rsidRPr="00F27773">
                              <w:rPr>
                                <w:i/>
                                <w:color w:val="17375E"/>
                              </w:rPr>
                              <w:t>euro</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555242" id="Rectangle 5" o:spid="_x0000_s1029" style="position:absolute;left:0;text-align:left;margin-left:336pt;margin-top:19.4pt;width:132.4pt;height:81.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" fillcolor="window" strokecolor="#17375e" strokeweight="2pt">
                <v:stroke dashstyle="1 1"/>
                <v:textbox>
                  <w:txbxContent>
                    <w:p w14:paraId="1733321E" w14:textId="77777777" w:rsidR="00C50725" w:rsidRDefault="00C50725" w:rsidP="00011672">
                      <w:pPr>
                        <w:spacing w:after="0"/>
                        <w:ind w:firstLine="0"/>
                        <w:jc w:val="center"/>
                        <w:rPr>
                          <w:color w:val="17375E"/>
                        </w:rPr>
                      </w:pPr>
                      <w:r>
                        <w:rPr>
                          <w:color w:val="17375E"/>
                        </w:rPr>
                        <w:t xml:space="preserve">Valsts iekšējais parāds </w:t>
                      </w:r>
                      <w:r w:rsidRPr="00F27773">
                        <w:rPr>
                          <w:i/>
                          <w:color w:val="17375E"/>
                        </w:rPr>
                        <w:t>nominālvērtībā</w:t>
                      </w:r>
                      <w:r>
                        <w:rPr>
                          <w:color w:val="17375E"/>
                        </w:rPr>
                        <w:t xml:space="preserve"> –</w:t>
                      </w:r>
                    </w:p>
                    <w:p w14:paraId="22166E22" w14:textId="13FBA3BB" w:rsidR="00C50725" w:rsidRPr="00554158" w:rsidRDefault="00362B4F" w:rsidP="00011672">
                      <w:pPr>
                        <w:spacing w:after="0"/>
                        <w:ind w:firstLine="0"/>
                        <w:jc w:val="center"/>
                        <w:rPr>
                          <w:color w:val="17375E"/>
                        </w:rPr>
                      </w:pPr>
                      <w:r w:rsidRPr="00FC4A34">
                        <w:rPr>
                          <w:b/>
                          <w:color w:val="17375E"/>
                        </w:rPr>
                        <w:t>2</w:t>
                      </w:r>
                      <w:r w:rsidR="00C50725" w:rsidRPr="00FC4A34">
                        <w:rPr>
                          <w:b/>
                          <w:color w:val="17375E"/>
                        </w:rPr>
                        <w:t> </w:t>
                      </w:r>
                      <w:r w:rsidRPr="00FC4A34">
                        <w:rPr>
                          <w:b/>
                          <w:color w:val="17375E"/>
                        </w:rPr>
                        <w:t>335</w:t>
                      </w:r>
                      <w:r w:rsidR="00C50725" w:rsidRPr="00FC4A34">
                        <w:rPr>
                          <w:b/>
                          <w:color w:val="17375E"/>
                        </w:rPr>
                        <w:t>,</w:t>
                      </w:r>
                      <w:r w:rsidRPr="00FC4A34">
                        <w:rPr>
                          <w:b/>
                          <w:color w:val="17375E"/>
                        </w:rPr>
                        <w:t>6</w:t>
                      </w:r>
                      <w:r w:rsidR="00C50725" w:rsidRPr="00ED3CBE">
                        <w:rPr>
                          <w:color w:val="17375E"/>
                        </w:rPr>
                        <w:t xml:space="preserve"> milj</w:t>
                      </w:r>
                      <w:r w:rsidR="00C50725">
                        <w:rPr>
                          <w:color w:val="17375E"/>
                        </w:rPr>
                        <w:t xml:space="preserve">. </w:t>
                      </w:r>
                      <w:proofErr w:type="spellStart"/>
                      <w:r w:rsidR="00C50725" w:rsidRPr="00F27773">
                        <w:rPr>
                          <w:i/>
                          <w:color w:val="17375E"/>
                        </w:rPr>
                        <w:t>euro</w:t>
                      </w:r>
                      <w:proofErr w:type="spellEnd"/>
                    </w:p>
                  </w:txbxContent>
                </v:textbox>
                <w10:wrap type="square"/>
              </v:rect>
            </w:pict>
          </mc:Fallback>
        </mc:AlternateContent>
      </w:r>
      <w:r w:rsidR="004E3F45" w:rsidRPr="00FC4A34">
        <w:rPr>
          <w:b/>
          <w:noProof w:val="0"/>
          <w:color w:val="17365D"/>
        </w:rPr>
        <w:t>Valsts iekšējais parāds</w:t>
      </w:r>
      <w:r w:rsidR="004E3F45" w:rsidRPr="00FC4A34">
        <w:rPr>
          <w:noProof w:val="0"/>
          <w:color w:val="17365D"/>
        </w:rPr>
        <w:t xml:space="preserve"> nominālvērtībā </w:t>
      </w:r>
      <w:r w:rsidR="004F273C" w:rsidRPr="00FC4A34">
        <w:rPr>
          <w:noProof w:val="0"/>
          <w:color w:val="17365D"/>
        </w:rPr>
        <w:t>2022.</w:t>
      </w:r>
      <w:r w:rsidR="0065571F" w:rsidRPr="00FC4A34">
        <w:rPr>
          <w:noProof w:val="0"/>
          <w:color w:val="17365D"/>
        </w:rPr>
        <w:t xml:space="preserve"> g</w:t>
      </w:r>
      <w:r w:rsidR="004E3F45" w:rsidRPr="00FC4A34">
        <w:rPr>
          <w:noProof w:val="0"/>
          <w:color w:val="17365D"/>
        </w:rPr>
        <w:t>ada 31.</w:t>
      </w:r>
      <w:r w:rsidR="00D04D2F" w:rsidRPr="00FC4A34">
        <w:rPr>
          <w:noProof w:val="0"/>
          <w:color w:val="17365D"/>
        </w:rPr>
        <w:t> </w:t>
      </w:r>
      <w:r w:rsidR="004E3F45" w:rsidRPr="00FC4A34">
        <w:rPr>
          <w:noProof w:val="0"/>
          <w:color w:val="17365D"/>
        </w:rPr>
        <w:t xml:space="preserve">decembrī </w:t>
      </w:r>
      <w:r w:rsidR="003F6954" w:rsidRPr="00FC4A34">
        <w:rPr>
          <w:noProof w:val="0"/>
          <w:color w:val="17365D"/>
        </w:rPr>
        <w:t>ir</w:t>
      </w:r>
      <w:r w:rsidR="004E3F45" w:rsidRPr="00FC4A34">
        <w:rPr>
          <w:noProof w:val="0"/>
          <w:color w:val="17365D"/>
        </w:rPr>
        <w:t xml:space="preserve"> </w:t>
      </w:r>
      <w:r w:rsidR="00AF14AF" w:rsidRPr="00FC4A34">
        <w:rPr>
          <w:noProof w:val="0"/>
          <w:color w:val="17365D"/>
        </w:rPr>
        <w:t>2</w:t>
      </w:r>
      <w:r w:rsidR="001F63F8" w:rsidRPr="00FC4A34">
        <w:rPr>
          <w:noProof w:val="0"/>
          <w:color w:val="17365D"/>
        </w:rPr>
        <w:t> </w:t>
      </w:r>
      <w:r w:rsidR="00AF14AF" w:rsidRPr="00FC4A34">
        <w:rPr>
          <w:noProof w:val="0"/>
          <w:color w:val="17365D"/>
        </w:rPr>
        <w:t>335</w:t>
      </w:r>
      <w:r w:rsidR="001F63F8" w:rsidRPr="00FC4A34">
        <w:rPr>
          <w:noProof w:val="0"/>
          <w:color w:val="17365D"/>
        </w:rPr>
        <w:t>,</w:t>
      </w:r>
      <w:r w:rsidR="00AF14AF" w:rsidRPr="00FC4A34">
        <w:rPr>
          <w:noProof w:val="0"/>
          <w:color w:val="17365D"/>
        </w:rPr>
        <w:t>6</w:t>
      </w:r>
      <w:r w:rsidR="00E1373E" w:rsidRPr="00FC4A34">
        <w:rPr>
          <w:noProof w:val="0"/>
          <w:color w:val="17365D"/>
        </w:rPr>
        <w:t> </w:t>
      </w:r>
      <w:r w:rsidR="004E3F45" w:rsidRPr="00FC4A34">
        <w:rPr>
          <w:noProof w:val="0"/>
          <w:color w:val="17365D"/>
        </w:rPr>
        <w:t>milj.</w:t>
      </w:r>
      <w:r w:rsidR="00D04D2F" w:rsidRPr="00FC4A34">
        <w:rPr>
          <w:noProof w:val="0"/>
          <w:color w:val="17365D"/>
        </w:rPr>
        <w:t> </w:t>
      </w:r>
      <w:proofErr w:type="spellStart"/>
      <w:r w:rsidR="00BA0757" w:rsidRPr="00FC4A34">
        <w:rPr>
          <w:i/>
          <w:noProof w:val="0"/>
          <w:color w:val="17365D"/>
        </w:rPr>
        <w:t>euro</w:t>
      </w:r>
      <w:proofErr w:type="spellEnd"/>
      <w:r w:rsidR="004714AD" w:rsidRPr="00FC4A34">
        <w:rPr>
          <w:i/>
          <w:noProof w:val="0"/>
          <w:color w:val="17365D"/>
        </w:rPr>
        <w:t xml:space="preserve"> </w:t>
      </w:r>
      <w:r w:rsidR="001654D3" w:rsidRPr="00FC4A34">
        <w:rPr>
          <w:noProof w:val="0"/>
          <w:color w:val="17365D"/>
        </w:rPr>
        <w:t xml:space="preserve">jeb </w:t>
      </w:r>
      <w:r w:rsidR="00AF14AF" w:rsidRPr="00FC4A34">
        <w:rPr>
          <w:noProof w:val="0"/>
          <w:color w:val="17365D"/>
        </w:rPr>
        <w:t>1</w:t>
      </w:r>
      <w:r w:rsidR="006464EB" w:rsidRPr="00FC4A34">
        <w:rPr>
          <w:noProof w:val="0"/>
          <w:color w:val="17365D"/>
        </w:rPr>
        <w:t>3,</w:t>
      </w:r>
      <w:r w:rsidR="00AF14AF" w:rsidRPr="00FC4A34">
        <w:rPr>
          <w:noProof w:val="0"/>
          <w:color w:val="17365D"/>
        </w:rPr>
        <w:t>9</w:t>
      </w:r>
      <w:r w:rsidR="00BA0757" w:rsidRPr="00FC4A34">
        <w:rPr>
          <w:noProof w:val="0"/>
          <w:color w:val="17365D"/>
        </w:rPr>
        <w:t> </w:t>
      </w:r>
      <w:r w:rsidR="004E3F45" w:rsidRPr="00FC4A34">
        <w:rPr>
          <w:noProof w:val="0"/>
          <w:color w:val="17365D"/>
        </w:rPr>
        <w:t>% no kopējā valsts parāda apjoma (sk</w:t>
      </w:r>
      <w:r w:rsidR="00D04D2F" w:rsidRPr="00FC4A34">
        <w:rPr>
          <w:noProof w:val="0"/>
          <w:color w:val="17365D"/>
        </w:rPr>
        <w:t>atīt</w:t>
      </w:r>
      <w:r w:rsidR="004E3F45" w:rsidRPr="00FC4A34">
        <w:rPr>
          <w:noProof w:val="0"/>
          <w:color w:val="17365D"/>
        </w:rPr>
        <w:t xml:space="preserve"> </w:t>
      </w:r>
      <w:r w:rsidR="005D074D" w:rsidRPr="00FC4A34">
        <w:rPr>
          <w:noProof w:val="0"/>
          <w:color w:val="17365D"/>
        </w:rPr>
        <w:t>2</w:t>
      </w:r>
      <w:r w:rsidR="004E3F45" w:rsidRPr="00FC4A34">
        <w:rPr>
          <w:noProof w:val="0"/>
          <w:color w:val="17365D"/>
        </w:rPr>
        <w:t>.</w:t>
      </w:r>
      <w:r w:rsidR="00D04D2F" w:rsidRPr="00FC4A34">
        <w:rPr>
          <w:noProof w:val="0"/>
          <w:color w:val="17365D"/>
        </w:rPr>
        <w:t> </w:t>
      </w:r>
      <w:r w:rsidR="004E3F45" w:rsidRPr="00FC4A34">
        <w:rPr>
          <w:noProof w:val="0"/>
          <w:color w:val="17365D"/>
        </w:rPr>
        <w:t>attēlu). Tā būtiskāko daļu veido</w:t>
      </w:r>
      <w:r w:rsidR="00362B4F" w:rsidRPr="00FC4A34">
        <w:rPr>
          <w:noProof w:val="0"/>
          <w:color w:val="17365D"/>
        </w:rPr>
        <w:t xml:space="preserve"> </w:t>
      </w:r>
      <w:r w:rsidR="00ED0FF6" w:rsidRPr="00FC4A34">
        <w:rPr>
          <w:noProof w:val="0"/>
          <w:color w:val="17365D"/>
        </w:rPr>
        <w:t>Valsts pieņemtie pieprasījuma noguldījumi un termiņnoguldījumi</w:t>
      </w:r>
      <w:r w:rsidR="00362B4F" w:rsidRPr="00FC4A34">
        <w:rPr>
          <w:noProof w:val="0"/>
          <w:color w:val="17365D"/>
        </w:rPr>
        <w:t xml:space="preserve"> (1 3</w:t>
      </w:r>
      <w:r w:rsidR="00ED0FF6" w:rsidRPr="00FC4A34">
        <w:rPr>
          <w:noProof w:val="0"/>
          <w:color w:val="17365D"/>
        </w:rPr>
        <w:t>05</w:t>
      </w:r>
      <w:r w:rsidR="00362B4F" w:rsidRPr="00FC4A34">
        <w:rPr>
          <w:noProof w:val="0"/>
          <w:color w:val="17365D"/>
        </w:rPr>
        <w:t>,</w:t>
      </w:r>
      <w:r w:rsidR="00ED0FF6" w:rsidRPr="00FC4A34">
        <w:rPr>
          <w:noProof w:val="0"/>
          <w:color w:val="17365D"/>
        </w:rPr>
        <w:t>5</w:t>
      </w:r>
      <w:r w:rsidR="00362B4F" w:rsidRPr="00FC4A34">
        <w:rPr>
          <w:noProof w:val="0"/>
          <w:color w:val="17365D"/>
        </w:rPr>
        <w:t xml:space="preserve"> milj. </w:t>
      </w:r>
      <w:proofErr w:type="spellStart"/>
      <w:r w:rsidR="00362B4F" w:rsidRPr="00FC4A34">
        <w:rPr>
          <w:i/>
          <w:noProof w:val="0"/>
          <w:color w:val="17365D"/>
        </w:rPr>
        <w:t>euro</w:t>
      </w:r>
      <w:proofErr w:type="spellEnd"/>
      <w:r w:rsidR="00362B4F" w:rsidRPr="00FC4A34">
        <w:rPr>
          <w:noProof w:val="0"/>
          <w:color w:val="17365D"/>
        </w:rPr>
        <w:t>)</w:t>
      </w:r>
      <w:r w:rsidR="00ED0FF6" w:rsidRPr="00FC4A34">
        <w:rPr>
          <w:noProof w:val="0"/>
          <w:color w:val="17365D"/>
        </w:rPr>
        <w:t>,</w:t>
      </w:r>
      <w:r w:rsidR="00362B4F" w:rsidRPr="00FC4A34">
        <w:rPr>
          <w:noProof w:val="0"/>
          <w:color w:val="17365D"/>
        </w:rPr>
        <w:t xml:space="preserve"> un</w:t>
      </w:r>
      <w:r w:rsidR="004E3F45" w:rsidRPr="00FC4A34">
        <w:rPr>
          <w:noProof w:val="0"/>
          <w:color w:val="17365D"/>
        </w:rPr>
        <w:t xml:space="preserve"> valsts aizņēmuma vērtspapīri</w:t>
      </w:r>
      <w:r w:rsidR="00C658DA" w:rsidRPr="00FC4A34">
        <w:rPr>
          <w:noProof w:val="0"/>
          <w:color w:val="17365D"/>
        </w:rPr>
        <w:t>, kas emitēti iekšējā finanšu tirgū</w:t>
      </w:r>
      <w:r w:rsidR="004E3F45" w:rsidRPr="00FC4A34">
        <w:rPr>
          <w:noProof w:val="0"/>
          <w:color w:val="17365D"/>
        </w:rPr>
        <w:t xml:space="preserve"> </w:t>
      </w:r>
      <w:r w:rsidR="003F6954" w:rsidRPr="00FC4A34">
        <w:rPr>
          <w:noProof w:val="0"/>
          <w:color w:val="17365D"/>
        </w:rPr>
        <w:t>(</w:t>
      </w:r>
      <w:r w:rsidR="00362B4F" w:rsidRPr="00FC4A34">
        <w:rPr>
          <w:noProof w:val="0"/>
          <w:color w:val="17365D"/>
        </w:rPr>
        <w:t>997</w:t>
      </w:r>
      <w:r w:rsidR="001F63F8" w:rsidRPr="00FC4A34">
        <w:rPr>
          <w:noProof w:val="0"/>
          <w:color w:val="17365D"/>
        </w:rPr>
        <w:t>,</w:t>
      </w:r>
      <w:r w:rsidR="00362B4F" w:rsidRPr="00FC4A34">
        <w:rPr>
          <w:noProof w:val="0"/>
          <w:color w:val="17365D"/>
        </w:rPr>
        <w:t>5</w:t>
      </w:r>
      <w:r w:rsidR="00E1373E" w:rsidRPr="00FC4A34">
        <w:rPr>
          <w:noProof w:val="0"/>
          <w:color w:val="17365D"/>
        </w:rPr>
        <w:t> </w:t>
      </w:r>
      <w:r w:rsidR="004E3F45" w:rsidRPr="00FC4A34">
        <w:rPr>
          <w:noProof w:val="0"/>
          <w:color w:val="17365D"/>
        </w:rPr>
        <w:t>milj.</w:t>
      </w:r>
      <w:r w:rsidR="00D04D2F" w:rsidRPr="00FC4A34">
        <w:rPr>
          <w:noProof w:val="0"/>
          <w:color w:val="17365D"/>
        </w:rPr>
        <w:t> </w:t>
      </w:r>
      <w:proofErr w:type="spellStart"/>
      <w:r w:rsidR="0026425C" w:rsidRPr="00FC4A34">
        <w:rPr>
          <w:i/>
          <w:noProof w:val="0"/>
          <w:color w:val="17365D"/>
        </w:rPr>
        <w:t>euro</w:t>
      </w:r>
      <w:proofErr w:type="spellEnd"/>
      <w:r w:rsidR="003F6954" w:rsidRPr="00FC4A34">
        <w:rPr>
          <w:noProof w:val="0"/>
          <w:color w:val="17365D"/>
        </w:rPr>
        <w:t>)</w:t>
      </w:r>
      <w:r w:rsidR="00C12AA3" w:rsidRPr="00FC4A34">
        <w:rPr>
          <w:noProof w:val="0"/>
          <w:color w:val="17365D"/>
        </w:rPr>
        <w:t>, t.sk.</w:t>
      </w:r>
      <w:r w:rsidR="00B734B2" w:rsidRPr="00FC4A34">
        <w:rPr>
          <w:noProof w:val="0"/>
          <w:color w:val="17365D"/>
        </w:rPr>
        <w:t xml:space="preserve"> </w:t>
      </w:r>
      <w:r w:rsidR="00C12AA3" w:rsidRPr="00FC4A34">
        <w:rPr>
          <w:noProof w:val="0"/>
          <w:color w:val="17365D"/>
        </w:rPr>
        <w:t>bezprocentu obligācijas</w:t>
      </w:r>
      <w:r w:rsidR="00CA0903" w:rsidRPr="00FC4A34">
        <w:rPr>
          <w:noProof w:val="0"/>
          <w:color w:val="17365D"/>
        </w:rPr>
        <w:t>, kura</w:t>
      </w:r>
      <w:r w:rsidR="004E3F45" w:rsidRPr="00FC4A34">
        <w:rPr>
          <w:noProof w:val="0"/>
          <w:color w:val="17365D"/>
        </w:rPr>
        <w:t>s Valsts kases organizētajās regulārajās publiskajās izsolēs iegādāj</w:t>
      </w:r>
      <w:r w:rsidR="00C958DC" w:rsidRPr="00FC4A34">
        <w:rPr>
          <w:noProof w:val="0"/>
          <w:color w:val="17365D"/>
        </w:rPr>
        <w:t>ušies</w:t>
      </w:r>
      <w:r w:rsidR="004E3F45" w:rsidRPr="00FC4A34">
        <w:rPr>
          <w:noProof w:val="0"/>
          <w:color w:val="17365D"/>
        </w:rPr>
        <w:t xml:space="preserve"> </w:t>
      </w:r>
      <w:r w:rsidR="005D7080" w:rsidRPr="00FC4A34">
        <w:rPr>
          <w:noProof w:val="0"/>
          <w:color w:val="17365D"/>
        </w:rPr>
        <w:t xml:space="preserve">galvenokārt </w:t>
      </w:r>
      <w:r w:rsidR="004E3F45" w:rsidRPr="00FC4A34">
        <w:rPr>
          <w:noProof w:val="0"/>
          <w:color w:val="17365D"/>
        </w:rPr>
        <w:t>iekšējā finanšu tirgus dalībnieki (kredītiestādes un institucionālie investori).</w:t>
      </w:r>
      <w:r w:rsidR="0097237C" w:rsidRPr="00FC4A34">
        <w:rPr>
          <w:color w:val="17365D"/>
        </w:rPr>
        <w:t xml:space="preserve"> </w:t>
      </w:r>
    </w:p>
    <w:p w14:paraId="33F7BF81" w14:textId="7E36EFA2" w:rsidR="005B0DAE" w:rsidRPr="00FC4A34" w:rsidRDefault="0071319A" w:rsidP="0071319A">
      <w:pPr>
        <w:pStyle w:val="Pamatteksts"/>
        <w:ind w:firstLine="0"/>
        <w:jc w:val="center"/>
        <w:rPr>
          <w:noProof w:val="0"/>
          <w:color w:val="17365D"/>
        </w:rPr>
      </w:pPr>
      <w:r w:rsidRPr="00FC4A34">
        <w:rPr>
          <w:color w:val="17365D"/>
        </w:rPr>
        <w:drawing>
          <wp:inline distT="0" distB="0" distL="0" distR="0" wp14:anchorId="7C3B76DB" wp14:editId="60BC70B1">
            <wp:extent cx="2856258" cy="2282521"/>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FC4A34">
        <w:rPr>
          <w:color w:val="17365D"/>
        </w:rPr>
        <w:drawing>
          <wp:inline distT="0" distB="0" distL="0" distR="0" wp14:anchorId="2937D190" wp14:editId="21C55B8A">
            <wp:extent cx="2917825" cy="2308805"/>
            <wp:effectExtent l="0" t="0" r="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FC4A34">
        <w:rPr>
          <w:color w:val="17365D"/>
        </w:rPr>
        <w:drawing>
          <wp:inline distT="0" distB="0" distL="0" distR="0" wp14:anchorId="1C942479" wp14:editId="32DD704A">
            <wp:extent cx="3721210" cy="260990"/>
            <wp:effectExtent l="0" t="0" r="0" b="571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074124" cy="285742"/>
                    </a:xfrm>
                    <a:prstGeom prst="rect">
                      <a:avLst/>
                    </a:prstGeom>
                  </pic:spPr>
                </pic:pic>
              </a:graphicData>
            </a:graphic>
          </wp:inline>
        </w:drawing>
      </w:r>
    </w:p>
    <w:p w14:paraId="427A7814" w14:textId="2D0DEDD0" w:rsidR="00D539DB" w:rsidRPr="00FC4A34" w:rsidRDefault="00D539DB" w:rsidP="003F29A8">
      <w:pPr>
        <w:pStyle w:val="Attlanosaukums"/>
        <w:ind w:firstLine="0"/>
        <w:rPr>
          <w:noProof w:val="0"/>
          <w:color w:val="17365D"/>
        </w:rPr>
      </w:pPr>
      <w:r w:rsidRPr="00FC4A34">
        <w:rPr>
          <w:noProof w:val="0"/>
          <w:color w:val="17365D"/>
        </w:rPr>
        <w:t xml:space="preserve">3. attēls. </w:t>
      </w:r>
      <w:r w:rsidR="00EA0689" w:rsidRPr="00FC4A34">
        <w:rPr>
          <w:noProof w:val="0"/>
          <w:color w:val="17365D"/>
        </w:rPr>
        <w:t xml:space="preserve">Valsts iekšējā aizņēmuma vērtspapīri apgrozībā </w:t>
      </w:r>
      <w:r w:rsidR="004F273C" w:rsidRPr="00FC4A34">
        <w:rPr>
          <w:noProof w:val="0"/>
          <w:color w:val="17365D"/>
        </w:rPr>
        <w:t>2021.</w:t>
      </w:r>
      <w:r w:rsidR="00EA0689" w:rsidRPr="00FC4A34">
        <w:rPr>
          <w:noProof w:val="0"/>
          <w:color w:val="17365D"/>
        </w:rPr>
        <w:t xml:space="preserve"> un </w:t>
      </w:r>
      <w:r w:rsidR="004F273C" w:rsidRPr="00FC4A34">
        <w:rPr>
          <w:noProof w:val="0"/>
          <w:color w:val="17365D"/>
        </w:rPr>
        <w:t>2022.</w:t>
      </w:r>
      <w:r w:rsidR="0065571F" w:rsidRPr="00FC4A34">
        <w:rPr>
          <w:noProof w:val="0"/>
          <w:color w:val="17365D"/>
        </w:rPr>
        <w:t xml:space="preserve"> g</w:t>
      </w:r>
      <w:r w:rsidR="00EA0689" w:rsidRPr="00FC4A34">
        <w:rPr>
          <w:noProof w:val="0"/>
          <w:color w:val="17365D"/>
        </w:rPr>
        <w:t>ada beigās</w:t>
      </w:r>
      <w:r w:rsidR="00CA3005" w:rsidRPr="00FC4A34">
        <w:rPr>
          <w:noProof w:val="0"/>
          <w:color w:val="17365D"/>
        </w:rPr>
        <w:t xml:space="preserve"> </w:t>
      </w:r>
      <w:r w:rsidR="00EA0689" w:rsidRPr="00FC4A34">
        <w:rPr>
          <w:noProof w:val="0"/>
          <w:color w:val="17365D"/>
        </w:rPr>
        <w:t>(nominālvērtīb</w:t>
      </w:r>
      <w:r w:rsidR="00FD3C16" w:rsidRPr="00FC4A34">
        <w:rPr>
          <w:noProof w:val="0"/>
          <w:color w:val="17365D"/>
        </w:rPr>
        <w:t>ā (milj. </w:t>
      </w:r>
      <w:proofErr w:type="spellStart"/>
      <w:r w:rsidR="00FD3C16" w:rsidRPr="00FC4A34">
        <w:rPr>
          <w:noProof w:val="0"/>
          <w:color w:val="17365D"/>
        </w:rPr>
        <w:t>euro</w:t>
      </w:r>
      <w:proofErr w:type="spellEnd"/>
      <w:r w:rsidR="00FD3C16" w:rsidRPr="00FC4A34">
        <w:rPr>
          <w:noProof w:val="0"/>
          <w:color w:val="17365D"/>
        </w:rPr>
        <w:t>) un</w:t>
      </w:r>
      <w:r w:rsidR="00EA0689" w:rsidRPr="00FC4A34">
        <w:rPr>
          <w:noProof w:val="0"/>
          <w:color w:val="17365D"/>
        </w:rPr>
        <w:t xml:space="preserve"> % no kopējā iekšējā aizņēmuma vērtspapīru apjoma)</w:t>
      </w:r>
    </w:p>
    <w:p w14:paraId="5660CC8C" w14:textId="35B86AC2" w:rsidR="00665EA5" w:rsidRPr="00FC4A34" w:rsidRDefault="004F273C" w:rsidP="00B6508C">
      <w:pPr>
        <w:pStyle w:val="Pamatteksts"/>
        <w:rPr>
          <w:noProof w:val="0"/>
          <w:color w:val="17365D"/>
          <w14:textFill>
            <w14:solidFill>
              <w14:srgbClr w14:val="17365D">
                <w14:lumMod w14:val="75000"/>
              </w14:srgbClr>
            </w14:solidFill>
          </w14:textFill>
        </w:rPr>
      </w:pPr>
      <w:r w:rsidRPr="00FC4A34">
        <w:rPr>
          <w:noProof w:val="0"/>
          <w:color w:val="17365D"/>
        </w:rPr>
        <w:lastRenderedPageBreak/>
        <w:t>2022.</w:t>
      </w:r>
      <w:r w:rsidR="00B6508C" w:rsidRPr="00FC4A34">
        <w:rPr>
          <w:noProof w:val="0"/>
          <w:color w:val="17365D"/>
        </w:rPr>
        <w:t xml:space="preserve"> gadā valsts iekšējā aizņēmuma vērtspapīru apjoms </w:t>
      </w:r>
      <w:r w:rsidR="00D37EBF" w:rsidRPr="00FC4A34">
        <w:rPr>
          <w:noProof w:val="0"/>
          <w:color w:val="17365D"/>
        </w:rPr>
        <w:t>samazinājās</w:t>
      </w:r>
      <w:r w:rsidR="00B6508C" w:rsidRPr="00FC4A34">
        <w:rPr>
          <w:noProof w:val="0"/>
          <w:color w:val="17365D"/>
        </w:rPr>
        <w:t xml:space="preserve"> par </w:t>
      </w:r>
      <w:r w:rsidR="003B76B8" w:rsidRPr="00FC4A34">
        <w:rPr>
          <w:noProof w:val="0"/>
          <w:color w:val="17365D"/>
        </w:rPr>
        <w:t>623</w:t>
      </w:r>
      <w:r w:rsidR="00B6508C" w:rsidRPr="00FC4A34">
        <w:rPr>
          <w:noProof w:val="0"/>
          <w:color w:val="17365D"/>
        </w:rPr>
        <w:t>,</w:t>
      </w:r>
      <w:r w:rsidR="003B76B8" w:rsidRPr="00FC4A34">
        <w:rPr>
          <w:noProof w:val="0"/>
          <w:color w:val="17365D"/>
        </w:rPr>
        <w:t>0</w:t>
      </w:r>
      <w:r w:rsidR="00B6508C" w:rsidRPr="00FC4A34">
        <w:rPr>
          <w:noProof w:val="0"/>
          <w:color w:val="17365D"/>
        </w:rPr>
        <w:t> milj. </w:t>
      </w:r>
      <w:proofErr w:type="spellStart"/>
      <w:r w:rsidR="00B6508C" w:rsidRPr="00FC4A34">
        <w:rPr>
          <w:i/>
          <w:noProof w:val="0"/>
          <w:color w:val="17365D"/>
        </w:rPr>
        <w:t>euro</w:t>
      </w:r>
      <w:proofErr w:type="spellEnd"/>
      <w:r w:rsidR="00B6508C" w:rsidRPr="00FC4A34">
        <w:rPr>
          <w:noProof w:val="0"/>
          <w:color w:val="17365D"/>
        </w:rPr>
        <w:t xml:space="preserve"> pēc nomināla, kā arī mainījās apgrozībā esošo valsts iekšējā aizņēmuma vērtspapīru veidu procentuālais īpatsvars iekšējā parāda portfelī (skatīt 3. attēlu). Izmaiņas saistītas ar </w:t>
      </w:r>
      <w:r w:rsidR="006A2E88" w:rsidRPr="00FC4A34">
        <w:rPr>
          <w:noProof w:val="0"/>
          <w:color w:val="17365D"/>
        </w:rPr>
        <w:t>valsts aizņēmuma vērtspapīriem</w:t>
      </w:r>
      <w:r w:rsidR="00724ACF" w:rsidRPr="00FC4A34">
        <w:rPr>
          <w:noProof w:val="0"/>
          <w:color w:val="17365D"/>
        </w:rPr>
        <w:t>, kas emitēti iekšējā finanšu tirgū, atmaksāšanu.</w:t>
      </w:r>
    </w:p>
    <w:p w14:paraId="37504E94" w14:textId="7B99D00E" w:rsidR="00964B00" w:rsidRPr="00FC4A34" w:rsidRDefault="000D7FFB" w:rsidP="00B6508C">
      <w:pPr>
        <w:pStyle w:val="Pamatteksts"/>
        <w:rPr>
          <w:noProof w:val="0"/>
          <w:color w:val="17365D"/>
        </w:rPr>
      </w:pPr>
      <w:r w:rsidRPr="00FC4A34">
        <w:rPr>
          <w:noProof w:val="0"/>
          <w:color w:val="17365D"/>
        </w:rPr>
        <w:t>2022</w:t>
      </w:r>
      <w:r w:rsidR="006A2E88" w:rsidRPr="00FC4A34">
        <w:rPr>
          <w:noProof w:val="0"/>
          <w:color w:val="17365D"/>
        </w:rPr>
        <w:t>. gada beigās</w:t>
      </w:r>
      <w:r w:rsidRPr="00FC4A34">
        <w:rPr>
          <w:noProof w:val="0"/>
          <w:color w:val="17365D"/>
        </w:rPr>
        <w:t xml:space="preserve"> kopējais apgrozībā esošo 5 gadu obligāciju apjoms pēc sākotnējā termiņa ir </w:t>
      </w:r>
      <w:r w:rsidR="006A2E88" w:rsidRPr="00FC4A34">
        <w:rPr>
          <w:noProof w:val="0"/>
          <w:color w:val="17365D"/>
        </w:rPr>
        <w:t>917</w:t>
      </w:r>
      <w:r w:rsidRPr="00FC4A34">
        <w:rPr>
          <w:noProof w:val="0"/>
          <w:color w:val="17365D"/>
        </w:rPr>
        <w:t>,</w:t>
      </w:r>
      <w:r w:rsidR="006A2E88" w:rsidRPr="00FC4A34">
        <w:rPr>
          <w:noProof w:val="0"/>
          <w:color w:val="17365D"/>
        </w:rPr>
        <w:t>5</w:t>
      </w:r>
      <w:r w:rsidRPr="00FC4A34">
        <w:rPr>
          <w:noProof w:val="0"/>
          <w:color w:val="17365D"/>
        </w:rPr>
        <w:t xml:space="preserve"> milj. </w:t>
      </w:r>
      <w:proofErr w:type="spellStart"/>
      <w:r w:rsidR="006A2E88" w:rsidRPr="00FC4A34">
        <w:rPr>
          <w:i/>
          <w:noProof w:val="0"/>
          <w:color w:val="17365D"/>
        </w:rPr>
        <w:t>euro</w:t>
      </w:r>
      <w:proofErr w:type="spellEnd"/>
      <w:r w:rsidR="006A2E88" w:rsidRPr="00FC4A34">
        <w:rPr>
          <w:noProof w:val="0"/>
          <w:color w:val="17365D"/>
        </w:rPr>
        <w:t xml:space="preserve"> un</w:t>
      </w:r>
      <w:r w:rsidR="006A2E88" w:rsidRPr="00FC4A34">
        <w:rPr>
          <w:i/>
          <w:noProof w:val="0"/>
          <w:color w:val="17365D"/>
        </w:rPr>
        <w:t xml:space="preserve"> </w:t>
      </w:r>
      <w:r w:rsidR="006A2E88" w:rsidRPr="00FC4A34">
        <w:rPr>
          <w:noProof w:val="0"/>
          <w:color w:val="17365D"/>
        </w:rPr>
        <w:t xml:space="preserve">7 gadu obligāciju apjoms pēc sākotnējā termiņa ir 80,0 milj. </w:t>
      </w:r>
      <w:proofErr w:type="spellStart"/>
      <w:r w:rsidR="006A2E88" w:rsidRPr="00FC4A34">
        <w:rPr>
          <w:i/>
          <w:noProof w:val="0"/>
          <w:color w:val="17365D"/>
        </w:rPr>
        <w:t>euro</w:t>
      </w:r>
      <w:proofErr w:type="spellEnd"/>
      <w:r w:rsidR="006A2E88" w:rsidRPr="00FC4A34">
        <w:rPr>
          <w:i/>
          <w:noProof w:val="0"/>
          <w:color w:val="17365D"/>
        </w:rPr>
        <w:t>.</w:t>
      </w:r>
      <w:r w:rsidR="006A2E88" w:rsidRPr="00FC4A34">
        <w:rPr>
          <w:color w:val="17365D"/>
        </w:rPr>
        <w:t xml:space="preserve"> </w:t>
      </w:r>
    </w:p>
    <w:p w14:paraId="6F5D644A" w14:textId="7B5A3156" w:rsidR="00D539DB" w:rsidRPr="00FC4A34" w:rsidRDefault="004F273C">
      <w:pPr>
        <w:pStyle w:val="Pamatteksts"/>
        <w:rPr>
          <w:noProof w:val="0"/>
          <w:color w:val="17365D"/>
        </w:rPr>
      </w:pPr>
      <w:r w:rsidRPr="00FC4A34">
        <w:rPr>
          <w:noProof w:val="0"/>
          <w:color w:val="17365D"/>
        </w:rPr>
        <w:t>2022.</w:t>
      </w:r>
      <w:r w:rsidR="00172363" w:rsidRPr="00FC4A34">
        <w:rPr>
          <w:noProof w:val="0"/>
          <w:color w:val="17365D"/>
        </w:rPr>
        <w:t> </w:t>
      </w:r>
      <w:r w:rsidR="0065571F" w:rsidRPr="00FC4A34">
        <w:rPr>
          <w:noProof w:val="0"/>
          <w:color w:val="17365D"/>
        </w:rPr>
        <w:t>g</w:t>
      </w:r>
      <w:r w:rsidR="00F55058" w:rsidRPr="00FC4A34">
        <w:rPr>
          <w:noProof w:val="0"/>
          <w:color w:val="17365D"/>
        </w:rPr>
        <w:t xml:space="preserve">adā turpinājās </w:t>
      </w:r>
      <w:r w:rsidR="002354D1" w:rsidRPr="00FC4A34">
        <w:rPr>
          <w:noProof w:val="0"/>
          <w:color w:val="17365D"/>
        </w:rPr>
        <w:t>2013.</w:t>
      </w:r>
      <w:r w:rsidR="00787A3F" w:rsidRPr="00FC4A34">
        <w:rPr>
          <w:noProof w:val="0"/>
          <w:color w:val="17365D"/>
        </w:rPr>
        <w:t> </w:t>
      </w:r>
      <w:r w:rsidR="002354D1" w:rsidRPr="00FC4A34">
        <w:rPr>
          <w:noProof w:val="0"/>
          <w:color w:val="17365D"/>
        </w:rPr>
        <w:t>gadā uzsāktā,</w:t>
      </w:r>
      <w:r w:rsidR="00334F6A" w:rsidRPr="00FC4A34">
        <w:rPr>
          <w:noProof w:val="0"/>
          <w:color w:val="17365D"/>
        </w:rPr>
        <w:t xml:space="preserve"> uz fiziskām personām orientētā</w:t>
      </w:r>
      <w:r w:rsidR="002354D1" w:rsidRPr="00FC4A34">
        <w:rPr>
          <w:noProof w:val="0"/>
          <w:color w:val="17365D"/>
        </w:rPr>
        <w:t xml:space="preserve"> finanšu instrumenta </w:t>
      </w:r>
      <w:r w:rsidR="001A1CC9" w:rsidRPr="00FC4A34">
        <w:rPr>
          <w:noProof w:val="0"/>
          <w:color w:val="17365D"/>
        </w:rPr>
        <w:t>–</w:t>
      </w:r>
      <w:r w:rsidR="002354D1" w:rsidRPr="00FC4A34">
        <w:rPr>
          <w:noProof w:val="0"/>
          <w:color w:val="17365D"/>
        </w:rPr>
        <w:t xml:space="preserve"> </w:t>
      </w:r>
      <w:proofErr w:type="spellStart"/>
      <w:r w:rsidR="00F55058" w:rsidRPr="00FC4A34">
        <w:rPr>
          <w:noProof w:val="0"/>
          <w:color w:val="17365D"/>
        </w:rPr>
        <w:t>krājobligāciju</w:t>
      </w:r>
      <w:proofErr w:type="spellEnd"/>
      <w:r w:rsidR="001A1CC9" w:rsidRPr="00FC4A34">
        <w:rPr>
          <w:noProof w:val="0"/>
          <w:color w:val="17365D"/>
        </w:rPr>
        <w:t xml:space="preserve"> </w:t>
      </w:r>
      <w:r w:rsidR="004714AD" w:rsidRPr="00FC4A34">
        <w:rPr>
          <w:noProof w:val="0"/>
          <w:color w:val="17365D"/>
        </w:rPr>
        <w:t>–</w:t>
      </w:r>
      <w:r w:rsidR="002354D1" w:rsidRPr="00FC4A34">
        <w:rPr>
          <w:noProof w:val="0"/>
          <w:color w:val="17365D"/>
        </w:rPr>
        <w:t xml:space="preserve"> izplatīšana</w:t>
      </w:r>
      <w:r w:rsidR="00F55058" w:rsidRPr="00FC4A34">
        <w:rPr>
          <w:noProof w:val="0"/>
          <w:color w:val="17365D"/>
        </w:rPr>
        <w:t xml:space="preserve">. </w:t>
      </w:r>
      <w:r w:rsidR="000D224A" w:rsidRPr="00FC4A34">
        <w:rPr>
          <w:noProof w:val="0"/>
          <w:color w:val="17365D"/>
        </w:rPr>
        <w:t>Līdz ar procentu likmju pieaugumu finanšu tirgos</w:t>
      </w:r>
      <w:r w:rsidR="000101FB" w:rsidRPr="00FC4A34">
        <w:rPr>
          <w:noProof w:val="0"/>
          <w:color w:val="17365D"/>
        </w:rPr>
        <w:t>,</w:t>
      </w:r>
      <w:r w:rsidR="000D224A" w:rsidRPr="00FC4A34">
        <w:rPr>
          <w:noProof w:val="0"/>
          <w:color w:val="17365D"/>
        </w:rPr>
        <w:t xml:space="preserve"> </w:t>
      </w:r>
      <w:r w:rsidRPr="00FC4A34">
        <w:rPr>
          <w:noProof w:val="0"/>
          <w:color w:val="17365D"/>
        </w:rPr>
        <w:t>2022.</w:t>
      </w:r>
      <w:r w:rsidR="00172363" w:rsidRPr="00FC4A34">
        <w:rPr>
          <w:noProof w:val="0"/>
          <w:color w:val="17365D"/>
        </w:rPr>
        <w:t> </w:t>
      </w:r>
      <w:r w:rsidR="0065571F" w:rsidRPr="00FC4A34">
        <w:rPr>
          <w:noProof w:val="0"/>
          <w:color w:val="17365D"/>
        </w:rPr>
        <w:t>g</w:t>
      </w:r>
      <w:r w:rsidR="00F55058" w:rsidRPr="00FC4A34">
        <w:rPr>
          <w:noProof w:val="0"/>
          <w:color w:val="17365D"/>
        </w:rPr>
        <w:t xml:space="preserve">adā apgrozībā esošo </w:t>
      </w:r>
      <w:proofErr w:type="spellStart"/>
      <w:r w:rsidR="00F55058" w:rsidRPr="00FC4A34">
        <w:rPr>
          <w:noProof w:val="0"/>
          <w:color w:val="17365D"/>
        </w:rPr>
        <w:t>krājobligāciju</w:t>
      </w:r>
      <w:proofErr w:type="spellEnd"/>
      <w:r w:rsidR="00F55058" w:rsidRPr="00FC4A34">
        <w:rPr>
          <w:noProof w:val="0"/>
          <w:color w:val="17365D"/>
        </w:rPr>
        <w:t xml:space="preserve"> apjoms </w:t>
      </w:r>
      <w:r w:rsidR="00764A88" w:rsidRPr="00FC4A34">
        <w:rPr>
          <w:noProof w:val="0"/>
          <w:color w:val="17365D"/>
        </w:rPr>
        <w:t>palielinājās</w:t>
      </w:r>
      <w:r w:rsidR="00334F6A" w:rsidRPr="00FC4A34">
        <w:rPr>
          <w:noProof w:val="0"/>
          <w:color w:val="17365D"/>
        </w:rPr>
        <w:t xml:space="preserve"> par </w:t>
      </w:r>
      <w:r w:rsidR="00D5323E" w:rsidRPr="00FC4A34">
        <w:rPr>
          <w:noProof w:val="0"/>
          <w:color w:val="17365D"/>
        </w:rPr>
        <w:t>9,2</w:t>
      </w:r>
      <w:r w:rsidR="00C257FB" w:rsidRPr="00FC4A34">
        <w:rPr>
          <w:noProof w:val="0"/>
          <w:color w:val="17365D"/>
        </w:rPr>
        <w:t> </w:t>
      </w:r>
      <w:r w:rsidR="00D5323E" w:rsidRPr="00FC4A34">
        <w:rPr>
          <w:noProof w:val="0"/>
          <w:color w:val="17365D"/>
        </w:rPr>
        <w:t>milj</w:t>
      </w:r>
      <w:r w:rsidR="00FC64A4" w:rsidRPr="00FC4A34">
        <w:rPr>
          <w:noProof w:val="0"/>
          <w:color w:val="17365D"/>
        </w:rPr>
        <w:t>.</w:t>
      </w:r>
      <w:r w:rsidR="0065024F" w:rsidRPr="00FC4A34">
        <w:rPr>
          <w:noProof w:val="0"/>
          <w:color w:val="17365D"/>
        </w:rPr>
        <w:t> </w:t>
      </w:r>
      <w:proofErr w:type="spellStart"/>
      <w:r w:rsidR="00FC64A4" w:rsidRPr="00FC4A34">
        <w:rPr>
          <w:i/>
          <w:noProof w:val="0"/>
          <w:color w:val="17365D"/>
        </w:rPr>
        <w:t>euro</w:t>
      </w:r>
      <w:proofErr w:type="spellEnd"/>
      <w:r w:rsidR="008E312C" w:rsidRPr="00FC4A34">
        <w:rPr>
          <w:noProof w:val="0"/>
          <w:color w:val="17365D"/>
        </w:rPr>
        <w:t xml:space="preserve">, </w:t>
      </w:r>
      <w:r w:rsidRPr="00FC4A34">
        <w:rPr>
          <w:noProof w:val="0"/>
          <w:color w:val="17365D"/>
        </w:rPr>
        <w:t>2022.</w:t>
      </w:r>
      <w:r w:rsidR="00CA0374">
        <w:rPr>
          <w:noProof w:val="0"/>
          <w:color w:val="17365D"/>
        </w:rPr>
        <w:t> </w:t>
      </w:r>
      <w:r w:rsidR="0065571F" w:rsidRPr="00FC4A34">
        <w:rPr>
          <w:noProof w:val="0"/>
          <w:color w:val="17365D"/>
        </w:rPr>
        <w:t>g</w:t>
      </w:r>
      <w:r w:rsidR="00D539DB" w:rsidRPr="00FC4A34">
        <w:rPr>
          <w:noProof w:val="0"/>
          <w:color w:val="17365D"/>
        </w:rPr>
        <w:t xml:space="preserve">ada beigās </w:t>
      </w:r>
      <w:r w:rsidR="00A44923" w:rsidRPr="00FC4A34">
        <w:rPr>
          <w:noProof w:val="0"/>
          <w:color w:val="17365D"/>
        </w:rPr>
        <w:t xml:space="preserve">kopējais apgrozībā esošo </w:t>
      </w:r>
      <w:proofErr w:type="spellStart"/>
      <w:r w:rsidR="00A44923" w:rsidRPr="00FC4A34">
        <w:rPr>
          <w:noProof w:val="0"/>
          <w:color w:val="17365D"/>
        </w:rPr>
        <w:t>krājobligāciju</w:t>
      </w:r>
      <w:proofErr w:type="spellEnd"/>
      <w:r w:rsidR="00A44923" w:rsidRPr="00FC4A34">
        <w:rPr>
          <w:noProof w:val="0"/>
          <w:color w:val="17365D"/>
        </w:rPr>
        <w:t xml:space="preserve"> apjoms </w:t>
      </w:r>
      <w:r w:rsidR="00186864" w:rsidRPr="00FC4A34">
        <w:rPr>
          <w:noProof w:val="0"/>
          <w:color w:val="17365D"/>
        </w:rPr>
        <w:t>ir</w:t>
      </w:r>
      <w:r w:rsidR="002354D1" w:rsidRPr="00FC4A34">
        <w:rPr>
          <w:noProof w:val="0"/>
          <w:color w:val="17365D"/>
        </w:rPr>
        <w:t xml:space="preserve"> </w:t>
      </w:r>
      <w:r w:rsidR="00D5323E" w:rsidRPr="00FC4A34">
        <w:rPr>
          <w:noProof w:val="0"/>
          <w:color w:val="17365D"/>
        </w:rPr>
        <w:t>14</w:t>
      </w:r>
      <w:r w:rsidR="00FC64A4" w:rsidRPr="00FC4A34">
        <w:rPr>
          <w:noProof w:val="0"/>
          <w:color w:val="17365D"/>
        </w:rPr>
        <w:t>,</w:t>
      </w:r>
      <w:r w:rsidR="00D5323E" w:rsidRPr="00FC4A34">
        <w:rPr>
          <w:noProof w:val="0"/>
          <w:color w:val="17365D"/>
        </w:rPr>
        <w:t>7</w:t>
      </w:r>
      <w:r w:rsidR="00E1373E" w:rsidRPr="00FC4A34">
        <w:rPr>
          <w:noProof w:val="0"/>
          <w:color w:val="17365D"/>
        </w:rPr>
        <w:t> </w:t>
      </w:r>
      <w:r w:rsidR="00D539DB" w:rsidRPr="00FC4A34">
        <w:rPr>
          <w:noProof w:val="0"/>
          <w:color w:val="17365D"/>
        </w:rPr>
        <w:t xml:space="preserve">milj. </w:t>
      </w:r>
      <w:proofErr w:type="spellStart"/>
      <w:r w:rsidR="008E312C" w:rsidRPr="00FC4A34">
        <w:rPr>
          <w:i/>
          <w:noProof w:val="0"/>
          <w:color w:val="17365D"/>
        </w:rPr>
        <w:t>euro</w:t>
      </w:r>
      <w:proofErr w:type="spellEnd"/>
      <w:r w:rsidR="008E312C" w:rsidRPr="00FC4A34">
        <w:rPr>
          <w:noProof w:val="0"/>
          <w:color w:val="17365D"/>
        </w:rPr>
        <w:t xml:space="preserve"> </w:t>
      </w:r>
      <w:r w:rsidR="00B253AF" w:rsidRPr="00FC4A34">
        <w:rPr>
          <w:noProof w:val="0"/>
          <w:color w:val="17365D"/>
        </w:rPr>
        <w:t>(skatīt 4. attēlu)</w:t>
      </w:r>
      <w:r w:rsidR="00D539DB" w:rsidRPr="00FC4A34">
        <w:rPr>
          <w:noProof w:val="0"/>
          <w:color w:val="17365D"/>
        </w:rPr>
        <w:t>.</w:t>
      </w:r>
    </w:p>
    <w:p w14:paraId="6CDD6098" w14:textId="6A95C3AB" w:rsidR="005F5EA5" w:rsidRPr="00FC4A34" w:rsidRDefault="00D5323E" w:rsidP="00DF0DD4">
      <w:pPr>
        <w:pStyle w:val="Pamatteksts"/>
        <w:ind w:firstLine="0"/>
        <w:jc w:val="center"/>
        <w:rPr>
          <w:noProof w:val="0"/>
          <w:color w:val="17365D"/>
        </w:rPr>
      </w:pPr>
      <w:r w:rsidRPr="00FC4A34">
        <w:rPr>
          <w:color w:val="17365D"/>
        </w:rPr>
        <w:drawing>
          <wp:inline distT="0" distB="0" distL="0" distR="0" wp14:anchorId="6C786779" wp14:editId="2B100F2A">
            <wp:extent cx="5462546" cy="256032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FC4A34">
        <w:rPr>
          <w:color w:val="17365D"/>
        </w:rPr>
        <w:t xml:space="preserve"> </w:t>
      </w:r>
      <w:r w:rsidR="000C5E6A" w:rsidRPr="00FC4A34">
        <w:rPr>
          <w:color w:val="17365D"/>
        </w:rPr>
        <w:t xml:space="preserve"> </w:t>
      </w:r>
    </w:p>
    <w:p w14:paraId="03CF8ED9" w14:textId="465ABAD3" w:rsidR="00B253AF" w:rsidRPr="00FC4A34" w:rsidRDefault="00B253AF" w:rsidP="009854D4">
      <w:pPr>
        <w:pStyle w:val="Attlanosaukums"/>
        <w:spacing w:line="360" w:lineRule="auto"/>
        <w:rPr>
          <w:noProof w:val="0"/>
          <w:color w:val="17365D"/>
        </w:rPr>
      </w:pPr>
      <w:r w:rsidRPr="00FC4A34">
        <w:rPr>
          <w:noProof w:val="0"/>
          <w:color w:val="17365D"/>
        </w:rPr>
        <w:t xml:space="preserve">4. attēls. </w:t>
      </w:r>
      <w:proofErr w:type="spellStart"/>
      <w:r w:rsidRPr="00FC4A34">
        <w:rPr>
          <w:noProof w:val="0"/>
          <w:color w:val="17365D"/>
        </w:rPr>
        <w:t>Krājobligāciju</w:t>
      </w:r>
      <w:proofErr w:type="spellEnd"/>
      <w:r w:rsidRPr="00FC4A34">
        <w:rPr>
          <w:noProof w:val="0"/>
          <w:color w:val="17365D"/>
        </w:rPr>
        <w:t xml:space="preserve"> struktūra sadalījumā pa termiņiem </w:t>
      </w:r>
      <w:r w:rsidR="004F273C" w:rsidRPr="00FC4A34">
        <w:rPr>
          <w:noProof w:val="0"/>
          <w:color w:val="17365D"/>
        </w:rPr>
        <w:t>2022.</w:t>
      </w:r>
      <w:r w:rsidR="0065571F" w:rsidRPr="00FC4A34">
        <w:rPr>
          <w:noProof w:val="0"/>
          <w:color w:val="17365D"/>
        </w:rPr>
        <w:t xml:space="preserve"> g</w:t>
      </w:r>
      <w:r w:rsidR="00EF5AE5" w:rsidRPr="00FC4A34">
        <w:rPr>
          <w:noProof w:val="0"/>
          <w:color w:val="17365D"/>
        </w:rPr>
        <w:t>ada 31. decembrī (</w:t>
      </w:r>
      <w:proofErr w:type="spellStart"/>
      <w:r w:rsidR="00EF5AE5" w:rsidRPr="00FC4A34">
        <w:rPr>
          <w:noProof w:val="0"/>
          <w:color w:val="17365D"/>
        </w:rPr>
        <w:t>euro</w:t>
      </w:r>
      <w:proofErr w:type="spellEnd"/>
      <w:r w:rsidR="00EF5AE5" w:rsidRPr="00FC4A34">
        <w:rPr>
          <w:noProof w:val="0"/>
          <w:color w:val="17365D"/>
        </w:rPr>
        <w:t>)</w:t>
      </w:r>
    </w:p>
    <w:p w14:paraId="1E758DEE" w14:textId="241DC5FA" w:rsidR="00CB645A" w:rsidRDefault="00CB645A" w:rsidP="00CB645A">
      <w:pPr>
        <w:pStyle w:val="Pamatteksts"/>
        <w:rPr>
          <w:noProof w:val="0"/>
          <w:color w:val="17365D"/>
        </w:rPr>
      </w:pPr>
      <w:r>
        <w:rPr>
          <w:noProof w:val="0"/>
          <w:color w:val="17365D"/>
        </w:rPr>
        <w:t>Valsts pieņemto pieprasījuma noguldījumu, kas veidojās no Valsts kases apkalpoto kontu atlikumiem, t.sk. biedrību un reliģisko organizāciju, kapitālsabiedrību un pašvaldību kontu atlikumiem Valsts kasē, apjoms 2022. gada 31. decembrī ir 1 305,5 milj. </w:t>
      </w:r>
      <w:proofErr w:type="spellStart"/>
      <w:r w:rsidRPr="00CB645A">
        <w:rPr>
          <w:noProof w:val="0"/>
          <w:color w:val="17365D"/>
        </w:rPr>
        <w:t>euro</w:t>
      </w:r>
      <w:proofErr w:type="spellEnd"/>
      <w:r>
        <w:rPr>
          <w:noProof w:val="0"/>
          <w:color w:val="17365D"/>
        </w:rPr>
        <w:t xml:space="preserve">. Salīdzinot ar 2021. gadu, noguldījumu apjoms samazinājās par 20,9 milj. </w:t>
      </w:r>
      <w:r w:rsidRPr="00CB645A">
        <w:rPr>
          <w:noProof w:val="0"/>
          <w:color w:val="17365D"/>
        </w:rPr>
        <w:t xml:space="preserve">euro </w:t>
      </w:r>
      <w:r>
        <w:rPr>
          <w:noProof w:val="0"/>
          <w:color w:val="17365D"/>
        </w:rPr>
        <w:t>jeb 1,6 %.</w:t>
      </w:r>
    </w:p>
    <w:p w14:paraId="5DD8F067" w14:textId="3A16B943" w:rsidR="008E7570" w:rsidRPr="00FC4A34" w:rsidRDefault="00AA4E95" w:rsidP="00233009">
      <w:pPr>
        <w:pStyle w:val="Pamatteksts"/>
        <w:rPr>
          <w:b/>
          <w:color w:val="17365D"/>
        </w:rPr>
      </w:pPr>
      <w:r w:rsidRPr="00FC4A34">
        <w:rPr>
          <w:b/>
          <w:color w:val="17365D"/>
        </w:rPr>
        <mc:AlternateContent>
          <mc:Choice Requires="wps">
            <w:drawing>
              <wp:anchor distT="0" distB="0" distL="114300" distR="114300" simplePos="0" relativeHeight="251708416" behindDoc="0" locked="0" layoutInCell="1" allowOverlap="1" wp14:anchorId="2582245A" wp14:editId="0F408B3D">
                <wp:simplePos x="0" y="0"/>
                <wp:positionH relativeFrom="column">
                  <wp:posOffset>4255770</wp:posOffset>
                </wp:positionH>
                <wp:positionV relativeFrom="paragraph">
                  <wp:posOffset>302895</wp:posOffset>
                </wp:positionV>
                <wp:extent cx="1681200" cy="1029600"/>
                <wp:effectExtent l="0" t="0" r="14605" b="18415"/>
                <wp:wrapSquare wrapText="bothSides"/>
                <wp:docPr id="7" name="Rectangle 7"/>
                <wp:cNvGraphicFramePr/>
                <a:graphic xmlns:a="http://schemas.openxmlformats.org/drawingml/2006/main">
                  <a:graphicData uri="http://schemas.microsoft.com/office/word/2010/wordprocessingShape">
                    <wps:wsp>
                      <wps:cNvSpPr/>
                      <wps:spPr>
                        <a:xfrm>
                          <a:off x="0" y="0"/>
                          <a:ext cx="1681200" cy="1029600"/>
                        </a:xfrm>
                        <a:prstGeom prst="rect">
                          <a:avLst/>
                        </a:prstGeom>
                        <a:solidFill>
                          <a:sysClr val="window" lastClr="FFFFFF"/>
                        </a:solidFill>
                        <a:ln w="25400" cap="flat" cmpd="sng" algn="ctr">
                          <a:solidFill>
                            <a:srgbClr val="17375E"/>
                          </a:solidFill>
                          <a:prstDash val="sysDot"/>
                        </a:ln>
                        <a:effectLst/>
                      </wps:spPr>
                      <wps:txbx>
                        <w:txbxContent>
                          <w:p w14:paraId="7E65FC55" w14:textId="58D68BE8" w:rsidR="00C50725" w:rsidRPr="00FC4A34" w:rsidRDefault="00C50725" w:rsidP="00AA4E95">
                            <w:pPr>
                              <w:spacing w:after="0"/>
                              <w:ind w:firstLine="0"/>
                              <w:jc w:val="center"/>
                              <w:rPr>
                                <w:color w:val="17375E"/>
                              </w:rPr>
                            </w:pPr>
                            <w:r w:rsidRPr="008F21B9">
                              <w:rPr>
                                <w:color w:val="17375E"/>
                              </w:rPr>
                              <w:t xml:space="preserve">Bezprocentu obligācijas </w:t>
                            </w:r>
                            <w:r w:rsidRPr="00FC4A34">
                              <w:rPr>
                                <w:color w:val="17375E"/>
                              </w:rPr>
                              <w:t>202</w:t>
                            </w:r>
                            <w:r w:rsidR="00E26027" w:rsidRPr="00FC4A34">
                              <w:rPr>
                                <w:color w:val="17375E"/>
                              </w:rPr>
                              <w:t>2</w:t>
                            </w:r>
                            <w:r w:rsidRPr="00FC4A34">
                              <w:rPr>
                                <w:color w:val="17375E"/>
                              </w:rPr>
                              <w:t xml:space="preserve">.gada 31.decembrī – </w:t>
                            </w:r>
                          </w:p>
                          <w:p w14:paraId="298E4988" w14:textId="30EFAE3D" w:rsidR="00C50725" w:rsidRPr="00554158" w:rsidRDefault="00360550" w:rsidP="00AA4E95">
                            <w:pPr>
                              <w:spacing w:after="0"/>
                              <w:ind w:firstLine="0"/>
                              <w:jc w:val="center"/>
                              <w:rPr>
                                <w:color w:val="17375E"/>
                              </w:rPr>
                            </w:pPr>
                            <w:r w:rsidRPr="00FC4A34">
                              <w:rPr>
                                <w:b/>
                                <w:color w:val="17375E"/>
                              </w:rPr>
                              <w:t>7</w:t>
                            </w:r>
                            <w:r w:rsidR="00C50725" w:rsidRPr="00FC4A34">
                              <w:rPr>
                                <w:b/>
                                <w:color w:val="17375E"/>
                              </w:rPr>
                              <w:t>,5</w:t>
                            </w:r>
                            <w:r w:rsidR="00C50725" w:rsidRPr="00FC4A34">
                              <w:rPr>
                                <w:color w:val="17375E"/>
                              </w:rPr>
                              <w:t xml:space="preserve"> milj</w:t>
                            </w:r>
                            <w:r w:rsidR="00C50725" w:rsidRPr="008F21B9">
                              <w:rPr>
                                <w:color w:val="17375E"/>
                              </w:rPr>
                              <w:t>.</w:t>
                            </w:r>
                            <w:r w:rsidR="00C50725">
                              <w:rPr>
                                <w:color w:val="17375E"/>
                              </w:rPr>
                              <w:t xml:space="preserve"> </w:t>
                            </w:r>
                            <w:proofErr w:type="spellStart"/>
                            <w:r w:rsidR="00C50725" w:rsidRPr="008544CB">
                              <w:rPr>
                                <w:i/>
                                <w:color w:val="17375E"/>
                              </w:rPr>
                              <w:t>euro</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82245A" id="Rectangle 7" o:spid="_x0000_s1030" style="position:absolute;left:0;text-align:left;margin-left:335.1pt;margin-top:23.85pt;width:132.4pt;height:81.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" fillcolor="window" strokecolor="#17375e" strokeweight="2pt">
                <v:stroke dashstyle="1 1"/>
                <v:textbox>
                  <w:txbxContent>
                    <w:p w14:paraId="7E65FC55" w14:textId="58D68BE8" w:rsidR="00C50725" w:rsidRPr="00FC4A34" w:rsidRDefault="00C50725" w:rsidP="00AA4E95">
                      <w:pPr>
                        <w:spacing w:after="0"/>
                        <w:ind w:firstLine="0"/>
                        <w:jc w:val="center"/>
                        <w:rPr>
                          <w:color w:val="17375E"/>
                        </w:rPr>
                      </w:pPr>
                      <w:r w:rsidRPr="008F21B9">
                        <w:rPr>
                          <w:color w:val="17375E"/>
                        </w:rPr>
                        <w:t xml:space="preserve">Bezprocentu obligācijas </w:t>
                      </w:r>
                      <w:r w:rsidRPr="00FC4A34">
                        <w:rPr>
                          <w:color w:val="17375E"/>
                        </w:rPr>
                        <w:t>202</w:t>
                      </w:r>
                      <w:r w:rsidR="00E26027" w:rsidRPr="00FC4A34">
                        <w:rPr>
                          <w:color w:val="17375E"/>
                        </w:rPr>
                        <w:t>2</w:t>
                      </w:r>
                      <w:r w:rsidRPr="00FC4A34">
                        <w:rPr>
                          <w:color w:val="17375E"/>
                        </w:rPr>
                        <w:t xml:space="preserve">.gada 31.decembrī – </w:t>
                      </w:r>
                    </w:p>
                    <w:p w14:paraId="298E4988" w14:textId="30EFAE3D" w:rsidR="00C50725" w:rsidRPr="00554158" w:rsidRDefault="00360550" w:rsidP="00AA4E95">
                      <w:pPr>
                        <w:spacing w:after="0"/>
                        <w:ind w:firstLine="0"/>
                        <w:jc w:val="center"/>
                        <w:rPr>
                          <w:color w:val="17375E"/>
                        </w:rPr>
                      </w:pPr>
                      <w:r w:rsidRPr="00FC4A34">
                        <w:rPr>
                          <w:b/>
                          <w:color w:val="17375E"/>
                        </w:rPr>
                        <w:t>7</w:t>
                      </w:r>
                      <w:r w:rsidR="00C50725" w:rsidRPr="00FC4A34">
                        <w:rPr>
                          <w:b/>
                          <w:color w:val="17375E"/>
                        </w:rPr>
                        <w:t>,5</w:t>
                      </w:r>
                      <w:r w:rsidR="00C50725" w:rsidRPr="00FC4A34">
                        <w:rPr>
                          <w:color w:val="17375E"/>
                        </w:rPr>
                        <w:t xml:space="preserve"> milj</w:t>
                      </w:r>
                      <w:r w:rsidR="00C50725" w:rsidRPr="008F21B9">
                        <w:rPr>
                          <w:color w:val="17375E"/>
                        </w:rPr>
                        <w:t>.</w:t>
                      </w:r>
                      <w:r w:rsidR="00C50725">
                        <w:rPr>
                          <w:color w:val="17375E"/>
                        </w:rPr>
                        <w:t xml:space="preserve"> </w:t>
                      </w:r>
                      <w:proofErr w:type="spellStart"/>
                      <w:r w:rsidR="00C50725" w:rsidRPr="008544CB">
                        <w:rPr>
                          <w:i/>
                          <w:color w:val="17375E"/>
                        </w:rPr>
                        <w:t>euro</w:t>
                      </w:r>
                      <w:proofErr w:type="spellEnd"/>
                    </w:p>
                  </w:txbxContent>
                </v:textbox>
                <w10:wrap type="square"/>
              </v:rect>
            </w:pict>
          </mc:Fallback>
        </mc:AlternateContent>
      </w:r>
      <w:r w:rsidR="004F273C" w:rsidRPr="00FC4A34">
        <w:rPr>
          <w:noProof w:val="0"/>
          <w:color w:val="17365D"/>
        </w:rPr>
        <w:t>2022.</w:t>
      </w:r>
      <w:r w:rsidR="0065571F" w:rsidRPr="00FC4A34">
        <w:rPr>
          <w:noProof w:val="0"/>
          <w:color w:val="17365D"/>
        </w:rPr>
        <w:t xml:space="preserve"> g</w:t>
      </w:r>
      <w:r w:rsidR="008A60FD" w:rsidRPr="00FC4A34">
        <w:rPr>
          <w:noProof w:val="0"/>
          <w:color w:val="17365D"/>
        </w:rPr>
        <w:t xml:space="preserve">adā turpinājās </w:t>
      </w:r>
      <w:r w:rsidR="00135651" w:rsidRPr="00FC4A34">
        <w:rPr>
          <w:noProof w:val="0"/>
          <w:color w:val="17365D"/>
        </w:rPr>
        <w:t>2015.</w:t>
      </w:r>
      <w:r w:rsidR="00787A3F" w:rsidRPr="00FC4A34">
        <w:rPr>
          <w:noProof w:val="0"/>
          <w:color w:val="17365D"/>
        </w:rPr>
        <w:t> </w:t>
      </w:r>
      <w:r w:rsidR="00135651" w:rsidRPr="00FC4A34">
        <w:rPr>
          <w:noProof w:val="0"/>
          <w:color w:val="17365D"/>
        </w:rPr>
        <w:t xml:space="preserve">gadā </w:t>
      </w:r>
      <w:r w:rsidR="008A60FD" w:rsidRPr="00FC4A34">
        <w:rPr>
          <w:noProof w:val="0"/>
          <w:color w:val="17365D"/>
        </w:rPr>
        <w:t>uzsāktā</w:t>
      </w:r>
      <w:r w:rsidR="00135651" w:rsidRPr="00FC4A34">
        <w:rPr>
          <w:noProof w:val="0"/>
          <w:color w:val="17365D"/>
        </w:rPr>
        <w:t xml:space="preserve"> valsts vērtspapīru veida – bezprocentu obligācijas – emisija. Šādu vērtspapīru emisiju paredz Imigrācijas likuma 23.</w:t>
      </w:r>
      <w:r w:rsidR="0065024F" w:rsidRPr="00FC4A34">
        <w:rPr>
          <w:noProof w:val="0"/>
          <w:color w:val="17365D"/>
        </w:rPr>
        <w:t> </w:t>
      </w:r>
      <w:r w:rsidR="00135651" w:rsidRPr="00FC4A34">
        <w:rPr>
          <w:noProof w:val="0"/>
          <w:color w:val="17365D"/>
        </w:rPr>
        <w:t>panta pirmās daļas 31.</w:t>
      </w:r>
      <w:r w:rsidR="0065024F" w:rsidRPr="00FC4A34">
        <w:rPr>
          <w:noProof w:val="0"/>
          <w:color w:val="17365D"/>
        </w:rPr>
        <w:t> </w:t>
      </w:r>
      <w:r w:rsidR="00135651" w:rsidRPr="00FC4A34">
        <w:rPr>
          <w:noProof w:val="0"/>
          <w:color w:val="17365D"/>
        </w:rPr>
        <w:t>punkts, kurā noteikts, ka ārzemnieks drīkst pieprasīt uzturēšanās atļauju Latvijas Republikā uz laiku līdz pieciem gadiem, ja viņš iegādājies īpašam mērķim noteiktus bezprocentu vērtspapīru</w:t>
      </w:r>
      <w:r w:rsidR="00787A3F" w:rsidRPr="00FC4A34">
        <w:rPr>
          <w:noProof w:val="0"/>
          <w:color w:val="17365D"/>
        </w:rPr>
        <w:t>s par nominālvērtību 250 </w:t>
      </w:r>
      <w:r w:rsidR="008945EE" w:rsidRPr="00FC4A34">
        <w:rPr>
          <w:noProof w:val="0"/>
          <w:color w:val="17365D"/>
        </w:rPr>
        <w:t>tūkst. </w:t>
      </w:r>
      <w:proofErr w:type="spellStart"/>
      <w:r w:rsidR="00135651" w:rsidRPr="00FC4A34">
        <w:rPr>
          <w:i/>
          <w:noProof w:val="0"/>
          <w:color w:val="17365D"/>
        </w:rPr>
        <w:t>euro</w:t>
      </w:r>
      <w:proofErr w:type="spellEnd"/>
      <w:r w:rsidR="007C4446" w:rsidRPr="00FC4A34">
        <w:rPr>
          <w:i/>
          <w:noProof w:val="0"/>
          <w:color w:val="17365D"/>
        </w:rPr>
        <w:t xml:space="preserve"> </w:t>
      </w:r>
      <w:r w:rsidR="00433AFA" w:rsidRPr="00FC4A34">
        <w:rPr>
          <w:noProof w:val="0"/>
          <w:color w:val="17365D"/>
        </w:rPr>
        <w:t xml:space="preserve">un samaksā valsts budžetā 38 tūkst. </w:t>
      </w:r>
      <w:proofErr w:type="spellStart"/>
      <w:r w:rsidR="00433AFA" w:rsidRPr="00FC4A34">
        <w:rPr>
          <w:i/>
          <w:noProof w:val="0"/>
          <w:color w:val="17365D"/>
        </w:rPr>
        <w:t>euro</w:t>
      </w:r>
      <w:proofErr w:type="spellEnd"/>
      <w:r w:rsidR="00433AFA" w:rsidRPr="00FC4A34">
        <w:rPr>
          <w:i/>
          <w:noProof w:val="0"/>
          <w:color w:val="17365D"/>
        </w:rPr>
        <w:t>.</w:t>
      </w:r>
      <w:r w:rsidR="00135651" w:rsidRPr="00FC4A34">
        <w:rPr>
          <w:i/>
          <w:noProof w:val="0"/>
          <w:color w:val="17365D"/>
        </w:rPr>
        <w:t xml:space="preserve"> </w:t>
      </w:r>
      <w:r w:rsidR="004F273C" w:rsidRPr="00FC4A34">
        <w:rPr>
          <w:noProof w:val="0"/>
          <w:color w:val="17365D"/>
        </w:rPr>
        <w:t>2022.</w:t>
      </w:r>
      <w:r w:rsidR="00172363" w:rsidRPr="00FC4A34">
        <w:rPr>
          <w:noProof w:val="0"/>
          <w:color w:val="17365D"/>
        </w:rPr>
        <w:t> </w:t>
      </w:r>
      <w:r w:rsidR="0065571F" w:rsidRPr="00FC4A34">
        <w:rPr>
          <w:noProof w:val="0"/>
          <w:color w:val="17365D"/>
        </w:rPr>
        <w:t>g</w:t>
      </w:r>
      <w:r w:rsidR="00135651" w:rsidRPr="00FC4A34">
        <w:rPr>
          <w:noProof w:val="0"/>
          <w:color w:val="17365D"/>
        </w:rPr>
        <w:t>ada 31.</w:t>
      </w:r>
      <w:r w:rsidR="00787A3F" w:rsidRPr="00FC4A34">
        <w:rPr>
          <w:noProof w:val="0"/>
          <w:color w:val="17365D"/>
        </w:rPr>
        <w:t> </w:t>
      </w:r>
      <w:r w:rsidR="00135651" w:rsidRPr="00FC4A34">
        <w:rPr>
          <w:noProof w:val="0"/>
          <w:color w:val="17365D"/>
        </w:rPr>
        <w:t xml:space="preserve">decembrī bezprocentu obligāciju apjoms </w:t>
      </w:r>
      <w:r w:rsidR="000874B6" w:rsidRPr="00FC4A34">
        <w:rPr>
          <w:noProof w:val="0"/>
          <w:color w:val="17365D"/>
        </w:rPr>
        <w:t xml:space="preserve">sasniedza </w:t>
      </w:r>
      <w:r w:rsidR="00E26027" w:rsidRPr="00FC4A34">
        <w:rPr>
          <w:noProof w:val="0"/>
          <w:color w:val="17365D"/>
        </w:rPr>
        <w:t>7</w:t>
      </w:r>
      <w:r w:rsidR="005F5EA5" w:rsidRPr="00FC4A34">
        <w:rPr>
          <w:noProof w:val="0"/>
          <w:color w:val="17365D"/>
        </w:rPr>
        <w:t>,5</w:t>
      </w:r>
      <w:r w:rsidR="00135651" w:rsidRPr="00FC4A34">
        <w:rPr>
          <w:noProof w:val="0"/>
          <w:color w:val="17365D"/>
        </w:rPr>
        <w:t xml:space="preserve"> milj. </w:t>
      </w:r>
      <w:proofErr w:type="spellStart"/>
      <w:r w:rsidR="00135651" w:rsidRPr="00FC4A34">
        <w:rPr>
          <w:i/>
          <w:noProof w:val="0"/>
          <w:color w:val="17365D"/>
        </w:rPr>
        <w:t>euro</w:t>
      </w:r>
      <w:proofErr w:type="spellEnd"/>
      <w:r w:rsidR="00135651" w:rsidRPr="00FC4A34">
        <w:rPr>
          <w:noProof w:val="0"/>
          <w:color w:val="17365D"/>
        </w:rPr>
        <w:t>.</w:t>
      </w:r>
      <w:r w:rsidRPr="00FC4A34">
        <w:rPr>
          <w:b/>
          <w:color w:val="17365D"/>
        </w:rPr>
        <w:t xml:space="preserve"> </w:t>
      </w:r>
    </w:p>
    <w:p w14:paraId="11F0D10C" w14:textId="77777777" w:rsidR="00472787" w:rsidRPr="00FC4A34" w:rsidRDefault="00472787" w:rsidP="00472787">
      <w:pPr>
        <w:pStyle w:val="Heading1"/>
        <w:rPr>
          <w:noProof w:val="0"/>
          <w:color w:val="17365D"/>
        </w:rPr>
      </w:pPr>
      <w:r w:rsidRPr="00FC4A34">
        <w:rPr>
          <w:noProof w:val="0"/>
          <w:color w:val="17365D"/>
        </w:rPr>
        <w:t>Atvasināto finanšu instrumentu pielietošana valsts parāda portfeļa vadībā</w:t>
      </w:r>
    </w:p>
    <w:p w14:paraId="5E90620B" w14:textId="77777777" w:rsidR="00246505" w:rsidRPr="00FC4A34" w:rsidRDefault="00E02E6C" w:rsidP="00246505">
      <w:pPr>
        <w:pStyle w:val="Pamatteksts"/>
        <w:rPr>
          <w:noProof w:val="0"/>
          <w:color w:val="17365D"/>
        </w:rPr>
      </w:pPr>
      <w:r w:rsidRPr="00FC4A34">
        <w:rPr>
          <w:noProof w:val="0"/>
          <w:color w:val="17365D"/>
        </w:rPr>
        <w:t>Lai sasniegtu Latvijas Valsts parāda vadības stratēģijā noteikto valsts parāda portfeļa vadības mērķi, t.i.</w:t>
      </w:r>
      <w:r w:rsidR="00816E3D" w:rsidRPr="00FC4A34">
        <w:rPr>
          <w:noProof w:val="0"/>
          <w:color w:val="17365D"/>
        </w:rPr>
        <w:t>,</w:t>
      </w:r>
      <w:r w:rsidRPr="00FC4A34">
        <w:rPr>
          <w:noProof w:val="0"/>
          <w:color w:val="17365D"/>
        </w:rPr>
        <w:t xml:space="preserve"> optimizētu Valsts kases administrētā valsts parāda apkalpošanas izdevumus vidējā termiņā, ierobežojot valsts parāda portfeļa finanšu riskus, Valsts kase</w:t>
      </w:r>
      <w:r w:rsidR="00676112" w:rsidRPr="00FC4A34">
        <w:rPr>
          <w:noProof w:val="0"/>
          <w:color w:val="17365D"/>
        </w:rPr>
        <w:t xml:space="preserve"> pielieto atvasinātos finanšu in</w:t>
      </w:r>
      <w:r w:rsidRPr="00FC4A34">
        <w:rPr>
          <w:noProof w:val="0"/>
          <w:color w:val="17365D"/>
        </w:rPr>
        <w:t>strumentus. Tai skaitā, lai samazinātu ar ārvalstu valūtā ņemto aizņēmumu saistīto valūtu risku, Valsts kase valsts parāda portfeļa vadībā pielieto valūtu mijmaiņas un valūtu nākotnes pirkšanas darījumus. Savukārt, lai nodrošinātu valsts parāda portfeļa procentu likmju vidējā svērtā fiksētā perioda (</w:t>
      </w:r>
      <w:proofErr w:type="spellStart"/>
      <w:r w:rsidRPr="00FC4A34">
        <w:rPr>
          <w:i/>
          <w:noProof w:val="0"/>
          <w:color w:val="17365D"/>
        </w:rPr>
        <w:t>duration</w:t>
      </w:r>
      <w:proofErr w:type="spellEnd"/>
      <w:r w:rsidRPr="00FC4A34">
        <w:rPr>
          <w:noProof w:val="0"/>
          <w:color w:val="17365D"/>
        </w:rPr>
        <w:t xml:space="preserve">) un fiksēto likmju īpatsvara ievērošanu pieļaujamajās robežās, tiek pielietoti procentu likmju mijmaiņas darījumi </w:t>
      </w:r>
      <w:r w:rsidR="000D7B97" w:rsidRPr="00FC4A34">
        <w:rPr>
          <w:noProof w:val="0"/>
          <w:color w:val="17365D"/>
        </w:rPr>
        <w:t>(skatīt skaidrojuma v</w:t>
      </w:r>
      <w:r w:rsidR="00900642" w:rsidRPr="00FC4A34">
        <w:rPr>
          <w:noProof w:val="0"/>
          <w:color w:val="17365D"/>
        </w:rPr>
        <w:t>alsts konsolidēt</w:t>
      </w:r>
      <w:r w:rsidR="000D7B97" w:rsidRPr="00FC4A34">
        <w:rPr>
          <w:noProof w:val="0"/>
          <w:color w:val="17365D"/>
        </w:rPr>
        <w:t>ajai</w:t>
      </w:r>
      <w:r w:rsidR="00900642" w:rsidRPr="00FC4A34">
        <w:rPr>
          <w:noProof w:val="0"/>
          <w:color w:val="17365D"/>
        </w:rPr>
        <w:t xml:space="preserve"> grāmatvedības bilance</w:t>
      </w:r>
      <w:r w:rsidR="000D7B97" w:rsidRPr="00FC4A34">
        <w:rPr>
          <w:noProof w:val="0"/>
          <w:color w:val="17365D"/>
        </w:rPr>
        <w:t>i</w:t>
      </w:r>
      <w:r w:rsidRPr="00FC4A34">
        <w:rPr>
          <w:noProof w:val="0"/>
          <w:color w:val="17365D"/>
        </w:rPr>
        <w:t xml:space="preserve"> </w:t>
      </w:r>
      <w:r w:rsidR="00900642" w:rsidRPr="00FC4A34">
        <w:rPr>
          <w:noProof w:val="0"/>
          <w:color w:val="17365D"/>
        </w:rPr>
        <w:t xml:space="preserve">sadaļu </w:t>
      </w:r>
      <w:r w:rsidR="00816E3D" w:rsidRPr="00FC4A34">
        <w:rPr>
          <w:noProof w:val="0"/>
          <w:color w:val="17365D"/>
        </w:rPr>
        <w:t>“</w:t>
      </w:r>
      <w:r w:rsidR="00900642" w:rsidRPr="00FC4A34">
        <w:rPr>
          <w:noProof w:val="0"/>
          <w:color w:val="17365D"/>
        </w:rPr>
        <w:t>Atvasinātie finanšu instrumenti”</w:t>
      </w:r>
      <w:r w:rsidRPr="00FC4A34">
        <w:rPr>
          <w:noProof w:val="0"/>
          <w:color w:val="17365D"/>
        </w:rPr>
        <w:t>).</w:t>
      </w:r>
      <w:r w:rsidR="00246505" w:rsidRPr="00FC4A34">
        <w:rPr>
          <w:noProof w:val="0"/>
          <w:color w:val="17365D"/>
        </w:rPr>
        <w:t xml:space="preserve"> </w:t>
      </w:r>
    </w:p>
    <w:p w14:paraId="640E3209" w14:textId="11A236E3" w:rsidR="005C6ED6" w:rsidRPr="00FC4A34" w:rsidRDefault="005C6ED6" w:rsidP="00246505">
      <w:pPr>
        <w:pStyle w:val="Heading1"/>
        <w:rPr>
          <w:noProof w:val="0"/>
          <w:color w:val="17365D"/>
        </w:rPr>
      </w:pPr>
      <w:r w:rsidRPr="00FC4A34">
        <w:rPr>
          <w:noProof w:val="0"/>
          <w:color w:val="17365D"/>
        </w:rPr>
        <w:lastRenderedPageBreak/>
        <w:t>Pašvaldību parāds</w:t>
      </w:r>
    </w:p>
    <w:p w14:paraId="0FA26EA5" w14:textId="16349775" w:rsidR="009D5775" w:rsidRPr="00FC4A34" w:rsidRDefault="00584636" w:rsidP="00901F7C">
      <w:pPr>
        <w:rPr>
          <w:b/>
          <w:color w:val="17365D"/>
        </w:rPr>
      </w:pPr>
      <w:r w:rsidRPr="00FC4A34">
        <w:rPr>
          <w:b/>
          <w:noProof/>
          <w:color w:val="17365D"/>
        </w:rPr>
        <mc:AlternateContent>
          <mc:Choice Requires="wps">
            <w:drawing>
              <wp:anchor distT="0" distB="0" distL="114300" distR="114300" simplePos="0" relativeHeight="251710464" behindDoc="0" locked="0" layoutInCell="1" allowOverlap="1" wp14:anchorId="3B05F752" wp14:editId="1A99ECF8">
                <wp:simplePos x="0" y="0"/>
                <wp:positionH relativeFrom="column">
                  <wp:posOffset>4257040</wp:posOffset>
                </wp:positionH>
                <wp:positionV relativeFrom="paragraph">
                  <wp:posOffset>24130</wp:posOffset>
                </wp:positionV>
                <wp:extent cx="1680845" cy="1029335"/>
                <wp:effectExtent l="0" t="0" r="14605" b="18415"/>
                <wp:wrapSquare wrapText="bothSides"/>
                <wp:docPr id="8" name="Rectangle 8"/>
                <wp:cNvGraphicFramePr/>
                <a:graphic xmlns:a="http://schemas.openxmlformats.org/drawingml/2006/main">
                  <a:graphicData uri="http://schemas.microsoft.com/office/word/2010/wordprocessingShape">
                    <wps:wsp>
                      <wps:cNvSpPr/>
                      <wps:spPr>
                        <a:xfrm>
                          <a:off x="0" y="0"/>
                          <a:ext cx="1680845" cy="1029335"/>
                        </a:xfrm>
                        <a:prstGeom prst="rect">
                          <a:avLst/>
                        </a:prstGeom>
                        <a:solidFill>
                          <a:sysClr val="window" lastClr="FFFFFF"/>
                        </a:solidFill>
                        <a:ln w="25400" cap="flat" cmpd="sng" algn="ctr">
                          <a:solidFill>
                            <a:srgbClr val="17375E"/>
                          </a:solidFill>
                          <a:prstDash val="sysDot"/>
                        </a:ln>
                        <a:effectLst/>
                      </wps:spPr>
                      <wps:txbx>
                        <w:txbxContent>
                          <w:p w14:paraId="07D4CA95" w14:textId="77777777" w:rsidR="00C50725" w:rsidRPr="008F21B9" w:rsidRDefault="00C50725" w:rsidP="00AA4E95">
                            <w:pPr>
                              <w:spacing w:after="0"/>
                              <w:ind w:firstLine="0"/>
                              <w:jc w:val="center"/>
                              <w:rPr>
                                <w:color w:val="17375E"/>
                              </w:rPr>
                            </w:pPr>
                            <w:r>
                              <w:rPr>
                                <w:color w:val="17375E"/>
                              </w:rPr>
                              <w:t xml:space="preserve">Kopējais pašvaldību </w:t>
                            </w:r>
                            <w:r w:rsidRPr="008F21B9">
                              <w:rPr>
                                <w:color w:val="17375E"/>
                              </w:rPr>
                              <w:t xml:space="preserve">parāds – </w:t>
                            </w:r>
                          </w:p>
                          <w:p w14:paraId="096C5C1F" w14:textId="2A4E865A" w:rsidR="00C50725" w:rsidRPr="00554158" w:rsidRDefault="00C50725" w:rsidP="00AA4E95">
                            <w:pPr>
                              <w:spacing w:after="0"/>
                              <w:ind w:firstLine="0"/>
                              <w:jc w:val="center"/>
                              <w:rPr>
                                <w:color w:val="17375E"/>
                              </w:rPr>
                            </w:pPr>
                            <w:r w:rsidRPr="00FC4A34">
                              <w:rPr>
                                <w:b/>
                                <w:color w:val="17375E"/>
                              </w:rPr>
                              <w:t>1 </w:t>
                            </w:r>
                            <w:r w:rsidR="00737A7C" w:rsidRPr="00FC4A34">
                              <w:rPr>
                                <w:b/>
                                <w:color w:val="17375E"/>
                              </w:rPr>
                              <w:t>951</w:t>
                            </w:r>
                            <w:r w:rsidRPr="00FC4A34">
                              <w:rPr>
                                <w:b/>
                                <w:color w:val="17375E"/>
                              </w:rPr>
                              <w:t>,</w:t>
                            </w:r>
                            <w:r w:rsidR="00737A7C" w:rsidRPr="00FC4A34">
                              <w:rPr>
                                <w:b/>
                                <w:color w:val="17375E"/>
                              </w:rPr>
                              <w:t>4</w:t>
                            </w:r>
                            <w:r w:rsidRPr="00ED3CBE">
                              <w:rPr>
                                <w:color w:val="17375E"/>
                              </w:rPr>
                              <w:t xml:space="preserve"> milj</w:t>
                            </w:r>
                            <w:r>
                              <w:rPr>
                                <w:color w:val="17375E"/>
                              </w:rPr>
                              <w:t xml:space="preserve">. </w:t>
                            </w:r>
                            <w:proofErr w:type="spellStart"/>
                            <w:r w:rsidRPr="0097237C">
                              <w:rPr>
                                <w:i/>
                                <w:color w:val="17375E"/>
                              </w:rPr>
                              <w:t>euro</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05F752" id="Rectangle 8" o:spid="_x0000_s1031" style="position:absolute;left:0;text-align:left;margin-left:335.2pt;margin-top:1.9pt;width:132.35pt;height:81.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" fillcolor="window" strokecolor="#17375e" strokeweight="2pt">
                <v:stroke dashstyle="1 1"/>
                <v:textbox>
                  <w:txbxContent>
                    <w:p w14:paraId="07D4CA95" w14:textId="77777777" w:rsidR="00C50725" w:rsidRPr="008F21B9" w:rsidRDefault="00C50725" w:rsidP="00AA4E95">
                      <w:pPr>
                        <w:spacing w:after="0"/>
                        <w:ind w:firstLine="0"/>
                        <w:jc w:val="center"/>
                        <w:rPr>
                          <w:color w:val="17375E"/>
                        </w:rPr>
                      </w:pPr>
                      <w:r>
                        <w:rPr>
                          <w:color w:val="17375E"/>
                        </w:rPr>
                        <w:t xml:space="preserve">Kopējais pašvaldību </w:t>
                      </w:r>
                      <w:r w:rsidRPr="008F21B9">
                        <w:rPr>
                          <w:color w:val="17375E"/>
                        </w:rPr>
                        <w:t xml:space="preserve">parāds – </w:t>
                      </w:r>
                    </w:p>
                    <w:p w14:paraId="096C5C1F" w14:textId="2A4E865A" w:rsidR="00C50725" w:rsidRPr="00554158" w:rsidRDefault="00C50725" w:rsidP="00AA4E95">
                      <w:pPr>
                        <w:spacing w:after="0"/>
                        <w:ind w:firstLine="0"/>
                        <w:jc w:val="center"/>
                        <w:rPr>
                          <w:color w:val="17375E"/>
                        </w:rPr>
                      </w:pPr>
                      <w:r w:rsidRPr="00FC4A34">
                        <w:rPr>
                          <w:b/>
                          <w:color w:val="17375E"/>
                        </w:rPr>
                        <w:t>1 </w:t>
                      </w:r>
                      <w:r w:rsidR="00737A7C" w:rsidRPr="00FC4A34">
                        <w:rPr>
                          <w:b/>
                          <w:color w:val="17375E"/>
                        </w:rPr>
                        <w:t>951</w:t>
                      </w:r>
                      <w:r w:rsidRPr="00FC4A34">
                        <w:rPr>
                          <w:b/>
                          <w:color w:val="17375E"/>
                        </w:rPr>
                        <w:t>,</w:t>
                      </w:r>
                      <w:r w:rsidR="00737A7C" w:rsidRPr="00FC4A34">
                        <w:rPr>
                          <w:b/>
                          <w:color w:val="17375E"/>
                        </w:rPr>
                        <w:t>4</w:t>
                      </w:r>
                      <w:r w:rsidRPr="00ED3CBE">
                        <w:rPr>
                          <w:color w:val="17375E"/>
                        </w:rPr>
                        <w:t xml:space="preserve"> milj</w:t>
                      </w:r>
                      <w:r>
                        <w:rPr>
                          <w:color w:val="17375E"/>
                        </w:rPr>
                        <w:t xml:space="preserve">. </w:t>
                      </w:r>
                      <w:proofErr w:type="spellStart"/>
                      <w:r w:rsidRPr="0097237C">
                        <w:rPr>
                          <w:i/>
                          <w:color w:val="17375E"/>
                        </w:rPr>
                        <w:t>euro</w:t>
                      </w:r>
                      <w:proofErr w:type="spellEnd"/>
                    </w:p>
                  </w:txbxContent>
                </v:textbox>
                <w10:wrap type="square"/>
              </v:rect>
            </w:pict>
          </mc:Fallback>
        </mc:AlternateContent>
      </w:r>
      <w:r w:rsidR="005C6ED6" w:rsidRPr="00FC4A34">
        <w:rPr>
          <w:color w:val="17365D"/>
        </w:rPr>
        <w:t xml:space="preserve">Kopējais pašvaldību parāds </w:t>
      </w:r>
      <w:r w:rsidR="004F273C" w:rsidRPr="00FC4A34">
        <w:rPr>
          <w:color w:val="17365D"/>
        </w:rPr>
        <w:t>2022.</w:t>
      </w:r>
      <w:r w:rsidR="0065571F" w:rsidRPr="00FC4A34">
        <w:rPr>
          <w:color w:val="17365D"/>
        </w:rPr>
        <w:t xml:space="preserve"> g</w:t>
      </w:r>
      <w:r w:rsidR="005C6ED6" w:rsidRPr="00FC4A34">
        <w:rPr>
          <w:color w:val="17365D"/>
        </w:rPr>
        <w:t xml:space="preserve">adā ir palielinājies par </w:t>
      </w:r>
      <w:r w:rsidR="00737A7C" w:rsidRPr="00FC4A34">
        <w:rPr>
          <w:color w:val="17365D"/>
        </w:rPr>
        <w:t>7</w:t>
      </w:r>
      <w:r w:rsidR="002D6571" w:rsidRPr="00FC4A34">
        <w:rPr>
          <w:color w:val="17365D"/>
        </w:rPr>
        <w:t>7</w:t>
      </w:r>
      <w:r w:rsidR="006B3C86" w:rsidRPr="00FC4A34">
        <w:rPr>
          <w:color w:val="17365D"/>
        </w:rPr>
        <w:t>,</w:t>
      </w:r>
      <w:r w:rsidR="00737A7C" w:rsidRPr="00FC4A34">
        <w:rPr>
          <w:color w:val="17365D"/>
        </w:rPr>
        <w:t>7</w:t>
      </w:r>
      <w:r w:rsidR="00DF0031" w:rsidRPr="00FC4A34">
        <w:rPr>
          <w:color w:val="17365D"/>
        </w:rPr>
        <w:t> </w:t>
      </w:r>
      <w:r w:rsidR="005C6ED6" w:rsidRPr="00FC4A34">
        <w:rPr>
          <w:color w:val="17365D"/>
        </w:rPr>
        <w:t>milj. </w:t>
      </w:r>
      <w:proofErr w:type="spellStart"/>
      <w:r w:rsidR="00DF0031" w:rsidRPr="00FC4A34">
        <w:rPr>
          <w:i/>
          <w:color w:val="17365D"/>
        </w:rPr>
        <w:t>euro</w:t>
      </w:r>
      <w:proofErr w:type="spellEnd"/>
      <w:r w:rsidR="00433AFA" w:rsidRPr="00FC4A34">
        <w:rPr>
          <w:color w:val="17365D"/>
        </w:rPr>
        <w:t xml:space="preserve"> un</w:t>
      </w:r>
      <w:r w:rsidR="00DF0031" w:rsidRPr="00FC4A34">
        <w:rPr>
          <w:color w:val="17365D"/>
        </w:rPr>
        <w:t xml:space="preserve"> </w:t>
      </w:r>
      <w:r w:rsidR="004F273C" w:rsidRPr="00FC4A34">
        <w:rPr>
          <w:color w:val="17365D"/>
        </w:rPr>
        <w:t>2022.</w:t>
      </w:r>
      <w:r w:rsidR="0065571F" w:rsidRPr="00FC4A34">
        <w:rPr>
          <w:color w:val="17365D"/>
        </w:rPr>
        <w:t xml:space="preserve"> g</w:t>
      </w:r>
      <w:r w:rsidR="005C6ED6" w:rsidRPr="00FC4A34">
        <w:rPr>
          <w:color w:val="17365D"/>
        </w:rPr>
        <w:t>ada 31. decembrī</w:t>
      </w:r>
      <w:r w:rsidR="00901F7C" w:rsidRPr="00FC4A34">
        <w:rPr>
          <w:color w:val="17365D"/>
        </w:rPr>
        <w:t xml:space="preserve"> </w:t>
      </w:r>
      <w:r w:rsidR="005C6ED6" w:rsidRPr="00FC4A34">
        <w:rPr>
          <w:color w:val="17365D"/>
        </w:rPr>
        <w:t xml:space="preserve">ir </w:t>
      </w:r>
      <w:r w:rsidR="00EF560B" w:rsidRPr="00FC4A34">
        <w:rPr>
          <w:color w:val="17365D"/>
        </w:rPr>
        <w:t>1 </w:t>
      </w:r>
      <w:r w:rsidR="00737A7C" w:rsidRPr="00FC4A34">
        <w:rPr>
          <w:color w:val="17365D"/>
        </w:rPr>
        <w:t>951</w:t>
      </w:r>
      <w:r w:rsidR="00EF560B" w:rsidRPr="00FC4A34">
        <w:rPr>
          <w:color w:val="17365D"/>
        </w:rPr>
        <w:t>,</w:t>
      </w:r>
      <w:r w:rsidR="00737A7C" w:rsidRPr="00FC4A34">
        <w:rPr>
          <w:color w:val="17365D"/>
        </w:rPr>
        <w:t>4</w:t>
      </w:r>
      <w:r w:rsidR="00DF0031" w:rsidRPr="00FC4A34">
        <w:rPr>
          <w:color w:val="17365D"/>
        </w:rPr>
        <w:t> </w:t>
      </w:r>
      <w:r w:rsidR="005C6ED6" w:rsidRPr="00FC4A34">
        <w:rPr>
          <w:color w:val="17365D"/>
        </w:rPr>
        <w:t>milj. </w:t>
      </w:r>
      <w:proofErr w:type="spellStart"/>
      <w:r w:rsidR="00DF0031" w:rsidRPr="00FC4A34">
        <w:rPr>
          <w:i/>
          <w:color w:val="17365D"/>
        </w:rPr>
        <w:t>euro</w:t>
      </w:r>
      <w:proofErr w:type="spellEnd"/>
      <w:r w:rsidR="00901F7C" w:rsidRPr="00FC4A34">
        <w:rPr>
          <w:color w:val="17365D"/>
        </w:rPr>
        <w:t>,</w:t>
      </w:r>
      <w:r w:rsidR="006D5BE8" w:rsidRPr="00FC4A34">
        <w:rPr>
          <w:color w:val="17365D"/>
        </w:rPr>
        <w:t xml:space="preserve"> </w:t>
      </w:r>
      <w:r w:rsidR="005C6ED6" w:rsidRPr="00FC4A34">
        <w:rPr>
          <w:color w:val="17365D"/>
        </w:rPr>
        <w:t xml:space="preserve">t.sk. aizņēmumi no Valsts kases ir </w:t>
      </w:r>
      <w:r w:rsidR="00B42AB1" w:rsidRPr="00FC4A34">
        <w:rPr>
          <w:color w:val="17365D"/>
        </w:rPr>
        <w:t>1 </w:t>
      </w:r>
      <w:r w:rsidR="00737A7C" w:rsidRPr="00FC4A34">
        <w:rPr>
          <w:color w:val="17365D"/>
        </w:rPr>
        <w:t>722</w:t>
      </w:r>
      <w:r w:rsidR="005F0057" w:rsidRPr="00FC4A34">
        <w:rPr>
          <w:color w:val="17365D"/>
        </w:rPr>
        <w:t>,</w:t>
      </w:r>
      <w:r w:rsidR="00737A7C" w:rsidRPr="00FC4A34">
        <w:rPr>
          <w:color w:val="17365D"/>
        </w:rPr>
        <w:t>1</w:t>
      </w:r>
      <w:r w:rsidR="00B42AB1" w:rsidRPr="00FC4A34">
        <w:rPr>
          <w:color w:val="17365D"/>
        </w:rPr>
        <w:t> </w:t>
      </w:r>
      <w:r w:rsidR="00171324" w:rsidRPr="00FC4A34">
        <w:rPr>
          <w:color w:val="17365D"/>
        </w:rPr>
        <w:t>milj.</w:t>
      </w:r>
      <w:r w:rsidR="005C6ED6" w:rsidRPr="00FC4A34">
        <w:rPr>
          <w:color w:val="17365D"/>
        </w:rPr>
        <w:t> </w:t>
      </w:r>
      <w:proofErr w:type="spellStart"/>
      <w:r w:rsidR="00DF0031" w:rsidRPr="00FC4A34">
        <w:rPr>
          <w:i/>
          <w:color w:val="17365D"/>
        </w:rPr>
        <w:t>euro</w:t>
      </w:r>
      <w:proofErr w:type="spellEnd"/>
      <w:r w:rsidR="00DF0031" w:rsidRPr="00FC4A34">
        <w:rPr>
          <w:color w:val="17365D"/>
        </w:rPr>
        <w:t xml:space="preserve"> </w:t>
      </w:r>
      <w:r w:rsidR="005C6ED6" w:rsidRPr="00FC4A34">
        <w:rPr>
          <w:color w:val="17365D"/>
        </w:rPr>
        <w:t xml:space="preserve">un ārpus Valsts kases ir </w:t>
      </w:r>
      <w:r w:rsidR="008E3177" w:rsidRPr="00FC4A34">
        <w:rPr>
          <w:color w:val="17365D"/>
        </w:rPr>
        <w:t>2</w:t>
      </w:r>
      <w:r w:rsidR="00E341A1" w:rsidRPr="00FC4A34">
        <w:rPr>
          <w:color w:val="17365D"/>
        </w:rPr>
        <w:t>29</w:t>
      </w:r>
      <w:r w:rsidR="005F0057" w:rsidRPr="00FC4A34">
        <w:rPr>
          <w:color w:val="17365D"/>
        </w:rPr>
        <w:t>,</w:t>
      </w:r>
      <w:r w:rsidR="00E341A1" w:rsidRPr="00FC4A34">
        <w:rPr>
          <w:color w:val="17365D"/>
        </w:rPr>
        <w:t>4</w:t>
      </w:r>
      <w:r w:rsidR="00DF0031" w:rsidRPr="00FC4A34">
        <w:rPr>
          <w:color w:val="17365D"/>
        </w:rPr>
        <w:t> </w:t>
      </w:r>
      <w:r w:rsidR="005C6ED6" w:rsidRPr="00FC4A34">
        <w:rPr>
          <w:color w:val="17365D"/>
        </w:rPr>
        <w:t>milj. </w:t>
      </w:r>
      <w:proofErr w:type="spellStart"/>
      <w:r w:rsidR="00DF0031" w:rsidRPr="00FC4A34">
        <w:rPr>
          <w:i/>
          <w:color w:val="17365D"/>
        </w:rPr>
        <w:t>euro</w:t>
      </w:r>
      <w:proofErr w:type="spellEnd"/>
      <w:r w:rsidR="00DF0031" w:rsidRPr="00FC4A34">
        <w:rPr>
          <w:color w:val="17365D"/>
        </w:rPr>
        <w:t xml:space="preserve"> </w:t>
      </w:r>
      <w:r w:rsidR="005C6ED6" w:rsidRPr="00FC4A34">
        <w:rPr>
          <w:color w:val="17365D"/>
        </w:rPr>
        <w:t xml:space="preserve">(īpatsvaru kopējā pašvaldību aizņēmuma apjomā sadalījumā pa gadiem skatīt </w:t>
      </w:r>
      <w:r w:rsidR="004D4BC2" w:rsidRPr="00FC4A34">
        <w:rPr>
          <w:color w:val="17365D"/>
        </w:rPr>
        <w:t>5</w:t>
      </w:r>
      <w:r w:rsidR="005C6ED6" w:rsidRPr="00FC4A34">
        <w:rPr>
          <w:color w:val="17365D"/>
        </w:rPr>
        <w:t>. attēlā).</w:t>
      </w:r>
      <w:r w:rsidR="00AA4E95" w:rsidRPr="00FC4A34">
        <w:rPr>
          <w:b/>
          <w:color w:val="17365D"/>
        </w:rPr>
        <w:t xml:space="preserve"> </w:t>
      </w:r>
    </w:p>
    <w:p w14:paraId="657B6E94" w14:textId="2BAACA15" w:rsidR="009D5775" w:rsidRPr="00FC4A34" w:rsidRDefault="00B6350E" w:rsidP="009D5775">
      <w:pPr>
        <w:pStyle w:val="Pamatteksts"/>
        <w:ind w:firstLine="0"/>
        <w:rPr>
          <w:color w:val="17365D"/>
        </w:rPr>
      </w:pPr>
      <w:r w:rsidRPr="00FC4A34">
        <w:rPr>
          <w:color w:val="17365D"/>
        </w:rPr>
        <w:t xml:space="preserve"> </w:t>
      </w:r>
      <w:r w:rsidRPr="00FC4A34">
        <w:rPr>
          <w:color w:val="17365D"/>
        </w:rPr>
        <w:drawing>
          <wp:inline distT="0" distB="0" distL="0" distR="0" wp14:anchorId="656FB866" wp14:editId="23830E43">
            <wp:extent cx="5939790" cy="3878580"/>
            <wp:effectExtent l="0" t="0" r="0" b="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FC4A34">
        <w:rPr>
          <w:color w:val="17365D"/>
        </w:rPr>
        <w:t xml:space="preserve"> </w:t>
      </w:r>
      <w:r w:rsidR="00365AE7" w:rsidRPr="00FC4A34">
        <w:rPr>
          <w:color w:val="17365D"/>
        </w:rPr>
        <w:t xml:space="preserve"> </w:t>
      </w:r>
    </w:p>
    <w:p w14:paraId="4B4E1E46" w14:textId="524CA01A" w:rsidR="009D5775" w:rsidRPr="00FC4A34" w:rsidRDefault="009D5775" w:rsidP="007A151A">
      <w:pPr>
        <w:pStyle w:val="Pamatteksts"/>
        <w:spacing w:before="240"/>
        <w:ind w:firstLine="0"/>
        <w:jc w:val="center"/>
        <w:rPr>
          <w:i/>
          <w:noProof w:val="0"/>
          <w:color w:val="17365D"/>
          <w:sz w:val="20"/>
          <w:szCs w:val="20"/>
        </w:rPr>
      </w:pPr>
      <w:r w:rsidRPr="00FC4A34">
        <w:rPr>
          <w:i/>
          <w:noProof w:val="0"/>
          <w:color w:val="17365D"/>
          <w:sz w:val="20"/>
          <w:szCs w:val="20"/>
        </w:rPr>
        <w:t xml:space="preserve">  </w:t>
      </w:r>
      <w:r w:rsidR="004D4BC2" w:rsidRPr="00FC4A34">
        <w:rPr>
          <w:i/>
          <w:noProof w:val="0"/>
          <w:color w:val="17365D"/>
          <w:sz w:val="20"/>
          <w:szCs w:val="20"/>
        </w:rPr>
        <w:t>5</w:t>
      </w:r>
      <w:r w:rsidRPr="00FC4A34">
        <w:rPr>
          <w:i/>
          <w:noProof w:val="0"/>
          <w:color w:val="17365D"/>
          <w:sz w:val="20"/>
          <w:szCs w:val="20"/>
        </w:rPr>
        <w:t>. attēls. Pašvaldību aizņēmumu kopsumma un aizņēmumu no Valsts kases un ārpus Valsts kases īpatsvars kopējā pašvaldību aizņēmumu apjomā pa gadiem (mil</w:t>
      </w:r>
      <w:r w:rsidR="003F29A8" w:rsidRPr="00FC4A34">
        <w:rPr>
          <w:i/>
          <w:noProof w:val="0"/>
          <w:color w:val="17365D"/>
          <w:sz w:val="20"/>
          <w:szCs w:val="20"/>
        </w:rPr>
        <w:t>j.</w:t>
      </w:r>
      <w:r w:rsidRPr="00FC4A34">
        <w:rPr>
          <w:i/>
          <w:noProof w:val="0"/>
          <w:color w:val="17365D"/>
          <w:sz w:val="20"/>
          <w:szCs w:val="20"/>
        </w:rPr>
        <w:t xml:space="preserve"> </w:t>
      </w:r>
      <w:proofErr w:type="spellStart"/>
      <w:r w:rsidRPr="00FC4A34">
        <w:rPr>
          <w:i/>
          <w:noProof w:val="0"/>
          <w:color w:val="17365D"/>
          <w:sz w:val="20"/>
          <w:szCs w:val="20"/>
        </w:rPr>
        <w:t>euro</w:t>
      </w:r>
      <w:proofErr w:type="spellEnd"/>
      <w:r w:rsidRPr="00FC4A34">
        <w:rPr>
          <w:i/>
          <w:noProof w:val="0"/>
          <w:color w:val="17365D"/>
          <w:sz w:val="20"/>
          <w:szCs w:val="20"/>
        </w:rPr>
        <w:t>)</w:t>
      </w:r>
    </w:p>
    <w:p w14:paraId="0EEC3C99" w14:textId="040C32D6" w:rsidR="005C6ED6" w:rsidRPr="00FC4A34" w:rsidRDefault="005C6ED6" w:rsidP="007A151A">
      <w:pPr>
        <w:pStyle w:val="Pamatteksts"/>
        <w:spacing w:before="240"/>
        <w:ind w:firstLine="0"/>
        <w:rPr>
          <w:noProof w:val="0"/>
          <w:color w:val="17365D"/>
        </w:rPr>
      </w:pPr>
      <w:r w:rsidRPr="00FC4A34">
        <w:rPr>
          <w:noProof w:val="0"/>
          <w:color w:val="17365D"/>
        </w:rPr>
        <w:t xml:space="preserve">Salīdzinājumam – </w:t>
      </w:r>
      <w:r w:rsidR="004F273C" w:rsidRPr="00FC4A34">
        <w:rPr>
          <w:noProof w:val="0"/>
          <w:color w:val="17365D"/>
        </w:rPr>
        <w:t>2021.</w:t>
      </w:r>
      <w:r w:rsidR="0065571F" w:rsidRPr="00FC4A34">
        <w:rPr>
          <w:noProof w:val="0"/>
          <w:color w:val="17365D"/>
        </w:rPr>
        <w:t xml:space="preserve"> g</w:t>
      </w:r>
      <w:r w:rsidRPr="00FC4A34">
        <w:rPr>
          <w:noProof w:val="0"/>
          <w:color w:val="17365D"/>
        </w:rPr>
        <w:t xml:space="preserve">ada 31. decembrī pašvaldību kopējais parāds bija </w:t>
      </w:r>
      <w:r w:rsidR="005F0057" w:rsidRPr="00FC4A34">
        <w:rPr>
          <w:noProof w:val="0"/>
          <w:color w:val="17365D"/>
        </w:rPr>
        <w:t>1</w:t>
      </w:r>
      <w:r w:rsidR="00365AE7" w:rsidRPr="00FC4A34">
        <w:rPr>
          <w:noProof w:val="0"/>
          <w:color w:val="17365D"/>
        </w:rPr>
        <w:t> </w:t>
      </w:r>
      <w:r w:rsidR="00E341A1" w:rsidRPr="00FC4A34">
        <w:rPr>
          <w:noProof w:val="0"/>
          <w:color w:val="17365D"/>
        </w:rPr>
        <w:t>873</w:t>
      </w:r>
      <w:r w:rsidR="005F0057" w:rsidRPr="00FC4A34">
        <w:rPr>
          <w:noProof w:val="0"/>
          <w:color w:val="17365D"/>
        </w:rPr>
        <w:t>,</w:t>
      </w:r>
      <w:r w:rsidR="00297C2C" w:rsidRPr="00FC4A34">
        <w:rPr>
          <w:noProof w:val="0"/>
          <w:color w:val="17365D"/>
        </w:rPr>
        <w:t>7</w:t>
      </w:r>
      <w:r w:rsidR="00DF0031" w:rsidRPr="00FC4A34">
        <w:rPr>
          <w:noProof w:val="0"/>
          <w:color w:val="17365D"/>
        </w:rPr>
        <w:t> </w:t>
      </w:r>
      <w:r w:rsidRPr="00FC4A34">
        <w:rPr>
          <w:noProof w:val="0"/>
          <w:color w:val="17365D"/>
        </w:rPr>
        <w:t>milj. </w:t>
      </w:r>
      <w:proofErr w:type="spellStart"/>
      <w:r w:rsidR="00DF0031" w:rsidRPr="00FC4A34">
        <w:rPr>
          <w:i/>
          <w:noProof w:val="0"/>
          <w:color w:val="17365D"/>
        </w:rPr>
        <w:t>euro</w:t>
      </w:r>
      <w:proofErr w:type="spellEnd"/>
      <w:r w:rsidRPr="00FC4A34">
        <w:rPr>
          <w:noProof w:val="0"/>
          <w:color w:val="17365D"/>
        </w:rPr>
        <w:t xml:space="preserve">, t.sk. aizņēmumi no Valsts kases bija </w:t>
      </w:r>
      <w:r w:rsidR="003129D4" w:rsidRPr="00FC4A34">
        <w:rPr>
          <w:noProof w:val="0"/>
          <w:color w:val="17365D"/>
        </w:rPr>
        <w:t>1</w:t>
      </w:r>
      <w:r w:rsidR="00B42AB1" w:rsidRPr="00FC4A34">
        <w:rPr>
          <w:noProof w:val="0"/>
          <w:color w:val="17365D"/>
        </w:rPr>
        <w:t> </w:t>
      </w:r>
      <w:r w:rsidR="00E341A1" w:rsidRPr="00FC4A34">
        <w:rPr>
          <w:noProof w:val="0"/>
          <w:color w:val="17365D"/>
        </w:rPr>
        <w:t>603</w:t>
      </w:r>
      <w:r w:rsidR="005F0057" w:rsidRPr="00FC4A34">
        <w:rPr>
          <w:noProof w:val="0"/>
          <w:color w:val="17365D"/>
        </w:rPr>
        <w:t>,</w:t>
      </w:r>
      <w:r w:rsidR="00E341A1" w:rsidRPr="00FC4A34">
        <w:rPr>
          <w:noProof w:val="0"/>
          <w:color w:val="17365D"/>
        </w:rPr>
        <w:t>9</w:t>
      </w:r>
      <w:r w:rsidR="00171324" w:rsidRPr="00FC4A34">
        <w:rPr>
          <w:noProof w:val="0"/>
          <w:color w:val="17365D"/>
        </w:rPr>
        <w:t> </w:t>
      </w:r>
      <w:r w:rsidRPr="00FC4A34">
        <w:rPr>
          <w:noProof w:val="0"/>
          <w:color w:val="17365D"/>
        </w:rPr>
        <w:t>milj. </w:t>
      </w:r>
      <w:proofErr w:type="spellStart"/>
      <w:r w:rsidR="00DF0031" w:rsidRPr="00FC4A34">
        <w:rPr>
          <w:i/>
          <w:noProof w:val="0"/>
          <w:color w:val="17365D"/>
        </w:rPr>
        <w:t>euro</w:t>
      </w:r>
      <w:proofErr w:type="spellEnd"/>
      <w:r w:rsidR="00DF0031" w:rsidRPr="00FC4A34">
        <w:rPr>
          <w:noProof w:val="0"/>
          <w:color w:val="17365D"/>
        </w:rPr>
        <w:t xml:space="preserve"> </w:t>
      </w:r>
      <w:r w:rsidRPr="00FC4A34">
        <w:rPr>
          <w:noProof w:val="0"/>
          <w:color w:val="17365D"/>
        </w:rPr>
        <w:t xml:space="preserve">un ārpus Valsts kases </w:t>
      </w:r>
      <w:r w:rsidR="00FB7EBD" w:rsidRPr="00FC4A34">
        <w:rPr>
          <w:noProof w:val="0"/>
          <w:color w:val="17365D"/>
        </w:rPr>
        <w:t>–</w:t>
      </w:r>
      <w:r w:rsidRPr="00FC4A34">
        <w:rPr>
          <w:noProof w:val="0"/>
          <w:color w:val="17365D"/>
        </w:rPr>
        <w:t xml:space="preserve"> </w:t>
      </w:r>
      <w:r w:rsidR="00E341A1" w:rsidRPr="00FC4A34">
        <w:rPr>
          <w:noProof w:val="0"/>
          <w:color w:val="17365D"/>
        </w:rPr>
        <w:t>269</w:t>
      </w:r>
      <w:r w:rsidR="00E448A2" w:rsidRPr="00FC4A34">
        <w:rPr>
          <w:noProof w:val="0"/>
          <w:color w:val="17365D"/>
        </w:rPr>
        <w:t>,</w:t>
      </w:r>
      <w:r w:rsidR="00E341A1" w:rsidRPr="00FC4A34">
        <w:rPr>
          <w:noProof w:val="0"/>
          <w:color w:val="17365D"/>
        </w:rPr>
        <w:t>8</w:t>
      </w:r>
      <w:r w:rsidR="00DF0031" w:rsidRPr="00FC4A34">
        <w:rPr>
          <w:noProof w:val="0"/>
          <w:color w:val="17365D"/>
        </w:rPr>
        <w:t> </w:t>
      </w:r>
      <w:r w:rsidRPr="00FC4A34">
        <w:rPr>
          <w:noProof w:val="0"/>
          <w:color w:val="17365D"/>
        </w:rPr>
        <w:t>milj. </w:t>
      </w:r>
      <w:proofErr w:type="spellStart"/>
      <w:r w:rsidR="00DF0031" w:rsidRPr="00FC4A34">
        <w:rPr>
          <w:i/>
          <w:noProof w:val="0"/>
          <w:color w:val="17365D"/>
        </w:rPr>
        <w:t>euro</w:t>
      </w:r>
      <w:proofErr w:type="spellEnd"/>
      <w:r w:rsidR="000E442B" w:rsidRPr="00FC4A34">
        <w:rPr>
          <w:i/>
          <w:noProof w:val="0"/>
          <w:color w:val="17365D"/>
        </w:rPr>
        <w:t xml:space="preserve"> </w:t>
      </w:r>
      <w:r w:rsidR="000E442B" w:rsidRPr="00FC4A34">
        <w:rPr>
          <w:noProof w:val="0"/>
          <w:color w:val="17365D"/>
        </w:rPr>
        <w:t>(skatīt 5.</w:t>
      </w:r>
      <w:r w:rsidR="008945EE" w:rsidRPr="00FC4A34">
        <w:rPr>
          <w:noProof w:val="0"/>
          <w:color w:val="17365D"/>
        </w:rPr>
        <w:t> </w:t>
      </w:r>
      <w:r w:rsidR="000E442B" w:rsidRPr="00FC4A34">
        <w:rPr>
          <w:noProof w:val="0"/>
          <w:color w:val="17365D"/>
        </w:rPr>
        <w:t>attēlu)</w:t>
      </w:r>
      <w:r w:rsidR="00FF690A" w:rsidRPr="00FC4A34">
        <w:rPr>
          <w:noProof w:val="0"/>
          <w:color w:val="17365D"/>
        </w:rPr>
        <w:t>.</w:t>
      </w:r>
    </w:p>
    <w:p w14:paraId="4C021BA7" w14:textId="5A9C9668" w:rsidR="00D95D18" w:rsidRPr="00FC4A34" w:rsidRDefault="006F6C0D" w:rsidP="00D95D18">
      <w:pPr>
        <w:pStyle w:val="Pamatteksts"/>
        <w:rPr>
          <w:noProof w:val="0"/>
          <w:color w:val="17365D"/>
        </w:rPr>
      </w:pPr>
      <w:r w:rsidRPr="00FC4A34">
        <w:rPr>
          <w:noProof w:val="0"/>
          <w:color w:val="17365D"/>
        </w:rPr>
        <w:t xml:space="preserve">Pašvaldību īstermiņa aizņēmumu apjoms (pēc aizņēmuma līgumā norādītā sākotnējā dzēšanas termiņa) </w:t>
      </w:r>
      <w:r w:rsidR="004F273C" w:rsidRPr="00FC4A34">
        <w:rPr>
          <w:noProof w:val="0"/>
          <w:color w:val="17365D"/>
        </w:rPr>
        <w:t>2022.</w:t>
      </w:r>
      <w:r w:rsidR="00825FB5">
        <w:rPr>
          <w:noProof w:val="0"/>
          <w:color w:val="17365D"/>
        </w:rPr>
        <w:t> </w:t>
      </w:r>
      <w:r w:rsidR="0065571F" w:rsidRPr="00FC4A34">
        <w:rPr>
          <w:noProof w:val="0"/>
          <w:color w:val="17365D"/>
        </w:rPr>
        <w:t>g</w:t>
      </w:r>
      <w:r w:rsidRPr="00FC4A34">
        <w:rPr>
          <w:noProof w:val="0"/>
          <w:color w:val="17365D"/>
        </w:rPr>
        <w:t xml:space="preserve">adā ir </w:t>
      </w:r>
      <w:r w:rsidR="00297C2C" w:rsidRPr="00FC4A34">
        <w:rPr>
          <w:noProof w:val="0"/>
          <w:color w:val="17365D"/>
        </w:rPr>
        <w:t>samazinājies</w:t>
      </w:r>
      <w:r w:rsidR="005F0057" w:rsidRPr="00FC4A34">
        <w:rPr>
          <w:noProof w:val="0"/>
          <w:color w:val="17365D"/>
        </w:rPr>
        <w:t xml:space="preserve"> </w:t>
      </w:r>
      <w:r w:rsidRPr="00FC4A34">
        <w:rPr>
          <w:noProof w:val="0"/>
          <w:color w:val="17365D"/>
        </w:rPr>
        <w:t xml:space="preserve">par </w:t>
      </w:r>
      <w:r w:rsidR="00D36863" w:rsidRPr="00FC4A34">
        <w:rPr>
          <w:noProof w:val="0"/>
          <w:color w:val="17365D"/>
        </w:rPr>
        <w:t>0</w:t>
      </w:r>
      <w:r w:rsidR="005F0057" w:rsidRPr="00FC4A34">
        <w:rPr>
          <w:noProof w:val="0"/>
          <w:color w:val="17365D"/>
        </w:rPr>
        <w:t>,</w:t>
      </w:r>
      <w:r w:rsidR="0094755A" w:rsidRPr="00FC4A34">
        <w:rPr>
          <w:noProof w:val="0"/>
          <w:color w:val="17365D"/>
        </w:rPr>
        <w:t>4</w:t>
      </w:r>
      <w:r w:rsidRPr="00FC4A34">
        <w:rPr>
          <w:noProof w:val="0"/>
          <w:color w:val="17365D"/>
        </w:rPr>
        <w:t> </w:t>
      </w:r>
      <w:r w:rsidR="00D36863" w:rsidRPr="00FC4A34">
        <w:rPr>
          <w:noProof w:val="0"/>
          <w:color w:val="17365D"/>
        </w:rPr>
        <w:t>milj</w:t>
      </w:r>
      <w:r w:rsidRPr="00FC4A34">
        <w:rPr>
          <w:noProof w:val="0"/>
          <w:color w:val="17365D"/>
        </w:rPr>
        <w:t>. </w:t>
      </w:r>
      <w:proofErr w:type="spellStart"/>
      <w:r w:rsidRPr="00FC4A34">
        <w:rPr>
          <w:i/>
          <w:noProof w:val="0"/>
          <w:color w:val="17365D"/>
        </w:rPr>
        <w:t>euro</w:t>
      </w:r>
      <w:proofErr w:type="spellEnd"/>
      <w:r w:rsidRPr="00FC4A34">
        <w:rPr>
          <w:noProof w:val="0"/>
          <w:color w:val="17365D"/>
        </w:rPr>
        <w:t xml:space="preserve"> </w:t>
      </w:r>
      <w:r w:rsidR="004D3BC9" w:rsidRPr="00FC4A34">
        <w:rPr>
          <w:noProof w:val="0"/>
          <w:color w:val="17365D"/>
        </w:rPr>
        <w:t xml:space="preserve">un </w:t>
      </w:r>
      <w:r w:rsidR="004F273C" w:rsidRPr="00FC4A34">
        <w:rPr>
          <w:noProof w:val="0"/>
          <w:color w:val="17365D"/>
        </w:rPr>
        <w:t>2022.</w:t>
      </w:r>
      <w:r w:rsidR="0065571F" w:rsidRPr="00FC4A34">
        <w:rPr>
          <w:noProof w:val="0"/>
          <w:color w:val="17365D"/>
        </w:rPr>
        <w:t xml:space="preserve"> g</w:t>
      </w:r>
      <w:r w:rsidR="00DA7BD0" w:rsidRPr="00FC4A34">
        <w:rPr>
          <w:noProof w:val="0"/>
          <w:color w:val="17365D"/>
        </w:rPr>
        <w:t>ada beigās</w:t>
      </w:r>
      <w:r w:rsidR="004D3BC9" w:rsidRPr="00FC4A34">
        <w:rPr>
          <w:noProof w:val="0"/>
          <w:color w:val="17365D"/>
        </w:rPr>
        <w:t xml:space="preserve"> pašvaldībām īstermiņa aizņēmumu nav.</w:t>
      </w:r>
    </w:p>
    <w:p w14:paraId="258DE009" w14:textId="06AA8F9A" w:rsidR="000D2029" w:rsidRPr="00FC4A34" w:rsidRDefault="005D4C1E" w:rsidP="00D95D18">
      <w:pPr>
        <w:pStyle w:val="Pamatteksts"/>
        <w:rPr>
          <w:noProof w:val="0"/>
          <w:color w:val="17365D"/>
        </w:rPr>
      </w:pPr>
      <w:r w:rsidRPr="00FC4A34">
        <w:rPr>
          <w:b/>
          <w:color w:val="17365D"/>
        </w:rPr>
        <mc:AlternateContent>
          <mc:Choice Requires="wps">
            <w:drawing>
              <wp:anchor distT="0" distB="0" distL="114300" distR="114300" simplePos="0" relativeHeight="251714560" behindDoc="0" locked="0" layoutInCell="1" allowOverlap="1" wp14:anchorId="1478C274" wp14:editId="1C3D739E">
                <wp:simplePos x="0" y="0"/>
                <wp:positionH relativeFrom="column">
                  <wp:posOffset>4262120</wp:posOffset>
                </wp:positionH>
                <wp:positionV relativeFrom="paragraph">
                  <wp:posOffset>114300</wp:posOffset>
                </wp:positionV>
                <wp:extent cx="1681200" cy="1029600"/>
                <wp:effectExtent l="0" t="0" r="14605" b="18415"/>
                <wp:wrapSquare wrapText="bothSides"/>
                <wp:docPr id="10" name="Rectangle 10"/>
                <wp:cNvGraphicFramePr/>
                <a:graphic xmlns:a="http://schemas.openxmlformats.org/drawingml/2006/main">
                  <a:graphicData uri="http://schemas.microsoft.com/office/word/2010/wordprocessingShape">
                    <wps:wsp>
                      <wps:cNvSpPr/>
                      <wps:spPr>
                        <a:xfrm>
                          <a:off x="0" y="0"/>
                          <a:ext cx="1681200" cy="1029600"/>
                        </a:xfrm>
                        <a:prstGeom prst="rect">
                          <a:avLst/>
                        </a:prstGeom>
                        <a:solidFill>
                          <a:sysClr val="window" lastClr="FFFFFF"/>
                        </a:solidFill>
                        <a:ln w="25400" cap="flat" cmpd="sng" algn="ctr">
                          <a:solidFill>
                            <a:srgbClr val="17375E"/>
                          </a:solidFill>
                          <a:prstDash val="sysDot"/>
                        </a:ln>
                        <a:effectLst/>
                      </wps:spPr>
                      <wps:txbx>
                        <w:txbxContent>
                          <w:p w14:paraId="6EBA8257" w14:textId="77777777" w:rsidR="00C50725" w:rsidRDefault="00C50725" w:rsidP="005D4C1E">
                            <w:pPr>
                              <w:spacing w:after="0"/>
                              <w:ind w:firstLine="0"/>
                              <w:jc w:val="center"/>
                              <w:rPr>
                                <w:color w:val="17375E"/>
                              </w:rPr>
                            </w:pPr>
                            <w:r>
                              <w:rPr>
                                <w:color w:val="17375E"/>
                              </w:rPr>
                              <w:t xml:space="preserve">Pašvaldību ilgtermiņa aizņēmumi – </w:t>
                            </w:r>
                          </w:p>
                          <w:p w14:paraId="04272C96" w14:textId="6DA4EB42" w:rsidR="00C50725" w:rsidRPr="00554158" w:rsidRDefault="00C50725" w:rsidP="005D4C1E">
                            <w:pPr>
                              <w:spacing w:after="0"/>
                              <w:ind w:firstLine="0"/>
                              <w:jc w:val="center"/>
                              <w:rPr>
                                <w:color w:val="17375E"/>
                              </w:rPr>
                            </w:pPr>
                            <w:r w:rsidRPr="00FC4A34">
                              <w:rPr>
                                <w:b/>
                                <w:color w:val="17375E"/>
                              </w:rPr>
                              <w:t>1 </w:t>
                            </w:r>
                            <w:r w:rsidR="00430473" w:rsidRPr="00FC4A34">
                              <w:rPr>
                                <w:b/>
                                <w:color w:val="17375E"/>
                              </w:rPr>
                              <w:t>951</w:t>
                            </w:r>
                            <w:r w:rsidRPr="00FC4A34">
                              <w:rPr>
                                <w:b/>
                                <w:color w:val="17375E"/>
                              </w:rPr>
                              <w:t>,</w:t>
                            </w:r>
                            <w:r w:rsidR="00430473" w:rsidRPr="00FC4A34">
                              <w:rPr>
                                <w:b/>
                                <w:color w:val="17375E"/>
                              </w:rPr>
                              <w:t>4</w:t>
                            </w:r>
                            <w:r w:rsidRPr="008F21B9">
                              <w:rPr>
                                <w:color w:val="17375E"/>
                              </w:rPr>
                              <w:t xml:space="preserve"> milj</w:t>
                            </w:r>
                            <w:r>
                              <w:rPr>
                                <w:color w:val="17375E"/>
                              </w:rPr>
                              <w:t xml:space="preserve">. </w:t>
                            </w:r>
                            <w:proofErr w:type="spellStart"/>
                            <w:r w:rsidRPr="009E5AA7">
                              <w:rPr>
                                <w:i/>
                                <w:color w:val="17375E"/>
                              </w:rPr>
                              <w:t>euro</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8C274" id="Rectangle 10" o:spid="_x0000_s1032" style="position:absolute;left:0;text-align:left;margin-left:335.6pt;margin-top:9pt;width:132.4pt;height:81.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" fillcolor="window" strokecolor="#17375e" strokeweight="2pt">
                <v:stroke dashstyle="1 1"/>
                <v:textbox>
                  <w:txbxContent>
                    <w:p w14:paraId="6EBA8257" w14:textId="77777777" w:rsidR="00C50725" w:rsidRDefault="00C50725" w:rsidP="005D4C1E">
                      <w:pPr>
                        <w:spacing w:after="0"/>
                        <w:ind w:firstLine="0"/>
                        <w:jc w:val="center"/>
                        <w:rPr>
                          <w:color w:val="17375E"/>
                        </w:rPr>
                      </w:pPr>
                      <w:r>
                        <w:rPr>
                          <w:color w:val="17375E"/>
                        </w:rPr>
                        <w:t xml:space="preserve">Pašvaldību ilgtermiņa aizņēmumi – </w:t>
                      </w:r>
                    </w:p>
                    <w:p w14:paraId="04272C96" w14:textId="6DA4EB42" w:rsidR="00C50725" w:rsidRPr="00554158" w:rsidRDefault="00C50725" w:rsidP="005D4C1E">
                      <w:pPr>
                        <w:spacing w:after="0"/>
                        <w:ind w:firstLine="0"/>
                        <w:jc w:val="center"/>
                        <w:rPr>
                          <w:color w:val="17375E"/>
                        </w:rPr>
                      </w:pPr>
                      <w:r w:rsidRPr="00FC4A34">
                        <w:rPr>
                          <w:b/>
                          <w:color w:val="17375E"/>
                        </w:rPr>
                        <w:t>1 </w:t>
                      </w:r>
                      <w:r w:rsidR="00430473" w:rsidRPr="00FC4A34">
                        <w:rPr>
                          <w:b/>
                          <w:color w:val="17375E"/>
                        </w:rPr>
                        <w:t>951</w:t>
                      </w:r>
                      <w:r w:rsidRPr="00FC4A34">
                        <w:rPr>
                          <w:b/>
                          <w:color w:val="17375E"/>
                        </w:rPr>
                        <w:t>,</w:t>
                      </w:r>
                      <w:r w:rsidR="00430473" w:rsidRPr="00FC4A34">
                        <w:rPr>
                          <w:b/>
                          <w:color w:val="17375E"/>
                        </w:rPr>
                        <w:t>4</w:t>
                      </w:r>
                      <w:r w:rsidRPr="008F21B9">
                        <w:rPr>
                          <w:color w:val="17375E"/>
                        </w:rPr>
                        <w:t xml:space="preserve"> milj</w:t>
                      </w:r>
                      <w:r>
                        <w:rPr>
                          <w:color w:val="17375E"/>
                        </w:rPr>
                        <w:t xml:space="preserve">. </w:t>
                      </w:r>
                      <w:proofErr w:type="spellStart"/>
                      <w:r w:rsidRPr="009E5AA7">
                        <w:rPr>
                          <w:i/>
                          <w:color w:val="17375E"/>
                        </w:rPr>
                        <w:t>euro</w:t>
                      </w:r>
                      <w:proofErr w:type="spellEnd"/>
                    </w:p>
                  </w:txbxContent>
                </v:textbox>
                <w10:wrap type="square"/>
              </v:rect>
            </w:pict>
          </mc:Fallback>
        </mc:AlternateContent>
      </w:r>
      <w:r w:rsidR="000D2029" w:rsidRPr="00FC4A34">
        <w:rPr>
          <w:noProof w:val="0"/>
          <w:color w:val="17365D"/>
        </w:rPr>
        <w:t xml:space="preserve">Pašvaldību ilgtermiņa aizņēmumu apjoms (pēc aizņēmuma līgumā norādītā sākotnējā </w:t>
      </w:r>
      <w:r w:rsidR="001F52A1" w:rsidRPr="00FC4A34">
        <w:rPr>
          <w:noProof w:val="0"/>
          <w:color w:val="17365D"/>
        </w:rPr>
        <w:t xml:space="preserve">dzēšanas </w:t>
      </w:r>
      <w:r w:rsidR="000D2029" w:rsidRPr="00FC4A34">
        <w:rPr>
          <w:noProof w:val="0"/>
          <w:color w:val="17365D"/>
        </w:rPr>
        <w:t xml:space="preserve">termiņa) </w:t>
      </w:r>
      <w:r w:rsidR="004F273C" w:rsidRPr="00FC4A34">
        <w:rPr>
          <w:noProof w:val="0"/>
          <w:color w:val="17365D"/>
        </w:rPr>
        <w:t>2022.</w:t>
      </w:r>
      <w:r w:rsidR="0065571F" w:rsidRPr="00FC4A34">
        <w:rPr>
          <w:noProof w:val="0"/>
          <w:color w:val="17365D"/>
        </w:rPr>
        <w:t xml:space="preserve"> g</w:t>
      </w:r>
      <w:r w:rsidR="000D2029" w:rsidRPr="00FC4A34">
        <w:rPr>
          <w:noProof w:val="0"/>
          <w:color w:val="17365D"/>
        </w:rPr>
        <w:t xml:space="preserve">adā ir palielinājies par </w:t>
      </w:r>
      <w:r w:rsidR="0094755A" w:rsidRPr="00FC4A34">
        <w:rPr>
          <w:noProof w:val="0"/>
          <w:color w:val="17365D"/>
        </w:rPr>
        <w:t>78</w:t>
      </w:r>
      <w:r w:rsidR="00E5573D" w:rsidRPr="00FC4A34">
        <w:rPr>
          <w:noProof w:val="0"/>
          <w:color w:val="17365D"/>
        </w:rPr>
        <w:t>,</w:t>
      </w:r>
      <w:r w:rsidR="004F06F1" w:rsidRPr="00FC4A34">
        <w:rPr>
          <w:noProof w:val="0"/>
          <w:color w:val="17365D"/>
        </w:rPr>
        <w:t>1</w:t>
      </w:r>
      <w:r w:rsidR="000D2029" w:rsidRPr="00FC4A34">
        <w:rPr>
          <w:noProof w:val="0"/>
          <w:color w:val="17365D"/>
        </w:rPr>
        <w:t> milj. </w:t>
      </w:r>
      <w:proofErr w:type="spellStart"/>
      <w:r w:rsidR="008F2B0C" w:rsidRPr="00FC4A34">
        <w:rPr>
          <w:i/>
          <w:noProof w:val="0"/>
          <w:color w:val="17365D"/>
        </w:rPr>
        <w:t>euro</w:t>
      </w:r>
      <w:proofErr w:type="spellEnd"/>
      <w:r w:rsidR="008F2B0C" w:rsidRPr="00FC4A34">
        <w:rPr>
          <w:noProof w:val="0"/>
          <w:color w:val="17365D"/>
        </w:rPr>
        <w:t xml:space="preserve"> </w:t>
      </w:r>
      <w:r w:rsidR="000D2029" w:rsidRPr="00FC4A34">
        <w:rPr>
          <w:noProof w:val="0"/>
          <w:color w:val="17365D"/>
        </w:rPr>
        <w:t>(</w:t>
      </w:r>
      <w:r w:rsidR="00E5573D" w:rsidRPr="00FC4A34">
        <w:rPr>
          <w:noProof w:val="0"/>
          <w:color w:val="17365D"/>
        </w:rPr>
        <w:t>1</w:t>
      </w:r>
      <w:r w:rsidR="0094755A" w:rsidRPr="00FC4A34">
        <w:rPr>
          <w:noProof w:val="0"/>
          <w:color w:val="17365D"/>
        </w:rPr>
        <w:t> 873</w:t>
      </w:r>
      <w:r w:rsidR="00E5573D" w:rsidRPr="00FC4A34">
        <w:rPr>
          <w:noProof w:val="0"/>
          <w:color w:val="17365D"/>
        </w:rPr>
        <w:t>,</w:t>
      </w:r>
      <w:r w:rsidR="0094755A" w:rsidRPr="00FC4A34">
        <w:rPr>
          <w:noProof w:val="0"/>
          <w:color w:val="17365D"/>
        </w:rPr>
        <w:t>3</w:t>
      </w:r>
      <w:r w:rsidR="00E1373E" w:rsidRPr="00FC4A34">
        <w:rPr>
          <w:noProof w:val="0"/>
          <w:color w:val="17365D"/>
        </w:rPr>
        <w:t> </w:t>
      </w:r>
      <w:r w:rsidR="000D2029" w:rsidRPr="00FC4A34">
        <w:rPr>
          <w:noProof w:val="0"/>
          <w:color w:val="17365D"/>
        </w:rPr>
        <w:t>milj. </w:t>
      </w:r>
      <w:proofErr w:type="spellStart"/>
      <w:r w:rsidR="008F2B0C" w:rsidRPr="00FC4A34">
        <w:rPr>
          <w:i/>
          <w:noProof w:val="0"/>
          <w:color w:val="17365D"/>
        </w:rPr>
        <w:t>euro</w:t>
      </w:r>
      <w:proofErr w:type="spellEnd"/>
      <w:r w:rsidR="008F2B0C" w:rsidRPr="00FC4A34">
        <w:rPr>
          <w:noProof w:val="0"/>
          <w:color w:val="17365D"/>
        </w:rPr>
        <w:t xml:space="preserve"> </w:t>
      </w:r>
      <w:r w:rsidR="004F273C" w:rsidRPr="00FC4A34">
        <w:rPr>
          <w:noProof w:val="0"/>
          <w:color w:val="17365D"/>
        </w:rPr>
        <w:t>2021.</w:t>
      </w:r>
      <w:r w:rsidR="0065571F" w:rsidRPr="00FC4A34">
        <w:rPr>
          <w:noProof w:val="0"/>
          <w:color w:val="17365D"/>
        </w:rPr>
        <w:t xml:space="preserve"> g</w:t>
      </w:r>
      <w:r w:rsidR="000D2029" w:rsidRPr="00FC4A34">
        <w:rPr>
          <w:noProof w:val="0"/>
          <w:color w:val="17365D"/>
        </w:rPr>
        <w:t>ada beigās</w:t>
      </w:r>
      <w:r w:rsidR="00FA7D08" w:rsidRPr="00FC4A34">
        <w:rPr>
          <w:noProof w:val="0"/>
          <w:color w:val="17365D"/>
        </w:rPr>
        <w:t>,</w:t>
      </w:r>
      <w:r w:rsidR="000D2029" w:rsidRPr="00FC4A34">
        <w:rPr>
          <w:noProof w:val="0"/>
          <w:color w:val="17365D"/>
        </w:rPr>
        <w:t xml:space="preserve"> </w:t>
      </w:r>
      <w:r w:rsidR="00E5573D" w:rsidRPr="00FC4A34">
        <w:rPr>
          <w:noProof w:val="0"/>
          <w:color w:val="17365D"/>
        </w:rPr>
        <w:t>1</w:t>
      </w:r>
      <w:r w:rsidR="00DA7BD0" w:rsidRPr="00FC4A34">
        <w:rPr>
          <w:noProof w:val="0"/>
          <w:color w:val="17365D"/>
        </w:rPr>
        <w:t> </w:t>
      </w:r>
      <w:r w:rsidR="0094755A" w:rsidRPr="00FC4A34">
        <w:rPr>
          <w:noProof w:val="0"/>
          <w:color w:val="17365D"/>
        </w:rPr>
        <w:t>951</w:t>
      </w:r>
      <w:r w:rsidR="00E5573D" w:rsidRPr="00FC4A34">
        <w:rPr>
          <w:noProof w:val="0"/>
          <w:color w:val="17365D"/>
        </w:rPr>
        <w:t>,</w:t>
      </w:r>
      <w:r w:rsidR="0094755A" w:rsidRPr="00FC4A34">
        <w:rPr>
          <w:noProof w:val="0"/>
          <w:color w:val="17365D"/>
        </w:rPr>
        <w:t>4</w:t>
      </w:r>
      <w:r w:rsidR="008F2B0C" w:rsidRPr="00FC4A34">
        <w:rPr>
          <w:noProof w:val="0"/>
          <w:color w:val="17365D"/>
        </w:rPr>
        <w:t> </w:t>
      </w:r>
      <w:r w:rsidR="000D2029" w:rsidRPr="00FC4A34">
        <w:rPr>
          <w:noProof w:val="0"/>
          <w:color w:val="17365D"/>
        </w:rPr>
        <w:t>milj. </w:t>
      </w:r>
      <w:proofErr w:type="spellStart"/>
      <w:r w:rsidR="008F2B0C" w:rsidRPr="00FC4A34">
        <w:rPr>
          <w:i/>
          <w:noProof w:val="0"/>
          <w:color w:val="17365D"/>
        </w:rPr>
        <w:t>euro</w:t>
      </w:r>
      <w:proofErr w:type="spellEnd"/>
      <w:r w:rsidR="008F2B0C" w:rsidRPr="00FC4A34">
        <w:rPr>
          <w:noProof w:val="0"/>
          <w:color w:val="17365D"/>
        </w:rPr>
        <w:t xml:space="preserve"> </w:t>
      </w:r>
      <w:r w:rsidR="004F273C" w:rsidRPr="00FC4A34">
        <w:rPr>
          <w:noProof w:val="0"/>
          <w:color w:val="17365D"/>
        </w:rPr>
        <w:t>2022.</w:t>
      </w:r>
      <w:r w:rsidR="0065571F" w:rsidRPr="00FC4A34">
        <w:rPr>
          <w:noProof w:val="0"/>
          <w:color w:val="17365D"/>
        </w:rPr>
        <w:t xml:space="preserve"> g</w:t>
      </w:r>
      <w:r w:rsidR="00FF2189" w:rsidRPr="00FC4A34">
        <w:rPr>
          <w:noProof w:val="0"/>
          <w:color w:val="17365D"/>
        </w:rPr>
        <w:t>ada beigās)</w:t>
      </w:r>
      <w:r w:rsidR="000D2029" w:rsidRPr="00FC4A34">
        <w:rPr>
          <w:noProof w:val="0"/>
          <w:color w:val="17365D"/>
        </w:rPr>
        <w:t xml:space="preserve">. Pašvaldību ilgtermiņa aizņēmumu ārpus Valsts kases īpatsvars visos pašvaldību ilgtermiņa aizņēmumos ir </w:t>
      </w:r>
      <w:r w:rsidR="00AA7E4A" w:rsidRPr="00FC4A34">
        <w:rPr>
          <w:noProof w:val="0"/>
          <w:color w:val="17365D"/>
        </w:rPr>
        <w:t>samazinājies</w:t>
      </w:r>
      <w:r w:rsidR="000D2029" w:rsidRPr="00FC4A34">
        <w:rPr>
          <w:noProof w:val="0"/>
          <w:color w:val="17365D"/>
        </w:rPr>
        <w:t xml:space="preserve"> no </w:t>
      </w:r>
      <w:r w:rsidR="0094755A" w:rsidRPr="00FC4A34">
        <w:rPr>
          <w:noProof w:val="0"/>
          <w:color w:val="17365D"/>
        </w:rPr>
        <w:t>14</w:t>
      </w:r>
      <w:r w:rsidR="00E5573D" w:rsidRPr="00FC4A34">
        <w:rPr>
          <w:noProof w:val="0"/>
          <w:color w:val="17365D"/>
        </w:rPr>
        <w:t>,</w:t>
      </w:r>
      <w:r w:rsidR="0094755A" w:rsidRPr="00FC4A34">
        <w:rPr>
          <w:noProof w:val="0"/>
          <w:color w:val="17365D"/>
        </w:rPr>
        <w:t>4</w:t>
      </w:r>
      <w:r w:rsidR="007C3499" w:rsidRPr="00FC4A34">
        <w:rPr>
          <w:noProof w:val="0"/>
          <w:color w:val="17365D"/>
        </w:rPr>
        <w:t> </w:t>
      </w:r>
      <w:r w:rsidR="000D2029" w:rsidRPr="00FC4A34">
        <w:rPr>
          <w:noProof w:val="0"/>
          <w:color w:val="17365D"/>
        </w:rPr>
        <w:t xml:space="preserve">% līdz </w:t>
      </w:r>
      <w:r w:rsidR="0094755A" w:rsidRPr="00FC4A34">
        <w:rPr>
          <w:noProof w:val="0"/>
          <w:color w:val="17365D"/>
        </w:rPr>
        <w:t>11</w:t>
      </w:r>
      <w:r w:rsidR="00E5573D" w:rsidRPr="00FC4A34">
        <w:rPr>
          <w:noProof w:val="0"/>
          <w:color w:val="17365D"/>
        </w:rPr>
        <w:t>,</w:t>
      </w:r>
      <w:r w:rsidR="0094755A" w:rsidRPr="00FC4A34">
        <w:rPr>
          <w:noProof w:val="0"/>
          <w:color w:val="17365D"/>
        </w:rPr>
        <w:t>7</w:t>
      </w:r>
      <w:r w:rsidR="007C3499" w:rsidRPr="00FC4A34">
        <w:rPr>
          <w:noProof w:val="0"/>
          <w:color w:val="17365D"/>
        </w:rPr>
        <w:t> </w:t>
      </w:r>
      <w:r w:rsidR="000D2029" w:rsidRPr="00FC4A34">
        <w:rPr>
          <w:noProof w:val="0"/>
          <w:color w:val="17365D"/>
        </w:rPr>
        <w:t>% (</w:t>
      </w:r>
      <w:r w:rsidR="0094755A" w:rsidRPr="00FC4A34">
        <w:rPr>
          <w:noProof w:val="0"/>
          <w:color w:val="17365D"/>
        </w:rPr>
        <w:t>269</w:t>
      </w:r>
      <w:r w:rsidR="00020952" w:rsidRPr="00FC4A34">
        <w:rPr>
          <w:noProof w:val="0"/>
          <w:color w:val="17365D"/>
        </w:rPr>
        <w:t>,</w:t>
      </w:r>
      <w:r w:rsidR="0094755A" w:rsidRPr="00FC4A34">
        <w:rPr>
          <w:noProof w:val="0"/>
          <w:color w:val="17365D"/>
        </w:rPr>
        <w:t>8</w:t>
      </w:r>
      <w:r w:rsidR="007C3499" w:rsidRPr="00FC4A34">
        <w:rPr>
          <w:noProof w:val="0"/>
          <w:color w:val="17365D"/>
        </w:rPr>
        <w:t> </w:t>
      </w:r>
      <w:r w:rsidR="00B42AB1" w:rsidRPr="00FC4A34">
        <w:rPr>
          <w:noProof w:val="0"/>
          <w:color w:val="17365D"/>
        </w:rPr>
        <w:t xml:space="preserve">milj. </w:t>
      </w:r>
      <w:proofErr w:type="spellStart"/>
      <w:r w:rsidR="007C3499" w:rsidRPr="00FC4A34">
        <w:rPr>
          <w:i/>
          <w:noProof w:val="0"/>
          <w:color w:val="17365D"/>
        </w:rPr>
        <w:t>euro</w:t>
      </w:r>
      <w:proofErr w:type="spellEnd"/>
      <w:r w:rsidR="007C3499" w:rsidRPr="00FC4A34">
        <w:rPr>
          <w:noProof w:val="0"/>
          <w:color w:val="17365D"/>
        </w:rPr>
        <w:t xml:space="preserve"> </w:t>
      </w:r>
      <w:r w:rsidR="004F273C" w:rsidRPr="00FC4A34">
        <w:rPr>
          <w:noProof w:val="0"/>
          <w:color w:val="17365D"/>
        </w:rPr>
        <w:t>2021.</w:t>
      </w:r>
      <w:r w:rsidR="0065571F" w:rsidRPr="00FC4A34">
        <w:rPr>
          <w:noProof w:val="0"/>
          <w:color w:val="17365D"/>
        </w:rPr>
        <w:t xml:space="preserve"> g</w:t>
      </w:r>
      <w:r w:rsidR="000D2029" w:rsidRPr="00FC4A34">
        <w:rPr>
          <w:noProof w:val="0"/>
          <w:color w:val="17365D"/>
        </w:rPr>
        <w:t>ada 31. decembrī</w:t>
      </w:r>
      <w:r w:rsidR="00FA7D08" w:rsidRPr="00FC4A34">
        <w:rPr>
          <w:noProof w:val="0"/>
          <w:color w:val="17365D"/>
        </w:rPr>
        <w:t>,</w:t>
      </w:r>
      <w:r w:rsidR="00B42AB1" w:rsidRPr="00FC4A34">
        <w:rPr>
          <w:noProof w:val="0"/>
          <w:color w:val="17365D"/>
        </w:rPr>
        <w:t xml:space="preserve"> </w:t>
      </w:r>
      <w:r w:rsidR="004F06F1" w:rsidRPr="00FC4A34">
        <w:rPr>
          <w:noProof w:val="0"/>
          <w:color w:val="17365D"/>
        </w:rPr>
        <w:t>2</w:t>
      </w:r>
      <w:r w:rsidR="00430473" w:rsidRPr="00FC4A34">
        <w:rPr>
          <w:noProof w:val="0"/>
          <w:color w:val="17365D"/>
        </w:rPr>
        <w:t>29</w:t>
      </w:r>
      <w:r w:rsidR="009F6429" w:rsidRPr="00FC4A34">
        <w:rPr>
          <w:noProof w:val="0"/>
          <w:color w:val="17365D"/>
        </w:rPr>
        <w:t>,</w:t>
      </w:r>
      <w:r w:rsidR="00430473" w:rsidRPr="00FC4A34">
        <w:rPr>
          <w:noProof w:val="0"/>
          <w:color w:val="17365D"/>
        </w:rPr>
        <w:t>0</w:t>
      </w:r>
      <w:r w:rsidR="007C3499" w:rsidRPr="00FC4A34">
        <w:rPr>
          <w:noProof w:val="0"/>
          <w:color w:val="17365D"/>
        </w:rPr>
        <w:t> </w:t>
      </w:r>
      <w:r w:rsidR="000D2029" w:rsidRPr="00FC4A34">
        <w:rPr>
          <w:noProof w:val="0"/>
          <w:color w:val="17365D"/>
        </w:rPr>
        <w:t>milj. </w:t>
      </w:r>
      <w:proofErr w:type="spellStart"/>
      <w:r w:rsidR="007C3499" w:rsidRPr="00FC4A34">
        <w:rPr>
          <w:i/>
          <w:noProof w:val="0"/>
          <w:color w:val="17365D"/>
        </w:rPr>
        <w:t>euro</w:t>
      </w:r>
      <w:proofErr w:type="spellEnd"/>
      <w:r w:rsidR="007C3499" w:rsidRPr="00FC4A34">
        <w:rPr>
          <w:noProof w:val="0"/>
          <w:color w:val="17365D"/>
        </w:rPr>
        <w:t xml:space="preserve"> </w:t>
      </w:r>
      <w:r w:rsidR="004F273C" w:rsidRPr="00FC4A34">
        <w:rPr>
          <w:noProof w:val="0"/>
          <w:color w:val="17365D"/>
        </w:rPr>
        <w:t>2022.</w:t>
      </w:r>
      <w:r w:rsidR="0065571F" w:rsidRPr="00FC4A34">
        <w:rPr>
          <w:noProof w:val="0"/>
          <w:color w:val="17365D"/>
        </w:rPr>
        <w:t xml:space="preserve"> g</w:t>
      </w:r>
      <w:r w:rsidR="000D2029" w:rsidRPr="00FC4A34">
        <w:rPr>
          <w:noProof w:val="0"/>
          <w:color w:val="17365D"/>
        </w:rPr>
        <w:t>ada 31. decembrī).</w:t>
      </w:r>
      <w:r w:rsidR="00020952" w:rsidRPr="00FC4A34">
        <w:rPr>
          <w:b/>
          <w:color w:val="17365D"/>
        </w:rPr>
        <w:t xml:space="preserve"> </w:t>
      </w:r>
    </w:p>
    <w:p w14:paraId="4ED8841F" w14:textId="424BC065" w:rsidR="000D2029" w:rsidRPr="00FC4A34" w:rsidRDefault="000D2029" w:rsidP="000D2029">
      <w:pPr>
        <w:pStyle w:val="Pamatteksts"/>
        <w:rPr>
          <w:noProof w:val="0"/>
          <w:color w:val="17365D"/>
        </w:rPr>
      </w:pPr>
      <w:r w:rsidRPr="00FC4A34">
        <w:rPr>
          <w:noProof w:val="0"/>
          <w:color w:val="17365D"/>
        </w:rPr>
        <w:t>Saskaņā ar likuma “Par pašvaldību budžetiem” 22¹. pantu finanšu ministrs, ņemot vērā pašvaldību iesniegumus par konkrētu projektu īstenošanu, var apstiprināt arī citu aizdevēju, ja cita aizdevēja aizdevuma nosacījumi ir izdevīgāki nekā no valsts budžeta izsniedzamo aizdevumu nosacījumi</w:t>
      </w:r>
      <w:r w:rsidR="00D025AB" w:rsidRPr="00FC4A34">
        <w:rPr>
          <w:noProof w:val="0"/>
          <w:color w:val="17365D"/>
        </w:rPr>
        <w:t>.</w:t>
      </w:r>
      <w:r w:rsidRPr="00FC4A34">
        <w:rPr>
          <w:noProof w:val="0"/>
          <w:color w:val="17365D"/>
        </w:rPr>
        <w:t xml:space="preserve"> </w:t>
      </w:r>
      <w:r w:rsidR="004F273C" w:rsidRPr="00FC4A34">
        <w:rPr>
          <w:noProof w:val="0"/>
          <w:color w:val="17365D"/>
        </w:rPr>
        <w:t>2022.</w:t>
      </w:r>
      <w:r w:rsidR="0065571F" w:rsidRPr="00FC4A34">
        <w:rPr>
          <w:noProof w:val="0"/>
          <w:color w:val="17365D"/>
        </w:rPr>
        <w:t xml:space="preserve"> g</w:t>
      </w:r>
      <w:r w:rsidRPr="00FC4A34">
        <w:rPr>
          <w:noProof w:val="0"/>
          <w:color w:val="17365D"/>
        </w:rPr>
        <w:t>adā</w:t>
      </w:r>
      <w:r w:rsidR="006D567F" w:rsidRPr="00FC4A34">
        <w:rPr>
          <w:noProof w:val="0"/>
          <w:color w:val="17365D"/>
        </w:rPr>
        <w:t xml:space="preserve"> pašvaldības </w:t>
      </w:r>
      <w:r w:rsidR="00FB7EBD" w:rsidRPr="00FC4A34">
        <w:rPr>
          <w:noProof w:val="0"/>
          <w:color w:val="17365D"/>
        </w:rPr>
        <w:t>šo iespēju</w:t>
      </w:r>
      <w:r w:rsidR="006D567F" w:rsidRPr="00FC4A34">
        <w:rPr>
          <w:noProof w:val="0"/>
          <w:color w:val="17365D"/>
        </w:rPr>
        <w:t xml:space="preserve"> nav </w:t>
      </w:r>
      <w:r w:rsidR="00FB7EBD" w:rsidRPr="00FC4A34">
        <w:rPr>
          <w:noProof w:val="0"/>
          <w:color w:val="17365D"/>
        </w:rPr>
        <w:t>izmantojušas</w:t>
      </w:r>
      <w:r w:rsidR="006D567F" w:rsidRPr="00FC4A34">
        <w:rPr>
          <w:noProof w:val="0"/>
          <w:color w:val="17365D"/>
        </w:rPr>
        <w:t>.</w:t>
      </w:r>
    </w:p>
    <w:p w14:paraId="52C30554" w14:textId="72B37C22" w:rsidR="00040A75" w:rsidRPr="00FC4A34" w:rsidRDefault="006F6C0D" w:rsidP="00040A75">
      <w:pPr>
        <w:pStyle w:val="Pamatteksts"/>
        <w:rPr>
          <w:noProof w:val="0"/>
          <w:color w:val="17365D"/>
        </w:rPr>
      </w:pPr>
      <w:r w:rsidRPr="00FC4A34">
        <w:rPr>
          <w:noProof w:val="0"/>
          <w:color w:val="17365D"/>
        </w:rPr>
        <w:lastRenderedPageBreak/>
        <w:t xml:space="preserve">No </w:t>
      </w:r>
      <w:r w:rsidR="00885BC8" w:rsidRPr="00FC4A34">
        <w:rPr>
          <w:noProof w:val="0"/>
          <w:color w:val="17365D"/>
        </w:rPr>
        <w:t>43</w:t>
      </w:r>
      <w:r w:rsidRPr="00FC4A34">
        <w:rPr>
          <w:noProof w:val="0"/>
          <w:color w:val="17365D"/>
        </w:rPr>
        <w:t xml:space="preserve"> pašvaldībām </w:t>
      </w:r>
      <w:r w:rsidR="00885BC8" w:rsidRPr="00FC4A34">
        <w:rPr>
          <w:noProof w:val="0"/>
          <w:color w:val="17365D"/>
        </w:rPr>
        <w:t>3</w:t>
      </w:r>
      <w:r w:rsidR="003039D8" w:rsidRPr="00FC4A34">
        <w:rPr>
          <w:noProof w:val="0"/>
          <w:color w:val="17365D"/>
        </w:rPr>
        <w:t>5</w:t>
      </w:r>
      <w:r w:rsidR="00B7150F" w:rsidRPr="00FC4A34">
        <w:rPr>
          <w:noProof w:val="0"/>
          <w:color w:val="17365D"/>
        </w:rPr>
        <w:t>,</w:t>
      </w:r>
      <w:r w:rsidR="003039D8" w:rsidRPr="00FC4A34">
        <w:rPr>
          <w:noProof w:val="0"/>
          <w:color w:val="17365D"/>
        </w:rPr>
        <w:t>1</w:t>
      </w:r>
      <w:r w:rsidRPr="00FC4A34">
        <w:rPr>
          <w:noProof w:val="0"/>
          <w:color w:val="17365D"/>
        </w:rPr>
        <w:t xml:space="preserve"> % no kopējā aizņēmumu atlikuma </w:t>
      </w:r>
      <w:r w:rsidR="004F273C" w:rsidRPr="00FC4A34">
        <w:rPr>
          <w:noProof w:val="0"/>
          <w:color w:val="17365D"/>
        </w:rPr>
        <w:t>2022.</w:t>
      </w:r>
      <w:r w:rsidR="0065571F" w:rsidRPr="00FC4A34">
        <w:rPr>
          <w:noProof w:val="0"/>
          <w:color w:val="17365D"/>
        </w:rPr>
        <w:t xml:space="preserve"> g</w:t>
      </w:r>
      <w:r w:rsidRPr="00FC4A34">
        <w:rPr>
          <w:noProof w:val="0"/>
          <w:color w:val="17365D"/>
        </w:rPr>
        <w:t xml:space="preserve">ada 31. decembrī veidoja </w:t>
      </w:r>
      <w:r w:rsidR="00F10D58" w:rsidRPr="00FC4A34">
        <w:rPr>
          <w:noProof w:val="0"/>
          <w:color w:val="17365D"/>
        </w:rPr>
        <w:t>15</w:t>
      </w:r>
      <w:r w:rsidR="00242D9D" w:rsidRPr="00FC4A34">
        <w:rPr>
          <w:noProof w:val="0"/>
          <w:color w:val="17365D"/>
        </w:rPr>
        <w:t xml:space="preserve"> </w:t>
      </w:r>
      <w:r w:rsidRPr="00FC4A34">
        <w:rPr>
          <w:noProof w:val="0"/>
          <w:color w:val="17365D"/>
        </w:rPr>
        <w:t>novadu pašvaldību aizņēmumi, katra īpatsvaram kopējā aizņēmumu apjomā esot lielā</w:t>
      </w:r>
      <w:r w:rsidR="00DF0DD4" w:rsidRPr="00FC4A34">
        <w:rPr>
          <w:noProof w:val="0"/>
          <w:color w:val="17365D"/>
        </w:rPr>
        <w:t xml:space="preserve">kam par </w:t>
      </w:r>
      <w:r w:rsidR="00885BC8" w:rsidRPr="00FC4A34">
        <w:rPr>
          <w:noProof w:val="0"/>
          <w:color w:val="17365D"/>
        </w:rPr>
        <w:t>1,5%</w:t>
      </w:r>
      <w:r w:rsidR="00DF0DD4" w:rsidRPr="00FC4A34">
        <w:rPr>
          <w:noProof w:val="0"/>
          <w:color w:val="17365D"/>
        </w:rPr>
        <w:t xml:space="preserve"> (skatīt </w:t>
      </w:r>
      <w:r w:rsidR="004D4BC2" w:rsidRPr="00FC4A34">
        <w:rPr>
          <w:noProof w:val="0"/>
          <w:color w:val="17365D"/>
        </w:rPr>
        <w:t>6</w:t>
      </w:r>
      <w:r w:rsidRPr="00FC4A34">
        <w:rPr>
          <w:noProof w:val="0"/>
          <w:color w:val="17365D"/>
        </w:rPr>
        <w:t xml:space="preserve">. attēlu). </w:t>
      </w:r>
      <w:r w:rsidR="00BA1C68" w:rsidRPr="00FC4A34">
        <w:rPr>
          <w:noProof w:val="0"/>
          <w:color w:val="17365D"/>
        </w:rPr>
        <w:t>Starp n</w:t>
      </w:r>
      <w:r w:rsidR="00FA7D08" w:rsidRPr="00FC4A34">
        <w:rPr>
          <w:noProof w:val="0"/>
          <w:color w:val="17365D"/>
        </w:rPr>
        <w:t>ovadu</w:t>
      </w:r>
      <w:r w:rsidRPr="00FC4A34">
        <w:rPr>
          <w:noProof w:val="0"/>
          <w:color w:val="17365D"/>
        </w:rPr>
        <w:t xml:space="preserve"> pašvaldīb</w:t>
      </w:r>
      <w:r w:rsidR="00BA1C68" w:rsidRPr="00FC4A34">
        <w:rPr>
          <w:noProof w:val="0"/>
          <w:color w:val="17365D"/>
        </w:rPr>
        <w:t>ām</w:t>
      </w:r>
      <w:r w:rsidRPr="00FC4A34">
        <w:rPr>
          <w:noProof w:val="0"/>
          <w:color w:val="17365D"/>
        </w:rPr>
        <w:t xml:space="preserve"> ar lielāko parāda īpatsvaru kopējā pašvaldību aizņēmuma apjomā</w:t>
      </w:r>
      <w:r w:rsidR="00020952" w:rsidRPr="00FC4A34">
        <w:rPr>
          <w:noProof w:val="0"/>
          <w:color w:val="17365D"/>
        </w:rPr>
        <w:t xml:space="preserve"> </w:t>
      </w:r>
      <w:r w:rsidR="004F273C" w:rsidRPr="00FC4A34">
        <w:rPr>
          <w:noProof w:val="0"/>
          <w:color w:val="17365D"/>
        </w:rPr>
        <w:t>2022.</w:t>
      </w:r>
      <w:r w:rsidR="00825FB5">
        <w:rPr>
          <w:noProof w:val="0"/>
          <w:color w:val="17365D"/>
        </w:rPr>
        <w:t> </w:t>
      </w:r>
      <w:r w:rsidR="0065571F" w:rsidRPr="00FC4A34">
        <w:rPr>
          <w:noProof w:val="0"/>
          <w:color w:val="17365D"/>
        </w:rPr>
        <w:t>g</w:t>
      </w:r>
      <w:r w:rsidR="00454888" w:rsidRPr="00FC4A34">
        <w:rPr>
          <w:noProof w:val="0"/>
          <w:color w:val="17365D"/>
        </w:rPr>
        <w:t>adā</w:t>
      </w:r>
      <w:r w:rsidRPr="00FC4A34">
        <w:rPr>
          <w:noProof w:val="0"/>
          <w:color w:val="17365D"/>
        </w:rPr>
        <w:t xml:space="preserve"> </w:t>
      </w:r>
      <w:r w:rsidR="00242D9D" w:rsidRPr="00FC4A34">
        <w:rPr>
          <w:noProof w:val="0"/>
          <w:color w:val="17365D"/>
        </w:rPr>
        <w:t xml:space="preserve">ir </w:t>
      </w:r>
      <w:r w:rsidR="00C40065" w:rsidRPr="00FC4A34">
        <w:rPr>
          <w:noProof w:val="0"/>
          <w:color w:val="17365D"/>
        </w:rPr>
        <w:t>Ogres</w:t>
      </w:r>
      <w:r w:rsidR="00242D9D" w:rsidRPr="00FC4A34">
        <w:rPr>
          <w:noProof w:val="0"/>
          <w:color w:val="17365D"/>
        </w:rPr>
        <w:t xml:space="preserve"> novads</w:t>
      </w:r>
      <w:r w:rsidR="00020952" w:rsidRPr="00FC4A34">
        <w:rPr>
          <w:noProof w:val="0"/>
          <w:color w:val="17365D"/>
        </w:rPr>
        <w:t xml:space="preserve"> (</w:t>
      </w:r>
      <w:r w:rsidR="003039D8" w:rsidRPr="00FC4A34">
        <w:rPr>
          <w:noProof w:val="0"/>
          <w:color w:val="17365D"/>
        </w:rPr>
        <w:t>91</w:t>
      </w:r>
      <w:r w:rsidR="00454888" w:rsidRPr="00FC4A34">
        <w:rPr>
          <w:noProof w:val="0"/>
          <w:color w:val="17365D"/>
        </w:rPr>
        <w:t>,</w:t>
      </w:r>
      <w:r w:rsidR="003039D8" w:rsidRPr="00FC4A34">
        <w:rPr>
          <w:noProof w:val="0"/>
          <w:color w:val="17365D"/>
        </w:rPr>
        <w:t>0</w:t>
      </w:r>
      <w:r w:rsidR="00C40065" w:rsidRPr="00FC4A34">
        <w:rPr>
          <w:noProof w:val="0"/>
          <w:color w:val="17365D"/>
        </w:rPr>
        <w:t> </w:t>
      </w:r>
      <w:r w:rsidR="00454888" w:rsidRPr="00FC4A34">
        <w:rPr>
          <w:noProof w:val="0"/>
          <w:color w:val="17365D"/>
        </w:rPr>
        <w:t>milj. </w:t>
      </w:r>
      <w:proofErr w:type="spellStart"/>
      <w:r w:rsidR="00454888" w:rsidRPr="00FC4A34">
        <w:rPr>
          <w:i/>
          <w:noProof w:val="0"/>
          <w:color w:val="17365D"/>
        </w:rPr>
        <w:t>euro</w:t>
      </w:r>
      <w:proofErr w:type="spellEnd"/>
      <w:r w:rsidR="00454888" w:rsidRPr="00FC4A34">
        <w:rPr>
          <w:noProof w:val="0"/>
          <w:color w:val="17365D"/>
        </w:rPr>
        <w:t>)</w:t>
      </w:r>
      <w:r w:rsidR="00242D9D" w:rsidRPr="00FC4A34">
        <w:rPr>
          <w:noProof w:val="0"/>
          <w:color w:val="17365D"/>
        </w:rPr>
        <w:t xml:space="preserve">, </w:t>
      </w:r>
      <w:r w:rsidR="00C40065" w:rsidRPr="00FC4A34">
        <w:rPr>
          <w:noProof w:val="0"/>
          <w:color w:val="17365D"/>
        </w:rPr>
        <w:t>Jēkabpils</w:t>
      </w:r>
      <w:r w:rsidRPr="00FC4A34">
        <w:rPr>
          <w:noProof w:val="0"/>
          <w:color w:val="17365D"/>
        </w:rPr>
        <w:t xml:space="preserve"> </w:t>
      </w:r>
      <w:r w:rsidR="00454888" w:rsidRPr="00FC4A34">
        <w:rPr>
          <w:noProof w:val="0"/>
          <w:color w:val="17365D"/>
        </w:rPr>
        <w:t>novad</w:t>
      </w:r>
      <w:r w:rsidR="00BA1C68" w:rsidRPr="00FC4A34">
        <w:rPr>
          <w:noProof w:val="0"/>
          <w:color w:val="17365D"/>
        </w:rPr>
        <w:t>s</w:t>
      </w:r>
      <w:r w:rsidR="00454888" w:rsidRPr="00FC4A34">
        <w:rPr>
          <w:noProof w:val="0"/>
          <w:color w:val="17365D"/>
        </w:rPr>
        <w:t xml:space="preserve"> </w:t>
      </w:r>
      <w:r w:rsidRPr="00FC4A34">
        <w:rPr>
          <w:noProof w:val="0"/>
          <w:color w:val="17365D"/>
        </w:rPr>
        <w:t>(</w:t>
      </w:r>
      <w:r w:rsidR="003039D8" w:rsidRPr="00FC4A34">
        <w:rPr>
          <w:noProof w:val="0"/>
          <w:color w:val="17365D"/>
        </w:rPr>
        <w:t>71</w:t>
      </w:r>
      <w:r w:rsidR="00454888" w:rsidRPr="00FC4A34">
        <w:rPr>
          <w:noProof w:val="0"/>
          <w:color w:val="17365D"/>
        </w:rPr>
        <w:t>,</w:t>
      </w:r>
      <w:r w:rsidR="003039D8" w:rsidRPr="00FC4A34">
        <w:rPr>
          <w:noProof w:val="0"/>
          <w:color w:val="17365D"/>
        </w:rPr>
        <w:t>1</w:t>
      </w:r>
      <w:r w:rsidRPr="00FC4A34">
        <w:rPr>
          <w:noProof w:val="0"/>
          <w:color w:val="17365D"/>
        </w:rPr>
        <w:t> milj. </w:t>
      </w:r>
      <w:proofErr w:type="spellStart"/>
      <w:r w:rsidRPr="00FC4A34">
        <w:rPr>
          <w:i/>
          <w:noProof w:val="0"/>
          <w:color w:val="17365D"/>
        </w:rPr>
        <w:t>euro</w:t>
      </w:r>
      <w:proofErr w:type="spellEnd"/>
      <w:r w:rsidRPr="00FC4A34">
        <w:rPr>
          <w:noProof w:val="0"/>
          <w:color w:val="17365D"/>
        </w:rPr>
        <w:t>)</w:t>
      </w:r>
      <w:r w:rsidR="00BA1C68" w:rsidRPr="00FC4A34">
        <w:rPr>
          <w:noProof w:val="0"/>
          <w:color w:val="17365D"/>
        </w:rPr>
        <w:t xml:space="preserve"> un </w:t>
      </w:r>
      <w:r w:rsidR="00EC0395" w:rsidRPr="00FC4A34">
        <w:rPr>
          <w:noProof w:val="0"/>
          <w:color w:val="17365D"/>
        </w:rPr>
        <w:t>Valmieras</w:t>
      </w:r>
      <w:r w:rsidR="00655F53" w:rsidRPr="00FC4A34">
        <w:rPr>
          <w:noProof w:val="0"/>
          <w:color w:val="17365D"/>
        </w:rPr>
        <w:t xml:space="preserve"> novads (</w:t>
      </w:r>
      <w:r w:rsidR="00EC0395" w:rsidRPr="00FC4A34">
        <w:rPr>
          <w:noProof w:val="0"/>
          <w:color w:val="17365D"/>
        </w:rPr>
        <w:t>6</w:t>
      </w:r>
      <w:r w:rsidR="003039D8" w:rsidRPr="00FC4A34">
        <w:rPr>
          <w:noProof w:val="0"/>
          <w:color w:val="17365D"/>
        </w:rPr>
        <w:t>6</w:t>
      </w:r>
      <w:r w:rsidR="00BA1C68" w:rsidRPr="00FC4A34">
        <w:rPr>
          <w:noProof w:val="0"/>
          <w:color w:val="17365D"/>
        </w:rPr>
        <w:t>,</w:t>
      </w:r>
      <w:r w:rsidR="003039D8" w:rsidRPr="00FC4A34">
        <w:rPr>
          <w:noProof w:val="0"/>
          <w:color w:val="17365D"/>
        </w:rPr>
        <w:t>4</w:t>
      </w:r>
      <w:r w:rsidR="009A2307" w:rsidRPr="00FC4A34">
        <w:rPr>
          <w:noProof w:val="0"/>
          <w:color w:val="17365D"/>
        </w:rPr>
        <w:t> </w:t>
      </w:r>
      <w:r w:rsidR="00BA1C68" w:rsidRPr="00FC4A34">
        <w:rPr>
          <w:noProof w:val="0"/>
          <w:color w:val="17365D"/>
        </w:rPr>
        <w:t>milj.</w:t>
      </w:r>
      <w:r w:rsidR="003039D8" w:rsidRPr="00FC4A34">
        <w:rPr>
          <w:noProof w:val="0"/>
          <w:color w:val="17365D"/>
        </w:rPr>
        <w:t> </w:t>
      </w:r>
      <w:proofErr w:type="spellStart"/>
      <w:r w:rsidR="00BA1C68" w:rsidRPr="00FC4A34">
        <w:rPr>
          <w:i/>
          <w:noProof w:val="0"/>
          <w:color w:val="17365D"/>
        </w:rPr>
        <w:t>euro</w:t>
      </w:r>
      <w:proofErr w:type="spellEnd"/>
      <w:r w:rsidR="00BA1C68" w:rsidRPr="00FC4A34">
        <w:rPr>
          <w:noProof w:val="0"/>
          <w:color w:val="17365D"/>
        </w:rPr>
        <w:t>)</w:t>
      </w:r>
      <w:r w:rsidR="00BB18BB" w:rsidRPr="00FC4A34">
        <w:rPr>
          <w:noProof w:val="0"/>
          <w:color w:val="17365D"/>
        </w:rPr>
        <w:t>.</w:t>
      </w:r>
    </w:p>
    <w:p w14:paraId="0FCB5299" w14:textId="559AF93B" w:rsidR="000D2029" w:rsidRPr="00FC4A34" w:rsidRDefault="003039D8" w:rsidP="00040A75">
      <w:pPr>
        <w:pStyle w:val="Pamatteksts"/>
        <w:ind w:firstLine="0"/>
        <w:jc w:val="center"/>
        <w:rPr>
          <w:noProof w:val="0"/>
          <w:color w:val="17365D"/>
        </w:rPr>
      </w:pPr>
      <w:r w:rsidRPr="00FC4A34">
        <w:rPr>
          <w:color w:val="17365D"/>
        </w:rPr>
        <w:drawing>
          <wp:inline distT="0" distB="0" distL="0" distR="0" wp14:anchorId="122086D2" wp14:editId="5C91F05B">
            <wp:extent cx="5573865" cy="3904090"/>
            <wp:effectExtent l="0" t="0" r="825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0E058A" w:rsidRPr="00FC4A34">
        <w:rPr>
          <w:i/>
          <w:noProof w:val="0"/>
          <w:color w:val="17365D"/>
          <w:sz w:val="20"/>
          <w:szCs w:val="20"/>
        </w:rPr>
        <w:t>6</w:t>
      </w:r>
      <w:r w:rsidR="000D2029" w:rsidRPr="00FC4A34">
        <w:rPr>
          <w:i/>
          <w:noProof w:val="0"/>
          <w:color w:val="17365D"/>
          <w:sz w:val="20"/>
          <w:szCs w:val="20"/>
        </w:rPr>
        <w:t xml:space="preserve">. attēls. Pašvaldību aizņēmumu īpatsvars kopējā pašvaldību aizņēmuma apjomā </w:t>
      </w:r>
      <w:r w:rsidR="004F273C" w:rsidRPr="00FC4A34">
        <w:rPr>
          <w:i/>
          <w:noProof w:val="0"/>
          <w:color w:val="17365D"/>
          <w:sz w:val="20"/>
          <w:szCs w:val="20"/>
        </w:rPr>
        <w:t>2022.</w:t>
      </w:r>
      <w:r w:rsidR="0065571F" w:rsidRPr="00FC4A34">
        <w:rPr>
          <w:i/>
          <w:noProof w:val="0"/>
          <w:color w:val="17365D"/>
          <w:sz w:val="20"/>
          <w:szCs w:val="20"/>
        </w:rPr>
        <w:t xml:space="preserve"> g</w:t>
      </w:r>
      <w:r w:rsidR="000D2029" w:rsidRPr="00FC4A34">
        <w:rPr>
          <w:i/>
          <w:noProof w:val="0"/>
          <w:color w:val="17365D"/>
          <w:sz w:val="20"/>
          <w:szCs w:val="20"/>
        </w:rPr>
        <w:t>ada 31. decembrī</w:t>
      </w:r>
    </w:p>
    <w:p w14:paraId="062C6AC3" w14:textId="797720A2" w:rsidR="00FB7EBD" w:rsidRPr="00FC4A34" w:rsidRDefault="00B8212D" w:rsidP="00D520CD">
      <w:pPr>
        <w:pStyle w:val="Pamatteksts"/>
        <w:spacing w:before="240"/>
        <w:rPr>
          <w:noProof w:val="0"/>
          <w:color w:val="17365D"/>
        </w:rPr>
      </w:pPr>
      <w:proofErr w:type="spellStart"/>
      <w:r>
        <w:rPr>
          <w:noProof w:val="0"/>
          <w:color w:val="17365D"/>
        </w:rPr>
        <w:t>V</w:t>
      </w:r>
      <w:r w:rsidR="003D4260" w:rsidRPr="00FC4A34">
        <w:rPr>
          <w:noProof w:val="0"/>
          <w:color w:val="17365D"/>
        </w:rPr>
        <w:t>alsts</w:t>
      </w:r>
      <w:r w:rsidR="00FB7EBD" w:rsidRPr="00FC4A34">
        <w:rPr>
          <w:noProof w:val="0"/>
          <w:color w:val="17365D"/>
        </w:rPr>
        <w:t>pilsētu</w:t>
      </w:r>
      <w:proofErr w:type="spellEnd"/>
      <w:r w:rsidR="00FB7EBD" w:rsidRPr="00FC4A34">
        <w:rPr>
          <w:noProof w:val="0"/>
          <w:color w:val="17365D"/>
        </w:rPr>
        <w:t xml:space="preserve"> pašvaldību kopējais parāds </w:t>
      </w:r>
      <w:r w:rsidR="004F273C" w:rsidRPr="00FC4A34">
        <w:rPr>
          <w:noProof w:val="0"/>
          <w:color w:val="17365D"/>
        </w:rPr>
        <w:t>2022.</w:t>
      </w:r>
      <w:r w:rsidR="0065571F" w:rsidRPr="00FC4A34">
        <w:rPr>
          <w:noProof w:val="0"/>
          <w:color w:val="17365D"/>
        </w:rPr>
        <w:t xml:space="preserve"> g</w:t>
      </w:r>
      <w:r w:rsidR="00FB7EBD" w:rsidRPr="00FC4A34">
        <w:rPr>
          <w:noProof w:val="0"/>
          <w:color w:val="17365D"/>
        </w:rPr>
        <w:t xml:space="preserve">adā ir </w:t>
      </w:r>
      <w:r w:rsidR="00B33F5D" w:rsidRPr="00FC4A34">
        <w:rPr>
          <w:noProof w:val="0"/>
          <w:color w:val="17365D"/>
        </w:rPr>
        <w:t>samazinājies</w:t>
      </w:r>
      <w:r w:rsidR="00FB7EBD" w:rsidRPr="00FC4A34">
        <w:rPr>
          <w:noProof w:val="0"/>
          <w:color w:val="17365D"/>
        </w:rPr>
        <w:t xml:space="preserve"> par </w:t>
      </w:r>
      <w:r w:rsidR="00B33F5D" w:rsidRPr="00FC4A34">
        <w:rPr>
          <w:noProof w:val="0"/>
          <w:color w:val="17365D"/>
        </w:rPr>
        <w:t>0</w:t>
      </w:r>
      <w:r w:rsidR="00020952" w:rsidRPr="00FC4A34">
        <w:rPr>
          <w:noProof w:val="0"/>
          <w:color w:val="17365D"/>
        </w:rPr>
        <w:t>,</w:t>
      </w:r>
      <w:r w:rsidR="00B33F5D" w:rsidRPr="00FC4A34">
        <w:rPr>
          <w:noProof w:val="0"/>
          <w:color w:val="17365D"/>
        </w:rPr>
        <w:t>8</w:t>
      </w:r>
      <w:r w:rsidR="00E1373E" w:rsidRPr="00FC4A34">
        <w:rPr>
          <w:noProof w:val="0"/>
          <w:color w:val="17365D"/>
        </w:rPr>
        <w:t> </w:t>
      </w:r>
      <w:r w:rsidR="00020952" w:rsidRPr="00FC4A34">
        <w:rPr>
          <w:noProof w:val="0"/>
          <w:color w:val="17365D"/>
        </w:rPr>
        <w:t>milj</w:t>
      </w:r>
      <w:r w:rsidR="00FB7EBD" w:rsidRPr="00FC4A34">
        <w:rPr>
          <w:noProof w:val="0"/>
          <w:color w:val="17365D"/>
        </w:rPr>
        <w:t>. </w:t>
      </w:r>
      <w:proofErr w:type="spellStart"/>
      <w:r w:rsidR="00FB7EBD" w:rsidRPr="00FC4A34">
        <w:rPr>
          <w:i/>
          <w:noProof w:val="0"/>
          <w:color w:val="17365D"/>
        </w:rPr>
        <w:t>euro</w:t>
      </w:r>
      <w:proofErr w:type="spellEnd"/>
      <w:r w:rsidR="00FB7EBD" w:rsidRPr="00FC4A34">
        <w:rPr>
          <w:noProof w:val="0"/>
          <w:color w:val="17365D"/>
        </w:rPr>
        <w:t xml:space="preserve">, </w:t>
      </w:r>
      <w:r w:rsidR="004F273C" w:rsidRPr="00FC4A34">
        <w:rPr>
          <w:noProof w:val="0"/>
          <w:color w:val="17365D"/>
        </w:rPr>
        <w:t>2022.</w:t>
      </w:r>
      <w:r w:rsidR="0065571F" w:rsidRPr="00FC4A34">
        <w:rPr>
          <w:noProof w:val="0"/>
          <w:color w:val="17365D"/>
        </w:rPr>
        <w:t xml:space="preserve"> g</w:t>
      </w:r>
      <w:r w:rsidR="00FB7EBD" w:rsidRPr="00FC4A34">
        <w:rPr>
          <w:noProof w:val="0"/>
          <w:color w:val="17365D"/>
        </w:rPr>
        <w:t xml:space="preserve">ada 31. decembrī veidojot </w:t>
      </w:r>
      <w:r w:rsidR="003D4260" w:rsidRPr="00FC4A34">
        <w:rPr>
          <w:noProof w:val="0"/>
          <w:color w:val="17365D"/>
        </w:rPr>
        <w:t>896</w:t>
      </w:r>
      <w:r w:rsidR="00927BC9" w:rsidRPr="00FC4A34">
        <w:rPr>
          <w:noProof w:val="0"/>
          <w:color w:val="17365D"/>
        </w:rPr>
        <w:t>,</w:t>
      </w:r>
      <w:r w:rsidR="00B33F5D" w:rsidRPr="00FC4A34">
        <w:rPr>
          <w:noProof w:val="0"/>
          <w:color w:val="17365D"/>
        </w:rPr>
        <w:t>0</w:t>
      </w:r>
      <w:r w:rsidR="00FB7EBD" w:rsidRPr="00FC4A34">
        <w:rPr>
          <w:noProof w:val="0"/>
          <w:color w:val="17365D"/>
        </w:rPr>
        <w:t> milj. </w:t>
      </w:r>
      <w:proofErr w:type="spellStart"/>
      <w:r w:rsidR="00FB7EBD" w:rsidRPr="00FC4A34">
        <w:rPr>
          <w:i/>
          <w:noProof w:val="0"/>
          <w:color w:val="17365D"/>
        </w:rPr>
        <w:t>euro</w:t>
      </w:r>
      <w:proofErr w:type="spellEnd"/>
      <w:r w:rsidR="00FB7EBD" w:rsidRPr="00FC4A34">
        <w:rPr>
          <w:noProof w:val="0"/>
          <w:color w:val="17365D"/>
        </w:rPr>
        <w:t xml:space="preserve"> jeb </w:t>
      </w:r>
      <w:r w:rsidR="003D4260" w:rsidRPr="00FC4A34">
        <w:rPr>
          <w:noProof w:val="0"/>
          <w:color w:val="17365D"/>
        </w:rPr>
        <w:t>4</w:t>
      </w:r>
      <w:r w:rsidR="00B33F5D" w:rsidRPr="00FC4A34">
        <w:rPr>
          <w:noProof w:val="0"/>
          <w:color w:val="17365D"/>
        </w:rPr>
        <w:t>5</w:t>
      </w:r>
      <w:r w:rsidR="00D0089D" w:rsidRPr="00FC4A34">
        <w:rPr>
          <w:noProof w:val="0"/>
          <w:color w:val="17365D"/>
        </w:rPr>
        <w:t>,</w:t>
      </w:r>
      <w:r w:rsidR="004958AD" w:rsidRPr="00FC4A34">
        <w:rPr>
          <w:noProof w:val="0"/>
          <w:color w:val="17365D"/>
        </w:rPr>
        <w:t>9</w:t>
      </w:r>
      <w:r w:rsidR="00FB7EBD" w:rsidRPr="00FC4A34">
        <w:rPr>
          <w:noProof w:val="0"/>
          <w:color w:val="17365D"/>
        </w:rPr>
        <w:t> % no kopējā pa</w:t>
      </w:r>
      <w:r w:rsidR="004D4BC2" w:rsidRPr="00FC4A34">
        <w:rPr>
          <w:noProof w:val="0"/>
          <w:color w:val="17365D"/>
        </w:rPr>
        <w:t>švaldību parāda apjoma (skatīt 7</w:t>
      </w:r>
      <w:r w:rsidR="00FB7EBD" w:rsidRPr="00FC4A34">
        <w:rPr>
          <w:noProof w:val="0"/>
          <w:color w:val="17365D"/>
        </w:rPr>
        <w:t>. attēlu).</w:t>
      </w:r>
      <w:r w:rsidR="00F33E6C" w:rsidRPr="00FC4A34">
        <w:rPr>
          <w:noProof w:val="0"/>
          <w:color w:val="17365D"/>
        </w:rPr>
        <w:t xml:space="preserve"> </w:t>
      </w:r>
    </w:p>
    <w:p w14:paraId="710870A3" w14:textId="457057D2" w:rsidR="00EB5017" w:rsidRPr="00FC4A34" w:rsidRDefault="00B33F5D" w:rsidP="00EB5017">
      <w:pPr>
        <w:pStyle w:val="Pamatteksts"/>
        <w:ind w:firstLine="0"/>
        <w:rPr>
          <w:noProof w:val="0"/>
          <w:color w:val="17365D"/>
        </w:rPr>
      </w:pPr>
      <w:r w:rsidRPr="00FC4A34">
        <w:rPr>
          <w:color w:val="17365D"/>
        </w:rPr>
        <w:drawing>
          <wp:inline distT="0" distB="0" distL="0" distR="0" wp14:anchorId="3006C1BC" wp14:editId="6D6F654F">
            <wp:extent cx="5939790" cy="2774315"/>
            <wp:effectExtent l="0" t="0" r="3810"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BD60716" w14:textId="464F85C9" w:rsidR="00D97B55" w:rsidRPr="00FC4A34" w:rsidRDefault="004D4BC2" w:rsidP="00D97B55">
      <w:pPr>
        <w:pStyle w:val="Attlanosaukums"/>
        <w:rPr>
          <w:noProof w:val="0"/>
          <w:color w:val="17365D"/>
        </w:rPr>
      </w:pPr>
      <w:r w:rsidRPr="00FC4A34">
        <w:rPr>
          <w:noProof w:val="0"/>
          <w:color w:val="17365D"/>
        </w:rPr>
        <w:t>7</w:t>
      </w:r>
      <w:r w:rsidR="00B8212D">
        <w:rPr>
          <w:noProof w:val="0"/>
          <w:color w:val="17365D"/>
        </w:rPr>
        <w:t>. attēls. </w:t>
      </w:r>
      <w:proofErr w:type="spellStart"/>
      <w:r w:rsidR="00B8212D">
        <w:rPr>
          <w:noProof w:val="0"/>
          <w:color w:val="17365D"/>
        </w:rPr>
        <w:t>V</w:t>
      </w:r>
      <w:r w:rsidR="003D4260" w:rsidRPr="00FC4A34">
        <w:rPr>
          <w:noProof w:val="0"/>
          <w:color w:val="17365D"/>
        </w:rPr>
        <w:t>alsts</w:t>
      </w:r>
      <w:r w:rsidR="00D97B55" w:rsidRPr="00FC4A34">
        <w:rPr>
          <w:noProof w:val="0"/>
          <w:color w:val="17365D"/>
        </w:rPr>
        <w:t>pilsētu</w:t>
      </w:r>
      <w:proofErr w:type="spellEnd"/>
      <w:r w:rsidR="00D97B55" w:rsidRPr="00FC4A34">
        <w:rPr>
          <w:noProof w:val="0"/>
          <w:color w:val="17365D"/>
        </w:rPr>
        <w:t xml:space="preserve"> </w:t>
      </w:r>
      <w:r w:rsidR="00777D01" w:rsidRPr="00FC4A34">
        <w:rPr>
          <w:noProof w:val="0"/>
          <w:color w:val="17365D"/>
        </w:rPr>
        <w:t xml:space="preserve">pašvaldību </w:t>
      </w:r>
      <w:r w:rsidR="00D97B55" w:rsidRPr="00FC4A34">
        <w:rPr>
          <w:noProof w:val="0"/>
          <w:color w:val="17365D"/>
        </w:rPr>
        <w:t xml:space="preserve">aizņēmumu īpatsvars kopējā pašvaldību aizņēmumu apjomā </w:t>
      </w:r>
      <w:r w:rsidR="004F273C" w:rsidRPr="00FC4A34">
        <w:rPr>
          <w:noProof w:val="0"/>
          <w:color w:val="17365D"/>
        </w:rPr>
        <w:t>2022.</w:t>
      </w:r>
      <w:r w:rsidR="0065571F" w:rsidRPr="00FC4A34">
        <w:rPr>
          <w:noProof w:val="0"/>
          <w:color w:val="17365D"/>
        </w:rPr>
        <w:t xml:space="preserve"> g</w:t>
      </w:r>
      <w:r w:rsidR="00D97B55" w:rsidRPr="00FC4A34">
        <w:rPr>
          <w:noProof w:val="0"/>
          <w:color w:val="17365D"/>
        </w:rPr>
        <w:t>ada 31. decembrī</w:t>
      </w:r>
    </w:p>
    <w:p w14:paraId="67A87E80" w14:textId="2C128C8A" w:rsidR="005F6313" w:rsidRPr="00FC4A34" w:rsidRDefault="00B8212D" w:rsidP="007A151A">
      <w:pPr>
        <w:pStyle w:val="Pamatteksts"/>
        <w:spacing w:before="240"/>
        <w:rPr>
          <w:noProof w:val="0"/>
          <w:color w:val="17365D"/>
        </w:rPr>
      </w:pPr>
      <w:r>
        <w:rPr>
          <w:noProof w:val="0"/>
          <w:color w:val="17365D"/>
        </w:rPr>
        <w:lastRenderedPageBreak/>
        <w:t xml:space="preserve">No </w:t>
      </w:r>
      <w:proofErr w:type="spellStart"/>
      <w:r>
        <w:rPr>
          <w:noProof w:val="0"/>
          <w:color w:val="17365D"/>
        </w:rPr>
        <w:t>v</w:t>
      </w:r>
      <w:r w:rsidR="00017F43" w:rsidRPr="00FC4A34">
        <w:rPr>
          <w:noProof w:val="0"/>
          <w:color w:val="17365D"/>
        </w:rPr>
        <w:t>alstspilsētu</w:t>
      </w:r>
      <w:proofErr w:type="spellEnd"/>
      <w:r w:rsidR="00017F43" w:rsidRPr="00FC4A34">
        <w:rPr>
          <w:noProof w:val="0"/>
          <w:color w:val="17365D"/>
        </w:rPr>
        <w:t xml:space="preserve"> pašvaldībām l</w:t>
      </w:r>
      <w:r w:rsidR="005F6313" w:rsidRPr="00FC4A34">
        <w:rPr>
          <w:noProof w:val="0"/>
          <w:color w:val="17365D"/>
        </w:rPr>
        <w:t>ielākais parāda palielinājums</w:t>
      </w:r>
      <w:r w:rsidR="000933E9" w:rsidRPr="00FC4A34">
        <w:rPr>
          <w:noProof w:val="0"/>
          <w:color w:val="17365D"/>
        </w:rPr>
        <w:t xml:space="preserve"> </w:t>
      </w:r>
      <w:r w:rsidR="004F273C" w:rsidRPr="00FC4A34">
        <w:rPr>
          <w:noProof w:val="0"/>
          <w:color w:val="17365D"/>
        </w:rPr>
        <w:t>2022.</w:t>
      </w:r>
      <w:r w:rsidR="000933E9" w:rsidRPr="00FC4A34">
        <w:rPr>
          <w:noProof w:val="0"/>
          <w:color w:val="17365D"/>
        </w:rPr>
        <w:t xml:space="preserve"> gada laikā</w:t>
      </w:r>
      <w:r w:rsidR="005F6313" w:rsidRPr="00FC4A34">
        <w:rPr>
          <w:noProof w:val="0"/>
          <w:color w:val="17365D"/>
        </w:rPr>
        <w:t xml:space="preserve"> ir </w:t>
      </w:r>
      <w:r w:rsidR="004F4F05" w:rsidRPr="00FC4A34">
        <w:rPr>
          <w:noProof w:val="0"/>
          <w:color w:val="17365D"/>
        </w:rPr>
        <w:t>Jelgavas</w:t>
      </w:r>
      <w:r w:rsidR="005F6313" w:rsidRPr="00FC4A34">
        <w:rPr>
          <w:noProof w:val="0"/>
          <w:color w:val="17365D"/>
        </w:rPr>
        <w:t xml:space="preserve"> </w:t>
      </w:r>
      <w:proofErr w:type="spellStart"/>
      <w:r w:rsidR="005F6313" w:rsidRPr="00FC4A34">
        <w:rPr>
          <w:noProof w:val="0"/>
          <w:color w:val="17365D"/>
        </w:rPr>
        <w:t>valstspilsētas</w:t>
      </w:r>
      <w:proofErr w:type="spellEnd"/>
      <w:r w:rsidR="005F6313" w:rsidRPr="00FC4A34">
        <w:rPr>
          <w:noProof w:val="0"/>
          <w:color w:val="17365D"/>
        </w:rPr>
        <w:t xml:space="preserve"> pašvaldībai </w:t>
      </w:r>
      <w:r w:rsidR="005F6313" w:rsidRPr="00FC4A34">
        <w:rPr>
          <w:color w:val="17365D"/>
        </w:rPr>
        <w:t xml:space="preserve">– </w:t>
      </w:r>
      <w:r w:rsidR="005F6313" w:rsidRPr="00FC4A34">
        <w:rPr>
          <w:noProof w:val="0"/>
          <w:color w:val="17365D"/>
        </w:rPr>
        <w:t xml:space="preserve">par </w:t>
      </w:r>
      <w:r w:rsidR="004F4F05" w:rsidRPr="00FC4A34">
        <w:rPr>
          <w:noProof w:val="0"/>
          <w:color w:val="17365D"/>
        </w:rPr>
        <w:t>8</w:t>
      </w:r>
      <w:r w:rsidR="005F6313" w:rsidRPr="00FC4A34">
        <w:rPr>
          <w:noProof w:val="0"/>
          <w:color w:val="17365D"/>
        </w:rPr>
        <w:t>,</w:t>
      </w:r>
      <w:r w:rsidR="004F4F05" w:rsidRPr="00FC4A34">
        <w:rPr>
          <w:noProof w:val="0"/>
          <w:color w:val="17365D"/>
        </w:rPr>
        <w:t>1</w:t>
      </w:r>
      <w:r w:rsidR="005F6313" w:rsidRPr="00FC4A34">
        <w:rPr>
          <w:noProof w:val="0"/>
          <w:color w:val="17365D"/>
        </w:rPr>
        <w:t xml:space="preserve"> milj. </w:t>
      </w:r>
      <w:proofErr w:type="spellStart"/>
      <w:r w:rsidR="005F6313" w:rsidRPr="00FC4A34">
        <w:rPr>
          <w:i/>
          <w:noProof w:val="0"/>
          <w:color w:val="17365D"/>
        </w:rPr>
        <w:t>euro</w:t>
      </w:r>
      <w:proofErr w:type="spellEnd"/>
      <w:r w:rsidR="005F6313" w:rsidRPr="00FC4A34">
        <w:rPr>
          <w:noProof w:val="0"/>
          <w:color w:val="17365D"/>
        </w:rPr>
        <w:t xml:space="preserve"> jeb </w:t>
      </w:r>
      <w:r w:rsidR="004F4F05" w:rsidRPr="00FC4A34">
        <w:rPr>
          <w:noProof w:val="0"/>
          <w:color w:val="17365D"/>
        </w:rPr>
        <w:t>10</w:t>
      </w:r>
      <w:r w:rsidR="005F6313" w:rsidRPr="00FC4A34">
        <w:rPr>
          <w:noProof w:val="0"/>
          <w:color w:val="17365D"/>
        </w:rPr>
        <w:t>,</w:t>
      </w:r>
      <w:r w:rsidR="004F4F05" w:rsidRPr="00FC4A34">
        <w:rPr>
          <w:noProof w:val="0"/>
          <w:color w:val="17365D"/>
        </w:rPr>
        <w:t>2</w:t>
      </w:r>
      <w:r w:rsidR="005F6313" w:rsidRPr="00FC4A34">
        <w:rPr>
          <w:noProof w:val="0"/>
          <w:color w:val="17365D"/>
        </w:rPr>
        <w:t xml:space="preserve"> %</w:t>
      </w:r>
      <w:r w:rsidR="004D3BC9" w:rsidRPr="00FC4A34">
        <w:rPr>
          <w:noProof w:val="0"/>
          <w:color w:val="17365D"/>
        </w:rPr>
        <w:t xml:space="preserve"> (galvenokārt skaidrojams ar Jelgavas pilsētas pašvaldības izglītības iestāžu energoefektivitātes paaugstināšanas un mācību vides uzlabošana projektiem</w:t>
      </w:r>
      <w:r w:rsidR="004D3BC9" w:rsidRPr="00FC4A34">
        <w:rPr>
          <w:color w:val="17365D"/>
        </w:rPr>
        <w:t>)</w:t>
      </w:r>
      <w:r w:rsidR="001A668D" w:rsidRPr="00FC4A34">
        <w:rPr>
          <w:noProof w:val="0"/>
          <w:color w:val="17365D"/>
        </w:rPr>
        <w:t xml:space="preserve"> </w:t>
      </w:r>
      <w:r w:rsidR="00E71E5B" w:rsidRPr="00FC4A34">
        <w:rPr>
          <w:noProof w:val="0"/>
          <w:color w:val="17365D"/>
        </w:rPr>
        <w:t>un</w:t>
      </w:r>
      <w:r w:rsidR="00F75FDE" w:rsidRPr="00FC4A34">
        <w:rPr>
          <w:noProof w:val="0"/>
          <w:color w:val="17365D"/>
        </w:rPr>
        <w:t xml:space="preserve"> </w:t>
      </w:r>
      <w:r w:rsidR="004F4F05" w:rsidRPr="00FC4A34">
        <w:rPr>
          <w:noProof w:val="0"/>
          <w:color w:val="17365D"/>
        </w:rPr>
        <w:t>Liepājas</w:t>
      </w:r>
      <w:r w:rsidR="005F6313" w:rsidRPr="00FC4A34">
        <w:rPr>
          <w:noProof w:val="0"/>
          <w:color w:val="17365D"/>
        </w:rPr>
        <w:t xml:space="preserve"> </w:t>
      </w:r>
      <w:proofErr w:type="spellStart"/>
      <w:r w:rsidR="005F6313" w:rsidRPr="00FC4A34">
        <w:rPr>
          <w:noProof w:val="0"/>
          <w:color w:val="17365D"/>
        </w:rPr>
        <w:t>va</w:t>
      </w:r>
      <w:r w:rsidR="00530279" w:rsidRPr="00FC4A34">
        <w:rPr>
          <w:noProof w:val="0"/>
          <w:color w:val="17365D"/>
        </w:rPr>
        <w:t>lstspilsētas</w:t>
      </w:r>
      <w:proofErr w:type="spellEnd"/>
      <w:r w:rsidR="00530279" w:rsidRPr="00FC4A34">
        <w:rPr>
          <w:noProof w:val="0"/>
          <w:color w:val="17365D"/>
        </w:rPr>
        <w:t xml:space="preserve"> pašvaldībai – par 0</w:t>
      </w:r>
      <w:r w:rsidR="005F6313" w:rsidRPr="00FC4A34">
        <w:rPr>
          <w:noProof w:val="0"/>
          <w:color w:val="17365D"/>
        </w:rPr>
        <w:t>,</w:t>
      </w:r>
      <w:r w:rsidR="004F4F05" w:rsidRPr="00FC4A34">
        <w:rPr>
          <w:noProof w:val="0"/>
          <w:color w:val="17365D"/>
        </w:rPr>
        <w:t>9</w:t>
      </w:r>
      <w:r w:rsidR="005F6313" w:rsidRPr="00FC4A34">
        <w:rPr>
          <w:noProof w:val="0"/>
          <w:color w:val="17365D"/>
        </w:rPr>
        <w:t xml:space="preserve"> milj. </w:t>
      </w:r>
      <w:proofErr w:type="spellStart"/>
      <w:r w:rsidR="005F6313" w:rsidRPr="00FC4A34">
        <w:rPr>
          <w:i/>
          <w:noProof w:val="0"/>
          <w:color w:val="17365D"/>
        </w:rPr>
        <w:t>euro</w:t>
      </w:r>
      <w:proofErr w:type="spellEnd"/>
      <w:r w:rsidR="005F6313" w:rsidRPr="00FC4A34">
        <w:rPr>
          <w:noProof w:val="0"/>
          <w:color w:val="17365D"/>
        </w:rPr>
        <w:t xml:space="preserve"> jeb </w:t>
      </w:r>
      <w:r w:rsidR="004F4F05" w:rsidRPr="00FC4A34">
        <w:rPr>
          <w:noProof w:val="0"/>
          <w:color w:val="17365D"/>
        </w:rPr>
        <w:t>1</w:t>
      </w:r>
      <w:r w:rsidR="005F6313" w:rsidRPr="00FC4A34">
        <w:rPr>
          <w:noProof w:val="0"/>
          <w:color w:val="17365D"/>
        </w:rPr>
        <w:t>,</w:t>
      </w:r>
      <w:r w:rsidR="004F4F05" w:rsidRPr="00FC4A34">
        <w:rPr>
          <w:noProof w:val="0"/>
          <w:color w:val="17365D"/>
        </w:rPr>
        <w:t>9</w:t>
      </w:r>
      <w:r w:rsidR="005F6313" w:rsidRPr="00FC4A34">
        <w:rPr>
          <w:noProof w:val="0"/>
          <w:color w:val="17365D"/>
        </w:rPr>
        <w:t xml:space="preserve"> %</w:t>
      </w:r>
      <w:r w:rsidR="00530279" w:rsidRPr="00FC4A34">
        <w:rPr>
          <w:noProof w:val="0"/>
          <w:color w:val="17365D"/>
        </w:rPr>
        <w:t xml:space="preserve">, bet lielākais parāda samazinājums 2022. gada laikā ir Rīgas </w:t>
      </w:r>
      <w:proofErr w:type="spellStart"/>
      <w:r w:rsidR="00530279" w:rsidRPr="00FC4A34">
        <w:rPr>
          <w:noProof w:val="0"/>
          <w:color w:val="17365D"/>
        </w:rPr>
        <w:t>valstspilsētas</w:t>
      </w:r>
      <w:proofErr w:type="spellEnd"/>
      <w:r w:rsidR="00530279" w:rsidRPr="00FC4A34">
        <w:rPr>
          <w:noProof w:val="0"/>
          <w:color w:val="17365D"/>
        </w:rPr>
        <w:t xml:space="preserve"> pašvaldībai – par 11,9</w:t>
      </w:r>
      <w:r w:rsidR="009A08DA" w:rsidRPr="00FC4A34">
        <w:rPr>
          <w:noProof w:val="0"/>
          <w:color w:val="17365D"/>
        </w:rPr>
        <w:t> </w:t>
      </w:r>
      <w:r w:rsidR="00530279" w:rsidRPr="00FC4A34">
        <w:rPr>
          <w:noProof w:val="0"/>
          <w:color w:val="17365D"/>
        </w:rPr>
        <w:t>milj. </w:t>
      </w:r>
      <w:proofErr w:type="spellStart"/>
      <w:r w:rsidR="00530279" w:rsidRPr="00FC4A34">
        <w:rPr>
          <w:i/>
          <w:noProof w:val="0"/>
          <w:color w:val="17365D"/>
        </w:rPr>
        <w:t>euro</w:t>
      </w:r>
      <w:proofErr w:type="spellEnd"/>
      <w:r w:rsidR="00530279" w:rsidRPr="00FC4A34">
        <w:rPr>
          <w:i/>
          <w:noProof w:val="0"/>
          <w:color w:val="17365D"/>
        </w:rPr>
        <w:t xml:space="preserve"> </w:t>
      </w:r>
      <w:r w:rsidR="00530279" w:rsidRPr="00FC4A34">
        <w:rPr>
          <w:noProof w:val="0"/>
          <w:color w:val="17365D"/>
        </w:rPr>
        <w:t>jeb 2,1 %.</w:t>
      </w:r>
    </w:p>
    <w:p w14:paraId="5E2964F6" w14:textId="778FFF4D" w:rsidR="001155E8" w:rsidRPr="00FC4A34" w:rsidRDefault="00D97B55" w:rsidP="007A151A">
      <w:pPr>
        <w:pStyle w:val="Pamatteksts"/>
        <w:spacing w:before="240"/>
        <w:rPr>
          <w:noProof w:val="0"/>
          <w:color w:val="17365D"/>
        </w:rPr>
      </w:pPr>
      <w:r w:rsidRPr="00FC4A34">
        <w:rPr>
          <w:noProof w:val="0"/>
          <w:color w:val="17365D"/>
        </w:rPr>
        <w:t xml:space="preserve">Pārējo pašvaldību kopējais parāds </w:t>
      </w:r>
      <w:r w:rsidR="004F273C" w:rsidRPr="00FC4A34">
        <w:rPr>
          <w:noProof w:val="0"/>
          <w:color w:val="17365D"/>
        </w:rPr>
        <w:t>2022.</w:t>
      </w:r>
      <w:r w:rsidR="0065571F" w:rsidRPr="00FC4A34">
        <w:rPr>
          <w:noProof w:val="0"/>
          <w:color w:val="17365D"/>
        </w:rPr>
        <w:t xml:space="preserve"> g</w:t>
      </w:r>
      <w:r w:rsidRPr="00FC4A34">
        <w:rPr>
          <w:noProof w:val="0"/>
          <w:color w:val="17365D"/>
        </w:rPr>
        <w:t xml:space="preserve">ada laikā ir palielinājies par </w:t>
      </w:r>
      <w:r w:rsidR="00D27357" w:rsidRPr="00FC4A34">
        <w:rPr>
          <w:noProof w:val="0"/>
          <w:color w:val="17365D"/>
        </w:rPr>
        <w:t>7</w:t>
      </w:r>
      <w:r w:rsidR="00530279" w:rsidRPr="00FC4A34">
        <w:rPr>
          <w:noProof w:val="0"/>
          <w:color w:val="17365D"/>
        </w:rPr>
        <w:t>8</w:t>
      </w:r>
      <w:r w:rsidR="00EB5017" w:rsidRPr="00FC4A34">
        <w:rPr>
          <w:noProof w:val="0"/>
          <w:color w:val="17365D"/>
        </w:rPr>
        <w:t>,</w:t>
      </w:r>
      <w:r w:rsidR="00530279" w:rsidRPr="00FC4A34">
        <w:rPr>
          <w:noProof w:val="0"/>
          <w:color w:val="17365D"/>
        </w:rPr>
        <w:t>1</w:t>
      </w:r>
      <w:r w:rsidR="00E1373E" w:rsidRPr="00FC4A34">
        <w:rPr>
          <w:noProof w:val="0"/>
          <w:color w:val="17365D"/>
        </w:rPr>
        <w:t> </w:t>
      </w:r>
      <w:r w:rsidRPr="00FC4A34">
        <w:rPr>
          <w:noProof w:val="0"/>
          <w:color w:val="17365D"/>
        </w:rPr>
        <w:t>milj. </w:t>
      </w:r>
      <w:proofErr w:type="spellStart"/>
      <w:r w:rsidR="00ED6E6E" w:rsidRPr="00FC4A34">
        <w:rPr>
          <w:i/>
          <w:noProof w:val="0"/>
          <w:color w:val="17365D"/>
        </w:rPr>
        <w:t>euro</w:t>
      </w:r>
      <w:proofErr w:type="spellEnd"/>
      <w:r w:rsidRPr="00FC4A34">
        <w:rPr>
          <w:noProof w:val="0"/>
          <w:color w:val="17365D"/>
        </w:rPr>
        <w:t xml:space="preserve">, </w:t>
      </w:r>
      <w:r w:rsidR="004F273C" w:rsidRPr="00FC4A34">
        <w:rPr>
          <w:noProof w:val="0"/>
          <w:color w:val="17365D"/>
        </w:rPr>
        <w:t>2022.</w:t>
      </w:r>
      <w:r w:rsidR="00D27357" w:rsidRPr="00FC4A34">
        <w:rPr>
          <w:noProof w:val="0"/>
          <w:color w:val="17365D"/>
        </w:rPr>
        <w:t> </w:t>
      </w:r>
      <w:r w:rsidR="0065571F" w:rsidRPr="00FC4A34">
        <w:rPr>
          <w:noProof w:val="0"/>
          <w:color w:val="17365D"/>
        </w:rPr>
        <w:t>g</w:t>
      </w:r>
      <w:r w:rsidRPr="00FC4A34">
        <w:rPr>
          <w:noProof w:val="0"/>
          <w:color w:val="17365D"/>
        </w:rPr>
        <w:t xml:space="preserve">ada beigās veidojot </w:t>
      </w:r>
      <w:r w:rsidR="00530279" w:rsidRPr="00FC4A34">
        <w:rPr>
          <w:noProof w:val="0"/>
          <w:color w:val="17365D"/>
        </w:rPr>
        <w:t>1 055</w:t>
      </w:r>
      <w:r w:rsidR="00454888" w:rsidRPr="00FC4A34">
        <w:rPr>
          <w:noProof w:val="0"/>
          <w:color w:val="17365D"/>
        </w:rPr>
        <w:t>,</w:t>
      </w:r>
      <w:r w:rsidR="00530279" w:rsidRPr="00FC4A34">
        <w:rPr>
          <w:noProof w:val="0"/>
          <w:color w:val="17365D"/>
        </w:rPr>
        <w:t>0</w:t>
      </w:r>
      <w:r w:rsidR="00ED6E6E" w:rsidRPr="00FC4A34">
        <w:rPr>
          <w:noProof w:val="0"/>
          <w:color w:val="17365D"/>
        </w:rPr>
        <w:t> </w:t>
      </w:r>
      <w:r w:rsidRPr="00FC4A34">
        <w:rPr>
          <w:noProof w:val="0"/>
          <w:color w:val="17365D"/>
        </w:rPr>
        <w:t>milj. </w:t>
      </w:r>
      <w:proofErr w:type="spellStart"/>
      <w:r w:rsidR="00ED6E6E" w:rsidRPr="00FC4A34">
        <w:rPr>
          <w:i/>
          <w:noProof w:val="0"/>
          <w:color w:val="17365D"/>
        </w:rPr>
        <w:t>euro</w:t>
      </w:r>
      <w:proofErr w:type="spellEnd"/>
      <w:r w:rsidRPr="00FC4A34">
        <w:rPr>
          <w:noProof w:val="0"/>
          <w:color w:val="17365D"/>
        </w:rPr>
        <w:t xml:space="preserve">. </w:t>
      </w:r>
      <w:r w:rsidR="00E71E5B" w:rsidRPr="00FC4A34">
        <w:rPr>
          <w:noProof w:val="0"/>
          <w:color w:val="17365D"/>
        </w:rPr>
        <w:t>No tām l</w:t>
      </w:r>
      <w:r w:rsidR="001155E8" w:rsidRPr="00FC4A34">
        <w:rPr>
          <w:noProof w:val="0"/>
          <w:color w:val="17365D"/>
        </w:rPr>
        <w:t>ielākais</w:t>
      </w:r>
      <w:r w:rsidR="005F6313" w:rsidRPr="00FC4A34">
        <w:rPr>
          <w:noProof w:val="0"/>
          <w:color w:val="17365D"/>
        </w:rPr>
        <w:t xml:space="preserve"> parāda</w:t>
      </w:r>
      <w:r w:rsidR="001155E8" w:rsidRPr="00FC4A34">
        <w:rPr>
          <w:noProof w:val="0"/>
          <w:color w:val="17365D"/>
        </w:rPr>
        <w:t xml:space="preserve"> palielinājums</w:t>
      </w:r>
      <w:r w:rsidR="000933E9" w:rsidRPr="00FC4A34">
        <w:rPr>
          <w:noProof w:val="0"/>
          <w:color w:val="17365D"/>
        </w:rPr>
        <w:t xml:space="preserve"> </w:t>
      </w:r>
      <w:r w:rsidR="004F273C" w:rsidRPr="00FC4A34">
        <w:rPr>
          <w:noProof w:val="0"/>
          <w:color w:val="17365D"/>
        </w:rPr>
        <w:t>2022.</w:t>
      </w:r>
      <w:r w:rsidR="000933E9" w:rsidRPr="00FC4A34">
        <w:rPr>
          <w:noProof w:val="0"/>
          <w:color w:val="17365D"/>
        </w:rPr>
        <w:t xml:space="preserve"> gada laikā</w:t>
      </w:r>
      <w:r w:rsidR="001155E8" w:rsidRPr="00FC4A34">
        <w:rPr>
          <w:noProof w:val="0"/>
          <w:color w:val="17365D"/>
        </w:rPr>
        <w:t xml:space="preserve"> ir </w:t>
      </w:r>
      <w:r w:rsidR="00530279" w:rsidRPr="00FC4A34">
        <w:rPr>
          <w:noProof w:val="0"/>
          <w:color w:val="17365D"/>
        </w:rPr>
        <w:t>Ogres</w:t>
      </w:r>
      <w:r w:rsidR="001155E8" w:rsidRPr="00FC4A34">
        <w:rPr>
          <w:noProof w:val="0"/>
          <w:color w:val="17365D"/>
        </w:rPr>
        <w:t xml:space="preserve"> novada pašvaldībai</w:t>
      </w:r>
      <w:r w:rsidR="005F6313" w:rsidRPr="00FC4A34">
        <w:rPr>
          <w:noProof w:val="0"/>
          <w:color w:val="17365D"/>
        </w:rPr>
        <w:t xml:space="preserve"> –</w:t>
      </w:r>
      <w:r w:rsidR="001155E8" w:rsidRPr="00FC4A34">
        <w:rPr>
          <w:noProof w:val="0"/>
          <w:color w:val="17365D"/>
        </w:rPr>
        <w:t xml:space="preserve"> par </w:t>
      </w:r>
      <w:r w:rsidR="00530279" w:rsidRPr="00FC4A34">
        <w:rPr>
          <w:noProof w:val="0"/>
          <w:color w:val="17365D"/>
        </w:rPr>
        <w:t>22</w:t>
      </w:r>
      <w:r w:rsidR="001155E8" w:rsidRPr="00FC4A34">
        <w:rPr>
          <w:noProof w:val="0"/>
          <w:color w:val="17365D"/>
        </w:rPr>
        <w:t>,9 milj. </w:t>
      </w:r>
      <w:proofErr w:type="spellStart"/>
      <w:r w:rsidR="001155E8" w:rsidRPr="00FC4A34">
        <w:rPr>
          <w:i/>
          <w:noProof w:val="0"/>
          <w:color w:val="17365D"/>
        </w:rPr>
        <w:t>euro</w:t>
      </w:r>
      <w:proofErr w:type="spellEnd"/>
      <w:r w:rsidR="005F6313" w:rsidRPr="00FC4A34">
        <w:rPr>
          <w:noProof w:val="0"/>
          <w:color w:val="17365D"/>
        </w:rPr>
        <w:t xml:space="preserve"> jeb </w:t>
      </w:r>
      <w:r w:rsidR="00530279" w:rsidRPr="00FC4A34">
        <w:rPr>
          <w:noProof w:val="0"/>
          <w:color w:val="17365D"/>
        </w:rPr>
        <w:t>33</w:t>
      </w:r>
      <w:r w:rsidR="005F6313" w:rsidRPr="00FC4A34">
        <w:rPr>
          <w:noProof w:val="0"/>
          <w:color w:val="17365D"/>
        </w:rPr>
        <w:t>,</w:t>
      </w:r>
      <w:r w:rsidR="00530279" w:rsidRPr="00FC4A34">
        <w:rPr>
          <w:noProof w:val="0"/>
          <w:color w:val="17365D"/>
        </w:rPr>
        <w:t>6</w:t>
      </w:r>
      <w:r w:rsidR="005F6313" w:rsidRPr="00FC4A34">
        <w:rPr>
          <w:noProof w:val="0"/>
          <w:color w:val="17365D"/>
        </w:rPr>
        <w:t xml:space="preserve"> %</w:t>
      </w:r>
      <w:r w:rsidR="00017F43" w:rsidRPr="00FC4A34">
        <w:rPr>
          <w:noProof w:val="0"/>
          <w:color w:val="17365D"/>
        </w:rPr>
        <w:t>,</w:t>
      </w:r>
      <w:r w:rsidR="005F6313" w:rsidRPr="00FC4A34">
        <w:rPr>
          <w:noProof w:val="0"/>
          <w:color w:val="17365D"/>
        </w:rPr>
        <w:t xml:space="preserve"> </w:t>
      </w:r>
      <w:r w:rsidR="00534855" w:rsidRPr="00FC4A34">
        <w:rPr>
          <w:noProof w:val="0"/>
          <w:color w:val="17365D"/>
        </w:rPr>
        <w:t xml:space="preserve">un </w:t>
      </w:r>
      <w:r w:rsidR="00530279" w:rsidRPr="00FC4A34">
        <w:rPr>
          <w:noProof w:val="0"/>
          <w:color w:val="17365D"/>
        </w:rPr>
        <w:t>Ropažu</w:t>
      </w:r>
      <w:r w:rsidR="00534855" w:rsidRPr="00FC4A34">
        <w:rPr>
          <w:noProof w:val="0"/>
          <w:color w:val="17365D"/>
        </w:rPr>
        <w:t xml:space="preserve"> novada pašvaldībai</w:t>
      </w:r>
      <w:r w:rsidR="005F6313" w:rsidRPr="00FC4A34">
        <w:rPr>
          <w:noProof w:val="0"/>
          <w:color w:val="17365D"/>
        </w:rPr>
        <w:t xml:space="preserve"> –</w:t>
      </w:r>
      <w:r w:rsidR="00534855" w:rsidRPr="00FC4A34">
        <w:rPr>
          <w:noProof w:val="0"/>
          <w:color w:val="17365D"/>
        </w:rPr>
        <w:t xml:space="preserve"> par </w:t>
      </w:r>
      <w:r w:rsidR="00530279" w:rsidRPr="00FC4A34">
        <w:rPr>
          <w:noProof w:val="0"/>
          <w:color w:val="17365D"/>
        </w:rPr>
        <w:t>7</w:t>
      </w:r>
      <w:r w:rsidR="00534855" w:rsidRPr="00FC4A34">
        <w:rPr>
          <w:noProof w:val="0"/>
          <w:color w:val="17365D"/>
        </w:rPr>
        <w:t>,</w:t>
      </w:r>
      <w:r w:rsidR="00530279" w:rsidRPr="00FC4A34">
        <w:rPr>
          <w:noProof w:val="0"/>
          <w:color w:val="17365D"/>
        </w:rPr>
        <w:t>5</w:t>
      </w:r>
      <w:r w:rsidR="00534855" w:rsidRPr="00FC4A34">
        <w:rPr>
          <w:noProof w:val="0"/>
          <w:color w:val="17365D"/>
        </w:rPr>
        <w:t xml:space="preserve"> milj. </w:t>
      </w:r>
      <w:proofErr w:type="spellStart"/>
      <w:r w:rsidR="00534855" w:rsidRPr="00FC4A34">
        <w:rPr>
          <w:i/>
          <w:noProof w:val="0"/>
          <w:color w:val="17365D"/>
        </w:rPr>
        <w:t>euro</w:t>
      </w:r>
      <w:proofErr w:type="spellEnd"/>
      <w:r w:rsidR="005F6313" w:rsidRPr="00FC4A34">
        <w:rPr>
          <w:i/>
          <w:noProof w:val="0"/>
          <w:color w:val="17365D"/>
        </w:rPr>
        <w:t xml:space="preserve"> </w:t>
      </w:r>
      <w:r w:rsidR="005F6313" w:rsidRPr="00FC4A34">
        <w:rPr>
          <w:noProof w:val="0"/>
          <w:color w:val="17365D"/>
        </w:rPr>
        <w:t>jeb 2</w:t>
      </w:r>
      <w:r w:rsidR="00530279" w:rsidRPr="00FC4A34">
        <w:rPr>
          <w:noProof w:val="0"/>
          <w:color w:val="17365D"/>
        </w:rPr>
        <w:t>7</w:t>
      </w:r>
      <w:r w:rsidR="005F6313" w:rsidRPr="00FC4A34">
        <w:rPr>
          <w:noProof w:val="0"/>
          <w:color w:val="17365D"/>
        </w:rPr>
        <w:t>,</w:t>
      </w:r>
      <w:r w:rsidR="00530279" w:rsidRPr="00FC4A34">
        <w:rPr>
          <w:noProof w:val="0"/>
          <w:color w:val="17365D"/>
        </w:rPr>
        <w:t>5</w:t>
      </w:r>
      <w:r w:rsidR="005F6313" w:rsidRPr="00FC4A34">
        <w:rPr>
          <w:noProof w:val="0"/>
          <w:color w:val="17365D"/>
        </w:rPr>
        <w:t xml:space="preserve"> %</w:t>
      </w:r>
      <w:r w:rsidR="00E71E5B" w:rsidRPr="00FC4A34">
        <w:rPr>
          <w:noProof w:val="0"/>
          <w:color w:val="17365D"/>
        </w:rPr>
        <w:t>, bet</w:t>
      </w:r>
      <w:r w:rsidR="00534855" w:rsidRPr="00FC4A34">
        <w:rPr>
          <w:noProof w:val="0"/>
          <w:color w:val="17365D"/>
        </w:rPr>
        <w:t xml:space="preserve"> </w:t>
      </w:r>
      <w:r w:rsidR="00E71E5B" w:rsidRPr="00FC4A34">
        <w:rPr>
          <w:noProof w:val="0"/>
          <w:color w:val="17365D"/>
        </w:rPr>
        <w:t>l</w:t>
      </w:r>
      <w:r w:rsidR="001155E8" w:rsidRPr="00FC4A34">
        <w:rPr>
          <w:noProof w:val="0"/>
          <w:color w:val="17365D"/>
        </w:rPr>
        <w:t xml:space="preserve">ielākais parāda samazinājums </w:t>
      </w:r>
      <w:r w:rsidR="004F273C" w:rsidRPr="00FC4A34">
        <w:rPr>
          <w:noProof w:val="0"/>
          <w:color w:val="17365D"/>
        </w:rPr>
        <w:t>2022.</w:t>
      </w:r>
      <w:r w:rsidR="001155E8" w:rsidRPr="00FC4A34">
        <w:rPr>
          <w:noProof w:val="0"/>
          <w:color w:val="17365D"/>
        </w:rPr>
        <w:t xml:space="preserve"> gada laikā ir Siguldas novada pašvaldībai</w:t>
      </w:r>
      <w:r w:rsidR="00534855" w:rsidRPr="00FC4A34">
        <w:rPr>
          <w:noProof w:val="0"/>
          <w:color w:val="17365D"/>
        </w:rPr>
        <w:t xml:space="preserve"> </w:t>
      </w:r>
      <w:r w:rsidR="008E2422" w:rsidRPr="00FC4A34">
        <w:rPr>
          <w:noProof w:val="0"/>
          <w:color w:val="17365D"/>
        </w:rPr>
        <w:t xml:space="preserve">– par </w:t>
      </w:r>
      <w:r w:rsidR="00530279" w:rsidRPr="00FC4A34">
        <w:rPr>
          <w:noProof w:val="0"/>
          <w:color w:val="17365D"/>
        </w:rPr>
        <w:t>3</w:t>
      </w:r>
      <w:r w:rsidR="00534855" w:rsidRPr="00FC4A34">
        <w:rPr>
          <w:noProof w:val="0"/>
          <w:color w:val="17365D"/>
        </w:rPr>
        <w:t>,</w:t>
      </w:r>
      <w:r w:rsidR="00530279" w:rsidRPr="00FC4A34">
        <w:rPr>
          <w:noProof w:val="0"/>
          <w:color w:val="17365D"/>
        </w:rPr>
        <w:t>2</w:t>
      </w:r>
      <w:r w:rsidR="00534855" w:rsidRPr="00FC4A34">
        <w:rPr>
          <w:noProof w:val="0"/>
          <w:color w:val="17365D"/>
        </w:rPr>
        <w:t xml:space="preserve"> milj. </w:t>
      </w:r>
      <w:proofErr w:type="spellStart"/>
      <w:r w:rsidR="00534855" w:rsidRPr="00FC4A34">
        <w:rPr>
          <w:i/>
          <w:noProof w:val="0"/>
          <w:color w:val="17365D"/>
        </w:rPr>
        <w:t>euro</w:t>
      </w:r>
      <w:proofErr w:type="spellEnd"/>
      <w:r w:rsidR="00534855" w:rsidRPr="00FC4A34">
        <w:rPr>
          <w:noProof w:val="0"/>
          <w:color w:val="17365D"/>
        </w:rPr>
        <w:t xml:space="preserve"> un </w:t>
      </w:r>
      <w:r w:rsidR="00530279" w:rsidRPr="00FC4A34">
        <w:rPr>
          <w:noProof w:val="0"/>
          <w:color w:val="17365D"/>
        </w:rPr>
        <w:t>Tukuma</w:t>
      </w:r>
      <w:r w:rsidR="00534855" w:rsidRPr="00FC4A34">
        <w:rPr>
          <w:noProof w:val="0"/>
          <w:color w:val="17365D"/>
        </w:rPr>
        <w:t xml:space="preserve"> novada pašvaldībai </w:t>
      </w:r>
      <w:r w:rsidR="008E2422" w:rsidRPr="00FC4A34">
        <w:rPr>
          <w:noProof w:val="0"/>
          <w:color w:val="17365D"/>
        </w:rPr>
        <w:t xml:space="preserve">– par </w:t>
      </w:r>
      <w:r w:rsidR="00534855" w:rsidRPr="00FC4A34">
        <w:rPr>
          <w:noProof w:val="0"/>
          <w:color w:val="17365D"/>
        </w:rPr>
        <w:t>1,</w:t>
      </w:r>
      <w:r w:rsidR="00530279" w:rsidRPr="00FC4A34">
        <w:rPr>
          <w:noProof w:val="0"/>
          <w:color w:val="17365D"/>
        </w:rPr>
        <w:t>4</w:t>
      </w:r>
      <w:r w:rsidR="00534855" w:rsidRPr="00FC4A34">
        <w:rPr>
          <w:noProof w:val="0"/>
          <w:color w:val="17365D"/>
        </w:rPr>
        <w:t xml:space="preserve"> milj. </w:t>
      </w:r>
      <w:proofErr w:type="spellStart"/>
      <w:r w:rsidR="00534855" w:rsidRPr="00FC4A34">
        <w:rPr>
          <w:i/>
          <w:noProof w:val="0"/>
          <w:color w:val="17365D"/>
        </w:rPr>
        <w:t>euro</w:t>
      </w:r>
      <w:proofErr w:type="spellEnd"/>
      <w:r w:rsidR="00534855" w:rsidRPr="00FC4A34">
        <w:rPr>
          <w:noProof w:val="0"/>
          <w:color w:val="17365D"/>
        </w:rPr>
        <w:t>.</w:t>
      </w:r>
    </w:p>
    <w:p w14:paraId="408A416A" w14:textId="5402FD64" w:rsidR="00D97B55" w:rsidRPr="00FC4A34" w:rsidRDefault="00D97B55" w:rsidP="00A55D5E">
      <w:pPr>
        <w:pStyle w:val="Pamatteksts"/>
        <w:rPr>
          <w:noProof w:val="0"/>
          <w:color w:val="17365D"/>
        </w:rPr>
      </w:pPr>
      <w:r w:rsidRPr="00FC4A34">
        <w:rPr>
          <w:noProof w:val="0"/>
          <w:color w:val="17365D"/>
        </w:rPr>
        <w:t xml:space="preserve">Pašvaldību parāds, salīdzinot pašvaldību kopējo parādu </w:t>
      </w:r>
      <w:r w:rsidR="004F273C" w:rsidRPr="00FC4A34">
        <w:rPr>
          <w:noProof w:val="0"/>
          <w:color w:val="17365D"/>
        </w:rPr>
        <w:t>2021.</w:t>
      </w:r>
      <w:r w:rsidR="0065571F" w:rsidRPr="00FC4A34">
        <w:rPr>
          <w:noProof w:val="0"/>
          <w:color w:val="17365D"/>
        </w:rPr>
        <w:t xml:space="preserve"> g</w:t>
      </w:r>
      <w:r w:rsidRPr="00FC4A34">
        <w:rPr>
          <w:noProof w:val="0"/>
          <w:color w:val="17365D"/>
        </w:rPr>
        <w:t xml:space="preserve">ada beigās un </w:t>
      </w:r>
      <w:r w:rsidR="004F273C" w:rsidRPr="00FC4A34">
        <w:rPr>
          <w:noProof w:val="0"/>
          <w:color w:val="17365D"/>
        </w:rPr>
        <w:t>2022.</w:t>
      </w:r>
      <w:r w:rsidR="0065571F" w:rsidRPr="00FC4A34">
        <w:rPr>
          <w:noProof w:val="0"/>
          <w:color w:val="17365D"/>
        </w:rPr>
        <w:t xml:space="preserve"> g</w:t>
      </w:r>
      <w:r w:rsidRPr="00FC4A34">
        <w:rPr>
          <w:noProof w:val="0"/>
          <w:color w:val="17365D"/>
        </w:rPr>
        <w:t xml:space="preserve">ada beigās, ir samazinājies </w:t>
      </w:r>
      <w:r w:rsidR="00530279" w:rsidRPr="00FC4A34">
        <w:rPr>
          <w:noProof w:val="0"/>
          <w:color w:val="17365D"/>
        </w:rPr>
        <w:t>12</w:t>
      </w:r>
      <w:r w:rsidR="002471F5" w:rsidRPr="00FC4A34">
        <w:rPr>
          <w:noProof w:val="0"/>
          <w:color w:val="17365D"/>
        </w:rPr>
        <w:t xml:space="preserve"> </w:t>
      </w:r>
      <w:r w:rsidRPr="00FC4A34">
        <w:rPr>
          <w:noProof w:val="0"/>
          <w:color w:val="17365D"/>
        </w:rPr>
        <w:t>pašvaldīb</w:t>
      </w:r>
      <w:r w:rsidR="00AC6E3B" w:rsidRPr="00FC4A34">
        <w:rPr>
          <w:noProof w:val="0"/>
          <w:color w:val="17365D"/>
        </w:rPr>
        <w:t>ām</w:t>
      </w:r>
      <w:r w:rsidRPr="00FC4A34">
        <w:rPr>
          <w:noProof w:val="0"/>
          <w:color w:val="17365D"/>
        </w:rPr>
        <w:t xml:space="preserve">, bet </w:t>
      </w:r>
      <w:r w:rsidR="00F16FE7" w:rsidRPr="00FC4A34">
        <w:rPr>
          <w:noProof w:val="0"/>
          <w:color w:val="17365D"/>
        </w:rPr>
        <w:t>3</w:t>
      </w:r>
      <w:r w:rsidR="00530279" w:rsidRPr="00FC4A34">
        <w:rPr>
          <w:noProof w:val="0"/>
          <w:color w:val="17365D"/>
        </w:rPr>
        <w:t>1</w:t>
      </w:r>
      <w:r w:rsidR="002471F5" w:rsidRPr="00FC4A34">
        <w:rPr>
          <w:noProof w:val="0"/>
          <w:color w:val="17365D"/>
        </w:rPr>
        <w:t xml:space="preserve"> </w:t>
      </w:r>
      <w:r w:rsidRPr="00FC4A34">
        <w:rPr>
          <w:noProof w:val="0"/>
          <w:color w:val="17365D"/>
        </w:rPr>
        <w:t>pašvaldībām (</w:t>
      </w:r>
      <w:r w:rsidR="00A024A4" w:rsidRPr="00FC4A34">
        <w:rPr>
          <w:noProof w:val="0"/>
          <w:color w:val="17365D"/>
        </w:rPr>
        <w:t xml:space="preserve">tajā skaitā </w:t>
      </w:r>
      <w:r w:rsidR="00A17833" w:rsidRPr="00FC4A34">
        <w:rPr>
          <w:noProof w:val="0"/>
          <w:color w:val="17365D"/>
        </w:rPr>
        <w:t>6</w:t>
      </w:r>
      <w:r w:rsidR="002471F5" w:rsidRPr="00FC4A34">
        <w:rPr>
          <w:noProof w:val="0"/>
          <w:color w:val="17365D"/>
        </w:rPr>
        <w:t xml:space="preserve"> </w:t>
      </w:r>
      <w:proofErr w:type="spellStart"/>
      <w:r w:rsidR="00F16FE7" w:rsidRPr="00FC4A34">
        <w:rPr>
          <w:noProof w:val="0"/>
          <w:color w:val="17365D"/>
        </w:rPr>
        <w:t>valsts</w:t>
      </w:r>
      <w:r w:rsidRPr="00FC4A34">
        <w:rPr>
          <w:noProof w:val="0"/>
          <w:color w:val="17365D"/>
        </w:rPr>
        <w:t>pilsēt</w:t>
      </w:r>
      <w:r w:rsidR="00777D01" w:rsidRPr="00FC4A34">
        <w:rPr>
          <w:noProof w:val="0"/>
          <w:color w:val="17365D"/>
        </w:rPr>
        <w:t>u</w:t>
      </w:r>
      <w:proofErr w:type="spellEnd"/>
      <w:r w:rsidR="00777D01" w:rsidRPr="00FC4A34">
        <w:rPr>
          <w:noProof w:val="0"/>
          <w:color w:val="17365D"/>
        </w:rPr>
        <w:t xml:space="preserve"> pašvaldībā</w:t>
      </w:r>
      <w:r w:rsidR="00A024A4" w:rsidRPr="00FC4A34">
        <w:rPr>
          <w:noProof w:val="0"/>
          <w:color w:val="17365D"/>
        </w:rPr>
        <w:t>m</w:t>
      </w:r>
      <w:r w:rsidRPr="00FC4A34">
        <w:rPr>
          <w:noProof w:val="0"/>
          <w:color w:val="17365D"/>
        </w:rPr>
        <w:t>) parāds ir palielinājies.</w:t>
      </w:r>
    </w:p>
    <w:p w14:paraId="12FC5408" w14:textId="2B772499" w:rsidR="00D97B55" w:rsidRPr="00FC4A34" w:rsidRDefault="004F273C" w:rsidP="00A55D5E">
      <w:pPr>
        <w:pStyle w:val="Pamatteksts"/>
        <w:rPr>
          <w:noProof w:val="0"/>
          <w:color w:val="17365D"/>
        </w:rPr>
      </w:pPr>
      <w:r w:rsidRPr="00FC4A34">
        <w:rPr>
          <w:noProof w:val="0"/>
          <w:color w:val="17365D"/>
        </w:rPr>
        <w:t>2022.</w:t>
      </w:r>
      <w:r w:rsidR="0065571F" w:rsidRPr="00FC4A34">
        <w:rPr>
          <w:noProof w:val="0"/>
          <w:color w:val="17365D"/>
        </w:rPr>
        <w:t xml:space="preserve"> g</w:t>
      </w:r>
      <w:r w:rsidR="00F77808" w:rsidRPr="00FC4A34">
        <w:rPr>
          <w:noProof w:val="0"/>
          <w:color w:val="17365D"/>
        </w:rPr>
        <w:t>ada beigās</w:t>
      </w:r>
      <w:r w:rsidR="00C840B7" w:rsidRPr="00FC4A34">
        <w:rPr>
          <w:noProof w:val="0"/>
          <w:color w:val="17365D"/>
        </w:rPr>
        <w:t xml:space="preserve"> visām novadu pašvaldībām bija parāds</w:t>
      </w:r>
      <w:r w:rsidR="00F16FE7" w:rsidRPr="00FC4A34">
        <w:rPr>
          <w:noProof w:val="0"/>
          <w:color w:val="17365D"/>
        </w:rPr>
        <w:t>, kā arī</w:t>
      </w:r>
      <w:r w:rsidR="00F50D49" w:rsidRPr="00FC4A34">
        <w:rPr>
          <w:noProof w:val="0"/>
          <w:color w:val="17365D"/>
        </w:rPr>
        <w:t xml:space="preserve"> </w:t>
      </w:r>
      <w:r w:rsidRPr="00FC4A34">
        <w:rPr>
          <w:noProof w:val="0"/>
          <w:color w:val="17365D"/>
        </w:rPr>
        <w:t>2022.</w:t>
      </w:r>
      <w:r w:rsidR="009A1849" w:rsidRPr="00FC4A34">
        <w:rPr>
          <w:noProof w:val="0"/>
          <w:color w:val="17365D"/>
        </w:rPr>
        <w:t xml:space="preserve"> gadā </w:t>
      </w:r>
      <w:r w:rsidR="00F16FE7" w:rsidRPr="00FC4A34">
        <w:rPr>
          <w:noProof w:val="0"/>
          <w:color w:val="17365D"/>
        </w:rPr>
        <w:t>visas ir gan</w:t>
      </w:r>
      <w:r w:rsidR="00D97B55" w:rsidRPr="00FC4A34">
        <w:rPr>
          <w:noProof w:val="0"/>
          <w:color w:val="17365D"/>
        </w:rPr>
        <w:t xml:space="preserve"> piesaistījušas </w:t>
      </w:r>
      <w:r w:rsidR="00F16FE7" w:rsidRPr="00FC4A34">
        <w:rPr>
          <w:noProof w:val="0"/>
          <w:color w:val="17365D"/>
        </w:rPr>
        <w:t xml:space="preserve">papildus </w:t>
      </w:r>
      <w:r w:rsidR="00D97B55" w:rsidRPr="00FC4A34">
        <w:rPr>
          <w:noProof w:val="0"/>
          <w:color w:val="17365D"/>
        </w:rPr>
        <w:t>finanšu līdzekļus</w:t>
      </w:r>
      <w:r w:rsidR="000E7E22" w:rsidRPr="00FC4A34">
        <w:rPr>
          <w:noProof w:val="0"/>
          <w:color w:val="17365D"/>
        </w:rPr>
        <w:t xml:space="preserve">, </w:t>
      </w:r>
      <w:r w:rsidR="00F16FE7" w:rsidRPr="00FC4A34">
        <w:rPr>
          <w:noProof w:val="0"/>
          <w:color w:val="17365D"/>
        </w:rPr>
        <w:t>gan</w:t>
      </w:r>
      <w:r w:rsidR="00D97B55" w:rsidRPr="00FC4A34">
        <w:rPr>
          <w:noProof w:val="0"/>
          <w:color w:val="17365D"/>
        </w:rPr>
        <w:t xml:space="preserve"> veikušas iepriekšējos periodos saņemto aizņēmumu atmaksas.</w:t>
      </w:r>
    </w:p>
    <w:p w14:paraId="7530662F" w14:textId="4852E9D3" w:rsidR="00A55D5E" w:rsidRPr="00FC4A34" w:rsidRDefault="00A55D5E" w:rsidP="00A55D5E">
      <w:pPr>
        <w:pStyle w:val="Pamatteksts"/>
        <w:rPr>
          <w:noProof w:val="0"/>
          <w:color w:val="17365D"/>
        </w:rPr>
      </w:pPr>
      <w:r w:rsidRPr="00FC4A34">
        <w:rPr>
          <w:noProof w:val="0"/>
          <w:color w:val="17365D"/>
        </w:rPr>
        <w:t xml:space="preserve">Lielāko pašvaldību parāda summu </w:t>
      </w:r>
      <w:r w:rsidR="004F273C" w:rsidRPr="00FC4A34">
        <w:rPr>
          <w:noProof w:val="0"/>
          <w:color w:val="17365D"/>
        </w:rPr>
        <w:t>2022.</w:t>
      </w:r>
      <w:r w:rsidR="0065571F" w:rsidRPr="00FC4A34">
        <w:rPr>
          <w:noProof w:val="0"/>
          <w:color w:val="17365D"/>
        </w:rPr>
        <w:t xml:space="preserve"> g</w:t>
      </w:r>
      <w:r w:rsidRPr="00FC4A34">
        <w:rPr>
          <w:noProof w:val="0"/>
          <w:color w:val="17365D"/>
        </w:rPr>
        <w:t xml:space="preserve">ada 31. decembrī tāpat kā iepriekšējos pārskata gados veido Rīgas </w:t>
      </w:r>
      <w:proofErr w:type="spellStart"/>
      <w:r w:rsidR="00F16FE7" w:rsidRPr="00FC4A34">
        <w:rPr>
          <w:noProof w:val="0"/>
          <w:color w:val="17365D"/>
        </w:rPr>
        <w:t>valsts</w:t>
      </w:r>
      <w:r w:rsidRPr="00FC4A34">
        <w:rPr>
          <w:noProof w:val="0"/>
          <w:color w:val="17365D"/>
        </w:rPr>
        <w:t>pilsētas</w:t>
      </w:r>
      <w:proofErr w:type="spellEnd"/>
      <w:r w:rsidR="00777D01" w:rsidRPr="00FC4A34">
        <w:rPr>
          <w:noProof w:val="0"/>
          <w:color w:val="17365D"/>
        </w:rPr>
        <w:t xml:space="preserve"> pašvaldības</w:t>
      </w:r>
      <w:r w:rsidRPr="00FC4A34">
        <w:rPr>
          <w:noProof w:val="0"/>
          <w:color w:val="17365D"/>
        </w:rPr>
        <w:t xml:space="preserve"> aizņēmumi </w:t>
      </w:r>
      <w:r w:rsidR="00F16FE7" w:rsidRPr="00FC4A34">
        <w:rPr>
          <w:noProof w:val="0"/>
          <w:color w:val="17365D"/>
        </w:rPr>
        <w:t>5</w:t>
      </w:r>
      <w:r w:rsidR="00823131" w:rsidRPr="00FC4A34">
        <w:rPr>
          <w:noProof w:val="0"/>
          <w:color w:val="17365D"/>
        </w:rPr>
        <w:t>50</w:t>
      </w:r>
      <w:r w:rsidR="00886B33" w:rsidRPr="00FC4A34">
        <w:rPr>
          <w:noProof w:val="0"/>
          <w:color w:val="17365D"/>
        </w:rPr>
        <w:t>,</w:t>
      </w:r>
      <w:r w:rsidR="00823131" w:rsidRPr="00FC4A34">
        <w:rPr>
          <w:noProof w:val="0"/>
          <w:color w:val="17365D"/>
        </w:rPr>
        <w:t>4</w:t>
      </w:r>
      <w:r w:rsidR="00F50D49" w:rsidRPr="00FC4A34">
        <w:rPr>
          <w:noProof w:val="0"/>
          <w:color w:val="17365D"/>
        </w:rPr>
        <w:t> </w:t>
      </w:r>
      <w:r w:rsidRPr="00FC4A34">
        <w:rPr>
          <w:noProof w:val="0"/>
          <w:color w:val="17365D"/>
        </w:rPr>
        <w:t>milj. </w:t>
      </w:r>
      <w:proofErr w:type="spellStart"/>
      <w:r w:rsidR="00F50D49" w:rsidRPr="00FC4A34">
        <w:rPr>
          <w:i/>
          <w:noProof w:val="0"/>
          <w:color w:val="17365D"/>
        </w:rPr>
        <w:t>euro</w:t>
      </w:r>
      <w:proofErr w:type="spellEnd"/>
      <w:r w:rsidR="00F50D49" w:rsidRPr="00FC4A34">
        <w:rPr>
          <w:noProof w:val="0"/>
          <w:color w:val="17365D"/>
        </w:rPr>
        <w:t xml:space="preserve"> </w:t>
      </w:r>
      <w:r w:rsidRPr="00FC4A34">
        <w:rPr>
          <w:noProof w:val="0"/>
          <w:color w:val="17365D"/>
        </w:rPr>
        <w:t xml:space="preserve">vērtībā, kas ir </w:t>
      </w:r>
      <w:r w:rsidR="00823131" w:rsidRPr="00FC4A34">
        <w:rPr>
          <w:noProof w:val="0"/>
          <w:color w:val="17365D"/>
        </w:rPr>
        <w:t>28</w:t>
      </w:r>
      <w:r w:rsidR="00886B33" w:rsidRPr="00FC4A34">
        <w:rPr>
          <w:noProof w:val="0"/>
          <w:color w:val="17365D"/>
        </w:rPr>
        <w:t>,</w:t>
      </w:r>
      <w:r w:rsidR="00823131" w:rsidRPr="00FC4A34">
        <w:rPr>
          <w:noProof w:val="0"/>
          <w:color w:val="17365D"/>
        </w:rPr>
        <w:t>2</w:t>
      </w:r>
      <w:r w:rsidR="002702F0" w:rsidRPr="00FC4A34">
        <w:rPr>
          <w:noProof w:val="0"/>
          <w:color w:val="17365D"/>
        </w:rPr>
        <w:t> </w:t>
      </w:r>
      <w:r w:rsidRPr="00FC4A34">
        <w:rPr>
          <w:noProof w:val="0"/>
          <w:color w:val="17365D"/>
        </w:rPr>
        <w:t xml:space="preserve">% no kopējā pašvaldību parāda. Salīdzinot ar iepriekšējo gadu, Rīgas </w:t>
      </w:r>
      <w:proofErr w:type="spellStart"/>
      <w:r w:rsidR="00F16FE7" w:rsidRPr="00FC4A34">
        <w:rPr>
          <w:noProof w:val="0"/>
          <w:color w:val="17365D"/>
        </w:rPr>
        <w:t>valsts</w:t>
      </w:r>
      <w:r w:rsidRPr="00FC4A34">
        <w:rPr>
          <w:noProof w:val="0"/>
          <w:color w:val="17365D"/>
        </w:rPr>
        <w:t>pilsētas</w:t>
      </w:r>
      <w:proofErr w:type="spellEnd"/>
      <w:r w:rsidRPr="00FC4A34">
        <w:rPr>
          <w:noProof w:val="0"/>
          <w:color w:val="17365D"/>
        </w:rPr>
        <w:t xml:space="preserve"> </w:t>
      </w:r>
      <w:r w:rsidR="00777D01" w:rsidRPr="00FC4A34">
        <w:rPr>
          <w:noProof w:val="0"/>
          <w:color w:val="17365D"/>
        </w:rPr>
        <w:t xml:space="preserve">pašvaldības </w:t>
      </w:r>
      <w:r w:rsidRPr="00FC4A34">
        <w:rPr>
          <w:noProof w:val="0"/>
          <w:color w:val="17365D"/>
        </w:rPr>
        <w:t xml:space="preserve">aizņēmumu īpatsvars kopējā pašvaldību parādā ir </w:t>
      </w:r>
      <w:r w:rsidR="00034016" w:rsidRPr="00FC4A34">
        <w:rPr>
          <w:noProof w:val="0"/>
          <w:color w:val="17365D"/>
        </w:rPr>
        <w:t>samazinājies</w:t>
      </w:r>
      <w:r w:rsidR="00EF714F" w:rsidRPr="00FC4A34">
        <w:rPr>
          <w:noProof w:val="0"/>
          <w:color w:val="17365D"/>
        </w:rPr>
        <w:t xml:space="preserve"> par 1,</w:t>
      </w:r>
      <w:r w:rsidR="00823131" w:rsidRPr="00FC4A34">
        <w:rPr>
          <w:noProof w:val="0"/>
          <w:color w:val="17365D"/>
        </w:rPr>
        <w:t>8</w:t>
      </w:r>
      <w:r w:rsidR="00EF714F" w:rsidRPr="00FC4A34">
        <w:rPr>
          <w:noProof w:val="0"/>
          <w:color w:val="17365D"/>
        </w:rPr>
        <w:t> </w:t>
      </w:r>
      <w:r w:rsidR="00603EF5" w:rsidRPr="00FC4A34">
        <w:rPr>
          <w:noProof w:val="0"/>
          <w:color w:val="17365D"/>
        </w:rPr>
        <w:t>%</w:t>
      </w:r>
      <w:r w:rsidR="00F77808" w:rsidRPr="00FC4A34">
        <w:rPr>
          <w:noProof w:val="0"/>
          <w:color w:val="17365D"/>
        </w:rPr>
        <w:t>.</w:t>
      </w:r>
    </w:p>
    <w:p w14:paraId="66E37534" w14:textId="4A4ED8EE" w:rsidR="00393B03" w:rsidRPr="00FC4A34" w:rsidRDefault="00393B03" w:rsidP="00393B03">
      <w:pPr>
        <w:pStyle w:val="Pamatteksts"/>
        <w:rPr>
          <w:noProof w:val="0"/>
          <w:color w:val="17365D"/>
        </w:rPr>
      </w:pPr>
      <w:r w:rsidRPr="00FC4A34">
        <w:rPr>
          <w:noProof w:val="0"/>
          <w:color w:val="17365D"/>
        </w:rPr>
        <w:t xml:space="preserve">Vidējais parāds uz vienu iedzīvotāju </w:t>
      </w:r>
      <w:r w:rsidR="00F10E37" w:rsidRPr="00FC4A34">
        <w:rPr>
          <w:noProof w:val="0"/>
          <w:color w:val="17365D"/>
        </w:rPr>
        <w:t xml:space="preserve">starp </w:t>
      </w:r>
      <w:r w:rsidRPr="00FC4A34">
        <w:rPr>
          <w:noProof w:val="0"/>
          <w:color w:val="17365D"/>
        </w:rPr>
        <w:t>visā</w:t>
      </w:r>
      <w:r w:rsidR="00F10E37" w:rsidRPr="00FC4A34">
        <w:rPr>
          <w:noProof w:val="0"/>
          <w:color w:val="17365D"/>
        </w:rPr>
        <w:t>m</w:t>
      </w:r>
      <w:r w:rsidRPr="00FC4A34">
        <w:rPr>
          <w:noProof w:val="0"/>
          <w:color w:val="17365D"/>
        </w:rPr>
        <w:t xml:space="preserve"> </w:t>
      </w:r>
      <w:r w:rsidR="00F10E37" w:rsidRPr="00FC4A34">
        <w:rPr>
          <w:noProof w:val="0"/>
          <w:color w:val="17365D"/>
        </w:rPr>
        <w:t xml:space="preserve">pašvaldībām </w:t>
      </w:r>
      <w:r w:rsidR="004F273C" w:rsidRPr="00FC4A34">
        <w:rPr>
          <w:noProof w:val="0"/>
          <w:color w:val="17365D"/>
        </w:rPr>
        <w:t>2022.</w:t>
      </w:r>
      <w:r w:rsidR="0065571F" w:rsidRPr="00FC4A34">
        <w:rPr>
          <w:noProof w:val="0"/>
          <w:color w:val="17365D"/>
        </w:rPr>
        <w:t xml:space="preserve"> g</w:t>
      </w:r>
      <w:r w:rsidRPr="00FC4A34">
        <w:rPr>
          <w:noProof w:val="0"/>
          <w:color w:val="17365D"/>
        </w:rPr>
        <w:t xml:space="preserve">ada beigās ir </w:t>
      </w:r>
      <w:r w:rsidR="00F776BA" w:rsidRPr="00FC4A34">
        <w:rPr>
          <w:noProof w:val="0"/>
          <w:color w:val="17365D"/>
        </w:rPr>
        <w:t>1</w:t>
      </w:r>
      <w:r w:rsidR="00F10E37" w:rsidRPr="00FC4A34">
        <w:rPr>
          <w:noProof w:val="0"/>
          <w:color w:val="17365D"/>
        </w:rPr>
        <w:t> </w:t>
      </w:r>
      <w:r w:rsidR="00823131" w:rsidRPr="00FC4A34">
        <w:rPr>
          <w:noProof w:val="0"/>
          <w:color w:val="17365D"/>
        </w:rPr>
        <w:t>141</w:t>
      </w:r>
      <w:r w:rsidR="00F10E37" w:rsidRPr="00FC4A34">
        <w:rPr>
          <w:noProof w:val="0"/>
          <w:color w:val="17365D"/>
        </w:rPr>
        <w:t> </w:t>
      </w:r>
      <w:proofErr w:type="spellStart"/>
      <w:r w:rsidRPr="00FC4A34">
        <w:rPr>
          <w:i/>
          <w:noProof w:val="0"/>
          <w:color w:val="17365D"/>
        </w:rPr>
        <w:t>euro</w:t>
      </w:r>
      <w:proofErr w:type="spellEnd"/>
      <w:r w:rsidRPr="00FC4A34">
        <w:rPr>
          <w:noProof w:val="0"/>
          <w:color w:val="17365D"/>
        </w:rPr>
        <w:t xml:space="preserve"> un pārskata gadā ir palielinājies par </w:t>
      </w:r>
      <w:r w:rsidR="00823131" w:rsidRPr="00FC4A34">
        <w:rPr>
          <w:noProof w:val="0"/>
          <w:color w:val="17365D"/>
        </w:rPr>
        <w:t>75</w:t>
      </w:r>
      <w:r w:rsidRPr="00FC4A34">
        <w:rPr>
          <w:noProof w:val="0"/>
          <w:color w:val="17365D"/>
        </w:rPr>
        <w:t> </w:t>
      </w:r>
      <w:proofErr w:type="spellStart"/>
      <w:r w:rsidRPr="00FC4A34">
        <w:rPr>
          <w:i/>
          <w:noProof w:val="0"/>
          <w:color w:val="17365D"/>
        </w:rPr>
        <w:t>euro</w:t>
      </w:r>
      <w:proofErr w:type="spellEnd"/>
      <w:r w:rsidRPr="00FC4A34">
        <w:rPr>
          <w:noProof w:val="0"/>
          <w:color w:val="17365D"/>
        </w:rPr>
        <w:t xml:space="preserve"> uz vienu iedzīvotāju jeb par </w:t>
      </w:r>
      <w:r w:rsidR="00823131" w:rsidRPr="00FC4A34">
        <w:rPr>
          <w:noProof w:val="0"/>
          <w:color w:val="17365D"/>
        </w:rPr>
        <w:t>7</w:t>
      </w:r>
      <w:r w:rsidRPr="00FC4A34">
        <w:rPr>
          <w:noProof w:val="0"/>
          <w:color w:val="17365D"/>
        </w:rPr>
        <w:t>,</w:t>
      </w:r>
      <w:r w:rsidR="00823131" w:rsidRPr="00FC4A34">
        <w:rPr>
          <w:noProof w:val="0"/>
          <w:color w:val="17365D"/>
        </w:rPr>
        <w:t>0</w:t>
      </w:r>
      <w:r w:rsidRPr="00FC4A34">
        <w:rPr>
          <w:noProof w:val="0"/>
          <w:color w:val="17365D"/>
        </w:rPr>
        <w:t> %, kas skaidrojams ar kopējā pašvaldību</w:t>
      </w:r>
      <w:r w:rsidR="00823131" w:rsidRPr="00FC4A34">
        <w:rPr>
          <w:noProof w:val="0"/>
          <w:color w:val="17365D"/>
        </w:rPr>
        <w:t xml:space="preserve"> aizņēmumu apjoma palielināšanos</w:t>
      </w:r>
      <w:r w:rsidRPr="00FC4A34">
        <w:rPr>
          <w:noProof w:val="0"/>
          <w:color w:val="17365D"/>
        </w:rPr>
        <w:t>.</w:t>
      </w:r>
    </w:p>
    <w:p w14:paraId="5CCD0A84" w14:textId="3FFEBE5A" w:rsidR="00AC6E3B" w:rsidRPr="00FC4A34" w:rsidRDefault="00DF417F" w:rsidP="00F10D58">
      <w:pPr>
        <w:pStyle w:val="Pamatteksts"/>
        <w:ind w:firstLine="0"/>
        <w:jc w:val="center"/>
        <w:rPr>
          <w:noProof w:val="0"/>
          <w:color w:val="17365D"/>
        </w:rPr>
      </w:pPr>
      <w:r w:rsidRPr="00FC4A34">
        <w:rPr>
          <w:color w:val="17365D"/>
        </w:rPr>
        <w:drawing>
          <wp:inline distT="0" distB="0" distL="0" distR="0" wp14:anchorId="4F1B597A" wp14:editId="7A02C04C">
            <wp:extent cx="5939790" cy="3649649"/>
            <wp:effectExtent l="0" t="0" r="3810" b="8255"/>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FC4A34">
        <w:rPr>
          <w:color w:val="17365D"/>
        </w:rPr>
        <w:t xml:space="preserve"> </w:t>
      </w:r>
      <w:r w:rsidR="007425B7" w:rsidRPr="00FC4A34">
        <w:rPr>
          <w:color w:val="17365D"/>
        </w:rPr>
        <w:t xml:space="preserve"> </w:t>
      </w:r>
    </w:p>
    <w:p w14:paraId="41194418" w14:textId="665DB3A3" w:rsidR="00077FE9" w:rsidRPr="00FC4A34" w:rsidRDefault="004D4BC2" w:rsidP="007A151A">
      <w:pPr>
        <w:pStyle w:val="Pamatteksts"/>
        <w:spacing w:line="360" w:lineRule="auto"/>
        <w:ind w:firstLine="0"/>
        <w:jc w:val="center"/>
        <w:rPr>
          <w:i/>
          <w:noProof w:val="0"/>
          <w:color w:val="17365D"/>
          <w:sz w:val="20"/>
          <w:szCs w:val="20"/>
        </w:rPr>
      </w:pPr>
      <w:r w:rsidRPr="00FC4A34">
        <w:rPr>
          <w:i/>
          <w:noProof w:val="0"/>
          <w:color w:val="17365D"/>
          <w:sz w:val="20"/>
          <w:szCs w:val="20"/>
        </w:rPr>
        <w:t>8</w:t>
      </w:r>
      <w:r w:rsidR="00F10D58" w:rsidRPr="00FC4A34">
        <w:rPr>
          <w:i/>
          <w:noProof w:val="0"/>
          <w:color w:val="17365D"/>
          <w:sz w:val="20"/>
          <w:szCs w:val="20"/>
        </w:rPr>
        <w:t>. attēls. 1</w:t>
      </w:r>
      <w:r w:rsidR="00077FE9" w:rsidRPr="00FC4A34">
        <w:rPr>
          <w:i/>
          <w:noProof w:val="0"/>
          <w:color w:val="17365D"/>
          <w:sz w:val="20"/>
          <w:szCs w:val="20"/>
        </w:rPr>
        <w:t>5 pašvaldības ar lielāko parādu uz vienu iedzīvotāju</w:t>
      </w:r>
      <w:r w:rsidR="00077FE9" w:rsidRPr="00FC4A34">
        <w:rPr>
          <w:rStyle w:val="FootnoteReference"/>
          <w:i/>
          <w:iCs/>
          <w:noProof w:val="0"/>
          <w:color w:val="17365D"/>
          <w:sz w:val="20"/>
          <w:szCs w:val="20"/>
        </w:rPr>
        <w:footnoteReference w:id="3"/>
      </w:r>
      <w:r w:rsidR="00077FE9" w:rsidRPr="00FC4A34">
        <w:rPr>
          <w:i/>
          <w:noProof w:val="0"/>
          <w:color w:val="17365D"/>
          <w:sz w:val="20"/>
          <w:szCs w:val="20"/>
        </w:rPr>
        <w:t xml:space="preserve"> </w:t>
      </w:r>
      <w:r w:rsidR="004F273C" w:rsidRPr="00FC4A34">
        <w:rPr>
          <w:i/>
          <w:noProof w:val="0"/>
          <w:color w:val="17365D"/>
          <w:sz w:val="20"/>
          <w:szCs w:val="20"/>
        </w:rPr>
        <w:t>2022.</w:t>
      </w:r>
      <w:r w:rsidR="0065571F" w:rsidRPr="00FC4A34">
        <w:rPr>
          <w:i/>
          <w:noProof w:val="0"/>
          <w:color w:val="17365D"/>
          <w:sz w:val="20"/>
          <w:szCs w:val="20"/>
        </w:rPr>
        <w:t xml:space="preserve"> g</w:t>
      </w:r>
      <w:r w:rsidR="00077FE9" w:rsidRPr="00FC4A34">
        <w:rPr>
          <w:i/>
          <w:noProof w:val="0"/>
          <w:color w:val="17365D"/>
          <w:sz w:val="20"/>
          <w:szCs w:val="20"/>
        </w:rPr>
        <w:t>ada 31. decembrī</w:t>
      </w:r>
      <w:r w:rsidR="003C64E6" w:rsidRPr="00FC4A34">
        <w:rPr>
          <w:i/>
          <w:noProof w:val="0"/>
          <w:color w:val="17365D"/>
          <w:sz w:val="20"/>
          <w:szCs w:val="20"/>
        </w:rPr>
        <w:t xml:space="preserve"> (</w:t>
      </w:r>
      <w:proofErr w:type="spellStart"/>
      <w:r w:rsidR="003C64E6" w:rsidRPr="00FC4A34">
        <w:rPr>
          <w:i/>
          <w:noProof w:val="0"/>
          <w:color w:val="17365D"/>
          <w:sz w:val="20"/>
          <w:szCs w:val="20"/>
        </w:rPr>
        <w:t>euro</w:t>
      </w:r>
      <w:proofErr w:type="spellEnd"/>
      <w:r w:rsidR="003C64E6" w:rsidRPr="00FC4A34">
        <w:rPr>
          <w:i/>
          <w:noProof w:val="0"/>
          <w:color w:val="17365D"/>
          <w:sz w:val="20"/>
          <w:szCs w:val="20"/>
        </w:rPr>
        <w:t>)</w:t>
      </w:r>
    </w:p>
    <w:p w14:paraId="252DBCC5" w14:textId="77777777" w:rsidR="009A08DA" w:rsidRPr="00FC4A34" w:rsidRDefault="009A08DA" w:rsidP="00FA5E3A">
      <w:pPr>
        <w:pStyle w:val="Pamatteksts"/>
        <w:rPr>
          <w:noProof w:val="0"/>
          <w:color w:val="17365D"/>
        </w:rPr>
      </w:pPr>
      <w:r w:rsidRPr="00FC4A34">
        <w:rPr>
          <w:noProof w:val="0"/>
          <w:color w:val="17365D"/>
        </w:rPr>
        <w:lastRenderedPageBreak/>
        <w:t>Lielākais parāds uz vienu iedzīvotāju 2022. gada beigās ir Valkas novada pašvaldībai (3 130  </w:t>
      </w:r>
      <w:proofErr w:type="spellStart"/>
      <w:r w:rsidRPr="00FC4A34">
        <w:rPr>
          <w:i/>
          <w:noProof w:val="0"/>
          <w:color w:val="17365D"/>
        </w:rPr>
        <w:t>euro</w:t>
      </w:r>
      <w:proofErr w:type="spellEnd"/>
      <w:r w:rsidRPr="00FC4A34">
        <w:rPr>
          <w:noProof w:val="0"/>
          <w:color w:val="17365D"/>
        </w:rPr>
        <w:t xml:space="preserve"> uz 1 iedzīvotāju) (skatīt 8. attēlu), kas ir 2,7 reizes lielāks par vidējo rādītāju visās pašvaldībās kopā. Tas izskaidrojams ar Valkas novada pašvaldības mazo iedzīvotāju skaitu un aizņēmumu apjoma pieaugumu, kurā būtiskākais ir aizņēmums investīciju projektu īstenošanai (saistību pārjaunojums) ar parāda atlikumu 6,1 milj. </w:t>
      </w:r>
      <w:proofErr w:type="spellStart"/>
      <w:r w:rsidRPr="00FC4A34">
        <w:rPr>
          <w:i/>
          <w:noProof w:val="0"/>
          <w:color w:val="17365D"/>
        </w:rPr>
        <w:t>euro</w:t>
      </w:r>
      <w:proofErr w:type="spellEnd"/>
      <w:r w:rsidRPr="00FC4A34">
        <w:rPr>
          <w:i/>
          <w:noProof w:val="0"/>
          <w:color w:val="17365D"/>
        </w:rPr>
        <w:t xml:space="preserve"> </w:t>
      </w:r>
      <w:r w:rsidRPr="00FC4A34">
        <w:rPr>
          <w:noProof w:val="0"/>
          <w:color w:val="17365D"/>
        </w:rPr>
        <w:t xml:space="preserve">2022. gada 31. decembrī. Salīdzinājumā ar Valkas novada pašvaldības parādu 2021. gada beigās (2 807 </w:t>
      </w:r>
      <w:proofErr w:type="spellStart"/>
      <w:r w:rsidRPr="00FC4A34">
        <w:rPr>
          <w:i/>
          <w:noProof w:val="0"/>
          <w:color w:val="17365D"/>
        </w:rPr>
        <w:t>euro</w:t>
      </w:r>
      <w:proofErr w:type="spellEnd"/>
      <w:r w:rsidRPr="00FC4A34">
        <w:rPr>
          <w:noProof w:val="0"/>
          <w:color w:val="17365D"/>
        </w:rPr>
        <w:t xml:space="preserve"> uz 1 iedzīvotāju), rādītāja – parāds uz vienu iedzīvotāju – vērtība Valkas novada pašvaldībai ir palielinājusies par 323 </w:t>
      </w:r>
      <w:proofErr w:type="spellStart"/>
      <w:r w:rsidRPr="00FC4A34">
        <w:rPr>
          <w:i/>
          <w:noProof w:val="0"/>
          <w:color w:val="17365D"/>
        </w:rPr>
        <w:t>euro</w:t>
      </w:r>
      <w:proofErr w:type="spellEnd"/>
      <w:r w:rsidRPr="00FC4A34">
        <w:rPr>
          <w:noProof w:val="0"/>
          <w:color w:val="17365D"/>
        </w:rPr>
        <w:t xml:space="preserve"> uz vienu iedzīvotāju.</w:t>
      </w:r>
    </w:p>
    <w:p w14:paraId="4A246760" w14:textId="368A7802" w:rsidR="00FA5E3A" w:rsidRPr="00FC4A34" w:rsidRDefault="00BE73CE" w:rsidP="00FA5E3A">
      <w:pPr>
        <w:pStyle w:val="Pamatteksts"/>
        <w:rPr>
          <w:noProof w:val="0"/>
          <w:color w:val="17365D"/>
        </w:rPr>
      </w:pPr>
      <w:r>
        <w:rPr>
          <w:noProof w:val="0"/>
          <w:color w:val="17365D"/>
        </w:rPr>
        <w:t>Otrs</w:t>
      </w:r>
      <w:r w:rsidR="00A55D5E" w:rsidRPr="00FC4A34">
        <w:rPr>
          <w:noProof w:val="0"/>
          <w:color w:val="17365D"/>
        </w:rPr>
        <w:t xml:space="preserve"> lielākais</w:t>
      </w:r>
      <w:r>
        <w:rPr>
          <w:noProof w:val="0"/>
          <w:color w:val="17365D"/>
        </w:rPr>
        <w:t xml:space="preserve"> </w:t>
      </w:r>
      <w:r w:rsidRPr="00FC4A34">
        <w:rPr>
          <w:noProof w:val="0"/>
          <w:color w:val="17365D"/>
        </w:rPr>
        <w:t>parāds uz vienu iedzīvotāju</w:t>
      </w:r>
      <w:r w:rsidR="00A55D5E" w:rsidRPr="00FC4A34">
        <w:rPr>
          <w:noProof w:val="0"/>
          <w:color w:val="17365D"/>
        </w:rPr>
        <w:t xml:space="preserve"> </w:t>
      </w:r>
      <w:r w:rsidR="004F273C" w:rsidRPr="00FC4A34">
        <w:rPr>
          <w:noProof w:val="0"/>
          <w:color w:val="17365D"/>
        </w:rPr>
        <w:t>2022.</w:t>
      </w:r>
      <w:r w:rsidR="0065571F" w:rsidRPr="00FC4A34">
        <w:rPr>
          <w:noProof w:val="0"/>
          <w:color w:val="17365D"/>
        </w:rPr>
        <w:t xml:space="preserve"> g</w:t>
      </w:r>
      <w:r w:rsidR="00524453" w:rsidRPr="00FC4A34">
        <w:rPr>
          <w:noProof w:val="0"/>
          <w:color w:val="17365D"/>
        </w:rPr>
        <w:t xml:space="preserve">adā </w:t>
      </w:r>
      <w:r w:rsidR="00A55D5E" w:rsidRPr="00FC4A34">
        <w:rPr>
          <w:noProof w:val="0"/>
          <w:color w:val="17365D"/>
        </w:rPr>
        <w:t xml:space="preserve">ir </w:t>
      </w:r>
      <w:r w:rsidR="00A854E1" w:rsidRPr="00FC4A34">
        <w:rPr>
          <w:noProof w:val="0"/>
          <w:color w:val="17365D"/>
        </w:rPr>
        <w:t xml:space="preserve">Rēzeknes </w:t>
      </w:r>
      <w:proofErr w:type="spellStart"/>
      <w:r w:rsidR="00A854E1" w:rsidRPr="00FC4A34">
        <w:rPr>
          <w:noProof w:val="0"/>
          <w:color w:val="17365D"/>
        </w:rPr>
        <w:t>valstspilsētas</w:t>
      </w:r>
      <w:proofErr w:type="spellEnd"/>
      <w:r w:rsidR="002127EB" w:rsidRPr="00FC4A34">
        <w:rPr>
          <w:noProof w:val="0"/>
          <w:color w:val="17365D"/>
        </w:rPr>
        <w:t xml:space="preserve"> pašvaldībai</w:t>
      </w:r>
      <w:r w:rsidR="00A55D5E" w:rsidRPr="00FC4A34">
        <w:rPr>
          <w:noProof w:val="0"/>
          <w:color w:val="17365D"/>
        </w:rPr>
        <w:t xml:space="preserve">, rādītājam </w:t>
      </w:r>
      <w:r w:rsidR="002B4C2A" w:rsidRPr="00FC4A34">
        <w:rPr>
          <w:noProof w:val="0"/>
          <w:color w:val="17365D"/>
        </w:rPr>
        <w:t>sasniedzot</w:t>
      </w:r>
      <w:r w:rsidR="00A55D5E" w:rsidRPr="00FC4A34">
        <w:rPr>
          <w:noProof w:val="0"/>
          <w:color w:val="17365D"/>
        </w:rPr>
        <w:t xml:space="preserve"> </w:t>
      </w:r>
      <w:r w:rsidR="00F310B8" w:rsidRPr="00FC4A34">
        <w:rPr>
          <w:noProof w:val="0"/>
          <w:color w:val="17365D"/>
        </w:rPr>
        <w:t>2</w:t>
      </w:r>
      <w:r w:rsidR="00E1373E" w:rsidRPr="00FC4A34">
        <w:rPr>
          <w:noProof w:val="0"/>
          <w:color w:val="17365D"/>
        </w:rPr>
        <w:t> </w:t>
      </w:r>
      <w:r w:rsidR="00A854E1" w:rsidRPr="00FC4A34">
        <w:rPr>
          <w:noProof w:val="0"/>
          <w:color w:val="17365D"/>
        </w:rPr>
        <w:t>997</w:t>
      </w:r>
      <w:r w:rsidR="009E76D3" w:rsidRPr="00FC4A34">
        <w:rPr>
          <w:noProof w:val="0"/>
          <w:color w:val="17365D"/>
        </w:rPr>
        <w:t> </w:t>
      </w:r>
      <w:proofErr w:type="spellStart"/>
      <w:r w:rsidR="00524453" w:rsidRPr="00FC4A34">
        <w:rPr>
          <w:i/>
          <w:noProof w:val="0"/>
          <w:color w:val="17365D"/>
        </w:rPr>
        <w:t>euro</w:t>
      </w:r>
      <w:proofErr w:type="spellEnd"/>
      <w:r w:rsidR="00524453" w:rsidRPr="00FC4A34">
        <w:rPr>
          <w:noProof w:val="0"/>
          <w:color w:val="17365D"/>
        </w:rPr>
        <w:t xml:space="preserve"> </w:t>
      </w:r>
      <w:r w:rsidR="00A55D5E" w:rsidRPr="00FC4A34">
        <w:rPr>
          <w:noProof w:val="0"/>
          <w:color w:val="17365D"/>
        </w:rPr>
        <w:t xml:space="preserve">uz 1 iedzīvotāju. </w:t>
      </w:r>
      <w:r w:rsidR="0002126A" w:rsidRPr="00FC4A34">
        <w:rPr>
          <w:noProof w:val="0"/>
          <w:color w:val="17365D"/>
        </w:rPr>
        <w:t xml:space="preserve">Rēzeknes </w:t>
      </w:r>
      <w:proofErr w:type="spellStart"/>
      <w:r w:rsidR="0002126A" w:rsidRPr="00FC4A34">
        <w:rPr>
          <w:noProof w:val="0"/>
          <w:color w:val="17365D"/>
        </w:rPr>
        <w:t>valstspilsētas</w:t>
      </w:r>
      <w:proofErr w:type="spellEnd"/>
      <w:r w:rsidR="0002126A" w:rsidRPr="00FC4A34">
        <w:rPr>
          <w:noProof w:val="0"/>
          <w:color w:val="17365D"/>
        </w:rPr>
        <w:t xml:space="preserve"> pašvaldīb</w:t>
      </w:r>
      <w:r w:rsidR="0002126A">
        <w:rPr>
          <w:noProof w:val="0"/>
          <w:color w:val="17365D"/>
        </w:rPr>
        <w:t>as</w:t>
      </w:r>
      <w:r w:rsidR="00A55D5E" w:rsidRPr="00FC4A34">
        <w:rPr>
          <w:noProof w:val="0"/>
          <w:color w:val="17365D"/>
        </w:rPr>
        <w:t xml:space="preserve"> parāda uz vienu iedzīvotāju rādītāja pieaugums ir </w:t>
      </w:r>
      <w:r w:rsidR="00D749D1" w:rsidRPr="00FC4A34">
        <w:rPr>
          <w:noProof w:val="0"/>
          <w:color w:val="17365D"/>
        </w:rPr>
        <w:t>veidojies</w:t>
      </w:r>
      <w:r w:rsidR="00560C88" w:rsidRPr="00FC4A34">
        <w:rPr>
          <w:noProof w:val="0"/>
          <w:color w:val="17365D"/>
        </w:rPr>
        <w:t xml:space="preserve"> gan</w:t>
      </w:r>
      <w:r w:rsidR="00D749D1" w:rsidRPr="00FC4A34">
        <w:rPr>
          <w:noProof w:val="0"/>
          <w:color w:val="17365D"/>
        </w:rPr>
        <w:t xml:space="preserve"> iedzīvotāju skaita izmaiņu dēļ</w:t>
      </w:r>
      <w:r w:rsidR="00560C88" w:rsidRPr="00FC4A34">
        <w:rPr>
          <w:noProof w:val="0"/>
          <w:color w:val="17365D"/>
        </w:rPr>
        <w:t>, gan aizņēmuma apjoma palielinājuma rezultātā</w:t>
      </w:r>
      <w:r w:rsidR="004764F1" w:rsidRPr="00FC4A34">
        <w:rPr>
          <w:noProof w:val="0"/>
          <w:color w:val="17365D"/>
        </w:rPr>
        <w:t>.</w:t>
      </w:r>
      <w:r w:rsidR="00C35952" w:rsidRPr="00FC4A34">
        <w:rPr>
          <w:noProof w:val="0"/>
          <w:color w:val="17365D"/>
        </w:rPr>
        <w:t xml:space="preserve"> </w:t>
      </w:r>
      <w:r w:rsidR="004F273C" w:rsidRPr="00FC4A34">
        <w:rPr>
          <w:noProof w:val="0"/>
          <w:color w:val="17365D"/>
        </w:rPr>
        <w:t>2022.</w:t>
      </w:r>
      <w:r w:rsidR="0065571F" w:rsidRPr="00FC4A34">
        <w:rPr>
          <w:noProof w:val="0"/>
          <w:color w:val="17365D"/>
        </w:rPr>
        <w:t xml:space="preserve"> g</w:t>
      </w:r>
      <w:r w:rsidR="00FA5E3A" w:rsidRPr="00FC4A34">
        <w:rPr>
          <w:noProof w:val="0"/>
          <w:color w:val="17365D"/>
        </w:rPr>
        <w:t>adā</w:t>
      </w:r>
      <w:r w:rsidR="0002126A">
        <w:rPr>
          <w:noProof w:val="0"/>
          <w:color w:val="17365D"/>
        </w:rPr>
        <w:t xml:space="preserve"> </w:t>
      </w:r>
      <w:r w:rsidR="0002126A" w:rsidRPr="00FC4A34">
        <w:rPr>
          <w:noProof w:val="0"/>
          <w:color w:val="17365D"/>
        </w:rPr>
        <w:t xml:space="preserve">Rēzeknes </w:t>
      </w:r>
      <w:proofErr w:type="spellStart"/>
      <w:r w:rsidR="0002126A" w:rsidRPr="00FC4A34">
        <w:rPr>
          <w:noProof w:val="0"/>
          <w:color w:val="17365D"/>
        </w:rPr>
        <w:t>valstspilsētas</w:t>
      </w:r>
      <w:proofErr w:type="spellEnd"/>
      <w:r w:rsidR="0002126A" w:rsidRPr="00FC4A34">
        <w:rPr>
          <w:noProof w:val="0"/>
          <w:color w:val="17365D"/>
        </w:rPr>
        <w:t xml:space="preserve"> pašvaldībai</w:t>
      </w:r>
      <w:r w:rsidR="00FA5E3A" w:rsidRPr="00FC4A34">
        <w:rPr>
          <w:noProof w:val="0"/>
          <w:color w:val="17365D"/>
        </w:rPr>
        <w:t xml:space="preserve"> </w:t>
      </w:r>
      <w:r w:rsidR="00EF714F" w:rsidRPr="00FC4A34">
        <w:rPr>
          <w:noProof w:val="0"/>
          <w:color w:val="17365D"/>
        </w:rPr>
        <w:t xml:space="preserve">parāda apjoms </w:t>
      </w:r>
      <w:r w:rsidR="00FA5E3A" w:rsidRPr="00FC4A34">
        <w:rPr>
          <w:noProof w:val="0"/>
          <w:color w:val="17365D"/>
        </w:rPr>
        <w:t xml:space="preserve">ir </w:t>
      </w:r>
      <w:r w:rsidR="00560C88" w:rsidRPr="00FC4A34">
        <w:rPr>
          <w:noProof w:val="0"/>
          <w:color w:val="17365D"/>
        </w:rPr>
        <w:t xml:space="preserve">palielinājies </w:t>
      </w:r>
      <w:r w:rsidR="0021538E" w:rsidRPr="00FC4A34">
        <w:rPr>
          <w:noProof w:val="0"/>
          <w:color w:val="17365D"/>
        </w:rPr>
        <w:t xml:space="preserve">par </w:t>
      </w:r>
      <w:r w:rsidR="00D0120F" w:rsidRPr="00FC4A34">
        <w:rPr>
          <w:noProof w:val="0"/>
          <w:color w:val="17365D"/>
        </w:rPr>
        <w:t>0</w:t>
      </w:r>
      <w:r w:rsidR="0021538E" w:rsidRPr="00FC4A34">
        <w:rPr>
          <w:noProof w:val="0"/>
          <w:color w:val="17365D"/>
        </w:rPr>
        <w:t>,</w:t>
      </w:r>
      <w:r w:rsidR="00D0120F" w:rsidRPr="00FC4A34">
        <w:rPr>
          <w:noProof w:val="0"/>
          <w:color w:val="17365D"/>
        </w:rPr>
        <w:t>5</w:t>
      </w:r>
      <w:r w:rsidR="00EF714F" w:rsidRPr="00FC4A34">
        <w:rPr>
          <w:noProof w:val="0"/>
          <w:color w:val="17365D"/>
        </w:rPr>
        <w:t> </w:t>
      </w:r>
      <w:r w:rsidR="00FA5E3A" w:rsidRPr="00FC4A34">
        <w:rPr>
          <w:noProof w:val="0"/>
          <w:color w:val="17365D"/>
        </w:rPr>
        <w:t xml:space="preserve">milj. </w:t>
      </w:r>
      <w:proofErr w:type="spellStart"/>
      <w:r w:rsidR="00FA5E3A" w:rsidRPr="00FC4A34">
        <w:rPr>
          <w:i/>
          <w:noProof w:val="0"/>
          <w:color w:val="17365D"/>
        </w:rPr>
        <w:t>euro</w:t>
      </w:r>
      <w:proofErr w:type="spellEnd"/>
      <w:r w:rsidR="00FA5E3A" w:rsidRPr="00FC4A34">
        <w:rPr>
          <w:noProof w:val="0"/>
          <w:color w:val="17365D"/>
        </w:rPr>
        <w:t>.</w:t>
      </w:r>
    </w:p>
    <w:p w14:paraId="719EBD5E" w14:textId="6F7C70D3" w:rsidR="007E6EBA" w:rsidRPr="00FC4A34" w:rsidRDefault="00A55D5E" w:rsidP="00A55D5E">
      <w:pPr>
        <w:pStyle w:val="Pamatteksts"/>
        <w:rPr>
          <w:noProof w:val="0"/>
          <w:color w:val="17365D"/>
        </w:rPr>
      </w:pPr>
      <w:r w:rsidRPr="00FC4A34">
        <w:rPr>
          <w:noProof w:val="0"/>
          <w:color w:val="17365D"/>
        </w:rPr>
        <w:t xml:space="preserve">Trešais lielākais rādītājs ir </w:t>
      </w:r>
      <w:r w:rsidR="00D0120F" w:rsidRPr="00FC4A34">
        <w:rPr>
          <w:noProof w:val="0"/>
          <w:color w:val="17365D"/>
        </w:rPr>
        <w:t>Ādažu</w:t>
      </w:r>
      <w:r w:rsidR="00FD11A4" w:rsidRPr="00FC4A34">
        <w:rPr>
          <w:noProof w:val="0"/>
          <w:color w:val="17365D"/>
        </w:rPr>
        <w:t xml:space="preserve"> novada pašvaldībai</w:t>
      </w:r>
      <w:r w:rsidRPr="00FC4A34">
        <w:rPr>
          <w:noProof w:val="0"/>
          <w:color w:val="17365D"/>
        </w:rPr>
        <w:t xml:space="preserve">, kam rādītāja vērtība ir </w:t>
      </w:r>
      <w:r w:rsidR="00F310B8" w:rsidRPr="00FC4A34">
        <w:rPr>
          <w:noProof w:val="0"/>
          <w:color w:val="17365D"/>
        </w:rPr>
        <w:t>2</w:t>
      </w:r>
      <w:r w:rsidR="00E1373E" w:rsidRPr="00FC4A34">
        <w:rPr>
          <w:noProof w:val="0"/>
          <w:color w:val="17365D"/>
        </w:rPr>
        <w:t> </w:t>
      </w:r>
      <w:r w:rsidR="00A854E1" w:rsidRPr="00FC4A34">
        <w:rPr>
          <w:noProof w:val="0"/>
          <w:color w:val="17365D"/>
        </w:rPr>
        <w:t>365</w:t>
      </w:r>
      <w:r w:rsidR="002A7BB8" w:rsidRPr="00FC4A34">
        <w:rPr>
          <w:noProof w:val="0"/>
          <w:color w:val="17365D"/>
        </w:rPr>
        <w:t xml:space="preserve"> </w:t>
      </w:r>
      <w:proofErr w:type="spellStart"/>
      <w:r w:rsidR="0032118A" w:rsidRPr="00FC4A34">
        <w:rPr>
          <w:i/>
          <w:noProof w:val="0"/>
          <w:color w:val="17365D"/>
        </w:rPr>
        <w:t>euro</w:t>
      </w:r>
      <w:proofErr w:type="spellEnd"/>
      <w:r w:rsidR="0032118A" w:rsidRPr="00FC4A34">
        <w:rPr>
          <w:noProof w:val="0"/>
          <w:color w:val="17365D"/>
        </w:rPr>
        <w:t xml:space="preserve"> </w:t>
      </w:r>
      <w:r w:rsidR="00EF714F" w:rsidRPr="00FC4A34">
        <w:rPr>
          <w:noProof w:val="0"/>
          <w:color w:val="17365D"/>
        </w:rPr>
        <w:t>uz 1 </w:t>
      </w:r>
      <w:r w:rsidRPr="00FC4A34">
        <w:rPr>
          <w:noProof w:val="0"/>
          <w:color w:val="17365D"/>
        </w:rPr>
        <w:t>iedzīvotāju (</w:t>
      </w:r>
      <w:r w:rsidR="004764F1" w:rsidRPr="00FC4A34">
        <w:rPr>
          <w:noProof w:val="0"/>
          <w:color w:val="17365D"/>
        </w:rPr>
        <w:t>palielinājies</w:t>
      </w:r>
      <w:r w:rsidR="000D3818" w:rsidRPr="00FC4A34">
        <w:rPr>
          <w:noProof w:val="0"/>
          <w:color w:val="17365D"/>
        </w:rPr>
        <w:t xml:space="preserve"> </w:t>
      </w:r>
      <w:r w:rsidRPr="00FC4A34">
        <w:rPr>
          <w:noProof w:val="0"/>
          <w:color w:val="17365D"/>
        </w:rPr>
        <w:t xml:space="preserve">par </w:t>
      </w:r>
      <w:r w:rsidR="00D42E50" w:rsidRPr="00FC4A34">
        <w:rPr>
          <w:noProof w:val="0"/>
          <w:color w:val="17365D"/>
        </w:rPr>
        <w:t>1</w:t>
      </w:r>
      <w:r w:rsidR="00A854E1" w:rsidRPr="00FC4A34">
        <w:rPr>
          <w:noProof w:val="0"/>
          <w:color w:val="17365D"/>
        </w:rPr>
        <w:t>66</w:t>
      </w:r>
      <w:r w:rsidR="002A7BB8" w:rsidRPr="00FC4A34">
        <w:rPr>
          <w:noProof w:val="0"/>
          <w:color w:val="17365D"/>
        </w:rPr>
        <w:t xml:space="preserve"> </w:t>
      </w:r>
      <w:proofErr w:type="spellStart"/>
      <w:r w:rsidR="00584057" w:rsidRPr="00FC4A34">
        <w:rPr>
          <w:i/>
          <w:noProof w:val="0"/>
          <w:color w:val="17365D"/>
        </w:rPr>
        <w:t>euro</w:t>
      </w:r>
      <w:proofErr w:type="spellEnd"/>
      <w:r w:rsidR="007B33E9" w:rsidRPr="00FC4A34">
        <w:rPr>
          <w:noProof w:val="0"/>
          <w:color w:val="17365D"/>
        </w:rPr>
        <w:t xml:space="preserve"> </w:t>
      </w:r>
      <w:r w:rsidR="000D3818" w:rsidRPr="00FC4A34">
        <w:rPr>
          <w:noProof w:val="0"/>
          <w:color w:val="17365D"/>
        </w:rPr>
        <w:t xml:space="preserve">salīdzinājumā ar </w:t>
      </w:r>
      <w:r w:rsidR="004F273C" w:rsidRPr="00FC4A34">
        <w:rPr>
          <w:noProof w:val="0"/>
          <w:color w:val="17365D"/>
        </w:rPr>
        <w:t>2021.</w:t>
      </w:r>
      <w:r w:rsidR="0065571F" w:rsidRPr="00FC4A34">
        <w:rPr>
          <w:noProof w:val="0"/>
          <w:color w:val="17365D"/>
        </w:rPr>
        <w:t xml:space="preserve"> g</w:t>
      </w:r>
      <w:r w:rsidR="000D3818" w:rsidRPr="00FC4A34">
        <w:rPr>
          <w:noProof w:val="0"/>
          <w:color w:val="17365D"/>
        </w:rPr>
        <w:t>ada rādītāju</w:t>
      </w:r>
      <w:r w:rsidR="00C1729F" w:rsidRPr="00FC4A34">
        <w:rPr>
          <w:noProof w:val="0"/>
          <w:color w:val="17365D"/>
        </w:rPr>
        <w:t>).</w:t>
      </w:r>
    </w:p>
    <w:p w14:paraId="71D3A3C6" w14:textId="169241C8" w:rsidR="00A55D5E" w:rsidRPr="00FC4A34" w:rsidRDefault="00A55D5E" w:rsidP="00A55D5E">
      <w:pPr>
        <w:pStyle w:val="Pamatteksts"/>
        <w:rPr>
          <w:noProof w:val="0"/>
          <w:color w:val="17365D"/>
        </w:rPr>
      </w:pPr>
      <w:r w:rsidRPr="00FC4A34">
        <w:rPr>
          <w:noProof w:val="0"/>
          <w:color w:val="17365D"/>
        </w:rPr>
        <w:t>Rīgas</w:t>
      </w:r>
      <w:r w:rsidR="00F37908" w:rsidRPr="00FC4A34">
        <w:rPr>
          <w:noProof w:val="0"/>
          <w:color w:val="17365D"/>
        </w:rPr>
        <w:t xml:space="preserve"> pilsētas</w:t>
      </w:r>
      <w:r w:rsidRPr="00FC4A34">
        <w:rPr>
          <w:noProof w:val="0"/>
          <w:color w:val="17365D"/>
        </w:rPr>
        <w:t xml:space="preserve"> pašvaldības, kurai no visām pašvaldībām ir</w:t>
      </w:r>
      <w:r w:rsidR="001B7902" w:rsidRPr="00FC4A34">
        <w:rPr>
          <w:noProof w:val="0"/>
          <w:color w:val="17365D"/>
        </w:rPr>
        <w:t xml:space="preserve"> lielākais parāds </w:t>
      </w:r>
      <w:r w:rsidR="004F273C" w:rsidRPr="00FC4A34">
        <w:rPr>
          <w:noProof w:val="0"/>
          <w:color w:val="17365D"/>
        </w:rPr>
        <w:t>2022.</w:t>
      </w:r>
      <w:r w:rsidR="0065571F" w:rsidRPr="00FC4A34">
        <w:rPr>
          <w:noProof w:val="0"/>
          <w:color w:val="17365D"/>
        </w:rPr>
        <w:t xml:space="preserve"> g</w:t>
      </w:r>
      <w:r w:rsidR="001B7902" w:rsidRPr="00FC4A34">
        <w:rPr>
          <w:noProof w:val="0"/>
          <w:color w:val="17365D"/>
        </w:rPr>
        <w:t>ada beigās</w:t>
      </w:r>
      <w:r w:rsidRPr="00FC4A34">
        <w:rPr>
          <w:noProof w:val="0"/>
          <w:color w:val="17365D"/>
        </w:rPr>
        <w:t xml:space="preserve">, parāda uz vienu iedzīvotāju rādītājs ir </w:t>
      </w:r>
      <w:r w:rsidR="00BC5AB1" w:rsidRPr="00FC4A34">
        <w:rPr>
          <w:noProof w:val="0"/>
          <w:color w:val="17365D"/>
        </w:rPr>
        <w:t>9</w:t>
      </w:r>
      <w:r w:rsidR="00A854E1" w:rsidRPr="00FC4A34">
        <w:rPr>
          <w:noProof w:val="0"/>
          <w:color w:val="17365D"/>
        </w:rPr>
        <w:t>06</w:t>
      </w:r>
      <w:r w:rsidR="001B75A7" w:rsidRPr="00FC4A34">
        <w:rPr>
          <w:noProof w:val="0"/>
          <w:color w:val="17365D"/>
        </w:rPr>
        <w:t xml:space="preserve"> </w:t>
      </w:r>
      <w:proofErr w:type="spellStart"/>
      <w:r w:rsidR="001B75A7" w:rsidRPr="00FC4A34">
        <w:rPr>
          <w:i/>
          <w:noProof w:val="0"/>
          <w:color w:val="17365D"/>
        </w:rPr>
        <w:t>euro</w:t>
      </w:r>
      <w:proofErr w:type="spellEnd"/>
      <w:r w:rsidRPr="00FC4A34">
        <w:rPr>
          <w:noProof w:val="0"/>
          <w:color w:val="17365D"/>
        </w:rPr>
        <w:t xml:space="preserve"> un </w:t>
      </w:r>
      <w:r w:rsidR="004F273C" w:rsidRPr="00FC4A34">
        <w:rPr>
          <w:noProof w:val="0"/>
          <w:color w:val="17365D"/>
        </w:rPr>
        <w:t>2022.</w:t>
      </w:r>
      <w:r w:rsidR="0065571F" w:rsidRPr="00FC4A34">
        <w:rPr>
          <w:noProof w:val="0"/>
          <w:color w:val="17365D"/>
        </w:rPr>
        <w:t xml:space="preserve"> g</w:t>
      </w:r>
      <w:r w:rsidRPr="00FC4A34">
        <w:rPr>
          <w:noProof w:val="0"/>
          <w:color w:val="17365D"/>
        </w:rPr>
        <w:t xml:space="preserve">ada laikā ir </w:t>
      </w:r>
      <w:r w:rsidR="00A854E1" w:rsidRPr="00FC4A34">
        <w:rPr>
          <w:noProof w:val="0"/>
          <w:color w:val="17365D"/>
        </w:rPr>
        <w:t>samazinājies</w:t>
      </w:r>
      <w:r w:rsidRPr="00FC4A34">
        <w:rPr>
          <w:noProof w:val="0"/>
          <w:color w:val="17365D"/>
        </w:rPr>
        <w:t xml:space="preserve"> par </w:t>
      </w:r>
      <w:r w:rsidR="00A854E1" w:rsidRPr="00FC4A34">
        <w:rPr>
          <w:noProof w:val="0"/>
          <w:color w:val="17365D"/>
        </w:rPr>
        <w:t>15</w:t>
      </w:r>
      <w:r w:rsidR="00C369BE" w:rsidRPr="00FC4A34">
        <w:rPr>
          <w:noProof w:val="0"/>
          <w:color w:val="17365D"/>
        </w:rPr>
        <w:t xml:space="preserve"> </w:t>
      </w:r>
      <w:proofErr w:type="spellStart"/>
      <w:r w:rsidR="001B75A7" w:rsidRPr="00FC4A34">
        <w:rPr>
          <w:i/>
          <w:noProof w:val="0"/>
          <w:color w:val="17365D"/>
        </w:rPr>
        <w:t>euro</w:t>
      </w:r>
      <w:proofErr w:type="spellEnd"/>
      <w:r w:rsidRPr="00FC4A34">
        <w:rPr>
          <w:noProof w:val="0"/>
          <w:color w:val="17365D"/>
        </w:rPr>
        <w:t>.</w:t>
      </w:r>
      <w:r w:rsidR="0097237C" w:rsidRPr="00FC4A34">
        <w:rPr>
          <w:b/>
          <w:color w:val="17365D"/>
        </w:rPr>
        <w:t xml:space="preserve"> </w:t>
      </w:r>
    </w:p>
    <w:p w14:paraId="0A4BE4B9" w14:textId="1EA5D548" w:rsidR="00A90CE4" w:rsidRPr="00FC4A34" w:rsidRDefault="00A90CE4" w:rsidP="00A55D5E">
      <w:pPr>
        <w:pStyle w:val="Pamatteksts"/>
        <w:rPr>
          <w:noProof w:val="0"/>
          <w:color w:val="17365D"/>
        </w:rPr>
      </w:pPr>
      <w:r w:rsidRPr="00FC4A34">
        <w:rPr>
          <w:noProof w:val="0"/>
          <w:color w:val="17365D"/>
        </w:rPr>
        <w:t>Lielākais pieaugums parādam uz vienu iedzīvot</w:t>
      </w:r>
      <w:r w:rsidR="00FA5E3A" w:rsidRPr="00FC4A34">
        <w:rPr>
          <w:noProof w:val="0"/>
          <w:color w:val="17365D"/>
        </w:rPr>
        <w:t xml:space="preserve">āju salīdzinājumā ar </w:t>
      </w:r>
      <w:r w:rsidR="004F273C" w:rsidRPr="00FC4A34">
        <w:rPr>
          <w:noProof w:val="0"/>
          <w:color w:val="17365D"/>
        </w:rPr>
        <w:t>2021.</w:t>
      </w:r>
      <w:r w:rsidR="0065571F" w:rsidRPr="00FC4A34">
        <w:rPr>
          <w:noProof w:val="0"/>
          <w:color w:val="17365D"/>
        </w:rPr>
        <w:t xml:space="preserve"> g</w:t>
      </w:r>
      <w:r w:rsidR="00FA5E3A" w:rsidRPr="00FC4A34">
        <w:rPr>
          <w:noProof w:val="0"/>
          <w:color w:val="17365D"/>
        </w:rPr>
        <w:t>adu</w:t>
      </w:r>
      <w:r w:rsidRPr="00FC4A34">
        <w:rPr>
          <w:noProof w:val="0"/>
          <w:color w:val="17365D"/>
        </w:rPr>
        <w:t xml:space="preserve"> ir </w:t>
      </w:r>
      <w:r w:rsidR="00A854E1" w:rsidRPr="00FC4A34">
        <w:rPr>
          <w:noProof w:val="0"/>
          <w:color w:val="17365D"/>
        </w:rPr>
        <w:t>Alūksnes</w:t>
      </w:r>
      <w:r w:rsidR="001552A9" w:rsidRPr="00FC4A34">
        <w:rPr>
          <w:noProof w:val="0"/>
          <w:color w:val="17365D"/>
        </w:rPr>
        <w:t xml:space="preserve"> novada</w:t>
      </w:r>
      <w:r w:rsidR="001B7902" w:rsidRPr="00FC4A34">
        <w:rPr>
          <w:noProof w:val="0"/>
          <w:color w:val="17365D"/>
        </w:rPr>
        <w:t xml:space="preserve"> pašvaldībai</w:t>
      </w:r>
      <w:r w:rsidRPr="00FC4A34">
        <w:rPr>
          <w:noProof w:val="0"/>
          <w:color w:val="17365D"/>
        </w:rPr>
        <w:t xml:space="preserve"> (</w:t>
      </w:r>
      <w:r w:rsidR="004F273C" w:rsidRPr="00FC4A34">
        <w:rPr>
          <w:noProof w:val="0"/>
          <w:color w:val="17365D"/>
        </w:rPr>
        <w:t>2022.</w:t>
      </w:r>
      <w:r w:rsidR="0065571F" w:rsidRPr="00FC4A34">
        <w:rPr>
          <w:noProof w:val="0"/>
          <w:color w:val="17365D"/>
        </w:rPr>
        <w:t xml:space="preserve"> g</w:t>
      </w:r>
      <w:r w:rsidRPr="00FC4A34">
        <w:rPr>
          <w:noProof w:val="0"/>
          <w:color w:val="17365D"/>
        </w:rPr>
        <w:t xml:space="preserve">ada laikā palielinājies par </w:t>
      </w:r>
      <w:r w:rsidR="00A854E1" w:rsidRPr="00FC4A34">
        <w:rPr>
          <w:noProof w:val="0"/>
          <w:color w:val="17365D"/>
        </w:rPr>
        <w:t>704</w:t>
      </w:r>
      <w:r w:rsidR="00EF714F" w:rsidRPr="00FC4A34">
        <w:rPr>
          <w:noProof w:val="0"/>
          <w:color w:val="17365D"/>
        </w:rPr>
        <w:t> </w:t>
      </w:r>
      <w:proofErr w:type="spellStart"/>
      <w:r w:rsidR="001B75A7" w:rsidRPr="00FC4A34">
        <w:rPr>
          <w:i/>
          <w:noProof w:val="0"/>
          <w:color w:val="17365D"/>
        </w:rPr>
        <w:t>euro</w:t>
      </w:r>
      <w:proofErr w:type="spellEnd"/>
      <w:r w:rsidRPr="00FC4A34">
        <w:rPr>
          <w:noProof w:val="0"/>
          <w:color w:val="17365D"/>
        </w:rPr>
        <w:t xml:space="preserve">) un </w:t>
      </w:r>
      <w:r w:rsidR="00A854E1" w:rsidRPr="00FC4A34">
        <w:rPr>
          <w:noProof w:val="0"/>
          <w:color w:val="17365D"/>
        </w:rPr>
        <w:t>Ogres</w:t>
      </w:r>
      <w:r w:rsidR="001552A9" w:rsidRPr="00FC4A34">
        <w:rPr>
          <w:noProof w:val="0"/>
          <w:color w:val="17365D"/>
        </w:rPr>
        <w:t xml:space="preserve"> </w:t>
      </w:r>
      <w:r w:rsidR="00B8212D">
        <w:rPr>
          <w:noProof w:val="0"/>
          <w:color w:val="17365D"/>
        </w:rPr>
        <w:t xml:space="preserve">novada </w:t>
      </w:r>
      <w:r w:rsidR="001552A9" w:rsidRPr="00FC4A34">
        <w:rPr>
          <w:noProof w:val="0"/>
          <w:color w:val="17365D"/>
        </w:rPr>
        <w:t>pašvaldībai</w:t>
      </w:r>
      <w:r w:rsidRPr="00FC4A34">
        <w:rPr>
          <w:noProof w:val="0"/>
          <w:color w:val="17365D"/>
        </w:rPr>
        <w:t xml:space="preserve"> (</w:t>
      </w:r>
      <w:r w:rsidR="004F273C" w:rsidRPr="00FC4A34">
        <w:rPr>
          <w:noProof w:val="0"/>
          <w:color w:val="17365D"/>
        </w:rPr>
        <w:t>2022.</w:t>
      </w:r>
      <w:r w:rsidR="0065571F" w:rsidRPr="00FC4A34">
        <w:rPr>
          <w:noProof w:val="0"/>
          <w:color w:val="17365D"/>
        </w:rPr>
        <w:t xml:space="preserve"> g</w:t>
      </w:r>
      <w:r w:rsidRPr="00FC4A34">
        <w:rPr>
          <w:noProof w:val="0"/>
          <w:color w:val="17365D"/>
        </w:rPr>
        <w:t xml:space="preserve">ada laikā palielinājies par </w:t>
      </w:r>
      <w:r w:rsidR="00A854E1" w:rsidRPr="00FC4A34">
        <w:rPr>
          <w:noProof w:val="0"/>
          <w:color w:val="17365D"/>
        </w:rPr>
        <w:t>393</w:t>
      </w:r>
      <w:r w:rsidR="00EF714F" w:rsidRPr="00FC4A34">
        <w:rPr>
          <w:noProof w:val="0"/>
          <w:color w:val="17365D"/>
        </w:rPr>
        <w:t> </w:t>
      </w:r>
      <w:proofErr w:type="spellStart"/>
      <w:r w:rsidR="001B75A7" w:rsidRPr="00FC4A34">
        <w:rPr>
          <w:i/>
          <w:noProof w:val="0"/>
          <w:color w:val="17365D"/>
        </w:rPr>
        <w:t>euro</w:t>
      </w:r>
      <w:proofErr w:type="spellEnd"/>
      <w:r w:rsidRPr="00FC4A34">
        <w:rPr>
          <w:noProof w:val="0"/>
          <w:color w:val="17365D"/>
        </w:rPr>
        <w:t>).</w:t>
      </w:r>
    </w:p>
    <w:p w14:paraId="1C924781" w14:textId="361EAC59" w:rsidR="00A90CE4" w:rsidRPr="00FC4A34" w:rsidRDefault="00A90CE4" w:rsidP="00A55D5E">
      <w:pPr>
        <w:pStyle w:val="Pamatteksts"/>
        <w:rPr>
          <w:noProof w:val="0"/>
          <w:color w:val="17365D"/>
        </w:rPr>
      </w:pPr>
      <w:r w:rsidRPr="00FC4A34">
        <w:rPr>
          <w:noProof w:val="0"/>
          <w:color w:val="17365D"/>
        </w:rPr>
        <w:t>Savukārt</w:t>
      </w:r>
      <w:r w:rsidR="003D5DA1" w:rsidRPr="00FC4A34">
        <w:rPr>
          <w:noProof w:val="0"/>
          <w:color w:val="17365D"/>
        </w:rPr>
        <w:t xml:space="preserve"> parāds uz vienu iedzīvotāju </w:t>
      </w:r>
      <w:r w:rsidR="004F273C" w:rsidRPr="00FC4A34">
        <w:rPr>
          <w:noProof w:val="0"/>
          <w:color w:val="17365D"/>
        </w:rPr>
        <w:t>2022.</w:t>
      </w:r>
      <w:r w:rsidR="0065571F" w:rsidRPr="00FC4A34">
        <w:rPr>
          <w:noProof w:val="0"/>
          <w:color w:val="17365D"/>
        </w:rPr>
        <w:t xml:space="preserve"> g</w:t>
      </w:r>
      <w:r w:rsidR="003D5DA1" w:rsidRPr="00FC4A34">
        <w:rPr>
          <w:noProof w:val="0"/>
          <w:color w:val="17365D"/>
        </w:rPr>
        <w:t>ada beigās visvairāk</w:t>
      </w:r>
      <w:r w:rsidR="00FA5E3A" w:rsidRPr="00FC4A34">
        <w:rPr>
          <w:noProof w:val="0"/>
          <w:color w:val="17365D"/>
        </w:rPr>
        <w:t xml:space="preserve"> ir</w:t>
      </w:r>
      <w:r w:rsidR="003D5DA1" w:rsidRPr="00FC4A34">
        <w:rPr>
          <w:noProof w:val="0"/>
          <w:color w:val="17365D"/>
        </w:rPr>
        <w:t xml:space="preserve"> samazinājies </w:t>
      </w:r>
      <w:r w:rsidR="00D42E50" w:rsidRPr="00FC4A34">
        <w:rPr>
          <w:noProof w:val="0"/>
          <w:color w:val="17365D"/>
        </w:rPr>
        <w:t>Siguldas</w:t>
      </w:r>
      <w:r w:rsidR="003D5DA1" w:rsidRPr="00FC4A34">
        <w:rPr>
          <w:noProof w:val="0"/>
          <w:color w:val="17365D"/>
        </w:rPr>
        <w:t xml:space="preserve"> un </w:t>
      </w:r>
      <w:r w:rsidR="004F4F05" w:rsidRPr="00FC4A34">
        <w:rPr>
          <w:noProof w:val="0"/>
          <w:color w:val="17365D"/>
        </w:rPr>
        <w:t>Saulkrastu</w:t>
      </w:r>
      <w:r w:rsidR="003D5DA1" w:rsidRPr="00FC4A34">
        <w:rPr>
          <w:noProof w:val="0"/>
          <w:color w:val="17365D"/>
        </w:rPr>
        <w:t xml:space="preserve"> novados –</w:t>
      </w:r>
      <w:r w:rsidR="00DD3AED" w:rsidRPr="00FC4A34">
        <w:rPr>
          <w:noProof w:val="0"/>
          <w:color w:val="17365D"/>
        </w:rPr>
        <w:t xml:space="preserve"> </w:t>
      </w:r>
      <w:r w:rsidR="003D5DA1" w:rsidRPr="00FC4A34">
        <w:rPr>
          <w:noProof w:val="0"/>
          <w:color w:val="17365D"/>
        </w:rPr>
        <w:t xml:space="preserve">attiecīgi par </w:t>
      </w:r>
      <w:r w:rsidR="004F4F05" w:rsidRPr="00FC4A34">
        <w:rPr>
          <w:noProof w:val="0"/>
          <w:color w:val="17365D"/>
        </w:rPr>
        <w:t>120</w:t>
      </w:r>
      <w:r w:rsidR="003D5DA1" w:rsidRPr="00FC4A34">
        <w:rPr>
          <w:noProof w:val="0"/>
          <w:color w:val="17365D"/>
        </w:rPr>
        <w:t xml:space="preserve"> un </w:t>
      </w:r>
      <w:r w:rsidR="004F4F05" w:rsidRPr="00FC4A34">
        <w:rPr>
          <w:noProof w:val="0"/>
          <w:color w:val="17365D"/>
        </w:rPr>
        <w:t>105</w:t>
      </w:r>
      <w:r w:rsidR="003D5DA1" w:rsidRPr="00FC4A34">
        <w:rPr>
          <w:noProof w:val="0"/>
          <w:color w:val="17365D"/>
        </w:rPr>
        <w:t xml:space="preserve"> </w:t>
      </w:r>
      <w:proofErr w:type="spellStart"/>
      <w:r w:rsidR="001B75A7" w:rsidRPr="00FC4A34">
        <w:rPr>
          <w:i/>
          <w:noProof w:val="0"/>
          <w:color w:val="17365D"/>
        </w:rPr>
        <w:t>euro</w:t>
      </w:r>
      <w:proofErr w:type="spellEnd"/>
      <w:r w:rsidR="003D5DA1" w:rsidRPr="00FC4A34">
        <w:rPr>
          <w:noProof w:val="0"/>
          <w:color w:val="17365D"/>
        </w:rPr>
        <w:t xml:space="preserve"> </w:t>
      </w:r>
      <w:r w:rsidR="004F273C" w:rsidRPr="00FC4A34">
        <w:rPr>
          <w:noProof w:val="0"/>
          <w:color w:val="17365D"/>
        </w:rPr>
        <w:t>2022.</w:t>
      </w:r>
      <w:r w:rsidR="0065571F" w:rsidRPr="00FC4A34">
        <w:rPr>
          <w:noProof w:val="0"/>
          <w:color w:val="17365D"/>
        </w:rPr>
        <w:t xml:space="preserve"> g</w:t>
      </w:r>
      <w:r w:rsidR="003D5DA1" w:rsidRPr="00FC4A34">
        <w:rPr>
          <w:noProof w:val="0"/>
          <w:color w:val="17365D"/>
        </w:rPr>
        <w:t>ada laikā.</w:t>
      </w:r>
    </w:p>
    <w:p w14:paraId="32CDDF7B" w14:textId="77777777" w:rsidR="00447B2C" w:rsidRPr="00FC4A34" w:rsidRDefault="00447B2C" w:rsidP="00447B2C">
      <w:pPr>
        <w:rPr>
          <w:color w:val="17365D"/>
        </w:rPr>
      </w:pPr>
    </w:p>
    <w:p w14:paraId="1F032D54" w14:textId="77777777" w:rsidR="00447B2C" w:rsidRPr="00FC4A34" w:rsidRDefault="00447B2C" w:rsidP="00447B2C">
      <w:pPr>
        <w:rPr>
          <w:color w:val="17365D"/>
        </w:rPr>
      </w:pPr>
    </w:p>
    <w:p w14:paraId="78CCDD3D" w14:textId="77777777" w:rsidR="00A55D5E" w:rsidRPr="00FC4A34" w:rsidRDefault="00A55D5E" w:rsidP="00447B2C">
      <w:pPr>
        <w:jc w:val="center"/>
        <w:rPr>
          <w:color w:val="17365D"/>
        </w:rPr>
      </w:pPr>
    </w:p>
    <w:sectPr w:rsidR="00A55D5E" w:rsidRPr="00FC4A34" w:rsidSect="002873F0">
      <w:headerReference w:type="default" r:id="rId18"/>
      <w:footerReference w:type="default" r:id="rId19"/>
      <w:footerReference w:type="first" r:id="rId20"/>
      <w:pgSz w:w="11906" w:h="16838" w:code="9"/>
      <w:pgMar w:top="1134" w:right="851" w:bottom="1134" w:left="1701" w:header="567" w:footer="567" w:gutter="0"/>
      <w:pgNumType w:start="9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B443A" w14:textId="77777777" w:rsidR="00887FCA" w:rsidRDefault="00887FCA">
      <w:pPr>
        <w:spacing w:after="0"/>
      </w:pPr>
      <w:r>
        <w:separator/>
      </w:r>
    </w:p>
  </w:endnote>
  <w:endnote w:type="continuationSeparator" w:id="0">
    <w:p w14:paraId="7D3230BA" w14:textId="77777777" w:rsidR="00887FCA" w:rsidRDefault="00887FC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6CEC1" w14:textId="09EC433C" w:rsidR="00C50725" w:rsidRPr="00606E13" w:rsidRDefault="00C50725" w:rsidP="00764B39">
    <w:pPr>
      <w:pStyle w:val="Footer"/>
      <w:framePr w:w="374" w:h="254" w:hRule="exact" w:wrap="auto" w:vAnchor="text" w:hAnchor="page" w:x="10807" w:y="-35"/>
      <w:rPr>
        <w:rStyle w:val="PageNumber"/>
        <w:rFonts w:eastAsiaTheme="majorEastAsia"/>
        <w:color w:val="17365D"/>
      </w:rPr>
    </w:pPr>
    <w:r w:rsidRPr="00606E13">
      <w:rPr>
        <w:rStyle w:val="PageNumber"/>
        <w:rFonts w:eastAsiaTheme="majorEastAsia"/>
        <w:color w:val="17365D"/>
      </w:rPr>
      <w:fldChar w:fldCharType="begin"/>
    </w:r>
    <w:r w:rsidRPr="00606E13">
      <w:rPr>
        <w:rStyle w:val="PageNumber"/>
        <w:rFonts w:eastAsiaTheme="majorEastAsia"/>
        <w:color w:val="17365D"/>
      </w:rPr>
      <w:instrText xml:space="preserve">PAGE  </w:instrText>
    </w:r>
    <w:r w:rsidRPr="00606E13">
      <w:rPr>
        <w:rStyle w:val="PageNumber"/>
        <w:rFonts w:eastAsiaTheme="majorEastAsia"/>
        <w:color w:val="17365D"/>
      </w:rPr>
      <w:fldChar w:fldCharType="separate"/>
    </w:r>
    <w:r w:rsidR="002873F0">
      <w:rPr>
        <w:rStyle w:val="PageNumber"/>
        <w:rFonts w:eastAsiaTheme="majorEastAsia"/>
        <w:noProof/>
        <w:color w:val="17365D"/>
      </w:rPr>
      <w:t>99</w:t>
    </w:r>
    <w:r w:rsidRPr="00606E13">
      <w:rPr>
        <w:rStyle w:val="PageNumber"/>
        <w:rFonts w:eastAsiaTheme="majorEastAsia"/>
        <w:color w:val="17365D"/>
      </w:rPr>
      <w:fldChar w:fldCharType="end"/>
    </w:r>
  </w:p>
  <w:p w14:paraId="3126B5CE" w14:textId="77777777" w:rsidR="00C50725" w:rsidRPr="00CE684E" w:rsidRDefault="00C50725" w:rsidP="006F3D97">
    <w:pPr>
      <w:pStyle w:val="Footer"/>
      <w:tabs>
        <w:tab w:val="clear" w:pos="8306"/>
        <w:tab w:val="left" w:pos="8505"/>
      </w:tabs>
      <w:ind w:right="-2"/>
      <w:jc w:val="both"/>
      <w:rPr>
        <w:szCs w:val="20"/>
      </w:rPr>
    </w:pPr>
    <w:r w:rsidRPr="0096121A">
      <w:rPr>
        <w:noProof/>
        <w:color w:val="17365D" w:themeColor="text2" w:themeShade="BF"/>
      </w:rPr>
      <mc:AlternateContent>
        <mc:Choice Requires="wps">
          <w:drawing>
            <wp:anchor distT="0" distB="0" distL="114300" distR="114300" simplePos="0" relativeHeight="251661312" behindDoc="1" locked="0" layoutInCell="1" allowOverlap="1" wp14:anchorId="3E49B09E" wp14:editId="79FF6EF2">
              <wp:simplePos x="0" y="0"/>
              <wp:positionH relativeFrom="column">
                <wp:posOffset>5648965</wp:posOffset>
              </wp:positionH>
              <wp:positionV relativeFrom="paragraph">
                <wp:posOffset>-76200</wp:posOffset>
              </wp:positionV>
              <wp:extent cx="456565" cy="279400"/>
              <wp:effectExtent l="0" t="0" r="635" b="6350"/>
              <wp:wrapNone/>
              <wp:docPr id="19" name="Rounded Rectangle 19"/>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BF500F" id="Rounded Rectangle 19" o:spid="_x0000_s1026" style="position:absolute;margin-left:444.8pt;margin-top:-6pt;width:35.95pt;height:2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" fillcolor="#dbe5f1 [660]" stroked="f" strokeweight="1pt">
              <v:stroke dashstyle="dash"/>
            </v:roundrect>
          </w:pict>
        </mc:Fallback>
      </mc:AlternateContent>
    </w:r>
    <w:r w:rsidRPr="0096121A">
      <w:rPr>
        <w:noProof/>
        <w:color w:val="17365D" w:themeColor="text2" w:themeShade="BF"/>
      </w:rPr>
      <mc:AlternateContent>
        <mc:Choice Requires="wps">
          <w:drawing>
            <wp:anchor distT="0" distB="0" distL="114300" distR="114300" simplePos="0" relativeHeight="251659264" behindDoc="0" locked="0" layoutInCell="1" allowOverlap="1" wp14:anchorId="025B4EE5" wp14:editId="03EE6922">
              <wp:simplePos x="0" y="0"/>
              <wp:positionH relativeFrom="column">
                <wp:posOffset>-354965</wp:posOffset>
              </wp:positionH>
              <wp:positionV relativeFrom="paragraph">
                <wp:posOffset>-115722</wp:posOffset>
              </wp:positionV>
              <wp:extent cx="5831840" cy="444500"/>
              <wp:effectExtent l="0" t="0" r="0" b="0"/>
              <wp:wrapNone/>
              <wp:docPr id="13" name="Rounded Rectangle 13"/>
              <wp:cNvGraphicFramePr/>
              <a:graphic xmlns:a="http://schemas.openxmlformats.org/drawingml/2006/main">
                <a:graphicData uri="http://schemas.microsoft.com/office/word/2010/wordprocessingShape">
                  <wps:wsp>
                    <wps:cNvSpPr/>
                    <wps:spPr>
                      <a:xfrm>
                        <a:off x="0" y="0"/>
                        <a:ext cx="5831840" cy="4445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1F6591AE" w14:textId="47F28621" w:rsidR="00C50725" w:rsidRPr="00386E30" w:rsidRDefault="00C50725" w:rsidP="00386E30">
                          <w:pPr>
                            <w:ind w:firstLine="0"/>
                            <w:jc w:val="center"/>
                            <w:rPr>
                              <w:color w:val="17365D"/>
                              <w:sz w:val="20"/>
                              <w:szCs w:val="20"/>
                            </w:rPr>
                          </w:pPr>
                          <w:r w:rsidRPr="008F21B9">
                            <w:rPr>
                              <w:noProof/>
                              <w:color w:val="17365D"/>
                              <w:sz w:val="20"/>
                              <w:szCs w:val="20"/>
                            </w:rPr>
                            <w:t>1_09_FMInfp2_</w:t>
                          </w:r>
                          <w:r w:rsidR="00E341A1">
                            <w:rPr>
                              <w:noProof/>
                              <w:color w:val="17365D"/>
                              <w:sz w:val="20"/>
                              <w:szCs w:val="20"/>
                            </w:rPr>
                            <w:t>160623</w:t>
                          </w:r>
                          <w:r w:rsidRPr="008F21B9">
                            <w:rPr>
                              <w:noProof/>
                              <w:color w:val="17365D"/>
                              <w:sz w:val="20"/>
                              <w:szCs w:val="20"/>
                            </w:rPr>
                            <w:t>_sk</w:t>
                          </w:r>
                          <w:r w:rsidRPr="008F21B9">
                            <w:rPr>
                              <w:color w:val="17365D"/>
                              <w:sz w:val="20"/>
                              <w:szCs w:val="20"/>
                            </w:rPr>
                            <w:t xml:space="preserve">; Latvijas Republikas </w:t>
                          </w:r>
                          <w:r w:rsidR="00E341A1">
                            <w:rPr>
                              <w:color w:val="17365D"/>
                              <w:sz w:val="20"/>
                              <w:szCs w:val="20"/>
                            </w:rPr>
                            <w:t>2022</w:t>
                          </w:r>
                          <w:r w:rsidRPr="008F21B9">
                            <w:rPr>
                              <w:color w:val="17365D"/>
                              <w:sz w:val="20"/>
                              <w:szCs w:val="20"/>
                            </w:rPr>
                            <w:t>. gada pārskats par valsts budžeta izpildi un par pašvaldību budžetiem; 1. sējums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5B4EE5" id="Rounded Rectangle 13" o:spid="_x0000_s1033" style="position:absolute;left:0;text-align:left;margin-left:-27.95pt;margin-top:-9.1pt;width:459.2pt;height: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" fillcolor="#dbe5f1 [660]" stroked="f" strokeweight="1pt">
              <v:stroke dashstyle="dash"/>
              <v:textbox>
                <w:txbxContent>
                  <w:p w14:paraId="1F6591AE" w14:textId="47F28621" w:rsidR="00C50725" w:rsidRPr="00386E30" w:rsidRDefault="00C50725" w:rsidP="00386E30">
                    <w:pPr>
                      <w:ind w:firstLine="0"/>
                      <w:jc w:val="center"/>
                      <w:rPr>
                        <w:color w:val="17365D"/>
                        <w:sz w:val="20"/>
                        <w:szCs w:val="20"/>
                      </w:rPr>
                    </w:pPr>
                    <w:r w:rsidRPr="008F21B9">
                      <w:rPr>
                        <w:noProof/>
                        <w:color w:val="17365D"/>
                        <w:sz w:val="20"/>
                        <w:szCs w:val="20"/>
                      </w:rPr>
                      <w:t>1_09_FMInfp2_</w:t>
                    </w:r>
                    <w:r w:rsidR="00E341A1">
                      <w:rPr>
                        <w:noProof/>
                        <w:color w:val="17365D"/>
                        <w:sz w:val="20"/>
                        <w:szCs w:val="20"/>
                      </w:rPr>
                      <w:t>160623</w:t>
                    </w:r>
                    <w:r w:rsidRPr="008F21B9">
                      <w:rPr>
                        <w:noProof/>
                        <w:color w:val="17365D"/>
                        <w:sz w:val="20"/>
                        <w:szCs w:val="20"/>
                      </w:rPr>
                      <w:t>_sk</w:t>
                    </w:r>
                    <w:r w:rsidRPr="008F21B9">
                      <w:rPr>
                        <w:color w:val="17365D"/>
                        <w:sz w:val="20"/>
                        <w:szCs w:val="20"/>
                      </w:rPr>
                      <w:t xml:space="preserve">; Latvijas Republikas </w:t>
                    </w:r>
                    <w:r w:rsidR="00E341A1">
                      <w:rPr>
                        <w:color w:val="17365D"/>
                        <w:sz w:val="20"/>
                        <w:szCs w:val="20"/>
                      </w:rPr>
                      <w:t>2022</w:t>
                    </w:r>
                    <w:r w:rsidRPr="008F21B9">
                      <w:rPr>
                        <w:color w:val="17365D"/>
                        <w:sz w:val="20"/>
                        <w:szCs w:val="20"/>
                      </w:rPr>
                      <w:t>. gada pārskats par valsts budžeta izpildi un par pašvaldību budžetiem; 1. sējums</w:t>
                    </w:r>
                  </w:p>
                </w:txbxContent>
              </v:textbox>
            </v:round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8D7BB" w14:textId="0A19B75C" w:rsidR="00C50725" w:rsidRDefault="00C50725">
    <w:pPr>
      <w:pStyle w:val="Footer"/>
    </w:pPr>
    <w:r>
      <w:rPr>
        <w:noProof/>
      </w:rPr>
      <mc:AlternateContent>
        <mc:Choice Requires="wps">
          <w:drawing>
            <wp:anchor distT="0" distB="0" distL="114300" distR="114300" simplePos="0" relativeHeight="251667456" behindDoc="0" locked="0" layoutInCell="1" allowOverlap="1" wp14:anchorId="14F490AA" wp14:editId="226E4222">
              <wp:simplePos x="0" y="0"/>
              <wp:positionH relativeFrom="column">
                <wp:posOffset>5615044</wp:posOffset>
              </wp:positionH>
              <wp:positionV relativeFrom="paragraph">
                <wp:posOffset>-99060</wp:posOffset>
              </wp:positionV>
              <wp:extent cx="471170" cy="24003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170" cy="240030"/>
                      </a:xfrm>
                      <a:prstGeom prst="rect">
                        <a:avLst/>
                      </a:prstGeom>
                      <a:noFill/>
                      <a:ln w="9525">
                        <a:noFill/>
                        <a:miter lim="800000"/>
                        <a:headEnd/>
                        <a:tailEnd/>
                      </a:ln>
                    </wps:spPr>
                    <wps:txbx>
                      <w:txbxContent>
                        <w:p w14:paraId="73AEF860" w14:textId="538EA5F5" w:rsidR="00C50725" w:rsidRPr="00324378" w:rsidRDefault="002873F0" w:rsidP="00985C91">
                          <w:pPr>
                            <w:ind w:firstLine="0"/>
                            <w:rPr>
                              <w:color w:val="17375E"/>
                              <w:sz w:val="20"/>
                              <w:szCs w:val="20"/>
                            </w:rPr>
                          </w:pPr>
                          <w:r>
                            <w:rPr>
                              <w:color w:val="17375E"/>
                              <w:sz w:val="20"/>
                              <w:szCs w:val="20"/>
                            </w:rPr>
                            <w:t>92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F490AA" id="_x0000_t202" coordsize="21600,21600" o:spt="202" path="m,l,21600r21600,l21600,xe">
              <v:stroke joinstyle="miter"/>
              <v:path gradientshapeok="t" o:connecttype="rect"/>
            </v:shapetype>
            <v:shape id="Text Box 2" o:spid="_x0000_s1034" type="#_x0000_t202" style="position:absolute;margin-left:442.15pt;margin-top:-7.8pt;width:37.1pt;height:18.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" filled="f" stroked="f">
              <v:textbox>
                <w:txbxContent>
                  <w:p w14:paraId="73AEF860" w14:textId="538EA5F5" w:rsidR="00C50725" w:rsidRPr="00324378" w:rsidRDefault="002873F0" w:rsidP="00985C91">
                    <w:pPr>
                      <w:ind w:firstLine="0"/>
                      <w:rPr>
                        <w:color w:val="17375E"/>
                        <w:sz w:val="20"/>
                        <w:szCs w:val="20"/>
                      </w:rPr>
                    </w:pPr>
                    <w:r>
                      <w:rPr>
                        <w:color w:val="17375E"/>
                        <w:sz w:val="20"/>
                        <w:szCs w:val="20"/>
                      </w:rPr>
                      <w:t>92</w:t>
                    </w:r>
                  </w:p>
                </w:txbxContent>
              </v:textbox>
            </v:shape>
          </w:pict>
        </mc:Fallback>
      </mc:AlternateContent>
    </w:r>
    <w:r w:rsidRPr="0096121A">
      <w:rPr>
        <w:noProof/>
        <w:color w:val="17365D" w:themeColor="text2" w:themeShade="BF"/>
      </w:rPr>
      <mc:AlternateContent>
        <mc:Choice Requires="wps">
          <w:drawing>
            <wp:anchor distT="0" distB="0" distL="114300" distR="114300" simplePos="0" relativeHeight="251665408" behindDoc="1" locked="0" layoutInCell="1" allowOverlap="1" wp14:anchorId="6C43EAD5" wp14:editId="3BE3A20A">
              <wp:simplePos x="0" y="0"/>
              <wp:positionH relativeFrom="column">
                <wp:posOffset>5560060</wp:posOffset>
              </wp:positionH>
              <wp:positionV relativeFrom="paragraph">
                <wp:posOffset>-99695</wp:posOffset>
              </wp:positionV>
              <wp:extent cx="456565" cy="279400"/>
              <wp:effectExtent l="0" t="0" r="635" b="6350"/>
              <wp:wrapNone/>
              <wp:docPr id="15" name="Rounded Rectangle 15"/>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2D28B4" id="Rounded Rectangle 15" o:spid="_x0000_s1026" style="position:absolute;margin-left:437.8pt;margin-top:-7.85pt;width:35.95pt;height:2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" fillcolor="#dbe5f1 [660]" stroked="f" strokeweight="1pt">
              <v:stroke dashstyle="dash"/>
            </v:roundrect>
          </w:pict>
        </mc:Fallback>
      </mc:AlternateContent>
    </w:r>
    <w:r w:rsidRPr="0096121A">
      <w:rPr>
        <w:noProof/>
        <w:color w:val="17365D" w:themeColor="text2" w:themeShade="BF"/>
      </w:rPr>
      <mc:AlternateContent>
        <mc:Choice Requires="wps">
          <w:drawing>
            <wp:anchor distT="0" distB="0" distL="114300" distR="114300" simplePos="0" relativeHeight="251663360" behindDoc="0" locked="0" layoutInCell="1" allowOverlap="1" wp14:anchorId="5F962C6F" wp14:editId="5920C03D">
              <wp:simplePos x="0" y="0"/>
              <wp:positionH relativeFrom="column">
                <wp:posOffset>-407213</wp:posOffset>
              </wp:positionH>
              <wp:positionV relativeFrom="paragraph">
                <wp:posOffset>-147320</wp:posOffset>
              </wp:positionV>
              <wp:extent cx="5831840" cy="444500"/>
              <wp:effectExtent l="0" t="0" r="0" b="0"/>
              <wp:wrapNone/>
              <wp:docPr id="14" name="Rounded Rectangle 14"/>
              <wp:cNvGraphicFramePr/>
              <a:graphic xmlns:a="http://schemas.openxmlformats.org/drawingml/2006/main">
                <a:graphicData uri="http://schemas.microsoft.com/office/word/2010/wordprocessingShape">
                  <wps:wsp>
                    <wps:cNvSpPr/>
                    <wps:spPr>
                      <a:xfrm>
                        <a:off x="0" y="0"/>
                        <a:ext cx="5831840" cy="4445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0BFF9204" w14:textId="4FAC429B" w:rsidR="00C50725" w:rsidRPr="00324378" w:rsidRDefault="00C50725" w:rsidP="00386E30">
                          <w:pPr>
                            <w:ind w:firstLine="0"/>
                            <w:jc w:val="center"/>
                            <w:rPr>
                              <w:color w:val="17365D"/>
                              <w:sz w:val="20"/>
                              <w:szCs w:val="20"/>
                            </w:rPr>
                          </w:pPr>
                          <w:r>
                            <w:rPr>
                              <w:noProof/>
                              <w:color w:val="17365D"/>
                              <w:sz w:val="20"/>
                              <w:szCs w:val="20"/>
                            </w:rPr>
                            <w:t>1_09</w:t>
                          </w:r>
                          <w:r w:rsidRPr="00821797">
                            <w:rPr>
                              <w:noProof/>
                              <w:color w:val="17365D"/>
                              <w:sz w:val="20"/>
                              <w:szCs w:val="20"/>
                            </w:rPr>
                            <w:t>_FMInf</w:t>
                          </w:r>
                          <w:r>
                            <w:rPr>
                              <w:noProof/>
                              <w:color w:val="17365D"/>
                              <w:sz w:val="20"/>
                              <w:szCs w:val="20"/>
                            </w:rPr>
                            <w:t>p2</w:t>
                          </w:r>
                          <w:r w:rsidRPr="00821797">
                            <w:rPr>
                              <w:noProof/>
                              <w:color w:val="17365D"/>
                              <w:sz w:val="20"/>
                              <w:szCs w:val="20"/>
                            </w:rPr>
                            <w:t>_</w:t>
                          </w:r>
                          <w:r w:rsidR="00D93292">
                            <w:rPr>
                              <w:noProof/>
                              <w:color w:val="17365D"/>
                              <w:sz w:val="20"/>
                              <w:szCs w:val="20"/>
                            </w:rPr>
                            <w:t>160623</w:t>
                          </w:r>
                          <w:r w:rsidRPr="00821797">
                            <w:rPr>
                              <w:noProof/>
                              <w:color w:val="17365D"/>
                              <w:sz w:val="20"/>
                              <w:szCs w:val="20"/>
                            </w:rPr>
                            <w:t>_sk</w:t>
                          </w:r>
                          <w:r w:rsidRPr="00821797">
                            <w:rPr>
                              <w:color w:val="17365D"/>
                              <w:sz w:val="20"/>
                              <w:szCs w:val="20"/>
                            </w:rPr>
                            <w:t xml:space="preserve">; Latvijas </w:t>
                          </w:r>
                          <w:r w:rsidRPr="008F21B9">
                            <w:rPr>
                              <w:color w:val="17365D"/>
                              <w:sz w:val="20"/>
                              <w:szCs w:val="20"/>
                            </w:rPr>
                            <w:t xml:space="preserve">Republikas </w:t>
                          </w:r>
                          <w:r w:rsidR="00D93292">
                            <w:rPr>
                              <w:color w:val="17365D"/>
                              <w:sz w:val="20"/>
                              <w:szCs w:val="20"/>
                            </w:rPr>
                            <w:t>2022</w:t>
                          </w:r>
                          <w:r w:rsidRPr="008F21B9">
                            <w:rPr>
                              <w:color w:val="17365D"/>
                              <w:sz w:val="20"/>
                              <w:szCs w:val="20"/>
                            </w:rPr>
                            <w:t>.</w:t>
                          </w:r>
                          <w:r w:rsidRPr="00821797">
                            <w:rPr>
                              <w:color w:val="17365D"/>
                              <w:sz w:val="20"/>
                              <w:szCs w:val="20"/>
                            </w:rPr>
                            <w:t> gada pārskats par valsts budžeta izpildi un par pašvaldību budžetiem; 1. sējums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962C6F" id="Rounded Rectangle 14" o:spid="_x0000_s1035" style="position:absolute;margin-left:-32.05pt;margin-top:-11.6pt;width:459.2pt;height: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" fillcolor="#dbe5f1 [660]" stroked="f" strokeweight="1pt">
              <v:stroke dashstyle="dash"/>
              <v:textbox>
                <w:txbxContent>
                  <w:p w14:paraId="0BFF9204" w14:textId="4FAC429B" w:rsidR="00C50725" w:rsidRPr="00324378" w:rsidRDefault="00C50725" w:rsidP="00386E30">
                    <w:pPr>
                      <w:ind w:firstLine="0"/>
                      <w:jc w:val="center"/>
                      <w:rPr>
                        <w:color w:val="17365D"/>
                        <w:sz w:val="20"/>
                        <w:szCs w:val="20"/>
                      </w:rPr>
                    </w:pPr>
                    <w:r>
                      <w:rPr>
                        <w:noProof/>
                        <w:color w:val="17365D"/>
                        <w:sz w:val="20"/>
                        <w:szCs w:val="20"/>
                      </w:rPr>
                      <w:t>1_09</w:t>
                    </w:r>
                    <w:r w:rsidRPr="00821797">
                      <w:rPr>
                        <w:noProof/>
                        <w:color w:val="17365D"/>
                        <w:sz w:val="20"/>
                        <w:szCs w:val="20"/>
                      </w:rPr>
                      <w:t>_FMInf</w:t>
                    </w:r>
                    <w:r>
                      <w:rPr>
                        <w:noProof/>
                        <w:color w:val="17365D"/>
                        <w:sz w:val="20"/>
                        <w:szCs w:val="20"/>
                      </w:rPr>
                      <w:t>p2</w:t>
                    </w:r>
                    <w:r w:rsidRPr="00821797">
                      <w:rPr>
                        <w:noProof/>
                        <w:color w:val="17365D"/>
                        <w:sz w:val="20"/>
                        <w:szCs w:val="20"/>
                      </w:rPr>
                      <w:t>_</w:t>
                    </w:r>
                    <w:r w:rsidR="00D93292">
                      <w:rPr>
                        <w:noProof/>
                        <w:color w:val="17365D"/>
                        <w:sz w:val="20"/>
                        <w:szCs w:val="20"/>
                      </w:rPr>
                      <w:t>160623</w:t>
                    </w:r>
                    <w:r w:rsidRPr="00821797">
                      <w:rPr>
                        <w:noProof/>
                        <w:color w:val="17365D"/>
                        <w:sz w:val="20"/>
                        <w:szCs w:val="20"/>
                      </w:rPr>
                      <w:t>_sk</w:t>
                    </w:r>
                    <w:r w:rsidRPr="00821797">
                      <w:rPr>
                        <w:color w:val="17365D"/>
                        <w:sz w:val="20"/>
                        <w:szCs w:val="20"/>
                      </w:rPr>
                      <w:t xml:space="preserve">; Latvijas </w:t>
                    </w:r>
                    <w:r w:rsidRPr="008F21B9">
                      <w:rPr>
                        <w:color w:val="17365D"/>
                        <w:sz w:val="20"/>
                        <w:szCs w:val="20"/>
                      </w:rPr>
                      <w:t xml:space="preserve">Republikas </w:t>
                    </w:r>
                    <w:r w:rsidR="00D93292">
                      <w:rPr>
                        <w:color w:val="17365D"/>
                        <w:sz w:val="20"/>
                        <w:szCs w:val="20"/>
                      </w:rPr>
                      <w:t>2022</w:t>
                    </w:r>
                    <w:r w:rsidRPr="008F21B9">
                      <w:rPr>
                        <w:color w:val="17365D"/>
                        <w:sz w:val="20"/>
                        <w:szCs w:val="20"/>
                      </w:rPr>
                      <w:t>.</w:t>
                    </w:r>
                    <w:r w:rsidRPr="00821797">
                      <w:rPr>
                        <w:color w:val="17365D"/>
                        <w:sz w:val="20"/>
                        <w:szCs w:val="20"/>
                      </w:rPr>
                      <w:t> gada pārskats par valsts budžeta izpildi un par pašvaldību budžetiem; 1. sējums</w:t>
                    </w:r>
                  </w:p>
                </w:txbxContent>
              </v:textbox>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B46ED" w14:textId="77777777" w:rsidR="00887FCA" w:rsidRPr="00283CCB" w:rsidRDefault="00887FCA">
      <w:pPr>
        <w:spacing w:after="0"/>
        <w:rPr>
          <w:color w:val="17365D"/>
        </w:rPr>
      </w:pPr>
      <w:r w:rsidRPr="00283CCB">
        <w:rPr>
          <w:color w:val="17365D"/>
        </w:rPr>
        <w:separator/>
      </w:r>
    </w:p>
  </w:footnote>
  <w:footnote w:type="continuationSeparator" w:id="0">
    <w:p w14:paraId="198A5405" w14:textId="77777777" w:rsidR="00887FCA" w:rsidRDefault="00887FCA">
      <w:pPr>
        <w:spacing w:after="0"/>
      </w:pPr>
      <w:r>
        <w:continuationSeparator/>
      </w:r>
    </w:p>
  </w:footnote>
  <w:footnote w:id="1">
    <w:p w14:paraId="1783BB1D" w14:textId="1D4F7169" w:rsidR="00C50725" w:rsidRPr="009E57A2" w:rsidRDefault="00C50725" w:rsidP="00421107">
      <w:pPr>
        <w:pStyle w:val="FootnoteText"/>
        <w:rPr>
          <w:color w:val="17375E"/>
        </w:rPr>
      </w:pPr>
      <w:r w:rsidRPr="009E57A2">
        <w:rPr>
          <w:rStyle w:val="FootnoteReference"/>
          <w:color w:val="17375E"/>
        </w:rPr>
        <w:footnoteRef/>
      </w:r>
      <w:r w:rsidRPr="009E57A2">
        <w:rPr>
          <w:color w:val="17375E"/>
        </w:rPr>
        <w:t xml:space="preserve"> </w:t>
      </w:r>
      <w:r w:rsidRPr="00ED3CBE">
        <w:rPr>
          <w:color w:val="17375E"/>
        </w:rPr>
        <w:t>šajā skaidrojumā aprēķinos lietota Centrālās statistikas pār</w:t>
      </w:r>
      <w:r w:rsidR="00D93292">
        <w:rPr>
          <w:color w:val="17375E"/>
        </w:rPr>
        <w:t>valdes mājas lapā publicētā 2022</w:t>
      </w:r>
      <w:r w:rsidRPr="00ED3CBE">
        <w:rPr>
          <w:color w:val="17375E"/>
        </w:rPr>
        <w:t xml:space="preserve">. gada IKP vērtība </w:t>
      </w:r>
      <w:r w:rsidRPr="00FC4A34">
        <w:rPr>
          <w:color w:val="17375E"/>
        </w:rPr>
        <w:t>3</w:t>
      </w:r>
      <w:r w:rsidR="00D93292" w:rsidRPr="00FC4A34">
        <w:rPr>
          <w:color w:val="17375E"/>
        </w:rPr>
        <w:t>9</w:t>
      </w:r>
      <w:r w:rsidRPr="00FC4A34">
        <w:rPr>
          <w:color w:val="17375E"/>
        </w:rPr>
        <w:t> </w:t>
      </w:r>
      <w:r w:rsidR="00D93292" w:rsidRPr="00FC4A34">
        <w:rPr>
          <w:color w:val="17375E"/>
        </w:rPr>
        <w:t>062</w:t>
      </w:r>
      <w:r w:rsidRPr="00FC4A34">
        <w:rPr>
          <w:color w:val="17375E"/>
        </w:rPr>
        <w:t>,5</w:t>
      </w:r>
      <w:r w:rsidRPr="008F21B9">
        <w:rPr>
          <w:color w:val="17375E"/>
        </w:rPr>
        <w:t xml:space="preserve"> milj. </w:t>
      </w:r>
      <w:proofErr w:type="spellStart"/>
      <w:r w:rsidRPr="008F21B9">
        <w:rPr>
          <w:i/>
          <w:color w:val="17375E"/>
        </w:rPr>
        <w:t>euro</w:t>
      </w:r>
      <w:proofErr w:type="spellEnd"/>
      <w:r w:rsidRPr="008C3A35">
        <w:rPr>
          <w:color w:val="17375E"/>
        </w:rPr>
        <w:t xml:space="preserve"> faktiskajās cenās.</w:t>
      </w:r>
    </w:p>
  </w:footnote>
  <w:footnote w:id="2">
    <w:p w14:paraId="66BDC28E" w14:textId="77777777" w:rsidR="00C50725" w:rsidRPr="009E57A2" w:rsidRDefault="00C50725" w:rsidP="00417F3E">
      <w:pPr>
        <w:pStyle w:val="FootnoteText"/>
        <w:rPr>
          <w:color w:val="17375E"/>
        </w:rPr>
      </w:pPr>
      <w:r w:rsidRPr="009E57A2">
        <w:rPr>
          <w:rStyle w:val="FootnoteReference"/>
          <w:color w:val="17375E"/>
        </w:rPr>
        <w:footnoteRef/>
      </w:r>
      <w:r w:rsidRPr="009E57A2">
        <w:rPr>
          <w:color w:val="17375E"/>
        </w:rPr>
        <w:t xml:space="preserve"> </w:t>
      </w:r>
      <w:r>
        <w:rPr>
          <w:color w:val="17375E"/>
        </w:rPr>
        <w:t xml:space="preserve">SURE - </w:t>
      </w:r>
      <w:r w:rsidRPr="00D15ADA">
        <w:rPr>
          <w:color w:val="17365D"/>
        </w:rPr>
        <w:t>Eiropas pagaidu atbalsta instruments bezdarba risku mazināšanai ārkārtas situācijā ir pieejams ES dalībvalstīm, kurām ir jāmobilizē ievērojami finanšu līdzekļi, lai cīnītos pret Covid-19 infekcijas uzliesmojuma negatīvajām ekonomiskajām un sociālajām sekām to teritorijā.</w:t>
      </w:r>
    </w:p>
  </w:footnote>
  <w:footnote w:id="3">
    <w:p w14:paraId="33AE122A" w14:textId="5BC9BB29" w:rsidR="00C50725" w:rsidRPr="008B7E8E" w:rsidRDefault="00C50725" w:rsidP="00077FE9">
      <w:pPr>
        <w:pStyle w:val="FootnoteText"/>
        <w:rPr>
          <w:color w:val="17375E"/>
        </w:rPr>
      </w:pPr>
      <w:r w:rsidRPr="008B7E8E">
        <w:rPr>
          <w:rStyle w:val="FootnoteReference"/>
          <w:color w:val="17375E"/>
        </w:rPr>
        <w:footnoteRef/>
      </w:r>
      <w:r w:rsidRPr="008B7E8E">
        <w:rPr>
          <w:color w:val="17375E"/>
        </w:rPr>
        <w:t xml:space="preserve"> </w:t>
      </w:r>
      <w:r w:rsidRPr="00821797">
        <w:rPr>
          <w:color w:val="17375E"/>
        </w:rPr>
        <w:t xml:space="preserve">šajā skaidrojumā aprēķinos lietots vidējais iedzīvotāju skaits teritorijā </w:t>
      </w:r>
      <w:r w:rsidRPr="008F21B9">
        <w:rPr>
          <w:color w:val="17375E"/>
        </w:rPr>
        <w:t>pārskata gada laikā (20</w:t>
      </w:r>
      <w:r>
        <w:rPr>
          <w:color w:val="17375E"/>
        </w:rPr>
        <w:t>2</w:t>
      </w:r>
      <w:r w:rsidR="004F4F05">
        <w:rPr>
          <w:color w:val="17375E"/>
        </w:rPr>
        <w:t>2</w:t>
      </w:r>
      <w:r w:rsidRPr="008F21B9">
        <w:rPr>
          <w:color w:val="17375E"/>
        </w:rPr>
        <w:t>. gada sākuma dati + 202</w:t>
      </w:r>
      <w:r w:rsidR="004F4F05">
        <w:rPr>
          <w:color w:val="17375E"/>
        </w:rPr>
        <w:t>3</w:t>
      </w:r>
      <w:r w:rsidRPr="008F21B9">
        <w:rPr>
          <w:color w:val="17375E"/>
        </w:rPr>
        <w:t>. gada sākuma dati / 2) pēc Centrālās statistikas pārvaldes mājas lapā publicētiem</w:t>
      </w:r>
      <w:r w:rsidRPr="00821797">
        <w:rPr>
          <w:color w:val="17375E"/>
        </w:rPr>
        <w:t xml:space="preserve"> datiem</w:t>
      </w:r>
      <w:r>
        <w:rPr>
          <w:color w:val="17375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6299A" w14:textId="77777777" w:rsidR="00C50725" w:rsidRPr="00AC33D4" w:rsidRDefault="00C50725" w:rsidP="00AB7DFF">
    <w:pPr>
      <w:pStyle w:val="Header"/>
      <w:jc w:val="center"/>
      <w:rPr>
        <w:color w:val="17365D"/>
      </w:rPr>
    </w:pPr>
    <w:r w:rsidRPr="00AC33D4">
      <w:rPr>
        <w:color w:val="17365D"/>
      </w:rPr>
      <w:t>SKAIDROJUMS PĀRSKATAM PAR VALSTS KONSOLIDĒTO PARĀDU</w:t>
    </w:r>
  </w:p>
  <w:p w14:paraId="50F6DA47" w14:textId="77777777" w:rsidR="00C50725" w:rsidRPr="00AC33D4" w:rsidRDefault="00C50725">
    <w:pPr>
      <w:pStyle w:val="Header"/>
      <w:rPr>
        <w:color w:val="17365D"/>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D4320"/>
    <w:multiLevelType w:val="hybridMultilevel"/>
    <w:tmpl w:val="BBB0DF2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BA637F"/>
    <w:multiLevelType w:val="hybridMultilevel"/>
    <w:tmpl w:val="9D96FB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4205327"/>
    <w:multiLevelType w:val="hybridMultilevel"/>
    <w:tmpl w:val="91D8B47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B694CBB"/>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25623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BB6F8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B558EE"/>
    <w:multiLevelType w:val="multilevel"/>
    <w:tmpl w:val="64684FCC"/>
    <w:styleLink w:val="Numercij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B4650A2"/>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C6F58C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F437DB"/>
    <w:multiLevelType w:val="multilevel"/>
    <w:tmpl w:val="64684FCC"/>
    <w:numStyleLink w:val="Numercija"/>
  </w:abstractNum>
  <w:abstractNum w:abstractNumId="10" w15:restartNumberingAfterBreak="0">
    <w:nsid w:val="2E2B7283"/>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FCD78EA"/>
    <w:multiLevelType w:val="multilevel"/>
    <w:tmpl w:val="63CAD210"/>
    <w:styleLink w:val="StyleOutlinenumberedLeft0cmHanging063cm"/>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ind w:left="4320" w:hanging="2052"/>
      </w:pPr>
      <w:rPr>
        <w:rFonts w:hint="default"/>
      </w:rPr>
    </w:lvl>
  </w:abstractNum>
  <w:abstractNum w:abstractNumId="12" w15:restartNumberingAfterBreak="0">
    <w:nsid w:val="309E5CDD"/>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F6538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562DE1"/>
    <w:multiLevelType w:val="multilevel"/>
    <w:tmpl w:val="0426001F"/>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DB2D9B"/>
    <w:multiLevelType w:val="multilevel"/>
    <w:tmpl w:val="91D8B47E"/>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4732B43"/>
    <w:multiLevelType w:val="multilevel"/>
    <w:tmpl w:val="0426001F"/>
    <w:styleLink w:val="Secganumercij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48B51B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5383BC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9EE618A"/>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BEB486E"/>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674057"/>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7A650BF"/>
    <w:multiLevelType w:val="multilevel"/>
    <w:tmpl w:val="F0E643E6"/>
    <w:styleLink w:val="StyleOutlinenumberedLeft0cmHanging063cm1"/>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tabs>
          <w:tab w:val="num" w:pos="17577"/>
        </w:tabs>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tabs>
          <w:tab w:val="num" w:pos="4536"/>
        </w:tabs>
        <w:ind w:left="4320" w:hanging="2052"/>
      </w:pPr>
      <w:rPr>
        <w:rFonts w:hint="default"/>
      </w:rPr>
    </w:lvl>
  </w:abstractNum>
  <w:abstractNum w:abstractNumId="23" w15:restartNumberingAfterBreak="0">
    <w:nsid w:val="57E004E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F260E9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FD82396"/>
    <w:multiLevelType w:val="hybridMultilevel"/>
    <w:tmpl w:val="B36E29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61CE6117"/>
    <w:multiLevelType w:val="multilevel"/>
    <w:tmpl w:val="0426001F"/>
    <w:numStyleLink w:val="Secganumercija"/>
  </w:abstractNum>
  <w:abstractNum w:abstractNumId="27" w15:restartNumberingAfterBreak="0">
    <w:nsid w:val="62DB3CBA"/>
    <w:multiLevelType w:val="hybridMultilevel"/>
    <w:tmpl w:val="DF6491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A1B5A38"/>
    <w:multiLevelType w:val="multilevel"/>
    <w:tmpl w:val="0426001F"/>
    <w:numStyleLink w:val="Secganumercija"/>
  </w:abstractNum>
  <w:abstractNum w:abstractNumId="29" w15:restartNumberingAfterBreak="0">
    <w:nsid w:val="6DD2687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E54683E"/>
    <w:multiLevelType w:val="multilevel"/>
    <w:tmpl w:val="0426001F"/>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9423B54"/>
    <w:multiLevelType w:val="multilevel"/>
    <w:tmpl w:val="0426001F"/>
    <w:numStyleLink w:val="Secganumercija"/>
  </w:abstractNum>
  <w:abstractNum w:abstractNumId="32" w15:restartNumberingAfterBreak="0">
    <w:nsid w:val="7AEC0A2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C4B164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C5B727F"/>
    <w:multiLevelType w:val="hybridMultilevel"/>
    <w:tmpl w:val="92649A34"/>
    <w:lvl w:ilvl="0" w:tplc="61985EDE">
      <w:start w:val="1"/>
      <w:numFmt w:val="bullet"/>
      <w:lvlText w:val=""/>
      <w:lvlJc w:val="left"/>
      <w:pPr>
        <w:ind w:left="1287"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27"/>
  </w:num>
  <w:num w:numId="4">
    <w:abstractNumId w:val="25"/>
  </w:num>
  <w:num w:numId="5">
    <w:abstractNumId w:val="29"/>
  </w:num>
  <w:num w:numId="6">
    <w:abstractNumId w:val="13"/>
  </w:num>
  <w:num w:numId="7">
    <w:abstractNumId w:val="33"/>
  </w:num>
  <w:num w:numId="8">
    <w:abstractNumId w:val="0"/>
  </w:num>
  <w:num w:numId="9">
    <w:abstractNumId w:val="23"/>
  </w:num>
  <w:num w:numId="10">
    <w:abstractNumId w:val="8"/>
  </w:num>
  <w:num w:numId="11">
    <w:abstractNumId w:val="17"/>
  </w:num>
  <w:num w:numId="12">
    <w:abstractNumId w:val="10"/>
  </w:num>
  <w:num w:numId="13">
    <w:abstractNumId w:val="1"/>
  </w:num>
  <w:num w:numId="14">
    <w:abstractNumId w:val="4"/>
  </w:num>
  <w:num w:numId="15">
    <w:abstractNumId w:val="3"/>
  </w:num>
  <w:num w:numId="16">
    <w:abstractNumId w:val="19"/>
  </w:num>
  <w:num w:numId="17">
    <w:abstractNumId w:val="12"/>
  </w:num>
  <w:num w:numId="18">
    <w:abstractNumId w:val="18"/>
  </w:num>
  <w:num w:numId="19">
    <w:abstractNumId w:val="24"/>
  </w:num>
  <w:num w:numId="20">
    <w:abstractNumId w:val="30"/>
  </w:num>
  <w:num w:numId="21">
    <w:abstractNumId w:val="32"/>
  </w:num>
  <w:num w:numId="22">
    <w:abstractNumId w:val="16"/>
  </w:num>
  <w:num w:numId="23">
    <w:abstractNumId w:val="6"/>
  </w:num>
  <w:num w:numId="24">
    <w:abstractNumId w:val="9"/>
  </w:num>
  <w:num w:numId="25">
    <w:abstractNumId w:val="21"/>
  </w:num>
  <w:num w:numId="26">
    <w:abstractNumId w:val="11"/>
  </w:num>
  <w:num w:numId="27">
    <w:abstractNumId w:val="22"/>
  </w:num>
  <w:num w:numId="28">
    <w:abstractNumId w:val="14"/>
  </w:num>
  <w:num w:numId="29">
    <w:abstractNumId w:val="5"/>
  </w:num>
  <w:num w:numId="30">
    <w:abstractNumId w:val="20"/>
  </w:num>
  <w:num w:numId="31">
    <w:abstractNumId w:val="7"/>
  </w:num>
  <w:num w:numId="32">
    <w:abstractNumId w:val="26"/>
  </w:num>
  <w:num w:numId="33">
    <w:abstractNumId w:val="26"/>
  </w:num>
  <w:num w:numId="34">
    <w:abstractNumId w:val="34"/>
  </w:num>
  <w:num w:numId="35">
    <w:abstractNumId w:val="28"/>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2A9"/>
    <w:rsid w:val="000019DD"/>
    <w:rsid w:val="00002A57"/>
    <w:rsid w:val="000101FB"/>
    <w:rsid w:val="00011672"/>
    <w:rsid w:val="00012F4B"/>
    <w:rsid w:val="00013A69"/>
    <w:rsid w:val="00013EBD"/>
    <w:rsid w:val="00014F84"/>
    <w:rsid w:val="00015BEF"/>
    <w:rsid w:val="00017F43"/>
    <w:rsid w:val="00020952"/>
    <w:rsid w:val="0002126A"/>
    <w:rsid w:val="00022160"/>
    <w:rsid w:val="00023423"/>
    <w:rsid w:val="0003137C"/>
    <w:rsid w:val="00032F1D"/>
    <w:rsid w:val="00034016"/>
    <w:rsid w:val="00036ABA"/>
    <w:rsid w:val="00040A75"/>
    <w:rsid w:val="0004416C"/>
    <w:rsid w:val="00045028"/>
    <w:rsid w:val="00046352"/>
    <w:rsid w:val="0004700D"/>
    <w:rsid w:val="0005039D"/>
    <w:rsid w:val="00052964"/>
    <w:rsid w:val="00054ED0"/>
    <w:rsid w:val="00077D35"/>
    <w:rsid w:val="00077FE9"/>
    <w:rsid w:val="00085560"/>
    <w:rsid w:val="000870C6"/>
    <w:rsid w:val="000874B6"/>
    <w:rsid w:val="000925ED"/>
    <w:rsid w:val="00092830"/>
    <w:rsid w:val="000933E9"/>
    <w:rsid w:val="000946A0"/>
    <w:rsid w:val="00096449"/>
    <w:rsid w:val="000A176A"/>
    <w:rsid w:val="000A4162"/>
    <w:rsid w:val="000A7203"/>
    <w:rsid w:val="000B5254"/>
    <w:rsid w:val="000C4C6E"/>
    <w:rsid w:val="000C5E6A"/>
    <w:rsid w:val="000D0E5B"/>
    <w:rsid w:val="000D2029"/>
    <w:rsid w:val="000D224A"/>
    <w:rsid w:val="000D2313"/>
    <w:rsid w:val="000D3818"/>
    <w:rsid w:val="000D4C9D"/>
    <w:rsid w:val="000D60E9"/>
    <w:rsid w:val="000D6E08"/>
    <w:rsid w:val="000D7030"/>
    <w:rsid w:val="000D754A"/>
    <w:rsid w:val="000D7B97"/>
    <w:rsid w:val="000D7FFB"/>
    <w:rsid w:val="000E058A"/>
    <w:rsid w:val="000E1779"/>
    <w:rsid w:val="000E442B"/>
    <w:rsid w:val="000E7E22"/>
    <w:rsid w:val="000F0BD6"/>
    <w:rsid w:val="000F24ED"/>
    <w:rsid w:val="000F355B"/>
    <w:rsid w:val="000F4D49"/>
    <w:rsid w:val="0010115F"/>
    <w:rsid w:val="00101767"/>
    <w:rsid w:val="0010395A"/>
    <w:rsid w:val="00105718"/>
    <w:rsid w:val="00111B00"/>
    <w:rsid w:val="001151BA"/>
    <w:rsid w:val="001155E8"/>
    <w:rsid w:val="00122A20"/>
    <w:rsid w:val="00123F69"/>
    <w:rsid w:val="00126222"/>
    <w:rsid w:val="00126DE9"/>
    <w:rsid w:val="00127066"/>
    <w:rsid w:val="0012724A"/>
    <w:rsid w:val="001275FA"/>
    <w:rsid w:val="00135651"/>
    <w:rsid w:val="0013604C"/>
    <w:rsid w:val="001457B9"/>
    <w:rsid w:val="0015171B"/>
    <w:rsid w:val="00153A2F"/>
    <w:rsid w:val="001552A9"/>
    <w:rsid w:val="001555AE"/>
    <w:rsid w:val="00155B0A"/>
    <w:rsid w:val="00162945"/>
    <w:rsid w:val="00164F89"/>
    <w:rsid w:val="001654D3"/>
    <w:rsid w:val="00171324"/>
    <w:rsid w:val="0017165A"/>
    <w:rsid w:val="00171C32"/>
    <w:rsid w:val="00172363"/>
    <w:rsid w:val="0017735C"/>
    <w:rsid w:val="00181EF0"/>
    <w:rsid w:val="001840E5"/>
    <w:rsid w:val="001853E4"/>
    <w:rsid w:val="00186864"/>
    <w:rsid w:val="001928D8"/>
    <w:rsid w:val="00192D04"/>
    <w:rsid w:val="0019545B"/>
    <w:rsid w:val="00196723"/>
    <w:rsid w:val="00197C08"/>
    <w:rsid w:val="001A0A53"/>
    <w:rsid w:val="001A0EEC"/>
    <w:rsid w:val="001A1CC9"/>
    <w:rsid w:val="001A668D"/>
    <w:rsid w:val="001B093E"/>
    <w:rsid w:val="001B1D11"/>
    <w:rsid w:val="001B3C70"/>
    <w:rsid w:val="001B75A7"/>
    <w:rsid w:val="001B762D"/>
    <w:rsid w:val="001B7902"/>
    <w:rsid w:val="001C4676"/>
    <w:rsid w:val="001D09A8"/>
    <w:rsid w:val="001D46E8"/>
    <w:rsid w:val="001D4DAD"/>
    <w:rsid w:val="001D6881"/>
    <w:rsid w:val="001D6E5E"/>
    <w:rsid w:val="001D7528"/>
    <w:rsid w:val="001E1F8B"/>
    <w:rsid w:val="001E32F8"/>
    <w:rsid w:val="001E37D1"/>
    <w:rsid w:val="001F346F"/>
    <w:rsid w:val="001F52A1"/>
    <w:rsid w:val="001F63F8"/>
    <w:rsid w:val="00200988"/>
    <w:rsid w:val="00201AB0"/>
    <w:rsid w:val="002044DB"/>
    <w:rsid w:val="002067EE"/>
    <w:rsid w:val="0021199E"/>
    <w:rsid w:val="002127EB"/>
    <w:rsid w:val="0021538E"/>
    <w:rsid w:val="00215819"/>
    <w:rsid w:val="00215B6B"/>
    <w:rsid w:val="00216140"/>
    <w:rsid w:val="00221087"/>
    <w:rsid w:val="00223D27"/>
    <w:rsid w:val="00223DBB"/>
    <w:rsid w:val="00233009"/>
    <w:rsid w:val="00234748"/>
    <w:rsid w:val="002354D1"/>
    <w:rsid w:val="00242D9D"/>
    <w:rsid w:val="002437F1"/>
    <w:rsid w:val="002439D3"/>
    <w:rsid w:val="002453AB"/>
    <w:rsid w:val="00246505"/>
    <w:rsid w:val="002471F5"/>
    <w:rsid w:val="00252BAE"/>
    <w:rsid w:val="00257EE6"/>
    <w:rsid w:val="0026008A"/>
    <w:rsid w:val="00262EE8"/>
    <w:rsid w:val="0026425C"/>
    <w:rsid w:val="00264BBD"/>
    <w:rsid w:val="002659B4"/>
    <w:rsid w:val="002702F0"/>
    <w:rsid w:val="00271215"/>
    <w:rsid w:val="002720EC"/>
    <w:rsid w:val="002745BD"/>
    <w:rsid w:val="00275536"/>
    <w:rsid w:val="00276960"/>
    <w:rsid w:val="002773C4"/>
    <w:rsid w:val="00282590"/>
    <w:rsid w:val="00283CCB"/>
    <w:rsid w:val="0028407E"/>
    <w:rsid w:val="0028604C"/>
    <w:rsid w:val="00286DDA"/>
    <w:rsid w:val="002873F0"/>
    <w:rsid w:val="00291665"/>
    <w:rsid w:val="00292488"/>
    <w:rsid w:val="002941BF"/>
    <w:rsid w:val="002958D1"/>
    <w:rsid w:val="00296D95"/>
    <w:rsid w:val="002973DD"/>
    <w:rsid w:val="00297C2C"/>
    <w:rsid w:val="002A069D"/>
    <w:rsid w:val="002A4A1C"/>
    <w:rsid w:val="002A7BB8"/>
    <w:rsid w:val="002B0695"/>
    <w:rsid w:val="002B38F1"/>
    <w:rsid w:val="002B4C2A"/>
    <w:rsid w:val="002C1DA9"/>
    <w:rsid w:val="002D2AEC"/>
    <w:rsid w:val="002D2C80"/>
    <w:rsid w:val="002D6571"/>
    <w:rsid w:val="002E0C3A"/>
    <w:rsid w:val="002E5449"/>
    <w:rsid w:val="002E59EC"/>
    <w:rsid w:val="002F425E"/>
    <w:rsid w:val="002F5B3A"/>
    <w:rsid w:val="00300CDC"/>
    <w:rsid w:val="00301A1E"/>
    <w:rsid w:val="00303646"/>
    <w:rsid w:val="003039D8"/>
    <w:rsid w:val="0030473B"/>
    <w:rsid w:val="00310AC2"/>
    <w:rsid w:val="00311041"/>
    <w:rsid w:val="003129D4"/>
    <w:rsid w:val="00312D93"/>
    <w:rsid w:val="0031382C"/>
    <w:rsid w:val="00313B39"/>
    <w:rsid w:val="0031474D"/>
    <w:rsid w:val="0032118A"/>
    <w:rsid w:val="003220D9"/>
    <w:rsid w:val="00322E60"/>
    <w:rsid w:val="00323AAE"/>
    <w:rsid w:val="00324378"/>
    <w:rsid w:val="0032732A"/>
    <w:rsid w:val="00332E8F"/>
    <w:rsid w:val="00334E71"/>
    <w:rsid w:val="00334F6A"/>
    <w:rsid w:val="0033556E"/>
    <w:rsid w:val="00336CBF"/>
    <w:rsid w:val="003411BB"/>
    <w:rsid w:val="003427EF"/>
    <w:rsid w:val="0034559A"/>
    <w:rsid w:val="003455D2"/>
    <w:rsid w:val="00360550"/>
    <w:rsid w:val="0036074F"/>
    <w:rsid w:val="00362B4F"/>
    <w:rsid w:val="00365AE7"/>
    <w:rsid w:val="00367AEE"/>
    <w:rsid w:val="00371A82"/>
    <w:rsid w:val="00372A4E"/>
    <w:rsid w:val="003752BC"/>
    <w:rsid w:val="00375510"/>
    <w:rsid w:val="00381619"/>
    <w:rsid w:val="0038665B"/>
    <w:rsid w:val="00386E30"/>
    <w:rsid w:val="0039264F"/>
    <w:rsid w:val="00393359"/>
    <w:rsid w:val="00393B03"/>
    <w:rsid w:val="00393E87"/>
    <w:rsid w:val="003963F8"/>
    <w:rsid w:val="003A03DE"/>
    <w:rsid w:val="003A28CB"/>
    <w:rsid w:val="003A2EC6"/>
    <w:rsid w:val="003A5B49"/>
    <w:rsid w:val="003A66B7"/>
    <w:rsid w:val="003A7F99"/>
    <w:rsid w:val="003B58CD"/>
    <w:rsid w:val="003B76B8"/>
    <w:rsid w:val="003C1213"/>
    <w:rsid w:val="003C3945"/>
    <w:rsid w:val="003C590D"/>
    <w:rsid w:val="003C64E6"/>
    <w:rsid w:val="003D08A5"/>
    <w:rsid w:val="003D1BC7"/>
    <w:rsid w:val="003D21EE"/>
    <w:rsid w:val="003D4260"/>
    <w:rsid w:val="003D5A99"/>
    <w:rsid w:val="003D5DA1"/>
    <w:rsid w:val="003E2C31"/>
    <w:rsid w:val="003E2DEA"/>
    <w:rsid w:val="003E347F"/>
    <w:rsid w:val="003E3DDE"/>
    <w:rsid w:val="003F16F7"/>
    <w:rsid w:val="003F29A8"/>
    <w:rsid w:val="003F3CF0"/>
    <w:rsid w:val="003F42C8"/>
    <w:rsid w:val="003F60B1"/>
    <w:rsid w:val="003F6954"/>
    <w:rsid w:val="003F6BBC"/>
    <w:rsid w:val="00402A41"/>
    <w:rsid w:val="004031DE"/>
    <w:rsid w:val="004100B9"/>
    <w:rsid w:val="00410F40"/>
    <w:rsid w:val="00413559"/>
    <w:rsid w:val="00417F3E"/>
    <w:rsid w:val="00421107"/>
    <w:rsid w:val="00424C76"/>
    <w:rsid w:val="00425DDE"/>
    <w:rsid w:val="00427438"/>
    <w:rsid w:val="0042763B"/>
    <w:rsid w:val="00430473"/>
    <w:rsid w:val="00430E33"/>
    <w:rsid w:val="004316FE"/>
    <w:rsid w:val="00431B5A"/>
    <w:rsid w:val="004335EA"/>
    <w:rsid w:val="00433AFA"/>
    <w:rsid w:val="00434BEC"/>
    <w:rsid w:val="00445046"/>
    <w:rsid w:val="004461E6"/>
    <w:rsid w:val="004474E3"/>
    <w:rsid w:val="00447B2C"/>
    <w:rsid w:val="00454888"/>
    <w:rsid w:val="00455C98"/>
    <w:rsid w:val="00456756"/>
    <w:rsid w:val="0045705C"/>
    <w:rsid w:val="00464F65"/>
    <w:rsid w:val="004654F1"/>
    <w:rsid w:val="004714AD"/>
    <w:rsid w:val="0047158A"/>
    <w:rsid w:val="00471B08"/>
    <w:rsid w:val="00472787"/>
    <w:rsid w:val="00474C18"/>
    <w:rsid w:val="00475F0D"/>
    <w:rsid w:val="004764F1"/>
    <w:rsid w:val="00477BE5"/>
    <w:rsid w:val="00477F42"/>
    <w:rsid w:val="00482F79"/>
    <w:rsid w:val="004927BD"/>
    <w:rsid w:val="004931B4"/>
    <w:rsid w:val="0049325A"/>
    <w:rsid w:val="004935DC"/>
    <w:rsid w:val="004958AD"/>
    <w:rsid w:val="0049780E"/>
    <w:rsid w:val="00497A56"/>
    <w:rsid w:val="004A0F65"/>
    <w:rsid w:val="004A3DEC"/>
    <w:rsid w:val="004A4D0A"/>
    <w:rsid w:val="004A75AE"/>
    <w:rsid w:val="004B0739"/>
    <w:rsid w:val="004B2393"/>
    <w:rsid w:val="004B4A48"/>
    <w:rsid w:val="004B679C"/>
    <w:rsid w:val="004C6275"/>
    <w:rsid w:val="004D0F51"/>
    <w:rsid w:val="004D35C6"/>
    <w:rsid w:val="004D3BC9"/>
    <w:rsid w:val="004D4BC2"/>
    <w:rsid w:val="004D7097"/>
    <w:rsid w:val="004D70E5"/>
    <w:rsid w:val="004E1640"/>
    <w:rsid w:val="004E277C"/>
    <w:rsid w:val="004E3F45"/>
    <w:rsid w:val="004E7162"/>
    <w:rsid w:val="004F06F1"/>
    <w:rsid w:val="004F273C"/>
    <w:rsid w:val="004F3663"/>
    <w:rsid w:val="004F4F05"/>
    <w:rsid w:val="004F57BC"/>
    <w:rsid w:val="00501593"/>
    <w:rsid w:val="0050178A"/>
    <w:rsid w:val="0050236F"/>
    <w:rsid w:val="0050537A"/>
    <w:rsid w:val="00510D9C"/>
    <w:rsid w:val="005112B6"/>
    <w:rsid w:val="00515A05"/>
    <w:rsid w:val="00516415"/>
    <w:rsid w:val="005228B7"/>
    <w:rsid w:val="00524453"/>
    <w:rsid w:val="00524C1F"/>
    <w:rsid w:val="00530279"/>
    <w:rsid w:val="00533636"/>
    <w:rsid w:val="00533955"/>
    <w:rsid w:val="005340E0"/>
    <w:rsid w:val="00534855"/>
    <w:rsid w:val="005370BC"/>
    <w:rsid w:val="005375FC"/>
    <w:rsid w:val="00537B06"/>
    <w:rsid w:val="00540997"/>
    <w:rsid w:val="005566E0"/>
    <w:rsid w:val="005602AF"/>
    <w:rsid w:val="00560C88"/>
    <w:rsid w:val="0056305D"/>
    <w:rsid w:val="0056570F"/>
    <w:rsid w:val="005748AA"/>
    <w:rsid w:val="00577020"/>
    <w:rsid w:val="005774B3"/>
    <w:rsid w:val="005812CE"/>
    <w:rsid w:val="00583B2B"/>
    <w:rsid w:val="00584057"/>
    <w:rsid w:val="00584636"/>
    <w:rsid w:val="00585113"/>
    <w:rsid w:val="00586CC3"/>
    <w:rsid w:val="005A1258"/>
    <w:rsid w:val="005A4040"/>
    <w:rsid w:val="005A4F46"/>
    <w:rsid w:val="005A6CEB"/>
    <w:rsid w:val="005B0DAE"/>
    <w:rsid w:val="005B747D"/>
    <w:rsid w:val="005C0C23"/>
    <w:rsid w:val="005C63C3"/>
    <w:rsid w:val="005C6C41"/>
    <w:rsid w:val="005C6ED6"/>
    <w:rsid w:val="005D074D"/>
    <w:rsid w:val="005D1C6E"/>
    <w:rsid w:val="005D2F59"/>
    <w:rsid w:val="005D4C1E"/>
    <w:rsid w:val="005D6D28"/>
    <w:rsid w:val="005D7080"/>
    <w:rsid w:val="005E7247"/>
    <w:rsid w:val="005F0057"/>
    <w:rsid w:val="005F5629"/>
    <w:rsid w:val="005F5EA5"/>
    <w:rsid w:val="005F6313"/>
    <w:rsid w:val="00601D88"/>
    <w:rsid w:val="00603EF5"/>
    <w:rsid w:val="00606665"/>
    <w:rsid w:val="00606E13"/>
    <w:rsid w:val="00614A68"/>
    <w:rsid w:val="0061737C"/>
    <w:rsid w:val="00620A13"/>
    <w:rsid w:val="00622B12"/>
    <w:rsid w:val="006232A9"/>
    <w:rsid w:val="00623B28"/>
    <w:rsid w:val="00630619"/>
    <w:rsid w:val="00632254"/>
    <w:rsid w:val="00636A2E"/>
    <w:rsid w:val="0064323B"/>
    <w:rsid w:val="00643498"/>
    <w:rsid w:val="00643EB0"/>
    <w:rsid w:val="00644B24"/>
    <w:rsid w:val="006464EB"/>
    <w:rsid w:val="0065024F"/>
    <w:rsid w:val="00653B97"/>
    <w:rsid w:val="006556C6"/>
    <w:rsid w:val="0065571F"/>
    <w:rsid w:val="00655F53"/>
    <w:rsid w:val="00657B1C"/>
    <w:rsid w:val="00664222"/>
    <w:rsid w:val="00665EA5"/>
    <w:rsid w:val="00666C95"/>
    <w:rsid w:val="00671F05"/>
    <w:rsid w:val="00674E15"/>
    <w:rsid w:val="00676112"/>
    <w:rsid w:val="00684694"/>
    <w:rsid w:val="006855DE"/>
    <w:rsid w:val="006858BF"/>
    <w:rsid w:val="00691A31"/>
    <w:rsid w:val="00697EC4"/>
    <w:rsid w:val="006A2E88"/>
    <w:rsid w:val="006A3514"/>
    <w:rsid w:val="006B040F"/>
    <w:rsid w:val="006B2693"/>
    <w:rsid w:val="006B3C86"/>
    <w:rsid w:val="006B4081"/>
    <w:rsid w:val="006B5563"/>
    <w:rsid w:val="006C11A2"/>
    <w:rsid w:val="006C2B38"/>
    <w:rsid w:val="006C6B24"/>
    <w:rsid w:val="006D3676"/>
    <w:rsid w:val="006D4944"/>
    <w:rsid w:val="006D567F"/>
    <w:rsid w:val="006D5BE8"/>
    <w:rsid w:val="006D5E85"/>
    <w:rsid w:val="006E10CD"/>
    <w:rsid w:val="006E1279"/>
    <w:rsid w:val="006E4CE6"/>
    <w:rsid w:val="006E6FB7"/>
    <w:rsid w:val="006F0799"/>
    <w:rsid w:val="006F3D97"/>
    <w:rsid w:val="006F4BA2"/>
    <w:rsid w:val="006F5FCE"/>
    <w:rsid w:val="006F6C0D"/>
    <w:rsid w:val="007004C6"/>
    <w:rsid w:val="0070702F"/>
    <w:rsid w:val="0071319A"/>
    <w:rsid w:val="00713418"/>
    <w:rsid w:val="00714D8E"/>
    <w:rsid w:val="00724ACF"/>
    <w:rsid w:val="00730A88"/>
    <w:rsid w:val="00737A7C"/>
    <w:rsid w:val="00741183"/>
    <w:rsid w:val="007411C0"/>
    <w:rsid w:val="007414C5"/>
    <w:rsid w:val="00741670"/>
    <w:rsid w:val="00741734"/>
    <w:rsid w:val="007425B7"/>
    <w:rsid w:val="0074455B"/>
    <w:rsid w:val="00744C26"/>
    <w:rsid w:val="0075509E"/>
    <w:rsid w:val="00757113"/>
    <w:rsid w:val="00757CC8"/>
    <w:rsid w:val="007601D4"/>
    <w:rsid w:val="007629F9"/>
    <w:rsid w:val="00762CE7"/>
    <w:rsid w:val="0076439F"/>
    <w:rsid w:val="00764A88"/>
    <w:rsid w:val="00764B13"/>
    <w:rsid w:val="00764B39"/>
    <w:rsid w:val="00773226"/>
    <w:rsid w:val="00773F40"/>
    <w:rsid w:val="00777D01"/>
    <w:rsid w:val="00781FC4"/>
    <w:rsid w:val="00785EAA"/>
    <w:rsid w:val="00787A3F"/>
    <w:rsid w:val="007932C1"/>
    <w:rsid w:val="007939CD"/>
    <w:rsid w:val="007A151A"/>
    <w:rsid w:val="007A534C"/>
    <w:rsid w:val="007A6E2E"/>
    <w:rsid w:val="007B33E9"/>
    <w:rsid w:val="007B3E6E"/>
    <w:rsid w:val="007B4AC5"/>
    <w:rsid w:val="007B51DC"/>
    <w:rsid w:val="007C21EF"/>
    <w:rsid w:val="007C3499"/>
    <w:rsid w:val="007C4446"/>
    <w:rsid w:val="007C5B17"/>
    <w:rsid w:val="007D259A"/>
    <w:rsid w:val="007D3665"/>
    <w:rsid w:val="007D404E"/>
    <w:rsid w:val="007D51CA"/>
    <w:rsid w:val="007D75AC"/>
    <w:rsid w:val="007E0FEE"/>
    <w:rsid w:val="007E543C"/>
    <w:rsid w:val="007E545E"/>
    <w:rsid w:val="007E6258"/>
    <w:rsid w:val="007E6EBA"/>
    <w:rsid w:val="007F1CA4"/>
    <w:rsid w:val="008042FC"/>
    <w:rsid w:val="00816E3D"/>
    <w:rsid w:val="00821797"/>
    <w:rsid w:val="00823131"/>
    <w:rsid w:val="008233B0"/>
    <w:rsid w:val="0082407C"/>
    <w:rsid w:val="00825488"/>
    <w:rsid w:val="00825FB5"/>
    <w:rsid w:val="00833EE8"/>
    <w:rsid w:val="00835239"/>
    <w:rsid w:val="0083655E"/>
    <w:rsid w:val="008427F9"/>
    <w:rsid w:val="008432D7"/>
    <w:rsid w:val="00843AAB"/>
    <w:rsid w:val="00846FBC"/>
    <w:rsid w:val="00847511"/>
    <w:rsid w:val="0084767D"/>
    <w:rsid w:val="008511E8"/>
    <w:rsid w:val="0085210B"/>
    <w:rsid w:val="008536EE"/>
    <w:rsid w:val="008544CB"/>
    <w:rsid w:val="00854917"/>
    <w:rsid w:val="00855095"/>
    <w:rsid w:val="0085701A"/>
    <w:rsid w:val="0087299B"/>
    <w:rsid w:val="00873212"/>
    <w:rsid w:val="0088427B"/>
    <w:rsid w:val="00884765"/>
    <w:rsid w:val="00885BC8"/>
    <w:rsid w:val="00886B33"/>
    <w:rsid w:val="00887FCA"/>
    <w:rsid w:val="0089127A"/>
    <w:rsid w:val="00891805"/>
    <w:rsid w:val="00891CFD"/>
    <w:rsid w:val="008924BA"/>
    <w:rsid w:val="008942FD"/>
    <w:rsid w:val="008945EE"/>
    <w:rsid w:val="0089749E"/>
    <w:rsid w:val="00897F46"/>
    <w:rsid w:val="008A0232"/>
    <w:rsid w:val="008A60FD"/>
    <w:rsid w:val="008A66A2"/>
    <w:rsid w:val="008B4528"/>
    <w:rsid w:val="008B6DC9"/>
    <w:rsid w:val="008B7E8E"/>
    <w:rsid w:val="008C3A35"/>
    <w:rsid w:val="008C700C"/>
    <w:rsid w:val="008C7E1E"/>
    <w:rsid w:val="008D29D0"/>
    <w:rsid w:val="008D315B"/>
    <w:rsid w:val="008D3905"/>
    <w:rsid w:val="008E0510"/>
    <w:rsid w:val="008E1959"/>
    <w:rsid w:val="008E2422"/>
    <w:rsid w:val="008E312C"/>
    <w:rsid w:val="008E3177"/>
    <w:rsid w:val="008E665A"/>
    <w:rsid w:val="008E7570"/>
    <w:rsid w:val="008F20E1"/>
    <w:rsid w:val="008F21B9"/>
    <w:rsid w:val="008F21D0"/>
    <w:rsid w:val="008F2B0C"/>
    <w:rsid w:val="008F447F"/>
    <w:rsid w:val="008F4C14"/>
    <w:rsid w:val="008F510E"/>
    <w:rsid w:val="008F5CED"/>
    <w:rsid w:val="00900642"/>
    <w:rsid w:val="00900AEE"/>
    <w:rsid w:val="00901F7C"/>
    <w:rsid w:val="0090260E"/>
    <w:rsid w:val="00902C65"/>
    <w:rsid w:val="00906DBE"/>
    <w:rsid w:val="00906E35"/>
    <w:rsid w:val="009079B9"/>
    <w:rsid w:val="00912C86"/>
    <w:rsid w:val="00916BF7"/>
    <w:rsid w:val="0091791C"/>
    <w:rsid w:val="00922230"/>
    <w:rsid w:val="0092725E"/>
    <w:rsid w:val="00927BC9"/>
    <w:rsid w:val="0093182E"/>
    <w:rsid w:val="00937C3F"/>
    <w:rsid w:val="00945DA1"/>
    <w:rsid w:val="00945FCB"/>
    <w:rsid w:val="009463A5"/>
    <w:rsid w:val="0094755A"/>
    <w:rsid w:val="009520E7"/>
    <w:rsid w:val="009527D9"/>
    <w:rsid w:val="0095452E"/>
    <w:rsid w:val="0095669E"/>
    <w:rsid w:val="009569ED"/>
    <w:rsid w:val="0095703D"/>
    <w:rsid w:val="00957D80"/>
    <w:rsid w:val="00962A97"/>
    <w:rsid w:val="00962BDA"/>
    <w:rsid w:val="00964B00"/>
    <w:rsid w:val="0096712E"/>
    <w:rsid w:val="00967364"/>
    <w:rsid w:val="009702EF"/>
    <w:rsid w:val="009716BE"/>
    <w:rsid w:val="0097237C"/>
    <w:rsid w:val="009731A8"/>
    <w:rsid w:val="00974496"/>
    <w:rsid w:val="0097674F"/>
    <w:rsid w:val="00976F00"/>
    <w:rsid w:val="00981BE9"/>
    <w:rsid w:val="009832F1"/>
    <w:rsid w:val="00984210"/>
    <w:rsid w:val="00984FFA"/>
    <w:rsid w:val="009854D4"/>
    <w:rsid w:val="00985864"/>
    <w:rsid w:val="00985C91"/>
    <w:rsid w:val="0099050A"/>
    <w:rsid w:val="00996E54"/>
    <w:rsid w:val="009A08DA"/>
    <w:rsid w:val="009A1849"/>
    <w:rsid w:val="009A1FE7"/>
    <w:rsid w:val="009A2307"/>
    <w:rsid w:val="009B05B7"/>
    <w:rsid w:val="009B0B43"/>
    <w:rsid w:val="009B2202"/>
    <w:rsid w:val="009B45CC"/>
    <w:rsid w:val="009B50CB"/>
    <w:rsid w:val="009B71F4"/>
    <w:rsid w:val="009B7DB1"/>
    <w:rsid w:val="009C5D08"/>
    <w:rsid w:val="009C6020"/>
    <w:rsid w:val="009C73F7"/>
    <w:rsid w:val="009C7CE1"/>
    <w:rsid w:val="009D1510"/>
    <w:rsid w:val="009D4755"/>
    <w:rsid w:val="009D5190"/>
    <w:rsid w:val="009D5775"/>
    <w:rsid w:val="009D6605"/>
    <w:rsid w:val="009D69D3"/>
    <w:rsid w:val="009D76FB"/>
    <w:rsid w:val="009E2E82"/>
    <w:rsid w:val="009E3C04"/>
    <w:rsid w:val="009E4786"/>
    <w:rsid w:val="009E57A2"/>
    <w:rsid w:val="009E5AA7"/>
    <w:rsid w:val="009E76D3"/>
    <w:rsid w:val="009F5F52"/>
    <w:rsid w:val="009F6429"/>
    <w:rsid w:val="00A024A4"/>
    <w:rsid w:val="00A053AC"/>
    <w:rsid w:val="00A14233"/>
    <w:rsid w:val="00A14B0C"/>
    <w:rsid w:val="00A17833"/>
    <w:rsid w:val="00A21D9C"/>
    <w:rsid w:val="00A21DC5"/>
    <w:rsid w:val="00A21FDB"/>
    <w:rsid w:val="00A24014"/>
    <w:rsid w:val="00A2789A"/>
    <w:rsid w:val="00A3017A"/>
    <w:rsid w:val="00A34770"/>
    <w:rsid w:val="00A36DBE"/>
    <w:rsid w:val="00A420EA"/>
    <w:rsid w:val="00A44923"/>
    <w:rsid w:val="00A53EBE"/>
    <w:rsid w:val="00A55D5E"/>
    <w:rsid w:val="00A561E0"/>
    <w:rsid w:val="00A600E7"/>
    <w:rsid w:val="00A60632"/>
    <w:rsid w:val="00A60C0A"/>
    <w:rsid w:val="00A6160B"/>
    <w:rsid w:val="00A67DB3"/>
    <w:rsid w:val="00A7414F"/>
    <w:rsid w:val="00A742BB"/>
    <w:rsid w:val="00A854E1"/>
    <w:rsid w:val="00A90CE4"/>
    <w:rsid w:val="00A938E8"/>
    <w:rsid w:val="00A961C8"/>
    <w:rsid w:val="00A97A5E"/>
    <w:rsid w:val="00AA2A56"/>
    <w:rsid w:val="00AA2A7F"/>
    <w:rsid w:val="00AA4E95"/>
    <w:rsid w:val="00AA7E4A"/>
    <w:rsid w:val="00AB33BF"/>
    <w:rsid w:val="00AB7799"/>
    <w:rsid w:val="00AB7DFF"/>
    <w:rsid w:val="00AC2AEF"/>
    <w:rsid w:val="00AC2B0D"/>
    <w:rsid w:val="00AC33D4"/>
    <w:rsid w:val="00AC66EF"/>
    <w:rsid w:val="00AC6E3B"/>
    <w:rsid w:val="00AD19C6"/>
    <w:rsid w:val="00AD49AD"/>
    <w:rsid w:val="00AE2BCA"/>
    <w:rsid w:val="00AE3938"/>
    <w:rsid w:val="00AE3AE3"/>
    <w:rsid w:val="00AE7885"/>
    <w:rsid w:val="00AF14AF"/>
    <w:rsid w:val="00AF38E3"/>
    <w:rsid w:val="00AF5532"/>
    <w:rsid w:val="00B01300"/>
    <w:rsid w:val="00B04A3B"/>
    <w:rsid w:val="00B2254A"/>
    <w:rsid w:val="00B253AF"/>
    <w:rsid w:val="00B27E88"/>
    <w:rsid w:val="00B316AD"/>
    <w:rsid w:val="00B33F5D"/>
    <w:rsid w:val="00B34A2D"/>
    <w:rsid w:val="00B363CA"/>
    <w:rsid w:val="00B42AB1"/>
    <w:rsid w:val="00B44D09"/>
    <w:rsid w:val="00B5207D"/>
    <w:rsid w:val="00B53C22"/>
    <w:rsid w:val="00B54742"/>
    <w:rsid w:val="00B54C16"/>
    <w:rsid w:val="00B54DB1"/>
    <w:rsid w:val="00B5573B"/>
    <w:rsid w:val="00B56C8F"/>
    <w:rsid w:val="00B61ADD"/>
    <w:rsid w:val="00B627F8"/>
    <w:rsid w:val="00B6350E"/>
    <w:rsid w:val="00B6508C"/>
    <w:rsid w:val="00B65387"/>
    <w:rsid w:val="00B7150F"/>
    <w:rsid w:val="00B734B2"/>
    <w:rsid w:val="00B73823"/>
    <w:rsid w:val="00B802F3"/>
    <w:rsid w:val="00B81097"/>
    <w:rsid w:val="00B81779"/>
    <w:rsid w:val="00B8212D"/>
    <w:rsid w:val="00B855A5"/>
    <w:rsid w:val="00B87C54"/>
    <w:rsid w:val="00B912DC"/>
    <w:rsid w:val="00B91B92"/>
    <w:rsid w:val="00B94834"/>
    <w:rsid w:val="00B961BD"/>
    <w:rsid w:val="00B97936"/>
    <w:rsid w:val="00BA0171"/>
    <w:rsid w:val="00BA06E1"/>
    <w:rsid w:val="00BA0757"/>
    <w:rsid w:val="00BA1C68"/>
    <w:rsid w:val="00BA21BF"/>
    <w:rsid w:val="00BA34AA"/>
    <w:rsid w:val="00BA45D4"/>
    <w:rsid w:val="00BA5046"/>
    <w:rsid w:val="00BA77A8"/>
    <w:rsid w:val="00BA7EA2"/>
    <w:rsid w:val="00BB0B67"/>
    <w:rsid w:val="00BB18BB"/>
    <w:rsid w:val="00BB2E7C"/>
    <w:rsid w:val="00BB6CC0"/>
    <w:rsid w:val="00BB711D"/>
    <w:rsid w:val="00BC38C8"/>
    <w:rsid w:val="00BC5AB1"/>
    <w:rsid w:val="00BD23E1"/>
    <w:rsid w:val="00BD2879"/>
    <w:rsid w:val="00BD30D1"/>
    <w:rsid w:val="00BD5249"/>
    <w:rsid w:val="00BD6B3C"/>
    <w:rsid w:val="00BD76E7"/>
    <w:rsid w:val="00BE0055"/>
    <w:rsid w:val="00BE1C08"/>
    <w:rsid w:val="00BE1F85"/>
    <w:rsid w:val="00BE591D"/>
    <w:rsid w:val="00BE67B9"/>
    <w:rsid w:val="00BE73CE"/>
    <w:rsid w:val="00BF1052"/>
    <w:rsid w:val="00BF2839"/>
    <w:rsid w:val="00BF629B"/>
    <w:rsid w:val="00C00C48"/>
    <w:rsid w:val="00C02A81"/>
    <w:rsid w:val="00C040FA"/>
    <w:rsid w:val="00C066A7"/>
    <w:rsid w:val="00C10A1E"/>
    <w:rsid w:val="00C10E85"/>
    <w:rsid w:val="00C12AA3"/>
    <w:rsid w:val="00C14CBA"/>
    <w:rsid w:val="00C1729F"/>
    <w:rsid w:val="00C2123F"/>
    <w:rsid w:val="00C22069"/>
    <w:rsid w:val="00C2397E"/>
    <w:rsid w:val="00C25067"/>
    <w:rsid w:val="00C257FB"/>
    <w:rsid w:val="00C35952"/>
    <w:rsid w:val="00C36301"/>
    <w:rsid w:val="00C369BE"/>
    <w:rsid w:val="00C40065"/>
    <w:rsid w:val="00C41DC9"/>
    <w:rsid w:val="00C43444"/>
    <w:rsid w:val="00C43F22"/>
    <w:rsid w:val="00C442F3"/>
    <w:rsid w:val="00C50725"/>
    <w:rsid w:val="00C5237D"/>
    <w:rsid w:val="00C5321E"/>
    <w:rsid w:val="00C56C82"/>
    <w:rsid w:val="00C615EF"/>
    <w:rsid w:val="00C64BC5"/>
    <w:rsid w:val="00C64F07"/>
    <w:rsid w:val="00C658DA"/>
    <w:rsid w:val="00C663B0"/>
    <w:rsid w:val="00C67122"/>
    <w:rsid w:val="00C702F7"/>
    <w:rsid w:val="00C72114"/>
    <w:rsid w:val="00C75915"/>
    <w:rsid w:val="00C77FB9"/>
    <w:rsid w:val="00C81B81"/>
    <w:rsid w:val="00C83162"/>
    <w:rsid w:val="00C840B7"/>
    <w:rsid w:val="00C91DCB"/>
    <w:rsid w:val="00C9218D"/>
    <w:rsid w:val="00C95163"/>
    <w:rsid w:val="00C958DC"/>
    <w:rsid w:val="00C97AFD"/>
    <w:rsid w:val="00CA0374"/>
    <w:rsid w:val="00CA08EA"/>
    <w:rsid w:val="00CA0903"/>
    <w:rsid w:val="00CA2BC9"/>
    <w:rsid w:val="00CA2C8B"/>
    <w:rsid w:val="00CA3005"/>
    <w:rsid w:val="00CA33D5"/>
    <w:rsid w:val="00CA4279"/>
    <w:rsid w:val="00CA5DC4"/>
    <w:rsid w:val="00CA68F5"/>
    <w:rsid w:val="00CB4860"/>
    <w:rsid w:val="00CB5825"/>
    <w:rsid w:val="00CB645A"/>
    <w:rsid w:val="00CB66C5"/>
    <w:rsid w:val="00CC1D9A"/>
    <w:rsid w:val="00CC1E79"/>
    <w:rsid w:val="00CD620A"/>
    <w:rsid w:val="00CD63EE"/>
    <w:rsid w:val="00CE02F3"/>
    <w:rsid w:val="00CF7E66"/>
    <w:rsid w:val="00D0089D"/>
    <w:rsid w:val="00D0120F"/>
    <w:rsid w:val="00D020A8"/>
    <w:rsid w:val="00D025AB"/>
    <w:rsid w:val="00D03B4C"/>
    <w:rsid w:val="00D04D2F"/>
    <w:rsid w:val="00D152D3"/>
    <w:rsid w:val="00D15ADA"/>
    <w:rsid w:val="00D2009D"/>
    <w:rsid w:val="00D20659"/>
    <w:rsid w:val="00D26B37"/>
    <w:rsid w:val="00D27357"/>
    <w:rsid w:val="00D313D3"/>
    <w:rsid w:val="00D3259D"/>
    <w:rsid w:val="00D36863"/>
    <w:rsid w:val="00D37EBF"/>
    <w:rsid w:val="00D42188"/>
    <w:rsid w:val="00D42E50"/>
    <w:rsid w:val="00D44B25"/>
    <w:rsid w:val="00D51DFE"/>
    <w:rsid w:val="00D51E3E"/>
    <w:rsid w:val="00D520CD"/>
    <w:rsid w:val="00D52EF9"/>
    <w:rsid w:val="00D5323E"/>
    <w:rsid w:val="00D539DB"/>
    <w:rsid w:val="00D55AB4"/>
    <w:rsid w:val="00D6198E"/>
    <w:rsid w:val="00D64F51"/>
    <w:rsid w:val="00D67C67"/>
    <w:rsid w:val="00D7102A"/>
    <w:rsid w:val="00D7236B"/>
    <w:rsid w:val="00D749D1"/>
    <w:rsid w:val="00D75691"/>
    <w:rsid w:val="00D86DA7"/>
    <w:rsid w:val="00D9046D"/>
    <w:rsid w:val="00D90C62"/>
    <w:rsid w:val="00D93292"/>
    <w:rsid w:val="00D95D18"/>
    <w:rsid w:val="00D97B55"/>
    <w:rsid w:val="00DA32BC"/>
    <w:rsid w:val="00DA7BD0"/>
    <w:rsid w:val="00DB3294"/>
    <w:rsid w:val="00DB4CF2"/>
    <w:rsid w:val="00DB6773"/>
    <w:rsid w:val="00DC0B13"/>
    <w:rsid w:val="00DC298D"/>
    <w:rsid w:val="00DC7469"/>
    <w:rsid w:val="00DD14F1"/>
    <w:rsid w:val="00DD3AED"/>
    <w:rsid w:val="00DD6839"/>
    <w:rsid w:val="00DE0EED"/>
    <w:rsid w:val="00DE1C4C"/>
    <w:rsid w:val="00DE4B9A"/>
    <w:rsid w:val="00DE538C"/>
    <w:rsid w:val="00DE543B"/>
    <w:rsid w:val="00DE5769"/>
    <w:rsid w:val="00DE7FC1"/>
    <w:rsid w:val="00DF0031"/>
    <w:rsid w:val="00DF0DD4"/>
    <w:rsid w:val="00DF16D1"/>
    <w:rsid w:val="00DF190B"/>
    <w:rsid w:val="00DF417F"/>
    <w:rsid w:val="00E0248D"/>
    <w:rsid w:val="00E02E02"/>
    <w:rsid w:val="00E02E6C"/>
    <w:rsid w:val="00E1003B"/>
    <w:rsid w:val="00E1373E"/>
    <w:rsid w:val="00E15A66"/>
    <w:rsid w:val="00E211FF"/>
    <w:rsid w:val="00E23502"/>
    <w:rsid w:val="00E24666"/>
    <w:rsid w:val="00E25A40"/>
    <w:rsid w:val="00E26027"/>
    <w:rsid w:val="00E341A1"/>
    <w:rsid w:val="00E365FB"/>
    <w:rsid w:val="00E36E5D"/>
    <w:rsid w:val="00E40047"/>
    <w:rsid w:val="00E42D55"/>
    <w:rsid w:val="00E448A2"/>
    <w:rsid w:val="00E4600E"/>
    <w:rsid w:val="00E46B9F"/>
    <w:rsid w:val="00E538A3"/>
    <w:rsid w:val="00E5573D"/>
    <w:rsid w:val="00E55D2C"/>
    <w:rsid w:val="00E56812"/>
    <w:rsid w:val="00E61DE2"/>
    <w:rsid w:val="00E63054"/>
    <w:rsid w:val="00E631DA"/>
    <w:rsid w:val="00E7014A"/>
    <w:rsid w:val="00E71E5B"/>
    <w:rsid w:val="00E73669"/>
    <w:rsid w:val="00E75120"/>
    <w:rsid w:val="00E81932"/>
    <w:rsid w:val="00E81AEC"/>
    <w:rsid w:val="00E917BB"/>
    <w:rsid w:val="00E92C87"/>
    <w:rsid w:val="00E939F2"/>
    <w:rsid w:val="00E93C4E"/>
    <w:rsid w:val="00E9487B"/>
    <w:rsid w:val="00E97669"/>
    <w:rsid w:val="00EA0689"/>
    <w:rsid w:val="00EA1AAC"/>
    <w:rsid w:val="00EA6D03"/>
    <w:rsid w:val="00EA788F"/>
    <w:rsid w:val="00EB1E9C"/>
    <w:rsid w:val="00EB5017"/>
    <w:rsid w:val="00EB5231"/>
    <w:rsid w:val="00EB5337"/>
    <w:rsid w:val="00EC0395"/>
    <w:rsid w:val="00EC40C2"/>
    <w:rsid w:val="00EC6D94"/>
    <w:rsid w:val="00ED051D"/>
    <w:rsid w:val="00ED0FF6"/>
    <w:rsid w:val="00ED3298"/>
    <w:rsid w:val="00ED3CBE"/>
    <w:rsid w:val="00ED411E"/>
    <w:rsid w:val="00ED6E6E"/>
    <w:rsid w:val="00EE439E"/>
    <w:rsid w:val="00EF1EB8"/>
    <w:rsid w:val="00EF560B"/>
    <w:rsid w:val="00EF5AE5"/>
    <w:rsid w:val="00EF6CCD"/>
    <w:rsid w:val="00EF6FA1"/>
    <w:rsid w:val="00EF70FB"/>
    <w:rsid w:val="00EF714F"/>
    <w:rsid w:val="00F05D47"/>
    <w:rsid w:val="00F07418"/>
    <w:rsid w:val="00F10595"/>
    <w:rsid w:val="00F10D58"/>
    <w:rsid w:val="00F10E37"/>
    <w:rsid w:val="00F140CF"/>
    <w:rsid w:val="00F14635"/>
    <w:rsid w:val="00F14B78"/>
    <w:rsid w:val="00F16FE7"/>
    <w:rsid w:val="00F20763"/>
    <w:rsid w:val="00F2180E"/>
    <w:rsid w:val="00F231BB"/>
    <w:rsid w:val="00F24281"/>
    <w:rsid w:val="00F24980"/>
    <w:rsid w:val="00F27773"/>
    <w:rsid w:val="00F310B8"/>
    <w:rsid w:val="00F310C4"/>
    <w:rsid w:val="00F324A5"/>
    <w:rsid w:val="00F33D8A"/>
    <w:rsid w:val="00F33E6C"/>
    <w:rsid w:val="00F3615E"/>
    <w:rsid w:val="00F37908"/>
    <w:rsid w:val="00F40829"/>
    <w:rsid w:val="00F44E7F"/>
    <w:rsid w:val="00F45241"/>
    <w:rsid w:val="00F4597F"/>
    <w:rsid w:val="00F47040"/>
    <w:rsid w:val="00F50D49"/>
    <w:rsid w:val="00F539EC"/>
    <w:rsid w:val="00F54751"/>
    <w:rsid w:val="00F55058"/>
    <w:rsid w:val="00F562B1"/>
    <w:rsid w:val="00F616E4"/>
    <w:rsid w:val="00F6182B"/>
    <w:rsid w:val="00F62D76"/>
    <w:rsid w:val="00F6473B"/>
    <w:rsid w:val="00F7311A"/>
    <w:rsid w:val="00F75941"/>
    <w:rsid w:val="00F75FDE"/>
    <w:rsid w:val="00F776BA"/>
    <w:rsid w:val="00F77808"/>
    <w:rsid w:val="00F77E53"/>
    <w:rsid w:val="00F8023D"/>
    <w:rsid w:val="00F86DCE"/>
    <w:rsid w:val="00F8775B"/>
    <w:rsid w:val="00F9132D"/>
    <w:rsid w:val="00F93114"/>
    <w:rsid w:val="00F931A8"/>
    <w:rsid w:val="00F9757B"/>
    <w:rsid w:val="00FA0CC5"/>
    <w:rsid w:val="00FA5E3A"/>
    <w:rsid w:val="00FA6753"/>
    <w:rsid w:val="00FA7153"/>
    <w:rsid w:val="00FA7D08"/>
    <w:rsid w:val="00FB3600"/>
    <w:rsid w:val="00FB5B88"/>
    <w:rsid w:val="00FB7EBD"/>
    <w:rsid w:val="00FC1BEA"/>
    <w:rsid w:val="00FC4A34"/>
    <w:rsid w:val="00FC64A4"/>
    <w:rsid w:val="00FC7202"/>
    <w:rsid w:val="00FD11A4"/>
    <w:rsid w:val="00FD151F"/>
    <w:rsid w:val="00FD3C16"/>
    <w:rsid w:val="00FE0536"/>
    <w:rsid w:val="00FE7240"/>
    <w:rsid w:val="00FE755A"/>
    <w:rsid w:val="00FF2189"/>
    <w:rsid w:val="00FF296A"/>
    <w:rsid w:val="00FF5C80"/>
    <w:rsid w:val="00FF67CC"/>
    <w:rsid w:val="00FF690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362DE7B3"/>
  <w15:docId w15:val="{E68EEF0A-D347-4AD7-B49F-763C90D4B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5AB4"/>
    <w:pPr>
      <w:spacing w:after="120" w:line="240" w:lineRule="auto"/>
      <w:ind w:firstLine="567"/>
      <w:jc w:val="both"/>
    </w:pPr>
    <w:rPr>
      <w:rFonts w:ascii="Times New Roman" w:eastAsia="Times New Roman" w:hAnsi="Times New Roman" w:cs="Times New Roman"/>
      <w:sz w:val="24"/>
      <w:szCs w:val="24"/>
      <w:lang w:eastAsia="lv-LV"/>
    </w:rPr>
  </w:style>
  <w:style w:type="paragraph" w:styleId="Heading1">
    <w:name w:val="heading 1"/>
    <w:basedOn w:val="Pamatteksts"/>
    <w:next w:val="Pamatteksts"/>
    <w:link w:val="Heading1Char"/>
    <w:qFormat/>
    <w:rsid w:val="00ED051D"/>
    <w:pPr>
      <w:keepNext/>
      <w:keepLines/>
      <w:spacing w:before="360"/>
      <w:ind w:firstLine="0"/>
      <w:outlineLvl w:val="0"/>
    </w:pPr>
    <w:rPr>
      <w:rFonts w:eastAsiaTheme="majorEastAsia" w:cstheme="majorBidi"/>
      <w:b/>
      <w:bCs/>
      <w:szCs w:val="28"/>
      <w:u w:val="single"/>
    </w:rPr>
  </w:style>
  <w:style w:type="paragraph" w:styleId="Heading2">
    <w:name w:val="heading 2"/>
    <w:basedOn w:val="Pamatteksts"/>
    <w:next w:val="Pamatteksts"/>
    <w:link w:val="Heading2Char"/>
    <w:unhideWhenUsed/>
    <w:qFormat/>
    <w:rsid w:val="00ED051D"/>
    <w:pPr>
      <w:keepNext/>
      <w:keepLines/>
      <w:spacing w:before="240"/>
      <w:ind w:left="284" w:firstLine="0"/>
      <w:outlineLvl w:val="1"/>
    </w:pPr>
    <w:rPr>
      <w:rFonts w:eastAsiaTheme="majorEastAsia" w:cstheme="majorBidi"/>
      <w:b/>
      <w:bCs/>
      <w:szCs w:val="26"/>
    </w:rPr>
  </w:style>
  <w:style w:type="paragraph" w:styleId="Heading3">
    <w:name w:val="heading 3"/>
    <w:basedOn w:val="Pamatteksts"/>
    <w:next w:val="Pamatteksts"/>
    <w:link w:val="Heading3Char"/>
    <w:unhideWhenUsed/>
    <w:qFormat/>
    <w:rsid w:val="00ED051D"/>
    <w:pPr>
      <w:keepNext/>
      <w:keepLines/>
      <w:spacing w:before="240"/>
      <w:ind w:left="567" w:firstLine="0"/>
      <w:outlineLvl w:val="2"/>
    </w:pPr>
    <w:rPr>
      <w:rFonts w:eastAsiaTheme="majorEastAsia" w:cstheme="majorBidi"/>
      <w:b/>
      <w:bCs/>
      <w:i/>
    </w:rPr>
  </w:style>
  <w:style w:type="paragraph" w:styleId="Heading6">
    <w:name w:val="heading 6"/>
    <w:basedOn w:val="Normal"/>
    <w:next w:val="Normal"/>
    <w:link w:val="Heading6Char"/>
    <w:uiPriority w:val="9"/>
    <w:semiHidden/>
    <w:unhideWhenUsed/>
    <w:qFormat/>
    <w:rsid w:val="005C6ED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051D"/>
    <w:rPr>
      <w:rFonts w:ascii="Times New Roman" w:eastAsiaTheme="majorEastAsia" w:hAnsi="Times New Roman" w:cstheme="majorBidi"/>
      <w:b/>
      <w:bCs/>
      <w:noProof/>
      <w:color w:val="000000" w:themeColor="text1"/>
      <w:sz w:val="24"/>
      <w:szCs w:val="28"/>
      <w:u w:val="single"/>
      <w:lang w:eastAsia="lv-LV"/>
    </w:rPr>
  </w:style>
  <w:style w:type="character" w:customStyle="1" w:styleId="Heading2Char">
    <w:name w:val="Heading 2 Char"/>
    <w:basedOn w:val="DefaultParagraphFont"/>
    <w:link w:val="Heading2"/>
    <w:rsid w:val="00ED051D"/>
    <w:rPr>
      <w:rFonts w:ascii="Times New Roman" w:eastAsiaTheme="majorEastAsia" w:hAnsi="Times New Roman" w:cstheme="majorBidi"/>
      <w:b/>
      <w:bCs/>
      <w:noProof/>
      <w:color w:val="000000" w:themeColor="text1"/>
      <w:sz w:val="24"/>
      <w:szCs w:val="26"/>
      <w:lang w:eastAsia="lv-LV"/>
    </w:rPr>
  </w:style>
  <w:style w:type="character" w:customStyle="1" w:styleId="Heading3Char">
    <w:name w:val="Heading 3 Char"/>
    <w:basedOn w:val="DefaultParagraphFont"/>
    <w:link w:val="Heading3"/>
    <w:rsid w:val="00ED051D"/>
    <w:rPr>
      <w:rFonts w:ascii="Times New Roman" w:eastAsiaTheme="majorEastAsia" w:hAnsi="Times New Roman" w:cstheme="majorBidi"/>
      <w:b/>
      <w:bCs/>
      <w:i/>
      <w:noProof/>
      <w:color w:val="000000" w:themeColor="text1"/>
      <w:sz w:val="24"/>
      <w:szCs w:val="24"/>
      <w:lang w:eastAsia="lv-LV"/>
    </w:rPr>
  </w:style>
  <w:style w:type="paragraph" w:styleId="Title">
    <w:name w:val="Title"/>
    <w:basedOn w:val="Pamatteksts"/>
    <w:next w:val="Pamatteksts"/>
    <w:link w:val="TitleChar"/>
    <w:qFormat/>
    <w:rsid w:val="00741734"/>
    <w:pPr>
      <w:spacing w:after="300"/>
      <w:ind w:firstLine="0"/>
      <w:jc w:val="center"/>
    </w:pPr>
    <w:rPr>
      <w:rFonts w:eastAsiaTheme="majorEastAsia" w:cstheme="majorBidi"/>
      <w:b/>
      <w:spacing w:val="5"/>
      <w:kern w:val="28"/>
      <w:sz w:val="28"/>
      <w:szCs w:val="52"/>
    </w:rPr>
  </w:style>
  <w:style w:type="character" w:customStyle="1" w:styleId="TitleChar">
    <w:name w:val="Title Char"/>
    <w:basedOn w:val="DefaultParagraphFont"/>
    <w:link w:val="Title"/>
    <w:rsid w:val="00741734"/>
    <w:rPr>
      <w:rFonts w:ascii="Times New Roman" w:eastAsiaTheme="majorEastAsia" w:hAnsi="Times New Roman" w:cstheme="majorBidi"/>
      <w:b/>
      <w:noProof/>
      <w:color w:val="000000" w:themeColor="text1"/>
      <w:spacing w:val="5"/>
      <w:kern w:val="28"/>
      <w:sz w:val="28"/>
      <w:szCs w:val="52"/>
      <w:lang w:eastAsia="lv-LV"/>
    </w:rPr>
  </w:style>
  <w:style w:type="character" w:styleId="Hyperlink">
    <w:name w:val="Hyperlink"/>
    <w:basedOn w:val="DefaultParagraphFont"/>
    <w:uiPriority w:val="99"/>
    <w:unhideWhenUsed/>
    <w:rsid w:val="00D55AB4"/>
    <w:rPr>
      <w:color w:val="0000FF"/>
      <w:u w:val="single"/>
    </w:rPr>
  </w:style>
  <w:style w:type="paragraph" w:styleId="ListParagraph">
    <w:name w:val="List Paragraph"/>
    <w:basedOn w:val="Normal"/>
    <w:uiPriority w:val="34"/>
    <w:qFormat/>
    <w:rsid w:val="00D55AB4"/>
    <w:pPr>
      <w:ind w:left="720"/>
      <w:contextualSpacing/>
    </w:pPr>
  </w:style>
  <w:style w:type="table" w:styleId="TableGrid">
    <w:name w:val="Table Grid"/>
    <w:basedOn w:val="TableNormal"/>
    <w:rsid w:val="00D55AB4"/>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reseProgramm">
    <w:name w:val="Adrese Programmā"/>
    <w:basedOn w:val="DefaultParagraphFont"/>
    <w:uiPriority w:val="1"/>
    <w:qFormat/>
    <w:rsid w:val="00D55AB4"/>
    <w:rPr>
      <w:rFonts w:ascii="Times New Roman" w:hAnsi="Times New Roman"/>
      <w:b/>
      <w:i w:val="0"/>
      <w:color w:val="auto"/>
      <w:sz w:val="20"/>
      <w:u w:val="none"/>
      <w14:shadow w14:blurRad="50800" w14:dist="38100" w14:dir="0" w14:sx="100000" w14:sy="100000" w14:kx="0" w14:ky="0" w14:algn="l">
        <w14:schemeClr w14:val="tx2">
          <w14:alpha w14:val="60000"/>
          <w14:lumMod w14:val="20000"/>
          <w14:lumOff w14:val="80000"/>
        </w14:schemeClr>
      </w14:shadow>
      <w14:reflection w14:blurRad="88900" w14:stA="68000" w14:stPos="0" w14:endA="0" w14:endPos="45500" w14:dist="0" w14:dir="5400000" w14:fadeDir="5400000" w14:sx="100000" w14:sy="-100000" w14:kx="0" w14:ky="0" w14:algn="bl"/>
      <w14:textOutline w14:w="9525" w14:cap="rnd" w14:cmpd="sng" w14:algn="ctr">
        <w14:noFill/>
        <w14:prstDash w14:val="solid"/>
        <w14:bevel/>
      </w14:textOutline>
    </w:rPr>
  </w:style>
  <w:style w:type="numbering" w:customStyle="1" w:styleId="Secganumercija">
    <w:name w:val="Secīga numerācija"/>
    <w:basedOn w:val="NoList"/>
    <w:rsid w:val="00D55AB4"/>
    <w:pPr>
      <w:numPr>
        <w:numId w:val="22"/>
      </w:numPr>
    </w:pPr>
  </w:style>
  <w:style w:type="paragraph" w:styleId="Header">
    <w:name w:val="header"/>
    <w:link w:val="HeaderChar"/>
    <w:uiPriority w:val="99"/>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HeaderChar">
    <w:name w:val="Header Char"/>
    <w:basedOn w:val="DefaultParagraphFont"/>
    <w:link w:val="Header"/>
    <w:uiPriority w:val="99"/>
    <w:rsid w:val="00D55AB4"/>
    <w:rPr>
      <w:rFonts w:ascii="Times New Roman" w:eastAsia="Times New Roman" w:hAnsi="Times New Roman" w:cs="Times New Roman"/>
      <w:sz w:val="20"/>
      <w:szCs w:val="24"/>
      <w:lang w:eastAsia="lv-LV"/>
    </w:rPr>
  </w:style>
  <w:style w:type="paragraph" w:styleId="Footer">
    <w:name w:val="footer"/>
    <w:link w:val="FooterChar"/>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FooterChar">
    <w:name w:val="Footer Char"/>
    <w:basedOn w:val="DefaultParagraphFont"/>
    <w:link w:val="Footer"/>
    <w:uiPriority w:val="99"/>
    <w:rsid w:val="00D55AB4"/>
    <w:rPr>
      <w:rFonts w:ascii="Times New Roman" w:eastAsia="Times New Roman" w:hAnsi="Times New Roman" w:cs="Times New Roman"/>
      <w:sz w:val="20"/>
      <w:szCs w:val="24"/>
      <w:lang w:eastAsia="lv-LV"/>
    </w:rPr>
  </w:style>
  <w:style w:type="paragraph" w:styleId="TOCHeading">
    <w:name w:val="TOC Heading"/>
    <w:basedOn w:val="Heading1"/>
    <w:next w:val="Normal"/>
    <w:uiPriority w:val="39"/>
    <w:semiHidden/>
    <w:unhideWhenUsed/>
    <w:qFormat/>
    <w:rsid w:val="00D55AB4"/>
    <w:pPr>
      <w:spacing w:before="480" w:after="0" w:line="276" w:lineRule="auto"/>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rsid w:val="00D55AB4"/>
    <w:pPr>
      <w:tabs>
        <w:tab w:val="right" w:leader="dot" w:pos="9061"/>
      </w:tabs>
      <w:spacing w:after="60"/>
    </w:pPr>
    <w:rPr>
      <w:b/>
      <w:u w:val="single"/>
    </w:rPr>
  </w:style>
  <w:style w:type="paragraph" w:styleId="TOC2">
    <w:name w:val="toc 2"/>
    <w:basedOn w:val="Normal"/>
    <w:next w:val="Normal"/>
    <w:autoRedefine/>
    <w:uiPriority w:val="39"/>
    <w:rsid w:val="00D55AB4"/>
    <w:pPr>
      <w:spacing w:after="60"/>
      <w:ind w:left="238"/>
    </w:pPr>
    <w:rPr>
      <w:b/>
      <w:i/>
    </w:rPr>
  </w:style>
  <w:style w:type="paragraph" w:styleId="TOC3">
    <w:name w:val="toc 3"/>
    <w:basedOn w:val="Normal"/>
    <w:next w:val="Normal"/>
    <w:autoRedefine/>
    <w:uiPriority w:val="39"/>
    <w:rsid w:val="00D55AB4"/>
    <w:pPr>
      <w:tabs>
        <w:tab w:val="right" w:leader="dot" w:pos="9061"/>
      </w:tabs>
      <w:spacing w:after="0" w:line="264" w:lineRule="auto"/>
      <w:ind w:left="482"/>
    </w:pPr>
  </w:style>
  <w:style w:type="character" w:customStyle="1" w:styleId="Izceltsteksts">
    <w:name w:val="Izcelts teksts"/>
    <w:basedOn w:val="DefaultParagraphFont"/>
    <w:uiPriority w:val="1"/>
    <w:qFormat/>
    <w:rsid w:val="00D55AB4"/>
    <w:rPr>
      <w:b/>
      <w:i/>
      <w:u w:val="single"/>
    </w:rPr>
  </w:style>
  <w:style w:type="character" w:customStyle="1" w:styleId="Piemrstxt">
    <w:name w:val="Piemērs txt"/>
    <w:basedOn w:val="DefaultParagraphFont"/>
    <w:uiPriority w:val="1"/>
    <w:qFormat/>
    <w:rsid w:val="00D55AB4"/>
    <w:rPr>
      <w:rFonts w:ascii="Courier New" w:hAnsi="Courier New"/>
      <w:w w:val="100"/>
      <w:sz w:val="20"/>
    </w:rPr>
  </w:style>
  <w:style w:type="numbering" w:customStyle="1" w:styleId="Numercija">
    <w:name w:val="Numerācija"/>
    <w:basedOn w:val="NoList"/>
    <w:uiPriority w:val="99"/>
    <w:rsid w:val="00D55AB4"/>
    <w:pPr>
      <w:numPr>
        <w:numId w:val="23"/>
      </w:numPr>
    </w:pPr>
  </w:style>
  <w:style w:type="numbering" w:customStyle="1" w:styleId="StyleOutlinenumberedLeft0cmHanging063cm">
    <w:name w:val="Style Outline numbered Left:  0 cm Hanging:  0.63 cm"/>
    <w:basedOn w:val="NoList"/>
    <w:rsid w:val="00D55AB4"/>
    <w:pPr>
      <w:numPr>
        <w:numId w:val="26"/>
      </w:numPr>
    </w:pPr>
  </w:style>
  <w:style w:type="numbering" w:customStyle="1" w:styleId="StyleOutlinenumberedLeft0cmHanging063cm1">
    <w:name w:val="Style Outline numbered Left:  0 cm Hanging:  0.63 cm1"/>
    <w:basedOn w:val="NoList"/>
    <w:rsid w:val="00D55AB4"/>
    <w:pPr>
      <w:numPr>
        <w:numId w:val="27"/>
      </w:numPr>
    </w:pPr>
  </w:style>
  <w:style w:type="paragraph" w:customStyle="1" w:styleId="Tabulasgalvene">
    <w:name w:val="Tabulas galvene"/>
    <w:basedOn w:val="Pamatteksts"/>
    <w:rsid w:val="0064323B"/>
    <w:pPr>
      <w:spacing w:after="0"/>
      <w:ind w:firstLine="0"/>
      <w:jc w:val="center"/>
    </w:pPr>
    <w:rPr>
      <w:b/>
      <w:sz w:val="20"/>
      <w:szCs w:val="20"/>
    </w:rPr>
  </w:style>
  <w:style w:type="paragraph" w:customStyle="1" w:styleId="Tabulasteksts">
    <w:name w:val="Tabulas teksts"/>
    <w:basedOn w:val="Normal"/>
    <w:qFormat/>
    <w:rsid w:val="0064323B"/>
    <w:pPr>
      <w:spacing w:after="0"/>
      <w:ind w:firstLine="0"/>
    </w:pPr>
    <w:rPr>
      <w:sz w:val="20"/>
    </w:rPr>
  </w:style>
  <w:style w:type="paragraph" w:customStyle="1" w:styleId="Tabulasnosaukums">
    <w:name w:val="Tabulas nosaukums"/>
    <w:basedOn w:val="Pamatteksts"/>
    <w:next w:val="Pamatteksts"/>
    <w:qFormat/>
    <w:rsid w:val="00FE7240"/>
    <w:pPr>
      <w:spacing w:before="240" w:after="0"/>
      <w:ind w:firstLine="0"/>
      <w:jc w:val="right"/>
    </w:pPr>
    <w:rPr>
      <w:i/>
      <w:sz w:val="20"/>
    </w:rPr>
  </w:style>
  <w:style w:type="character" w:styleId="IntenseReference">
    <w:name w:val="Intense Reference"/>
    <w:basedOn w:val="DefaultParagraphFont"/>
    <w:uiPriority w:val="32"/>
    <w:qFormat/>
    <w:rsid w:val="00DF190B"/>
    <w:rPr>
      <w:b/>
      <w:bCs/>
      <w:smallCaps/>
      <w:color w:val="C0504D" w:themeColor="accent2"/>
      <w:spacing w:val="5"/>
      <w:u w:val="single"/>
    </w:rPr>
  </w:style>
  <w:style w:type="paragraph" w:customStyle="1" w:styleId="Pamatteksts">
    <w:name w:val="Pamatteksts"/>
    <w:qFormat/>
    <w:rsid w:val="00A2789A"/>
    <w:pPr>
      <w:spacing w:after="120" w:line="240" w:lineRule="auto"/>
      <w:ind w:firstLine="567"/>
      <w:jc w:val="both"/>
    </w:pPr>
    <w:rPr>
      <w:rFonts w:ascii="Times New Roman" w:eastAsia="Times New Roman" w:hAnsi="Times New Roman" w:cs="Times New Roman"/>
      <w:noProof/>
      <w:color w:val="000000" w:themeColor="text1"/>
      <w:sz w:val="24"/>
      <w:szCs w:val="24"/>
      <w:lang w:eastAsia="lv-LV"/>
    </w:rPr>
  </w:style>
  <w:style w:type="paragraph" w:customStyle="1" w:styleId="Attlanosaukums">
    <w:name w:val="Attēla nosaukums"/>
    <w:basedOn w:val="Pamatteksts"/>
    <w:next w:val="Pamatteksts"/>
    <w:qFormat/>
    <w:rsid w:val="00F231BB"/>
    <w:pPr>
      <w:jc w:val="center"/>
    </w:pPr>
    <w:rPr>
      <w:i/>
      <w:sz w:val="20"/>
    </w:rPr>
  </w:style>
  <w:style w:type="table" w:customStyle="1" w:styleId="Noformtatabula">
    <w:name w:val="Noformēta tabula"/>
    <w:basedOn w:val="TableGrid"/>
    <w:uiPriority w:val="99"/>
    <w:rsid w:val="005A6CEB"/>
    <w:pPr>
      <w:jc w:val="both"/>
    </w:pPr>
    <w:rPr>
      <w:color w:val="000000" w:themeColor="text1"/>
    </w:rPr>
    <w:tblPr>
      <w:jc w:val="righ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57" w:type="dxa"/>
        <w:right w:w="57" w:type="dxa"/>
      </w:tblCellMar>
    </w:tblPr>
    <w:trPr>
      <w:jc w:val="right"/>
    </w:trPr>
    <w:tcPr>
      <w:tcMar>
        <w:left w:w="57" w:type="dxa"/>
        <w:right w:w="57" w:type="dxa"/>
      </w:tcMar>
      <w:vAlign w:val="center"/>
    </w:tcPr>
    <w:tblStylePr w:type="firstRow">
      <w:pPr>
        <w:wordWrap/>
        <w:jc w:val="center"/>
      </w:pPr>
      <w:rPr>
        <w:rFonts w:ascii="Times New Roman" w:hAnsi="Times New Roman"/>
        <w:b/>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l2br w:val="nil"/>
          <w:tr2bl w:val="nil"/>
        </w:tcBorders>
      </w:tcPr>
    </w:tblStylePr>
  </w:style>
  <w:style w:type="table" w:styleId="LightShading-Accent3">
    <w:name w:val="Light Shading Accent 3"/>
    <w:basedOn w:val="TableNormal"/>
    <w:uiPriority w:val="60"/>
    <w:rsid w:val="005A6CEB"/>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List">
    <w:name w:val="Light List"/>
    <w:basedOn w:val="TableNormal"/>
    <w:uiPriority w:val="61"/>
    <w:rsid w:val="005A6CE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2">
    <w:name w:val="Light Shading Accent 2"/>
    <w:basedOn w:val="TableNormal"/>
    <w:uiPriority w:val="60"/>
    <w:rsid w:val="005A6CEB"/>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FootnoteText">
    <w:name w:val="footnote text"/>
    <w:basedOn w:val="Normal"/>
    <w:link w:val="FootnoteTextChar"/>
    <w:rsid w:val="00421107"/>
    <w:pPr>
      <w:spacing w:after="0"/>
      <w:ind w:firstLine="0"/>
      <w:jc w:val="left"/>
    </w:pPr>
    <w:rPr>
      <w:sz w:val="20"/>
      <w:szCs w:val="20"/>
      <w:lang w:eastAsia="en-US"/>
    </w:rPr>
  </w:style>
  <w:style w:type="character" w:customStyle="1" w:styleId="FootnoteTextChar">
    <w:name w:val="Footnote Text Char"/>
    <w:basedOn w:val="DefaultParagraphFont"/>
    <w:link w:val="FootnoteText"/>
    <w:rsid w:val="00421107"/>
    <w:rPr>
      <w:rFonts w:ascii="Times New Roman" w:eastAsia="Times New Roman" w:hAnsi="Times New Roman" w:cs="Times New Roman"/>
      <w:sz w:val="20"/>
      <w:szCs w:val="20"/>
    </w:rPr>
  </w:style>
  <w:style w:type="character" w:styleId="FootnoteReference">
    <w:name w:val="footnote reference"/>
    <w:rsid w:val="00421107"/>
    <w:rPr>
      <w:vertAlign w:val="superscript"/>
    </w:rPr>
  </w:style>
  <w:style w:type="character" w:styleId="PageNumber">
    <w:name w:val="page number"/>
    <w:rsid w:val="009832F1"/>
    <w:rPr>
      <w:rFonts w:ascii="Times New Roman" w:hAnsi="Times New Roman" w:cs="Times New Roman"/>
    </w:rPr>
  </w:style>
  <w:style w:type="paragraph" w:styleId="BalloonText">
    <w:name w:val="Balloon Text"/>
    <w:basedOn w:val="Normal"/>
    <w:link w:val="BalloonTextChar"/>
    <w:semiHidden/>
    <w:unhideWhenUsed/>
    <w:rsid w:val="00E93C4E"/>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E93C4E"/>
    <w:rPr>
      <w:rFonts w:ascii="Tahoma" w:eastAsia="Times New Roman" w:hAnsi="Tahoma" w:cs="Tahoma"/>
      <w:sz w:val="16"/>
      <w:szCs w:val="16"/>
      <w:lang w:eastAsia="lv-LV"/>
    </w:rPr>
  </w:style>
  <w:style w:type="character" w:styleId="CommentReference">
    <w:name w:val="annotation reference"/>
    <w:basedOn w:val="DefaultParagraphFont"/>
    <w:uiPriority w:val="99"/>
    <w:semiHidden/>
    <w:unhideWhenUsed/>
    <w:rsid w:val="00E631DA"/>
    <w:rPr>
      <w:sz w:val="16"/>
      <w:szCs w:val="16"/>
    </w:rPr>
  </w:style>
  <w:style w:type="paragraph" w:styleId="CommentText">
    <w:name w:val="annotation text"/>
    <w:basedOn w:val="Normal"/>
    <w:link w:val="CommentTextChar"/>
    <w:uiPriority w:val="99"/>
    <w:semiHidden/>
    <w:unhideWhenUsed/>
    <w:rsid w:val="00E631DA"/>
    <w:rPr>
      <w:sz w:val="20"/>
      <w:szCs w:val="20"/>
    </w:rPr>
  </w:style>
  <w:style w:type="character" w:customStyle="1" w:styleId="CommentTextChar">
    <w:name w:val="Comment Text Char"/>
    <w:basedOn w:val="DefaultParagraphFont"/>
    <w:link w:val="CommentText"/>
    <w:uiPriority w:val="99"/>
    <w:semiHidden/>
    <w:rsid w:val="00E631DA"/>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semiHidden/>
    <w:unhideWhenUsed/>
    <w:rsid w:val="00E631DA"/>
    <w:rPr>
      <w:b/>
      <w:bCs/>
    </w:rPr>
  </w:style>
  <w:style w:type="character" w:customStyle="1" w:styleId="CommentSubjectChar">
    <w:name w:val="Comment Subject Char"/>
    <w:basedOn w:val="CommentTextChar"/>
    <w:link w:val="CommentSubject"/>
    <w:semiHidden/>
    <w:rsid w:val="00E631DA"/>
    <w:rPr>
      <w:rFonts w:ascii="Times New Roman" w:eastAsia="Times New Roman" w:hAnsi="Times New Roman" w:cs="Times New Roman"/>
      <w:b/>
      <w:bCs/>
      <w:sz w:val="20"/>
      <w:szCs w:val="20"/>
      <w:lang w:eastAsia="lv-LV"/>
    </w:rPr>
  </w:style>
  <w:style w:type="character" w:customStyle="1" w:styleId="Heading6Char">
    <w:name w:val="Heading 6 Char"/>
    <w:basedOn w:val="DefaultParagraphFont"/>
    <w:link w:val="Heading6"/>
    <w:uiPriority w:val="9"/>
    <w:semiHidden/>
    <w:rsid w:val="005C6ED6"/>
    <w:rPr>
      <w:rFonts w:asciiTheme="majorHAnsi" w:eastAsiaTheme="majorEastAsia" w:hAnsiTheme="majorHAnsi" w:cstheme="majorBidi"/>
      <w:i/>
      <w:iCs/>
      <w:color w:val="243F60" w:themeColor="accent1" w:themeShade="7F"/>
      <w:sz w:val="24"/>
      <w:szCs w:val="24"/>
      <w:lang w:eastAsia="lv-LV"/>
    </w:rPr>
  </w:style>
  <w:style w:type="paragraph" w:styleId="BodyTextIndent">
    <w:name w:val="Body Text Indent"/>
    <w:basedOn w:val="Normal"/>
    <w:link w:val="BodyTextIndentChar"/>
    <w:uiPriority w:val="99"/>
    <w:semiHidden/>
    <w:unhideWhenUsed/>
    <w:rsid w:val="00A55D5E"/>
    <w:pPr>
      <w:ind w:left="283"/>
    </w:pPr>
  </w:style>
  <w:style w:type="character" w:customStyle="1" w:styleId="BodyTextIndentChar">
    <w:name w:val="Body Text Indent Char"/>
    <w:basedOn w:val="DefaultParagraphFont"/>
    <w:link w:val="BodyTextIndent"/>
    <w:uiPriority w:val="99"/>
    <w:semiHidden/>
    <w:rsid w:val="00A55D5E"/>
    <w:rPr>
      <w:rFonts w:ascii="Times New Roman" w:eastAsia="Times New Roman" w:hAnsi="Times New Roman" w:cs="Times New Roman"/>
      <w:sz w:val="24"/>
      <w:szCs w:val="24"/>
      <w:lang w:eastAsia="lv-LV"/>
    </w:rPr>
  </w:style>
  <w:style w:type="paragraph" w:styleId="Revision">
    <w:name w:val="Revision"/>
    <w:hidden/>
    <w:uiPriority w:val="99"/>
    <w:semiHidden/>
    <w:rsid w:val="00B627F8"/>
    <w:pPr>
      <w:spacing w:after="0" w:line="240" w:lineRule="auto"/>
    </w:pPr>
    <w:rPr>
      <w:rFonts w:ascii="Times New Roman" w:eastAsia="Times New Roman" w:hAnsi="Times New Roman" w:cs="Times New Roman"/>
      <w:sz w:val="24"/>
      <w:szCs w:val="24"/>
      <w:lang w:eastAsia="lv-LV"/>
    </w:rPr>
  </w:style>
  <w:style w:type="paragraph" w:styleId="EndnoteText">
    <w:name w:val="endnote text"/>
    <w:basedOn w:val="Normal"/>
    <w:link w:val="EndnoteTextChar"/>
    <w:uiPriority w:val="99"/>
    <w:semiHidden/>
    <w:unhideWhenUsed/>
    <w:rsid w:val="00BA5046"/>
    <w:pPr>
      <w:spacing w:after="0"/>
    </w:pPr>
    <w:rPr>
      <w:sz w:val="20"/>
      <w:szCs w:val="20"/>
    </w:rPr>
  </w:style>
  <w:style w:type="character" w:customStyle="1" w:styleId="EndnoteTextChar">
    <w:name w:val="Endnote Text Char"/>
    <w:basedOn w:val="DefaultParagraphFont"/>
    <w:link w:val="EndnoteText"/>
    <w:uiPriority w:val="99"/>
    <w:semiHidden/>
    <w:rsid w:val="00BA5046"/>
    <w:rPr>
      <w:rFonts w:ascii="Times New Roman" w:eastAsia="Times New Roman" w:hAnsi="Times New Roman" w:cs="Times New Roman"/>
      <w:sz w:val="20"/>
      <w:szCs w:val="20"/>
      <w:lang w:eastAsia="lv-LV"/>
    </w:rPr>
  </w:style>
  <w:style w:type="character" w:styleId="EndnoteReference">
    <w:name w:val="endnote reference"/>
    <w:basedOn w:val="DefaultParagraphFont"/>
    <w:uiPriority w:val="99"/>
    <w:semiHidden/>
    <w:unhideWhenUsed/>
    <w:rsid w:val="00BA50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161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3.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6.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kase.gov.lv\depart\par\2022.gada%20parskats\1.s&#275;jums\Darba%20materiali\Parada%20parskats\Parada%20skaidrojums\Parada_sadalijums_202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kase.gov.lv\depart\par\2022.gada%20parskats\1.s&#275;jums\Darba%20materiali\Parada%20parskats\Parada%20skaidrojums\Parada_sadalijums_202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kase.gov.lv\depart\par\2022.gada%20parskats\1.s&#275;jums\Darba%20materiali\Parada%20parskats\Parada%20skaidrojums\VP_sadalijums_pa_terminjiem_202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kase.gov.lv\depart\par\2022.gada%20parskats\1.s&#275;jums\Darba%20materiali\Parada%20parskats\Parada%20skaidrojums\VP_sadalijums_pa_terminjiem_202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kase.gov.lv\depart\par\2022.gada%20parskats\1.s&#275;jums\Darba%20materiali\Parada%20parskats\Parada%20skaidrojums\VP_sadalijums_pa_terminjiem_2022.xlsx" TargetMode="External"/></Relationships>
</file>

<file path=word/charts/_rels/chart6.xml.rels><?xml version="1.0" encoding="UTF-8" standalone="yes"?>
<Relationships xmlns="http://schemas.openxmlformats.org/package/2006/relationships"><Relationship Id="rId2" Type="http://schemas.openxmlformats.org/officeDocument/2006/relationships/oleObject" Target="file:///\\kase.gov.lv\depart\par\2022.gada%20parskats\1.s&#275;jums\Darba%20materiali\Parada%20parskats\Parada%20skaidrojums\Pasvaldibu_sar_2022.xlsx" TargetMode="External"/><Relationship Id="rId1" Type="http://schemas.openxmlformats.org/officeDocument/2006/relationships/themeOverride" Target="../theme/themeOverride1.xml"/></Relationships>
</file>

<file path=word/charts/_rels/chart7.xml.rels><?xml version="1.0" encoding="UTF-8" standalone="yes"?>
<Relationships xmlns="http://schemas.openxmlformats.org/package/2006/relationships"><Relationship Id="rId2" Type="http://schemas.openxmlformats.org/officeDocument/2006/relationships/oleObject" Target="file:///\\kase.gov.lv\depart\par\2022.gada%20parskats\1.s&#275;jums\Darba%20materiali\Parada%20parskats\Parada%20skaidrojums\Pasvaldibu_sar_2022.xlsx" TargetMode="External"/><Relationship Id="rId1" Type="http://schemas.openxmlformats.org/officeDocument/2006/relationships/themeOverride" Target="../theme/themeOverride2.xml"/></Relationships>
</file>

<file path=word/charts/_rels/chart8.xml.rels><?xml version="1.0" encoding="UTF-8" standalone="yes"?>
<Relationships xmlns="http://schemas.openxmlformats.org/package/2006/relationships"><Relationship Id="rId2" Type="http://schemas.openxmlformats.org/officeDocument/2006/relationships/oleObject" Target="file:///\\kase.gov.lv\depart\par\2022.gada%20parskats\1.s&#275;jums\Darba%20materiali\Parada%20parskats\Parada%20skaidrojums\Pasvaldibu_sar_2022.xlsx" TargetMode="External"/><Relationship Id="rId1" Type="http://schemas.openxmlformats.org/officeDocument/2006/relationships/themeOverride" Target="../theme/themeOverride3.xml"/></Relationships>
</file>

<file path=word/charts/_rels/chart9.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kase.gov.lv\depart\par\2022.gada%20parskats\1.s&#275;jums\Darba%20materiali\Parada%20parskats\Parada%20skaidrojums\Iedz_skaits_novados_2022.xlsx"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497043550211288E-2"/>
          <c:y val="2.5291963896362485E-2"/>
          <c:w val="0.93985375170332652"/>
          <c:h val="0.82500012891315899"/>
        </c:manualLayout>
      </c:layout>
      <c:barChart>
        <c:barDir val="col"/>
        <c:grouping val="clustered"/>
        <c:varyColors val="0"/>
        <c:ser>
          <c:idx val="0"/>
          <c:order val="0"/>
          <c:tx>
            <c:strRef>
              <c:f>Valsts_parada_sadal!$A$6</c:f>
              <c:strCache>
                <c:ptCount val="1"/>
                <c:pt idx="0">
                  <c:v>Iekšējais parāds % no IKP</c:v>
                </c:pt>
              </c:strCache>
            </c:strRef>
          </c:tx>
          <c:spPr>
            <a:solidFill>
              <a:srgbClr val="B9CDE5"/>
            </a:solidFill>
            <a:ln>
              <a:noFill/>
            </a:ln>
          </c:spPr>
          <c:invertIfNegative val="0"/>
          <c:dLbls>
            <c:numFmt formatCode="0%" sourceLinked="0"/>
            <c:spPr>
              <a:noFill/>
              <a:ln>
                <a:noFill/>
              </a:ln>
              <a:effectLst/>
            </c:spPr>
            <c:txPr>
              <a:bodyPr wrap="square" lIns="38100" tIns="19050" rIns="38100" bIns="19050" anchor="ctr">
                <a:spAutoFit/>
              </a:bodyPr>
              <a:lstStyle/>
              <a:p>
                <a:pPr>
                  <a:defRPr>
                    <a:solidFill>
                      <a:srgbClr val="17365D"/>
                    </a:solidFill>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Valsts_parada_sadal!$F$2:$T$2</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Valsts_parada_sadal!$F$6:$T$6</c:f>
              <c:numCache>
                <c:formatCode>0.0%</c:formatCode>
                <c:ptCount val="10"/>
                <c:pt idx="0">
                  <c:v>5.5551809988067406E-2</c:v>
                </c:pt>
                <c:pt idx="1">
                  <c:v>5.8040999123265449E-2</c:v>
                </c:pt>
                <c:pt idx="2">
                  <c:v>5.612532464080304E-2</c:v>
                </c:pt>
                <c:pt idx="3">
                  <c:v>5.6432442810603146E-2</c:v>
                </c:pt>
                <c:pt idx="4">
                  <c:v>5.9059935325392464E-2</c:v>
                </c:pt>
                <c:pt idx="5">
                  <c:v>5.2314238503730431E-2</c:v>
                </c:pt>
                <c:pt idx="6">
                  <c:v>5.6837263457755687E-2</c:v>
                </c:pt>
                <c:pt idx="7">
                  <c:v>9.0244865929676663E-2</c:v>
                </c:pt>
                <c:pt idx="8">
                  <c:v>9.0400544148958081E-2</c:v>
                </c:pt>
                <c:pt idx="9">
                  <c:v>5.9774573491377159E-2</c:v>
                </c:pt>
              </c:numCache>
            </c:numRef>
          </c:val>
          <c:extLst>
            <c:ext xmlns:c16="http://schemas.microsoft.com/office/drawing/2014/chart" uri="{C3380CC4-5D6E-409C-BE32-E72D297353CC}">
              <c16:uniqueId val="{00000000-DC17-40D2-AF67-47FF77F170E0}"/>
            </c:ext>
          </c:extLst>
        </c:ser>
        <c:ser>
          <c:idx val="2"/>
          <c:order val="1"/>
          <c:tx>
            <c:strRef>
              <c:f>Valsts_parada_sadal!$A$7</c:f>
              <c:strCache>
                <c:ptCount val="1"/>
                <c:pt idx="0">
                  <c:v>Ārējais parāds % no IKP</c:v>
                </c:pt>
              </c:strCache>
            </c:strRef>
          </c:tx>
          <c:spPr>
            <a:solidFill>
              <a:srgbClr val="558ED5"/>
            </a:solidFill>
            <a:ln>
              <a:noFill/>
            </a:ln>
          </c:spPr>
          <c:invertIfNegative val="0"/>
          <c:dLbls>
            <c:numFmt formatCode="0%" sourceLinked="0"/>
            <c:spPr>
              <a:noFill/>
              <a:ln>
                <a:noFill/>
              </a:ln>
              <a:effectLst/>
            </c:spPr>
            <c:txPr>
              <a:bodyPr wrap="square" lIns="38100" tIns="19050" rIns="38100" bIns="19050" anchor="ctr">
                <a:spAutoFit/>
              </a:bodyPr>
              <a:lstStyle/>
              <a:p>
                <a:pPr>
                  <a:defRPr>
                    <a:solidFill>
                      <a:srgbClr val="17365D"/>
                    </a:solidFill>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Valsts_parada_sadal!$F$2:$T$2</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Valsts_parada_sadal!$F$7:$T$7</c:f>
              <c:numCache>
                <c:formatCode>0.0%</c:formatCode>
                <c:ptCount val="10"/>
                <c:pt idx="0">
                  <c:v>0.29099874382201674</c:v>
                </c:pt>
                <c:pt idx="1">
                  <c:v>0.31561599974463556</c:v>
                </c:pt>
                <c:pt idx="2">
                  <c:v>0.28807531240011369</c:v>
                </c:pt>
                <c:pt idx="3">
                  <c:v>0.32986790392550613</c:v>
                </c:pt>
                <c:pt idx="4">
                  <c:v>0.29968731334894638</c:v>
                </c:pt>
                <c:pt idx="5">
                  <c:v>0.2924719641843912</c:v>
                </c:pt>
                <c:pt idx="6">
                  <c:v>0.29753992862864936</c:v>
                </c:pt>
                <c:pt idx="7">
                  <c:v>0.33431607495043453</c:v>
                </c:pt>
                <c:pt idx="8">
                  <c:v>0.37426786195890793</c:v>
                </c:pt>
                <c:pt idx="9">
                  <c:v>0.36938197777677118</c:v>
                </c:pt>
              </c:numCache>
            </c:numRef>
          </c:val>
          <c:extLst>
            <c:ext xmlns:c16="http://schemas.microsoft.com/office/drawing/2014/chart" uri="{C3380CC4-5D6E-409C-BE32-E72D297353CC}">
              <c16:uniqueId val="{00000001-DC17-40D2-AF67-47FF77F170E0}"/>
            </c:ext>
          </c:extLst>
        </c:ser>
        <c:dLbls>
          <c:showLegendKey val="0"/>
          <c:showVal val="0"/>
          <c:showCatName val="0"/>
          <c:showSerName val="0"/>
          <c:showPercent val="0"/>
          <c:showBubbleSize val="0"/>
        </c:dLbls>
        <c:gapWidth val="150"/>
        <c:axId val="231066624"/>
        <c:axId val="231077760"/>
      </c:barChart>
      <c:lineChart>
        <c:grouping val="stacked"/>
        <c:varyColors val="0"/>
        <c:ser>
          <c:idx val="3"/>
          <c:order val="2"/>
          <c:tx>
            <c:strRef>
              <c:f>Valsts_parada_sadal!$A$8</c:f>
              <c:strCache>
                <c:ptCount val="1"/>
                <c:pt idx="0">
                  <c:v>Valsts parāds % no IKP</c:v>
                </c:pt>
              </c:strCache>
            </c:strRef>
          </c:tx>
          <c:spPr>
            <a:ln w="12700">
              <a:solidFill>
                <a:srgbClr val="17375E"/>
              </a:solidFill>
            </a:ln>
          </c:spPr>
          <c:marker>
            <c:symbol val="circle"/>
            <c:size val="4"/>
            <c:spPr>
              <a:solidFill>
                <a:srgbClr val="17375E"/>
              </a:solidFill>
              <a:ln w="15875">
                <a:solidFill>
                  <a:srgbClr val="17375E"/>
                </a:solidFill>
              </a:ln>
            </c:spPr>
          </c:marker>
          <c:dLbls>
            <c:numFmt formatCode="0.0%" sourceLinked="0"/>
            <c:spPr>
              <a:noFill/>
              <a:ln>
                <a:noFill/>
              </a:ln>
              <a:effectLst/>
            </c:spPr>
            <c:txPr>
              <a:bodyPr vertOverflow="clip" horzOverflow="clip" wrap="square" lIns="38100" tIns="19050" rIns="38100" bIns="19050" anchor="ctr">
                <a:spAutoFit/>
              </a:bodyPr>
              <a:lstStyle/>
              <a:p>
                <a:pPr>
                  <a:defRPr>
                    <a:solidFill>
                      <a:srgbClr val="17365D"/>
                    </a:solidFill>
                  </a:defRPr>
                </a:pPr>
                <a:endParaRPr lang="lv-LV"/>
              </a:p>
            </c:txPr>
            <c:dLblPos val="t"/>
            <c:showLegendKey val="0"/>
            <c:showVal val="1"/>
            <c:showCatName val="0"/>
            <c:showSerName val="0"/>
            <c:showPercent val="0"/>
            <c:showBubbleSize val="0"/>
            <c:separator>. </c:separator>
            <c:showLeaderLines val="0"/>
            <c:extLst>
              <c:ext xmlns:c15="http://schemas.microsoft.com/office/drawing/2012/chart" uri="{CE6537A1-D6FC-4f65-9D91-7224C49458BB}">
                <c15:layout/>
                <c15:showLeaderLines val="0"/>
              </c:ext>
            </c:extLst>
          </c:dLbls>
          <c:cat>
            <c:numRef>
              <c:f>Valsts_parada_sadal!$F$2:$T$2</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Valsts_parada_sadal!$F$8:$T$8</c:f>
              <c:numCache>
                <c:formatCode>0.0%</c:formatCode>
                <c:ptCount val="10"/>
                <c:pt idx="0">
                  <c:v>0.34655055381008409</c:v>
                </c:pt>
                <c:pt idx="1">
                  <c:v>0.37365699886790105</c:v>
                </c:pt>
                <c:pt idx="2">
                  <c:v>0.34420063704091675</c:v>
                </c:pt>
                <c:pt idx="3">
                  <c:v>0.3863003467361093</c:v>
                </c:pt>
                <c:pt idx="4">
                  <c:v>0.35874724867433883</c:v>
                </c:pt>
                <c:pt idx="5">
                  <c:v>0.34478620268812166</c:v>
                </c:pt>
                <c:pt idx="6">
                  <c:v>0.35437719208640506</c:v>
                </c:pt>
                <c:pt idx="7">
                  <c:v>0.4245609408801112</c:v>
                </c:pt>
                <c:pt idx="8">
                  <c:v>0.46466840610786608</c:v>
                </c:pt>
                <c:pt idx="9">
                  <c:v>0.42915655126814833</c:v>
                </c:pt>
              </c:numCache>
            </c:numRef>
          </c:val>
          <c:smooth val="0"/>
          <c:extLst>
            <c:ext xmlns:c16="http://schemas.microsoft.com/office/drawing/2014/chart" uri="{C3380CC4-5D6E-409C-BE32-E72D297353CC}">
              <c16:uniqueId val="{0000000C-DC17-40D2-AF67-47FF77F170E0}"/>
            </c:ext>
          </c:extLst>
        </c:ser>
        <c:dLbls>
          <c:showLegendKey val="0"/>
          <c:showVal val="0"/>
          <c:showCatName val="0"/>
          <c:showSerName val="0"/>
          <c:showPercent val="0"/>
          <c:showBubbleSize val="0"/>
        </c:dLbls>
        <c:marker val="1"/>
        <c:smooth val="0"/>
        <c:axId val="231066624"/>
        <c:axId val="231077760"/>
      </c:lineChart>
      <c:catAx>
        <c:axId val="231066624"/>
        <c:scaling>
          <c:orientation val="minMax"/>
        </c:scaling>
        <c:delete val="0"/>
        <c:axPos val="b"/>
        <c:numFmt formatCode="General" sourceLinked="1"/>
        <c:majorTickMark val="out"/>
        <c:minorTickMark val="none"/>
        <c:tickLblPos val="nextTo"/>
        <c:spPr>
          <a:solidFill>
            <a:schemeClr val="bg1"/>
          </a:solidFill>
          <a:ln w="6350">
            <a:solidFill>
              <a:srgbClr val="C3C4C6"/>
            </a:solidFill>
          </a:ln>
        </c:spPr>
        <c:txPr>
          <a:bodyPr/>
          <a:lstStyle/>
          <a:p>
            <a:pPr>
              <a:defRPr sz="1000">
                <a:solidFill>
                  <a:srgbClr val="17365D"/>
                </a:solidFill>
              </a:defRPr>
            </a:pPr>
            <a:endParaRPr lang="lv-LV"/>
          </a:p>
        </c:txPr>
        <c:crossAx val="231077760"/>
        <c:crosses val="autoZero"/>
        <c:auto val="1"/>
        <c:lblAlgn val="ctr"/>
        <c:lblOffset val="100"/>
        <c:noMultiLvlLbl val="0"/>
      </c:catAx>
      <c:valAx>
        <c:axId val="231077760"/>
        <c:scaling>
          <c:orientation val="minMax"/>
          <c:max val="0.5"/>
        </c:scaling>
        <c:delete val="0"/>
        <c:axPos val="l"/>
        <c:majorGridlines>
          <c:spPr>
            <a:ln>
              <a:noFill/>
            </a:ln>
          </c:spPr>
        </c:majorGridlines>
        <c:numFmt formatCode="0%" sourceLinked="0"/>
        <c:majorTickMark val="out"/>
        <c:minorTickMark val="none"/>
        <c:tickLblPos val="nextTo"/>
        <c:spPr>
          <a:ln w="6350">
            <a:solidFill>
              <a:srgbClr val="C3C4C6"/>
            </a:solidFill>
          </a:ln>
        </c:spPr>
        <c:txPr>
          <a:bodyPr/>
          <a:lstStyle/>
          <a:p>
            <a:pPr>
              <a:defRPr sz="1000">
                <a:solidFill>
                  <a:srgbClr val="17365D"/>
                </a:solidFill>
              </a:defRPr>
            </a:pPr>
            <a:endParaRPr lang="lv-LV"/>
          </a:p>
        </c:txPr>
        <c:crossAx val="231066624"/>
        <c:crosses val="autoZero"/>
        <c:crossBetween val="between"/>
      </c:valAx>
      <c:spPr>
        <a:noFill/>
        <a:ln w="6350"/>
      </c:spPr>
    </c:plotArea>
    <c:legend>
      <c:legendPos val="b"/>
      <c:layout/>
      <c:overlay val="0"/>
      <c:txPr>
        <a:bodyPr/>
        <a:lstStyle/>
        <a:p>
          <a:pPr>
            <a:defRPr sz="1000">
              <a:solidFill>
                <a:srgbClr val="17365D"/>
              </a:solidFill>
            </a:defRPr>
          </a:pPr>
          <a:endParaRPr lang="lv-LV"/>
        </a:p>
      </c:txPr>
    </c:legend>
    <c:plotVisOnly val="1"/>
    <c:dispBlanksAs val="gap"/>
    <c:showDLblsOverMax val="0"/>
  </c:chart>
  <c:spPr>
    <a:noFill/>
    <a:ln>
      <a:noFill/>
    </a:ln>
  </c:spPr>
  <c:txPr>
    <a:bodyPr/>
    <a:lstStyle/>
    <a:p>
      <a:pPr>
        <a:defRPr>
          <a:latin typeface="Times New Roman" panose="02020603050405020304" pitchFamily="18" charset="0"/>
          <a:cs typeface="Times New Roman" panose="02020603050405020304" pitchFamily="18" charset="0"/>
        </a:defRPr>
      </a:pPr>
      <a:endParaRPr lang="lv-LV"/>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5"/>
      <c:rotY val="79"/>
      <c:rAngAx val="0"/>
      <c:perspective val="0"/>
    </c:view3D>
    <c:floor>
      <c:thickness val="0"/>
    </c:floor>
    <c:sideWall>
      <c:thickness val="0"/>
    </c:sideWall>
    <c:backWall>
      <c:thickness val="0"/>
    </c:backWall>
    <c:plotArea>
      <c:layout>
        <c:manualLayout>
          <c:layoutTarget val="inner"/>
          <c:xMode val="edge"/>
          <c:yMode val="edge"/>
          <c:x val="9.1871934866384001E-4"/>
          <c:y val="3.0204759958052649E-2"/>
          <c:w val="0.67220928686030967"/>
          <c:h val="0.93646753523755355"/>
        </c:manualLayout>
      </c:layout>
      <c:pie3DChart>
        <c:varyColors val="1"/>
        <c:ser>
          <c:idx val="0"/>
          <c:order val="0"/>
          <c:spPr>
            <a:ln>
              <a:noFill/>
            </a:ln>
            <a:effectLst>
              <a:outerShdw blurRad="101600" dist="38100" dir="2700000" algn="tl" rotWithShape="0">
                <a:prstClr val="black">
                  <a:alpha val="40000"/>
                </a:prstClr>
              </a:outerShdw>
            </a:effectLst>
            <a:scene3d>
              <a:camera prst="orthographicFront"/>
              <a:lightRig rig="threePt" dir="t"/>
            </a:scene3d>
            <a:sp3d>
              <a:bevelT w="0" h="0"/>
              <a:bevelB w="0" h="0"/>
            </a:sp3d>
          </c:spPr>
          <c:explosion val="5"/>
          <c:dPt>
            <c:idx val="0"/>
            <c:bubble3D val="0"/>
            <c:spPr>
              <a:solidFill>
                <a:srgbClr val="558ED5"/>
              </a:solidFill>
              <a:effectLst>
                <a:outerShdw blurRad="101600" dist="38100" dir="2700000" algn="ctr" rotWithShape="0">
                  <a:schemeClr val="tx1">
                    <a:alpha val="40000"/>
                  </a:schemeClr>
                </a:outerShdw>
              </a:effectLst>
              <a:scene3d>
                <a:camera prst="orthographicFront"/>
                <a:lightRig rig="threePt" dir="t"/>
              </a:scene3d>
              <a:sp3d>
                <a:bevelT w="0" h="0"/>
                <a:bevelB w="0" h="0"/>
              </a:sp3d>
            </c:spPr>
            <c:extLst>
              <c:ext xmlns:c16="http://schemas.microsoft.com/office/drawing/2014/chart" uri="{C3380CC4-5D6E-409C-BE32-E72D297353CC}">
                <c16:uniqueId val="{00000001-81DB-47B5-95D6-2BFD3EDB15B9}"/>
              </c:ext>
            </c:extLst>
          </c:dPt>
          <c:dPt>
            <c:idx val="1"/>
            <c:bubble3D val="0"/>
            <c:spPr>
              <a:solidFill>
                <a:srgbClr val="0070C0"/>
              </a:solidFill>
              <a:ln>
                <a:noFill/>
              </a:ln>
              <a:effectLst>
                <a:outerShdw blurRad="101600" dist="38100" dir="2700000" algn="tl" rotWithShape="0">
                  <a:prstClr val="black">
                    <a:alpha val="40000"/>
                  </a:prstClr>
                </a:outerShdw>
              </a:effectLst>
              <a:scene3d>
                <a:camera prst="orthographicFront"/>
                <a:lightRig rig="threePt" dir="t"/>
              </a:scene3d>
              <a:sp3d>
                <a:bevelT w="0" h="0"/>
                <a:bevelB w="0" h="0"/>
              </a:sp3d>
            </c:spPr>
            <c:extLst>
              <c:ext xmlns:c16="http://schemas.microsoft.com/office/drawing/2014/chart" uri="{C3380CC4-5D6E-409C-BE32-E72D297353CC}">
                <c16:uniqueId val="{00000003-81DB-47B5-95D6-2BFD3EDB15B9}"/>
              </c:ext>
            </c:extLst>
          </c:dPt>
          <c:dPt>
            <c:idx val="2"/>
            <c:bubble3D val="0"/>
            <c:spPr>
              <a:solidFill>
                <a:srgbClr val="B9CDE5"/>
              </a:solidFill>
              <a:ln>
                <a:noFill/>
              </a:ln>
              <a:effectLst>
                <a:outerShdw blurRad="101600" dist="38100" dir="2700000" algn="tl" rotWithShape="0">
                  <a:prstClr val="black">
                    <a:alpha val="40000"/>
                  </a:prstClr>
                </a:outerShdw>
              </a:effectLst>
              <a:scene3d>
                <a:camera prst="orthographicFront"/>
                <a:lightRig rig="threePt" dir="t"/>
              </a:scene3d>
              <a:sp3d>
                <a:bevelT w="0" h="0"/>
                <a:bevelB w="0" h="0"/>
              </a:sp3d>
            </c:spPr>
            <c:extLst>
              <c:ext xmlns:c16="http://schemas.microsoft.com/office/drawing/2014/chart" uri="{C3380CC4-5D6E-409C-BE32-E72D297353CC}">
                <c16:uniqueId val="{00000005-81DB-47B5-95D6-2BFD3EDB15B9}"/>
              </c:ext>
            </c:extLst>
          </c:dPt>
          <c:dPt>
            <c:idx val="3"/>
            <c:bubble3D val="0"/>
            <c:spPr>
              <a:solidFill>
                <a:srgbClr val="D9D9D9"/>
              </a:solidFill>
              <a:ln>
                <a:noFill/>
              </a:ln>
              <a:effectLst>
                <a:outerShdw blurRad="101600" dist="38100" dir="2700000" algn="tl" rotWithShape="0">
                  <a:prstClr val="black">
                    <a:alpha val="40000"/>
                  </a:prstClr>
                </a:outerShdw>
              </a:effectLst>
              <a:scene3d>
                <a:camera prst="orthographicFront"/>
                <a:lightRig rig="threePt" dir="t"/>
              </a:scene3d>
              <a:sp3d>
                <a:bevelT w="0" h="0"/>
                <a:bevelB w="0" h="0"/>
              </a:sp3d>
            </c:spPr>
            <c:extLst>
              <c:ext xmlns:c16="http://schemas.microsoft.com/office/drawing/2014/chart" uri="{C3380CC4-5D6E-409C-BE32-E72D297353CC}">
                <c16:uniqueId val="{00000007-81DB-47B5-95D6-2BFD3EDB15B9}"/>
              </c:ext>
            </c:extLst>
          </c:dPt>
          <c:dPt>
            <c:idx val="4"/>
            <c:bubble3D val="0"/>
            <c:spPr>
              <a:solidFill>
                <a:srgbClr val="17375E"/>
              </a:solidFill>
              <a:ln>
                <a:noFill/>
              </a:ln>
              <a:effectLst>
                <a:outerShdw blurRad="101600" dist="38100" dir="2700000" algn="tl" rotWithShape="0">
                  <a:prstClr val="black">
                    <a:alpha val="40000"/>
                  </a:prstClr>
                </a:outerShdw>
              </a:effectLst>
              <a:scene3d>
                <a:camera prst="orthographicFront"/>
                <a:lightRig rig="threePt" dir="t"/>
              </a:scene3d>
              <a:sp3d>
                <a:bevelT w="0" h="0"/>
                <a:bevelB w="0" h="0"/>
              </a:sp3d>
            </c:spPr>
            <c:extLst>
              <c:ext xmlns:c16="http://schemas.microsoft.com/office/drawing/2014/chart" uri="{C3380CC4-5D6E-409C-BE32-E72D297353CC}">
                <c16:uniqueId val="{00000009-81DB-47B5-95D6-2BFD3EDB15B9}"/>
              </c:ext>
            </c:extLst>
          </c:dPt>
          <c:dPt>
            <c:idx val="5"/>
            <c:bubble3D val="0"/>
            <c:spPr>
              <a:solidFill>
                <a:srgbClr val="8EB4E3"/>
              </a:solidFill>
              <a:ln>
                <a:noFill/>
              </a:ln>
              <a:effectLst>
                <a:outerShdw blurRad="101600" dist="38100" dir="2700000" algn="tl" rotWithShape="0">
                  <a:prstClr val="black">
                    <a:alpha val="40000"/>
                  </a:prstClr>
                </a:outerShdw>
              </a:effectLst>
              <a:scene3d>
                <a:camera prst="orthographicFront"/>
                <a:lightRig rig="threePt" dir="t"/>
              </a:scene3d>
              <a:sp3d>
                <a:bevelT w="0" h="0"/>
                <a:bevelB w="0" h="0"/>
              </a:sp3d>
            </c:spPr>
            <c:extLst>
              <c:ext xmlns:c16="http://schemas.microsoft.com/office/drawing/2014/chart" uri="{C3380CC4-5D6E-409C-BE32-E72D297353CC}">
                <c16:uniqueId val="{0000000B-81DB-47B5-95D6-2BFD3EDB15B9}"/>
              </c:ext>
            </c:extLst>
          </c:dPt>
          <c:dLbls>
            <c:dLbl>
              <c:idx val="0"/>
              <c:layout>
                <c:manualLayout>
                  <c:x val="8.190727281604232E-2"/>
                  <c:y val="-5.7660724125059987E-2"/>
                </c:manualLayout>
              </c:layout>
              <c:tx>
                <c:rich>
                  <a:bodyPr/>
                  <a:lstStyle/>
                  <a:p>
                    <a:fld id="{902DE2F8-1DDB-4C81-8C96-B2AB6D50E8BB}" type="CATEGORYNAME">
                      <a:rPr lang="en-US"/>
                      <a:pPr/>
                      <a:t>[CATEGORY NAME]</a:t>
                    </a:fld>
                    <a:r>
                      <a:rPr lang="en-US" baseline="0"/>
                      <a:t> </a:t>
                    </a:r>
                    <a:fld id="{C89D2C25-C686-48B2-BA7C-3FBBEA45C381}" type="PERCENTAGE">
                      <a:rPr lang="en-US" baseline="0"/>
                      <a:pPr/>
                      <a:t>[PERCENTAGE]</a:t>
                    </a:fld>
                    <a:endParaRPr lang="en-US" baseline="0"/>
                  </a:p>
                </c:rich>
              </c:tx>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2175804730640124"/>
                      <c:h val="0.13603536400055255"/>
                    </c:manualLayout>
                  </c15:layout>
                  <c15:dlblFieldTable/>
                  <c15:showDataLabelsRange val="0"/>
                </c:ext>
                <c:ext xmlns:c16="http://schemas.microsoft.com/office/drawing/2014/chart" uri="{C3380CC4-5D6E-409C-BE32-E72D297353CC}">
                  <c16:uniqueId val="{00000001-81DB-47B5-95D6-2BFD3EDB15B9}"/>
                </c:ext>
              </c:extLst>
            </c:dLbl>
            <c:dLbl>
              <c:idx val="1"/>
              <c:layout>
                <c:manualLayout>
                  <c:x val="0.19950924190922564"/>
                  <c:y val="-0.13221814400739412"/>
                </c:manualLayout>
              </c:layout>
              <c:tx>
                <c:rich>
                  <a:bodyPr/>
                  <a:lstStyle/>
                  <a:p>
                    <a:fld id="{6889AB13-A8F9-4C78-8203-AA0AD54C80C5}" type="CATEGORYNAME">
                      <a:rPr lang="en-US"/>
                      <a:pPr/>
                      <a:t>[CATEGORY NAME]</a:t>
                    </a:fld>
                    <a:r>
                      <a:rPr lang="en-US" baseline="0"/>
                      <a:t> </a:t>
                    </a:r>
                    <a:fld id="{FE2315D2-C5A5-4017-9925-B60FF0F39D18}" type="PERCENTAGE">
                      <a:rPr lang="en-US" baseline="0"/>
                      <a:pPr/>
                      <a:t>[PERCENTAGE]</a:t>
                    </a:fld>
                    <a:endParaRPr lang="en-US" baseline="0"/>
                  </a:p>
                </c:rich>
              </c:tx>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30738696149190459"/>
                      <c:h val="0.16760189118572369"/>
                    </c:manualLayout>
                  </c15:layout>
                  <c15:dlblFieldTable/>
                  <c15:showDataLabelsRange val="0"/>
                </c:ext>
                <c:ext xmlns:c16="http://schemas.microsoft.com/office/drawing/2014/chart" uri="{C3380CC4-5D6E-409C-BE32-E72D297353CC}">
                  <c16:uniqueId val="{00000003-81DB-47B5-95D6-2BFD3EDB15B9}"/>
                </c:ext>
              </c:extLst>
            </c:dLbl>
            <c:dLbl>
              <c:idx val="2"/>
              <c:layout>
                <c:manualLayout>
                  <c:x val="0.14243339018824427"/>
                  <c:y val="0.10275669488682336"/>
                </c:manualLayout>
              </c:layout>
              <c:tx>
                <c:rich>
                  <a:bodyPr/>
                  <a:lstStyle/>
                  <a:p>
                    <a:fld id="{5F895AEC-A6A6-4974-B094-41EB6B0383AE}" type="CATEGORYNAME">
                      <a:rPr lang="en-US"/>
                      <a:pPr/>
                      <a:t>[CATEGORY NAME]</a:t>
                    </a:fld>
                    <a:r>
                      <a:rPr lang="en-US" baseline="0"/>
                      <a:t> </a:t>
                    </a:r>
                    <a:fld id="{3216136F-3BA0-4995-92B4-3ACEA96AABF8}" type="PERCENTAGE">
                      <a:rPr lang="en-US" baseline="0"/>
                      <a:pPr/>
                      <a:t>[PERCENTAGE]</a:t>
                    </a:fld>
                    <a:endParaRPr lang="en-US" baseline="0"/>
                  </a:p>
                </c:rich>
              </c:tx>
              <c:dLblPos val="bestFit"/>
              <c:showLegendKey val="0"/>
              <c:showVal val="0"/>
              <c:showCatName val="1"/>
              <c:showSerName val="0"/>
              <c:showPercent val="1"/>
              <c:showBubbleSize val="0"/>
              <c:separator>, </c:separator>
              <c:extLst xmlns:c15="http://schemas.microsoft.com/office/drawing/2012/chart">
                <c:ext xmlns:c15="http://schemas.microsoft.com/office/drawing/2012/chart" uri="{CE6537A1-D6FC-4f65-9D91-7224C49458BB}">
                  <c15:layout>
                    <c:manualLayout>
                      <c:w val="0.17057750570496194"/>
                      <c:h val="0.19469421585459706"/>
                    </c:manualLayout>
                  </c15:layout>
                  <c15:dlblFieldTable/>
                  <c15:showDataLabelsRange val="0"/>
                </c:ext>
                <c:ext xmlns:c16="http://schemas.microsoft.com/office/drawing/2014/chart" uri="{C3380CC4-5D6E-409C-BE32-E72D297353CC}">
                  <c16:uniqueId val="{00000005-81DB-47B5-95D6-2BFD3EDB15B9}"/>
                </c:ext>
              </c:extLst>
            </c:dLbl>
            <c:dLbl>
              <c:idx val="3"/>
              <c:layout>
                <c:manualLayout>
                  <c:x val="0.15114574757693452"/>
                  <c:y val="3.1336982989993052E-2"/>
                </c:manualLayout>
              </c:layout>
              <c:tx>
                <c:rich>
                  <a:bodyPr/>
                  <a:lstStyle/>
                  <a:p>
                    <a:fld id="{A3BAE583-F5D6-4B26-B3C9-89268B03ED24}" type="CATEGORYNAME">
                      <a:rPr lang="en-US"/>
                      <a:pPr/>
                      <a:t>[CATEGORY NAME]</a:t>
                    </a:fld>
                    <a:r>
                      <a:rPr lang="en-US" baseline="0"/>
                      <a:t> </a:t>
                    </a:r>
                    <a:fld id="{66612405-F23D-434C-9F5E-2EE1470E9792}" type="PERCENTAGE">
                      <a:rPr lang="en-US" baseline="0"/>
                      <a:pPr/>
                      <a:t>[PERCENTAGE]</a:t>
                    </a:fld>
                    <a:endParaRPr lang="en-US" baseline="0"/>
                  </a:p>
                </c:rich>
              </c:tx>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26521647702049111"/>
                      <c:h val="0.13032581453634084"/>
                    </c:manualLayout>
                  </c15:layout>
                  <c15:dlblFieldTable/>
                  <c15:showDataLabelsRange val="0"/>
                </c:ext>
                <c:ext xmlns:c16="http://schemas.microsoft.com/office/drawing/2014/chart" uri="{C3380CC4-5D6E-409C-BE32-E72D297353CC}">
                  <c16:uniqueId val="{00000007-81DB-47B5-95D6-2BFD3EDB15B9}"/>
                </c:ext>
              </c:extLst>
            </c:dLbl>
            <c:dLbl>
              <c:idx val="4"/>
              <c:layout>
                <c:manualLayout>
                  <c:x val="0.10035095646733852"/>
                  <c:y val="0.10025078671332176"/>
                </c:manualLayout>
              </c:layout>
              <c:tx>
                <c:rich>
                  <a:bodyPr lIns="7200" anchor="ctr" anchorCtr="0"/>
                  <a:lstStyle/>
                  <a:p>
                    <a:pPr algn="ctr">
                      <a:defRPr sz="1000">
                        <a:solidFill>
                          <a:srgbClr val="17365D"/>
                        </a:solidFill>
                        <a:latin typeface="Times New Roman" panose="02020603050405020304" pitchFamily="18" charset="0"/>
                        <a:cs typeface="Times New Roman" panose="02020603050405020304" pitchFamily="18" charset="0"/>
                      </a:defRPr>
                    </a:pPr>
                    <a:fld id="{A6910223-B5C4-4429-9861-00AED9981752}" type="CATEGORYNAME">
                      <a:rPr lang="lv-LV">
                        <a:solidFill>
                          <a:srgbClr val="17365D"/>
                        </a:solidFill>
                      </a:rPr>
                      <a:pPr algn="ctr">
                        <a:defRPr sz="1000">
                          <a:solidFill>
                            <a:srgbClr val="17365D"/>
                          </a:solidFill>
                          <a:latin typeface="Times New Roman" panose="02020603050405020304" pitchFamily="18" charset="0"/>
                          <a:cs typeface="Times New Roman" panose="02020603050405020304" pitchFamily="18" charset="0"/>
                        </a:defRPr>
                      </a:pPr>
                      <a:t>[CATEGORY NAME]</a:t>
                    </a:fld>
                    <a:r>
                      <a:rPr lang="lv-LV" baseline="0">
                        <a:solidFill>
                          <a:srgbClr val="17365D"/>
                        </a:solidFill>
                      </a:rPr>
                      <a:t> </a:t>
                    </a:r>
                    <a:fld id="{29FADC7F-71F0-4E05-B1B0-427821229E54}" type="PERCENTAGE">
                      <a:rPr lang="lv-LV" baseline="0">
                        <a:solidFill>
                          <a:srgbClr val="17365D"/>
                        </a:solidFill>
                      </a:rPr>
                      <a:pPr algn="ctr">
                        <a:defRPr sz="1000">
                          <a:solidFill>
                            <a:srgbClr val="17365D"/>
                          </a:solidFill>
                          <a:latin typeface="Times New Roman" panose="02020603050405020304" pitchFamily="18" charset="0"/>
                          <a:cs typeface="Times New Roman" panose="02020603050405020304" pitchFamily="18" charset="0"/>
                        </a:defRPr>
                      </a:pPr>
                      <a:t>[PERCENTAGE]</a:t>
                    </a:fld>
                    <a:endParaRPr lang="lv-LV" baseline="0">
                      <a:solidFill>
                        <a:srgbClr val="17365D"/>
                      </a:solidFill>
                    </a:endParaRPr>
                  </a:p>
                </c:rich>
              </c:tx>
              <c:numFmt formatCode="0.0%" sourceLinked="0"/>
              <c:spPr>
                <a:noFill/>
                <a:ln>
                  <a:noFill/>
                </a:ln>
                <a:effectLst/>
              </c:sp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rect">
                      <a:avLst/>
                    </a:prstGeom>
                  </c15:spPr>
                  <c15:layout>
                    <c:manualLayout>
                      <c:w val="0.30595795474250775"/>
                      <c:h val="0.11788005901068233"/>
                    </c:manualLayout>
                  </c15:layout>
                  <c15:dlblFieldTable/>
                  <c15:showDataLabelsRange val="0"/>
                </c:ext>
                <c:ext xmlns:c16="http://schemas.microsoft.com/office/drawing/2014/chart" uri="{C3380CC4-5D6E-409C-BE32-E72D297353CC}">
                  <c16:uniqueId val="{00000009-81DB-47B5-95D6-2BFD3EDB15B9}"/>
                </c:ext>
              </c:extLst>
            </c:dLbl>
            <c:dLbl>
              <c:idx val="5"/>
              <c:layout>
                <c:manualLayout>
                  <c:x val="5.6248789940385076E-2"/>
                  <c:y val="0.17918962513997264"/>
                </c:manualLayout>
              </c:layout>
              <c:tx>
                <c:rich>
                  <a:bodyPr/>
                  <a:lstStyle/>
                  <a:p>
                    <a:fld id="{8B8BC771-A004-49EC-9F44-193D5251244C}" type="CATEGORYNAME">
                      <a:rPr lang="en-US"/>
                      <a:pPr/>
                      <a:t>[CATEGORY NAME]</a:t>
                    </a:fld>
                    <a:r>
                      <a:rPr lang="en-US"/>
                      <a:t> </a:t>
                    </a:r>
                    <a:fld id="{A3A2CCA8-8562-4B13-A78F-ED51BF900EAB}" type="PERCENTAGE">
                      <a:rPr lang="en-US" baseline="0"/>
                      <a:pPr/>
                      <a:t>[PERCENTAGE]</a:t>
                    </a:fld>
                    <a:endParaRPr lang="en-US"/>
                  </a:p>
                </c:rich>
              </c:tx>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30571282823130108"/>
                      <c:h val="0.1303256252110698"/>
                    </c:manualLayout>
                  </c15:layout>
                  <c15:dlblFieldTable/>
                  <c15:showDataLabelsRange val="0"/>
                </c:ext>
                <c:ext xmlns:c16="http://schemas.microsoft.com/office/drawing/2014/chart" uri="{C3380CC4-5D6E-409C-BE32-E72D297353CC}">
                  <c16:uniqueId val="{0000000B-81DB-47B5-95D6-2BFD3EDB15B9}"/>
                </c:ext>
              </c:extLst>
            </c:dLbl>
            <c:numFmt formatCode="0.0%" sourceLinked="0"/>
            <c:spPr>
              <a:noFill/>
              <a:ln>
                <a:noFill/>
              </a:ln>
              <a:effectLst/>
            </c:spPr>
            <c:txPr>
              <a:bodyPr lIns="7200" anchor="ctr" anchorCtr="0"/>
              <a:lstStyle/>
              <a:p>
                <a:pPr>
                  <a:defRPr sz="1000">
                    <a:solidFill>
                      <a:srgbClr val="17365D"/>
                    </a:solidFill>
                    <a:latin typeface="Times New Roman" panose="02020603050405020304" pitchFamily="18" charset="0"/>
                    <a:cs typeface="Times New Roman" panose="02020603050405020304" pitchFamily="18" charset="0"/>
                  </a:defRPr>
                </a:pPr>
                <a:endParaRPr lang="lv-LV"/>
              </a:p>
            </c:txPr>
            <c:dLblPos val="outEnd"/>
            <c:showLegendKey val="0"/>
            <c:showVal val="0"/>
            <c:showCatName val="1"/>
            <c:showSerName val="0"/>
            <c:showPercent val="1"/>
            <c:showBubbleSize val="0"/>
            <c:separator>, </c:separator>
            <c:showLeaderLines val="1"/>
            <c:leaderLines>
              <c:spPr>
                <a:ln w="6350">
                  <a:solidFill>
                    <a:srgbClr val="C3C4C6"/>
                  </a:solidFill>
                </a:ln>
              </c:spPr>
            </c:leaderLines>
            <c:extLst>
              <c:ext xmlns:c15="http://schemas.microsoft.com/office/drawing/2012/chart" uri="{CE6537A1-D6FC-4f65-9D91-7224C49458BB}">
                <c15:spPr xmlns:c15="http://schemas.microsoft.com/office/drawing/2012/chart">
                  <a:prstGeom prst="rect">
                    <a:avLst/>
                  </a:prstGeom>
                </c15:spPr>
              </c:ext>
            </c:extLst>
          </c:dLbls>
          <c:cat>
            <c:strRef>
              <c:f>'parada struktura 2022'!$A$3:$A$9</c:f>
              <c:strCache>
                <c:ptCount val="6"/>
                <c:pt idx="0">
                  <c:v>Iekšējais parāds</c:v>
                </c:pt>
                <c:pt idx="1">
                  <c:v>Eiroobligāciju laidiens iekšējā tirgū</c:v>
                </c:pt>
                <c:pt idx="2">
                  <c:v>Eiroobligācijas</c:v>
                </c:pt>
                <c:pt idx="3">
                  <c:v>Eiropas Komisija</c:v>
                </c:pt>
                <c:pt idx="4">
                  <c:v>Ziemeļu investīciju banka</c:v>
                </c:pt>
                <c:pt idx="5">
                  <c:v>Citas ārējā parāda saistības</c:v>
                </c:pt>
              </c:strCache>
              <c:extLst/>
            </c:strRef>
          </c:cat>
          <c:val>
            <c:numRef>
              <c:f>'parada struktura 2022'!$B$3:$B$9</c:f>
              <c:numCache>
                <c:formatCode>#\ ##0.0</c:formatCode>
                <c:ptCount val="6"/>
                <c:pt idx="0">
                  <c:v>2335.6369831799993</c:v>
                </c:pt>
                <c:pt idx="1">
                  <c:v>1857.25</c:v>
                </c:pt>
                <c:pt idx="2">
                  <c:v>10550</c:v>
                </c:pt>
                <c:pt idx="3">
                  <c:v>672</c:v>
                </c:pt>
                <c:pt idx="4">
                  <c:v>498.85608242000001</c:v>
                </c:pt>
                <c:pt idx="5">
                  <c:v>853.34776971999918</c:v>
                </c:pt>
              </c:numCache>
              <c:extLst/>
            </c:numRef>
          </c:val>
          <c:extLst>
            <c:ext xmlns:c16="http://schemas.microsoft.com/office/drawing/2014/chart" uri="{C3380CC4-5D6E-409C-BE32-E72D297353CC}">
              <c16:uniqueId val="{0000000C-81DB-47B5-95D6-2BFD3EDB15B9}"/>
            </c:ext>
          </c:extLst>
        </c:ser>
        <c:dLbls>
          <c:showLegendKey val="0"/>
          <c:showVal val="0"/>
          <c:showCatName val="0"/>
          <c:showSerName val="0"/>
          <c:showPercent val="1"/>
          <c:showBubbleSize val="0"/>
          <c:showLeaderLines val="1"/>
        </c:dLbls>
      </c:pie3DChart>
      <c:spPr>
        <a:ln>
          <a:noFill/>
        </a:ln>
        <a:effectLst/>
      </c:spPr>
    </c:plotArea>
    <c:plotVisOnly val="1"/>
    <c:dispBlanksAs val="gap"/>
    <c:showDLblsOverMax val="0"/>
  </c:chart>
  <c:spPr>
    <a:noFill/>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a:solidFill>
                  <a:srgbClr val="17365D"/>
                </a:solidFill>
                <a:latin typeface="Times New Roman" pitchFamily="18" charset="0"/>
                <a:cs typeface="Times New Roman" pitchFamily="18" charset="0"/>
              </a:defRPr>
            </a:pPr>
            <a:r>
              <a:rPr lang="en-US" sz="1000" b="0">
                <a:solidFill>
                  <a:srgbClr val="17365D"/>
                </a:solidFill>
                <a:latin typeface="Times New Roman" pitchFamily="18" charset="0"/>
                <a:cs typeface="Times New Roman" pitchFamily="18" charset="0"/>
              </a:rPr>
              <a:t>20</a:t>
            </a:r>
            <a:r>
              <a:rPr lang="lv-LV" sz="1000" b="0">
                <a:solidFill>
                  <a:srgbClr val="17365D"/>
                </a:solidFill>
                <a:latin typeface="Times New Roman" pitchFamily="18" charset="0"/>
                <a:cs typeface="Times New Roman" pitchFamily="18" charset="0"/>
              </a:rPr>
              <a:t>21. gada 31. decembrī</a:t>
            </a:r>
            <a:endParaRPr lang="en-US" sz="1000" b="0">
              <a:solidFill>
                <a:srgbClr val="17365D"/>
              </a:solidFill>
              <a:latin typeface="Times New Roman" pitchFamily="18" charset="0"/>
              <a:cs typeface="Times New Roman" pitchFamily="18" charset="0"/>
            </a:endParaRPr>
          </a:p>
        </c:rich>
      </c:tx>
      <c:layout>
        <c:manualLayout>
          <c:xMode val="edge"/>
          <c:yMode val="edge"/>
          <c:x val="0.29290533325397466"/>
          <c:y val="1.2382842795735684E-3"/>
        </c:manualLayout>
      </c:layout>
      <c:overlay val="0"/>
    </c:title>
    <c:autoTitleDeleted val="0"/>
    <c:view3D>
      <c:rotX val="30"/>
      <c:rotY val="220"/>
      <c:rAngAx val="0"/>
    </c:view3D>
    <c:floor>
      <c:thickness val="0"/>
    </c:floor>
    <c:sideWall>
      <c:thickness val="0"/>
    </c:sideWall>
    <c:backWall>
      <c:thickness val="0"/>
    </c:backWall>
    <c:plotArea>
      <c:layout>
        <c:manualLayout>
          <c:layoutTarget val="inner"/>
          <c:xMode val="edge"/>
          <c:yMode val="edge"/>
          <c:x val="3.2677394720706306E-2"/>
          <c:y val="0.14327933566396411"/>
          <c:w val="0.92710592390579083"/>
          <c:h val="0.77415981733946804"/>
        </c:manualLayout>
      </c:layout>
      <c:pie3DChart>
        <c:varyColors val="1"/>
        <c:ser>
          <c:idx val="0"/>
          <c:order val="0"/>
          <c:tx>
            <c:strRef>
              <c:f>VP_terminiem_2022!$C$4</c:f>
              <c:strCache>
                <c:ptCount val="1"/>
                <c:pt idx="0">
                  <c:v>2021</c:v>
                </c:pt>
              </c:strCache>
            </c:strRef>
          </c:tx>
          <c:spPr>
            <a:ln>
              <a:noFill/>
            </a:ln>
            <a:effectLst>
              <a:outerShdw blurRad="101600" dist="38100" dir="5400000" algn="tl" rotWithShape="0">
                <a:prstClr val="black">
                  <a:alpha val="40000"/>
                </a:prstClr>
              </a:outerShdw>
            </a:effectLst>
            <a:scene3d>
              <a:camera prst="orthographicFront"/>
              <a:lightRig rig="threePt" dir="t"/>
            </a:scene3d>
            <a:sp3d>
              <a:bevelT w="0" h="0"/>
              <a:bevelB w="0" h="0"/>
            </a:sp3d>
          </c:spPr>
          <c:explosion val="5"/>
          <c:dPt>
            <c:idx val="0"/>
            <c:bubble3D val="0"/>
            <c:spPr>
              <a:solidFill>
                <a:srgbClr val="B9CDE5"/>
              </a:solidFill>
              <a:ln>
                <a:solidFill>
                  <a:srgbClr val="B9CDE5"/>
                </a:solidFill>
              </a:ln>
              <a:effectLst>
                <a:outerShdw blurRad="101600" dist="38100" dir="5400000" algn="tl" rotWithShape="0">
                  <a:prstClr val="black">
                    <a:alpha val="40000"/>
                  </a:prstClr>
                </a:outerShdw>
              </a:effectLst>
              <a:scene3d>
                <a:camera prst="orthographicFront"/>
                <a:lightRig rig="threePt" dir="t"/>
              </a:scene3d>
              <a:sp3d>
                <a:bevelT w="0" h="0"/>
                <a:bevelB w="0" h="0"/>
              </a:sp3d>
            </c:spPr>
            <c:extLst>
              <c:ext xmlns:c16="http://schemas.microsoft.com/office/drawing/2014/chart" uri="{C3380CC4-5D6E-409C-BE32-E72D297353CC}">
                <c16:uniqueId val="{00000001-D8F4-499D-9386-630A4FCB44C3}"/>
              </c:ext>
            </c:extLst>
          </c:dPt>
          <c:dPt>
            <c:idx val="1"/>
            <c:bubble3D val="0"/>
            <c:spPr>
              <a:solidFill>
                <a:srgbClr val="558ED5"/>
              </a:solidFill>
              <a:ln>
                <a:solidFill>
                  <a:srgbClr val="558ED5"/>
                </a:solidFill>
              </a:ln>
              <a:effectLst>
                <a:outerShdw blurRad="101600" dist="38100" dir="5400000" algn="tl" rotWithShape="0">
                  <a:prstClr val="black">
                    <a:alpha val="40000"/>
                  </a:prstClr>
                </a:outerShdw>
              </a:effectLst>
              <a:scene3d>
                <a:camera prst="orthographicFront"/>
                <a:lightRig rig="threePt" dir="t"/>
              </a:scene3d>
              <a:sp3d>
                <a:bevelT w="0" h="0"/>
                <a:bevelB w="0" h="0"/>
              </a:sp3d>
            </c:spPr>
            <c:extLst>
              <c:ext xmlns:c16="http://schemas.microsoft.com/office/drawing/2014/chart" uri="{C3380CC4-5D6E-409C-BE32-E72D297353CC}">
                <c16:uniqueId val="{00000003-D8F4-499D-9386-630A4FCB44C3}"/>
              </c:ext>
            </c:extLst>
          </c:dPt>
          <c:dPt>
            <c:idx val="2"/>
            <c:bubble3D val="0"/>
            <c:spPr>
              <a:solidFill>
                <a:srgbClr val="E57200"/>
              </a:solidFill>
              <a:ln>
                <a:noFill/>
              </a:ln>
              <a:effectLst>
                <a:outerShdw blurRad="101600" dist="38100" dir="5400000" algn="tl" rotWithShape="0">
                  <a:prstClr val="black">
                    <a:alpha val="40000"/>
                  </a:prstClr>
                </a:outerShdw>
              </a:effectLst>
              <a:scene3d>
                <a:camera prst="orthographicFront"/>
                <a:lightRig rig="threePt" dir="t"/>
              </a:scene3d>
              <a:sp3d>
                <a:bevelT w="0" h="0"/>
                <a:bevelB w="0" h="0"/>
              </a:sp3d>
            </c:spPr>
            <c:extLst>
              <c:ext xmlns:c16="http://schemas.microsoft.com/office/drawing/2014/chart" uri="{C3380CC4-5D6E-409C-BE32-E72D297353CC}">
                <c16:uniqueId val="{00000005-D8F4-499D-9386-630A4FCB44C3}"/>
              </c:ext>
            </c:extLst>
          </c:dPt>
          <c:dPt>
            <c:idx val="3"/>
            <c:bubble3D val="0"/>
            <c:spPr>
              <a:solidFill>
                <a:srgbClr val="68478D"/>
              </a:solidFill>
              <a:ln>
                <a:noFill/>
              </a:ln>
              <a:effectLst>
                <a:outerShdw blurRad="101600" dist="38100" dir="5400000" algn="tl" rotWithShape="0">
                  <a:prstClr val="black">
                    <a:alpha val="40000"/>
                  </a:prstClr>
                </a:outerShdw>
              </a:effectLst>
              <a:scene3d>
                <a:camera prst="orthographicFront"/>
                <a:lightRig rig="threePt" dir="t"/>
              </a:scene3d>
              <a:sp3d>
                <a:bevelT w="0" h="0"/>
                <a:bevelB w="0" h="0"/>
              </a:sp3d>
            </c:spPr>
            <c:extLst>
              <c:ext xmlns:c16="http://schemas.microsoft.com/office/drawing/2014/chart" uri="{C3380CC4-5D6E-409C-BE32-E72D297353CC}">
                <c16:uniqueId val="{00000007-D8F4-499D-9386-630A4FCB44C3}"/>
              </c:ext>
            </c:extLst>
          </c:dPt>
          <c:dPt>
            <c:idx val="4"/>
            <c:bubble3D val="0"/>
            <c:spPr>
              <a:solidFill>
                <a:srgbClr val="4A773C"/>
              </a:solidFill>
              <a:ln>
                <a:noFill/>
              </a:ln>
              <a:effectLst>
                <a:outerShdw blurRad="101600" dist="38100" dir="5400000" algn="tl" rotWithShape="0">
                  <a:prstClr val="black">
                    <a:alpha val="40000"/>
                  </a:prstClr>
                </a:outerShdw>
              </a:effectLst>
              <a:scene3d>
                <a:camera prst="orthographicFront"/>
                <a:lightRig rig="threePt" dir="t"/>
              </a:scene3d>
              <a:sp3d>
                <a:bevelT w="0" h="0"/>
                <a:bevelB w="0" h="0"/>
              </a:sp3d>
            </c:spPr>
            <c:extLst>
              <c:ext xmlns:c16="http://schemas.microsoft.com/office/drawing/2014/chart" uri="{C3380CC4-5D6E-409C-BE32-E72D297353CC}">
                <c16:uniqueId val="{00000009-D8F4-499D-9386-630A4FCB44C3}"/>
              </c:ext>
            </c:extLst>
          </c:dPt>
          <c:dPt>
            <c:idx val="5"/>
            <c:bubble3D val="0"/>
            <c:spPr>
              <a:solidFill>
                <a:srgbClr val="00B050"/>
              </a:solidFill>
              <a:ln>
                <a:noFill/>
              </a:ln>
              <a:effectLst>
                <a:outerShdw blurRad="101600" dist="38100" dir="5400000" algn="tl" rotWithShape="0">
                  <a:prstClr val="black">
                    <a:alpha val="40000"/>
                  </a:prstClr>
                </a:outerShdw>
              </a:effectLst>
              <a:scene3d>
                <a:camera prst="orthographicFront"/>
                <a:lightRig rig="threePt" dir="t"/>
              </a:scene3d>
              <a:sp3d>
                <a:bevelT w="0" h="0"/>
                <a:bevelB w="0" h="0"/>
              </a:sp3d>
            </c:spPr>
            <c:extLst>
              <c:ext xmlns:c16="http://schemas.microsoft.com/office/drawing/2014/chart" uri="{C3380CC4-5D6E-409C-BE32-E72D297353CC}">
                <c16:uniqueId val="{0000000B-D8F4-499D-9386-630A4FCB44C3}"/>
              </c:ext>
            </c:extLst>
          </c:dPt>
          <c:dLbls>
            <c:dLbl>
              <c:idx val="0"/>
              <c:layout>
                <c:manualLayout>
                  <c:x val="2.2230352597654951E-3"/>
                  <c:y val="-8.5516981495843913E-2"/>
                </c:manualLayout>
              </c:layout>
              <c:tx>
                <c:rich>
                  <a:bodyPr/>
                  <a:lstStyle/>
                  <a:p>
                    <a:r>
                      <a:rPr lang="en-US" baseline="0"/>
                      <a:t>659.8 milj.
</a:t>
                    </a:r>
                    <a:fld id="{171E0FA5-29D3-47D9-9D89-ED61548E575B}" type="PERCENTAGE">
                      <a:rPr lang="en-US" baseline="0"/>
                      <a:pPr/>
                      <a:t>[PERCENTAGE]</a:t>
                    </a:fld>
                    <a:endParaRPr lang="en-US" baseline="0"/>
                  </a:p>
                </c:rich>
              </c:tx>
              <c:dLblPos val="bestFit"/>
              <c:showLegendKey val="0"/>
              <c:showVal val="1"/>
              <c:showCatName val="0"/>
              <c:showSerName val="0"/>
              <c:showPercent val="1"/>
              <c:showBubbleSize val="0"/>
              <c:separator>
</c:separator>
              <c:extLst>
                <c:ext xmlns:c15="http://schemas.microsoft.com/office/drawing/2012/chart" uri="{CE6537A1-D6FC-4f65-9D91-7224C49458BB}">
                  <c15:layout>
                    <c:manualLayout>
                      <c:w val="0.26158292574477543"/>
                      <c:h val="0.20868113522537565"/>
                    </c:manualLayout>
                  </c15:layout>
                  <c15:dlblFieldTable/>
                  <c15:showDataLabelsRange val="0"/>
                </c:ext>
                <c:ext xmlns:c16="http://schemas.microsoft.com/office/drawing/2014/chart" uri="{C3380CC4-5D6E-409C-BE32-E72D297353CC}">
                  <c16:uniqueId val="{00000001-D8F4-499D-9386-630A4FCB44C3}"/>
                </c:ext>
              </c:extLst>
            </c:dLbl>
            <c:dLbl>
              <c:idx val="1"/>
              <c:layout>
                <c:manualLayout>
                  <c:x val="-1.6332192342254189E-2"/>
                  <c:y val="0.20216351889967696"/>
                </c:manualLayout>
              </c:layout>
              <c:tx>
                <c:rich>
                  <a:bodyPr/>
                  <a:lstStyle/>
                  <a:p>
                    <a:r>
                      <a:rPr lang="en-US"/>
                      <a:t>960.7 milj.</a:t>
                    </a:r>
                    <a:r>
                      <a:rPr lang="en-US" baseline="0"/>
                      <a:t>
</a:t>
                    </a:r>
                    <a:fld id="{E5998032-FEF9-435F-9F15-2F451FF5259E}" type="PERCENTAGE">
                      <a:rPr lang="en-US" baseline="0"/>
                      <a:pPr/>
                      <a:t>[PERCENTAGE]</a:t>
                    </a:fld>
                    <a:endParaRPr lang="en-US" baseline="0"/>
                  </a:p>
                </c:rich>
              </c:tx>
              <c:dLblPos val="bestFit"/>
              <c:showLegendKey val="0"/>
              <c:showVal val="1"/>
              <c:showCatName val="0"/>
              <c:showSerName val="0"/>
              <c:showPercent val="1"/>
              <c:showBubbleSize val="0"/>
              <c:separator>
</c:separator>
              <c:extLst>
                <c:ext xmlns:c15="http://schemas.microsoft.com/office/drawing/2012/chart" uri="{CE6537A1-D6FC-4f65-9D91-7224C49458BB}">
                  <c15:layout>
                    <c:manualLayout>
                      <c:w val="0.23469678562300655"/>
                      <c:h val="0.15973034672836178"/>
                    </c:manualLayout>
                  </c15:layout>
                  <c15:dlblFieldTable/>
                  <c15:showDataLabelsRange val="0"/>
                </c:ext>
                <c:ext xmlns:c16="http://schemas.microsoft.com/office/drawing/2014/chart" uri="{C3380CC4-5D6E-409C-BE32-E72D297353CC}">
                  <c16:uniqueId val="{00000003-D8F4-499D-9386-630A4FCB44C3}"/>
                </c:ext>
              </c:extLst>
            </c:dLbl>
            <c:numFmt formatCode="0.0%" sourceLinked="0"/>
            <c:spPr>
              <a:noFill/>
              <a:ln>
                <a:noFill/>
              </a:ln>
              <a:effectLst/>
            </c:spPr>
            <c:txPr>
              <a:bodyPr/>
              <a:lstStyle/>
              <a:p>
                <a:pPr>
                  <a:defRPr>
                    <a:solidFill>
                      <a:srgbClr val="17365D"/>
                    </a:solidFill>
                    <a:latin typeface="Times New Roman" panose="02020603050405020304" pitchFamily="18" charset="0"/>
                    <a:cs typeface="Times New Roman" panose="02020603050405020304" pitchFamily="18" charset="0"/>
                  </a:defRPr>
                </a:pPr>
                <a:endParaRPr lang="lv-LV"/>
              </a:p>
            </c:txPr>
            <c:dLblPos val="outEnd"/>
            <c:showLegendKey val="0"/>
            <c:showVal val="1"/>
            <c:showCatName val="0"/>
            <c:showSerName val="0"/>
            <c:showPercent val="1"/>
            <c:showBubbleSize val="0"/>
            <c:separator>
</c:separator>
            <c:showLeaderLines val="0"/>
            <c:extLst>
              <c:ext xmlns:c15="http://schemas.microsoft.com/office/drawing/2012/chart" uri="{CE6537A1-D6FC-4f65-9D91-7224C49458BB}"/>
            </c:extLst>
          </c:dLbls>
          <c:cat>
            <c:strRef>
              <c:f>VP_terminiem_2022!$A$5:$A$7</c:f>
              <c:strCache>
                <c:ptCount val="2"/>
                <c:pt idx="0">
                  <c:v>Vidēja termiņa obligācijas</c:v>
                </c:pt>
                <c:pt idx="1">
                  <c:v>Ilgtermiņa obligācijas</c:v>
                </c:pt>
              </c:strCache>
            </c:strRef>
          </c:cat>
          <c:val>
            <c:numRef>
              <c:f>VP_terminiem_2022!$C$5:$C$7</c:f>
              <c:numCache>
                <c:formatCode>#\ ##0.0\ \ </c:formatCode>
                <c:ptCount val="2"/>
                <c:pt idx="0">
                  <c:v>659750000</c:v>
                </c:pt>
                <c:pt idx="1">
                  <c:v>960722465.3299998</c:v>
                </c:pt>
              </c:numCache>
            </c:numRef>
          </c:val>
          <c:extLst>
            <c:ext xmlns:c16="http://schemas.microsoft.com/office/drawing/2014/chart" uri="{C3380CC4-5D6E-409C-BE32-E72D297353CC}">
              <c16:uniqueId val="{0000000C-D8F4-499D-9386-630A4FCB44C3}"/>
            </c:ext>
          </c:extLst>
        </c:ser>
        <c:dLbls>
          <c:dLblPos val="inEnd"/>
          <c:showLegendKey val="0"/>
          <c:showVal val="1"/>
          <c:showCatName val="0"/>
          <c:showSerName val="0"/>
          <c:showPercent val="0"/>
          <c:showBubbleSize val="0"/>
          <c:showLeaderLines val="0"/>
        </c:dLbls>
      </c:pie3DChart>
    </c:plotArea>
    <c:plotVisOnly val="1"/>
    <c:dispBlanksAs val="gap"/>
    <c:showDLblsOverMax val="0"/>
  </c:chart>
  <c:spPr>
    <a:noFill/>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nchor="ctr" anchorCtr="1"/>
          <a:lstStyle/>
          <a:p>
            <a:pPr algn="ctr">
              <a:defRPr sz="1000" b="0">
                <a:solidFill>
                  <a:srgbClr val="17365D"/>
                </a:solidFill>
                <a:latin typeface="Times New Roman" pitchFamily="18" charset="0"/>
                <a:cs typeface="Times New Roman" pitchFamily="18" charset="0"/>
              </a:defRPr>
            </a:pPr>
            <a:r>
              <a:rPr lang="en-US" sz="1000" b="0">
                <a:solidFill>
                  <a:srgbClr val="17365D"/>
                </a:solidFill>
                <a:latin typeface="Times New Roman" pitchFamily="18" charset="0"/>
                <a:cs typeface="Times New Roman" pitchFamily="18" charset="0"/>
              </a:rPr>
              <a:t>20</a:t>
            </a:r>
            <a:r>
              <a:rPr lang="lv-LV" sz="1000" b="0">
                <a:solidFill>
                  <a:srgbClr val="17365D"/>
                </a:solidFill>
                <a:latin typeface="Times New Roman" pitchFamily="18" charset="0"/>
                <a:cs typeface="Times New Roman" pitchFamily="18" charset="0"/>
              </a:rPr>
              <a:t>22. gada 31. decembrī</a:t>
            </a:r>
            <a:endParaRPr lang="en-US" sz="1000" b="0">
              <a:solidFill>
                <a:srgbClr val="17365D"/>
              </a:solidFill>
              <a:latin typeface="Times New Roman" pitchFamily="18" charset="0"/>
              <a:cs typeface="Times New Roman" pitchFamily="18" charset="0"/>
            </a:endParaRPr>
          </a:p>
        </c:rich>
      </c:tx>
      <c:layout>
        <c:manualLayout>
          <c:xMode val="edge"/>
          <c:yMode val="edge"/>
          <c:x val="0.24615835425359642"/>
          <c:y val="1.285489932740526E-2"/>
        </c:manualLayout>
      </c:layout>
      <c:overlay val="0"/>
    </c:title>
    <c:autoTitleDeleted val="0"/>
    <c:view3D>
      <c:rotX val="30"/>
      <c:rotY val="220"/>
      <c:rAngAx val="0"/>
    </c:view3D>
    <c:floor>
      <c:thickness val="0"/>
    </c:floor>
    <c:sideWall>
      <c:thickness val="0"/>
    </c:sideWall>
    <c:backWall>
      <c:thickness val="0"/>
    </c:backWall>
    <c:plotArea>
      <c:layout>
        <c:manualLayout>
          <c:layoutTarget val="inner"/>
          <c:xMode val="edge"/>
          <c:yMode val="edge"/>
          <c:x val="3.605239392469306E-2"/>
          <c:y val="0.15056717910261216"/>
          <c:w val="0.93173713475389031"/>
          <c:h val="0.78026246719160108"/>
        </c:manualLayout>
      </c:layout>
      <c:pie3DChart>
        <c:varyColors val="1"/>
        <c:ser>
          <c:idx val="1"/>
          <c:order val="0"/>
          <c:tx>
            <c:strRef>
              <c:f>VP_terminiem_2022!$B$4</c:f>
              <c:strCache>
                <c:ptCount val="1"/>
                <c:pt idx="0">
                  <c:v>2022</c:v>
                </c:pt>
              </c:strCache>
            </c:strRef>
          </c:tx>
          <c:spPr>
            <a:effectLst>
              <a:outerShdw blurRad="101600" dist="38100" dir="2700000" algn="ctr" rotWithShape="0">
                <a:schemeClr val="tx1">
                  <a:alpha val="40000"/>
                </a:schemeClr>
              </a:outerShdw>
            </a:effectLst>
            <a:scene3d>
              <a:camera prst="orthographicFront"/>
              <a:lightRig rig="threePt" dir="t"/>
            </a:scene3d>
            <a:sp3d>
              <a:bevelT w="0" h="0"/>
              <a:bevelB w="0" h="0"/>
            </a:sp3d>
          </c:spPr>
          <c:explosion val="5"/>
          <c:dPt>
            <c:idx val="0"/>
            <c:bubble3D val="0"/>
            <c:spPr>
              <a:solidFill>
                <a:srgbClr val="B9CDE5"/>
              </a:solidFill>
              <a:ln>
                <a:solidFill>
                  <a:srgbClr val="B9CDE5"/>
                </a:solidFill>
              </a:ln>
              <a:effectLst>
                <a:outerShdw blurRad="101600" dist="38100" dir="2700000" algn="ctr" rotWithShape="0">
                  <a:schemeClr val="tx1">
                    <a:alpha val="40000"/>
                  </a:schemeClr>
                </a:outerShdw>
              </a:effectLst>
              <a:scene3d>
                <a:camera prst="orthographicFront"/>
                <a:lightRig rig="threePt" dir="t"/>
              </a:scene3d>
              <a:sp3d>
                <a:bevelT w="0" h="0"/>
                <a:bevelB w="0" h="0"/>
              </a:sp3d>
            </c:spPr>
            <c:extLst>
              <c:ext xmlns:c16="http://schemas.microsoft.com/office/drawing/2014/chart" uri="{C3380CC4-5D6E-409C-BE32-E72D297353CC}">
                <c16:uniqueId val="{00000001-30A4-4DD6-92A5-C8A15D21333B}"/>
              </c:ext>
            </c:extLst>
          </c:dPt>
          <c:dPt>
            <c:idx val="1"/>
            <c:bubble3D val="0"/>
            <c:spPr>
              <a:solidFill>
                <a:srgbClr val="558ED5"/>
              </a:solidFill>
              <a:ln>
                <a:solidFill>
                  <a:srgbClr val="558ED5"/>
                </a:solidFill>
              </a:ln>
              <a:effectLst>
                <a:outerShdw blurRad="101600" dist="38100" dir="2700000" algn="ctr" rotWithShape="0">
                  <a:schemeClr val="tx1">
                    <a:alpha val="40000"/>
                  </a:schemeClr>
                </a:outerShdw>
              </a:effectLst>
              <a:scene3d>
                <a:camera prst="orthographicFront"/>
                <a:lightRig rig="threePt" dir="t"/>
              </a:scene3d>
              <a:sp3d>
                <a:bevelT w="0" h="0"/>
                <a:bevelB w="0" h="0"/>
              </a:sp3d>
            </c:spPr>
            <c:extLst>
              <c:ext xmlns:c16="http://schemas.microsoft.com/office/drawing/2014/chart" uri="{C3380CC4-5D6E-409C-BE32-E72D297353CC}">
                <c16:uniqueId val="{00000003-30A4-4DD6-92A5-C8A15D21333B}"/>
              </c:ext>
            </c:extLst>
          </c:dPt>
          <c:dPt>
            <c:idx val="2"/>
            <c:bubble3D val="0"/>
            <c:spPr>
              <a:solidFill>
                <a:srgbClr val="E57200"/>
              </a:solidFill>
              <a:effectLst>
                <a:outerShdw blurRad="101600" dist="38100" dir="2700000" algn="ctr" rotWithShape="0">
                  <a:schemeClr val="tx1">
                    <a:alpha val="40000"/>
                  </a:schemeClr>
                </a:outerShdw>
              </a:effectLst>
              <a:scene3d>
                <a:camera prst="orthographicFront"/>
                <a:lightRig rig="threePt" dir="t"/>
              </a:scene3d>
              <a:sp3d>
                <a:bevelT w="0" h="0"/>
                <a:bevelB w="0" h="0"/>
              </a:sp3d>
            </c:spPr>
            <c:extLst>
              <c:ext xmlns:c16="http://schemas.microsoft.com/office/drawing/2014/chart" uri="{C3380CC4-5D6E-409C-BE32-E72D297353CC}">
                <c16:uniqueId val="{00000005-30A4-4DD6-92A5-C8A15D21333B}"/>
              </c:ext>
            </c:extLst>
          </c:dPt>
          <c:dPt>
            <c:idx val="3"/>
            <c:bubble3D val="0"/>
            <c:spPr>
              <a:solidFill>
                <a:srgbClr val="68478D"/>
              </a:solidFill>
              <a:effectLst>
                <a:outerShdw blurRad="101600" dist="38100" dir="2700000" algn="ctr" rotWithShape="0">
                  <a:schemeClr val="tx1">
                    <a:alpha val="40000"/>
                  </a:schemeClr>
                </a:outerShdw>
              </a:effectLst>
              <a:scene3d>
                <a:camera prst="orthographicFront"/>
                <a:lightRig rig="threePt" dir="t"/>
              </a:scene3d>
              <a:sp3d>
                <a:bevelT w="0" h="0"/>
                <a:bevelB w="0" h="0"/>
              </a:sp3d>
            </c:spPr>
            <c:extLst>
              <c:ext xmlns:c16="http://schemas.microsoft.com/office/drawing/2014/chart" uri="{C3380CC4-5D6E-409C-BE32-E72D297353CC}">
                <c16:uniqueId val="{00000007-30A4-4DD6-92A5-C8A15D21333B}"/>
              </c:ext>
            </c:extLst>
          </c:dPt>
          <c:dLbls>
            <c:dLbl>
              <c:idx val="0"/>
              <c:layout>
                <c:manualLayout>
                  <c:x val="4.3525571273122961E-3"/>
                  <c:y val="-0.32109911295475962"/>
                </c:manualLayout>
              </c:layout>
              <c:tx>
                <c:rich>
                  <a:bodyPr/>
                  <a:lstStyle/>
                  <a:p>
                    <a:r>
                      <a:rPr lang="en-US"/>
                      <a:t>257.5 milj.</a:t>
                    </a:r>
                    <a:r>
                      <a:rPr lang="en-US" baseline="0"/>
                      <a:t>
</a:t>
                    </a:r>
                    <a:fld id="{67E256B7-4818-456E-97F6-0351B60A5EA7}" type="PERCENTAGE">
                      <a:rPr lang="en-US" baseline="0"/>
                      <a:pPr/>
                      <a:t>[PERCENTAGE]</a:t>
                    </a:fld>
                    <a:endParaRPr lang="en-US" baseline="0"/>
                  </a:p>
                </c:rich>
              </c:tx>
              <c:dLblPos val="bestFit"/>
              <c:showLegendKey val="0"/>
              <c:showVal val="1"/>
              <c:showCatName val="0"/>
              <c:showSerName val="0"/>
              <c:showPercent val="1"/>
              <c:showBubbleSize val="0"/>
              <c:separator>
</c:separator>
              <c:extLst>
                <c:ext xmlns:c15="http://schemas.microsoft.com/office/drawing/2012/chart" uri="{CE6537A1-D6FC-4f65-9D91-7224C49458BB}">
                  <c15:layout>
                    <c:manualLayout>
                      <c:w val="0.23429815016322089"/>
                      <c:h val="0.20632737276478683"/>
                    </c:manualLayout>
                  </c15:layout>
                  <c15:dlblFieldTable/>
                  <c15:showDataLabelsRange val="0"/>
                </c:ext>
                <c:ext xmlns:c16="http://schemas.microsoft.com/office/drawing/2014/chart" uri="{C3380CC4-5D6E-409C-BE32-E72D297353CC}">
                  <c16:uniqueId val="{00000001-30A4-4DD6-92A5-C8A15D21333B}"/>
                </c:ext>
              </c:extLst>
            </c:dLbl>
            <c:dLbl>
              <c:idx val="1"/>
              <c:layout>
                <c:manualLayout>
                  <c:x val="-1.8952473160659053E-3"/>
                  <c:y val="0.45324156007321631"/>
                </c:manualLayout>
              </c:layout>
              <c:tx>
                <c:rich>
                  <a:bodyPr/>
                  <a:lstStyle/>
                  <a:p>
                    <a:r>
                      <a:rPr lang="en-US" baseline="0"/>
                      <a:t>740.0 milj.
</a:t>
                    </a:r>
                    <a:fld id="{F6D36C0C-189D-4135-9827-9249ED5E0A60}" type="PERCENTAGE">
                      <a:rPr lang="en-US" baseline="0"/>
                      <a:pPr/>
                      <a:t>[PERCENTAGE]</a:t>
                    </a:fld>
                    <a:endParaRPr lang="en-US" baseline="0"/>
                  </a:p>
                </c:rich>
              </c:tx>
              <c:dLblPos val="bestFit"/>
              <c:showLegendKey val="0"/>
              <c:showVal val="1"/>
              <c:showCatName val="0"/>
              <c:showSerName val="0"/>
              <c:showPercent val="1"/>
              <c:showBubbleSize val="0"/>
              <c:separator>
</c:separator>
              <c:extLst>
                <c:ext xmlns:c15="http://schemas.microsoft.com/office/drawing/2012/chart" uri="{CE6537A1-D6FC-4f65-9D91-7224C49458BB}">
                  <c15:layout>
                    <c:manualLayout>
                      <c:w val="0.222255961203979"/>
                      <c:h val="0.15220613241776687"/>
                    </c:manualLayout>
                  </c15:layout>
                  <c15:dlblFieldTable/>
                  <c15:showDataLabelsRange val="0"/>
                </c:ext>
                <c:ext xmlns:c16="http://schemas.microsoft.com/office/drawing/2014/chart" uri="{C3380CC4-5D6E-409C-BE32-E72D297353CC}">
                  <c16:uniqueId val="{00000003-30A4-4DD6-92A5-C8A15D21333B}"/>
                </c:ext>
              </c:extLst>
            </c:dLbl>
            <c:numFmt formatCode="0.0%" sourceLinked="0"/>
            <c:spPr>
              <a:noFill/>
              <a:ln>
                <a:noFill/>
              </a:ln>
              <a:effectLst/>
            </c:spPr>
            <c:txPr>
              <a:bodyPr/>
              <a:lstStyle/>
              <a:p>
                <a:pPr>
                  <a:defRPr>
                    <a:solidFill>
                      <a:srgbClr val="17365D"/>
                    </a:solidFill>
                    <a:latin typeface="Times New Roman" panose="02020603050405020304" pitchFamily="18" charset="0"/>
                    <a:cs typeface="Times New Roman" panose="02020603050405020304" pitchFamily="18" charset="0"/>
                  </a:defRPr>
                </a:pPr>
                <a:endParaRPr lang="lv-LV"/>
              </a:p>
            </c:txPr>
            <c:dLblPos val="outEnd"/>
            <c:showLegendKey val="0"/>
            <c:showVal val="1"/>
            <c:showCatName val="0"/>
            <c:showSerName val="0"/>
            <c:showPercent val="1"/>
            <c:showBubbleSize val="0"/>
            <c:separator>
</c:separator>
            <c:showLeaderLines val="0"/>
            <c:extLst>
              <c:ext xmlns:c15="http://schemas.microsoft.com/office/drawing/2012/chart" uri="{CE6537A1-D6FC-4f65-9D91-7224C49458BB}"/>
            </c:extLst>
          </c:dLbls>
          <c:cat>
            <c:strRef>
              <c:extLst>
                <c:ext xmlns:c15="http://schemas.microsoft.com/office/drawing/2012/chart" uri="{02D57815-91ED-43cb-92C2-25804820EDAC}">
                  <c15:fullRef>
                    <c15:sqref>VP_terminiem_2022!$A$5:$A$7</c15:sqref>
                  </c15:fullRef>
                </c:ext>
              </c:extLst>
              <c:f>VP_terminiem_2022!$A$6:$A$7</c:f>
              <c:strCache>
                <c:ptCount val="2"/>
                <c:pt idx="0">
                  <c:v>Vidēja termiņa obligācijas</c:v>
                </c:pt>
                <c:pt idx="1">
                  <c:v>Ilgtermiņa obligācijas</c:v>
                </c:pt>
              </c:strCache>
            </c:strRef>
          </c:cat>
          <c:val>
            <c:numRef>
              <c:extLst>
                <c:ext xmlns:c15="http://schemas.microsoft.com/office/drawing/2012/chart" uri="{02D57815-91ED-43cb-92C2-25804820EDAC}">
                  <c15:fullRef>
                    <c15:sqref>VP_terminiem_2022!$B$5:$B$7</c15:sqref>
                  </c15:fullRef>
                </c:ext>
              </c:extLst>
              <c:f>VP_terminiem_2022!$B$6:$B$7</c:f>
              <c:numCache>
                <c:formatCode>#\ ##0.0\ \ </c:formatCode>
                <c:ptCount val="2"/>
                <c:pt idx="0">
                  <c:v>257500000</c:v>
                </c:pt>
                <c:pt idx="1">
                  <c:v>740001000</c:v>
                </c:pt>
              </c:numCache>
            </c:numRef>
          </c:val>
          <c:extLst>
            <c:ext xmlns:c16="http://schemas.microsoft.com/office/drawing/2014/chart" uri="{C3380CC4-5D6E-409C-BE32-E72D297353CC}">
              <c16:uniqueId val="{00000008-30A4-4DD6-92A5-C8A15D21333B}"/>
            </c:ext>
          </c:extLst>
        </c:ser>
        <c:dLbls>
          <c:dLblPos val="inEnd"/>
          <c:showLegendKey val="0"/>
          <c:showVal val="1"/>
          <c:showCatName val="0"/>
          <c:showSerName val="0"/>
          <c:showPercent val="0"/>
          <c:showBubbleSize val="0"/>
          <c:showLeaderLines val="0"/>
        </c:dLbls>
        <c:extLst/>
      </c:pie3DChart>
    </c:plotArea>
    <c:plotVisOnly val="1"/>
    <c:dispBlanksAs val="gap"/>
    <c:showDLblsOverMax val="0"/>
  </c:chart>
  <c:spPr>
    <a:noFill/>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5"/>
      <c:rotY val="60"/>
      <c:rAngAx val="0"/>
    </c:view3D>
    <c:floor>
      <c:thickness val="0"/>
    </c:floor>
    <c:sideWall>
      <c:thickness val="0"/>
    </c:sideWall>
    <c:backWall>
      <c:thickness val="0"/>
    </c:backWall>
    <c:plotArea>
      <c:layout>
        <c:manualLayout>
          <c:layoutTarget val="inner"/>
          <c:xMode val="edge"/>
          <c:yMode val="edge"/>
          <c:x val="6.5914591757111438E-2"/>
          <c:y val="2.5084900101772993E-2"/>
          <c:w val="0.84532850961197414"/>
          <c:h val="0.95663292088488938"/>
        </c:manualLayout>
      </c:layout>
      <c:pie3DChart>
        <c:varyColors val="1"/>
        <c:ser>
          <c:idx val="0"/>
          <c:order val="0"/>
          <c:explosion val="5"/>
          <c:dPt>
            <c:idx val="0"/>
            <c:bubble3D val="0"/>
            <c:spPr>
              <a:solidFill>
                <a:srgbClr val="D9D9D9"/>
              </a:solidFill>
              <a:effectLst>
                <a:outerShdw blurRad="101600" dist="38100" dir="5400000" algn="ctr" rotWithShape="0">
                  <a:schemeClr val="tx1">
                    <a:alpha val="40000"/>
                  </a:schemeClr>
                </a:outerShdw>
              </a:effectLst>
            </c:spPr>
            <c:extLst>
              <c:ext xmlns:c16="http://schemas.microsoft.com/office/drawing/2014/chart" uri="{C3380CC4-5D6E-409C-BE32-E72D297353CC}">
                <c16:uniqueId val="{00000001-FE2E-41B0-8012-82F0AC22AF68}"/>
              </c:ext>
            </c:extLst>
          </c:dPt>
          <c:dPt>
            <c:idx val="1"/>
            <c:bubble3D val="0"/>
            <c:spPr>
              <a:solidFill>
                <a:srgbClr val="558ED5"/>
              </a:solidFill>
              <a:effectLst>
                <a:outerShdw blurRad="101600" dist="38100" dir="5400000" algn="ctr" rotWithShape="0">
                  <a:schemeClr val="tx1">
                    <a:alpha val="40000"/>
                  </a:schemeClr>
                </a:outerShdw>
              </a:effectLst>
            </c:spPr>
            <c:extLst>
              <c:ext xmlns:c16="http://schemas.microsoft.com/office/drawing/2014/chart" uri="{C3380CC4-5D6E-409C-BE32-E72D297353CC}">
                <c16:uniqueId val="{00000003-FE2E-41B0-8012-82F0AC22AF68}"/>
              </c:ext>
            </c:extLst>
          </c:dPt>
          <c:dPt>
            <c:idx val="2"/>
            <c:bubble3D val="0"/>
            <c:spPr>
              <a:solidFill>
                <a:srgbClr val="B9CDE5"/>
              </a:solidFill>
              <a:effectLst>
                <a:outerShdw blurRad="101600" dist="38100" dir="5400000" algn="t" rotWithShape="0">
                  <a:prstClr val="black">
                    <a:alpha val="40000"/>
                  </a:prstClr>
                </a:outerShdw>
              </a:effectLst>
            </c:spPr>
            <c:extLst>
              <c:ext xmlns:c16="http://schemas.microsoft.com/office/drawing/2014/chart" uri="{C3380CC4-5D6E-409C-BE32-E72D297353CC}">
                <c16:uniqueId val="{00000005-FE2E-41B0-8012-82F0AC22AF68}"/>
              </c:ext>
            </c:extLst>
          </c:dPt>
          <c:dLbls>
            <c:dLbl>
              <c:idx val="0"/>
              <c:layout>
                <c:manualLayout>
                  <c:x val="-0.21780009931191033"/>
                  <c:y val="-0.26287937222132945"/>
                </c:manualLayout>
              </c:layout>
              <c:tx>
                <c:rich>
                  <a:bodyPr/>
                  <a:lstStyle/>
                  <a:p>
                    <a:fld id="{B709DAB5-9A46-422E-9F04-04456C26827F}" type="CATEGORYNAME">
                      <a:rPr lang="lv-LV">
                        <a:solidFill>
                          <a:srgbClr val="17365D"/>
                        </a:solidFill>
                      </a:rPr>
                      <a:pPr/>
                      <a:t>[CATEGORY NAME]</a:t>
                    </a:fld>
                    <a:r>
                      <a:rPr lang="lv-LV" baseline="0">
                        <a:solidFill>
                          <a:srgbClr val="17365D"/>
                        </a:solidFill>
                      </a:rPr>
                      <a:t>
5,9 milj. euro
40,2 %</a:t>
                    </a:r>
                  </a:p>
                </c:rich>
              </c:tx>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FE2E-41B0-8012-82F0AC22AF68}"/>
                </c:ext>
              </c:extLst>
            </c:dLbl>
            <c:dLbl>
              <c:idx val="1"/>
              <c:layout>
                <c:manualLayout>
                  <c:x val="0.17837837837837839"/>
                  <c:y val="-0.23469387755102053"/>
                </c:manualLayout>
              </c:layout>
              <c:tx>
                <c:rich>
                  <a:bodyPr/>
                  <a:lstStyle/>
                  <a:p>
                    <a:fld id="{96411449-8F03-4A21-9355-9406CC3BF488}" type="CATEGORYNAME">
                      <a:rPr lang="lv-LV"/>
                      <a:pPr/>
                      <a:t>[CATEGORY NAME]</a:t>
                    </a:fld>
                    <a:r>
                      <a:rPr lang="lv-LV" baseline="0"/>
                      <a:t>
2,5 milj. euro
17,2 %</a:t>
                    </a:r>
                  </a:p>
                </c:rich>
              </c:tx>
              <c:dLblPos val="bestFit"/>
              <c:showLegendKey val="0"/>
              <c:showVal val="1"/>
              <c:showCatName val="1"/>
              <c:showSerName val="0"/>
              <c:showPercent val="1"/>
              <c:showBubbleSize val="0"/>
              <c:separator>
</c:separator>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FE2E-41B0-8012-82F0AC22AF68}"/>
                </c:ext>
              </c:extLst>
            </c:dLbl>
            <c:dLbl>
              <c:idx val="2"/>
              <c:layout>
                <c:manualLayout>
                  <c:x val="0.10964177896735236"/>
                  <c:y val="9.2970409948756411E-2"/>
                </c:manualLayout>
              </c:layout>
              <c:tx>
                <c:rich>
                  <a:bodyPr/>
                  <a:lstStyle/>
                  <a:p>
                    <a:fld id="{9805EABF-C073-40FF-BBCC-7739EBEE35BD}" type="CATEGORYNAME">
                      <a:rPr lang="lv-LV"/>
                      <a:pPr/>
                      <a:t>[CATEGORY NAME]</a:t>
                    </a:fld>
                    <a:r>
                      <a:rPr lang="lv-LV" baseline="0"/>
                      <a:t>
6,3 milj. euro
42,6 %</a:t>
                    </a:r>
                  </a:p>
                </c:rich>
              </c:tx>
              <c:dLblPos val="bestFit"/>
              <c:showLegendKey val="0"/>
              <c:showVal val="1"/>
              <c:showCatName val="1"/>
              <c:showSerName val="0"/>
              <c:showPercent val="1"/>
              <c:showBubbleSize val="0"/>
              <c:separator>
</c:separator>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FE2E-41B0-8012-82F0AC22AF68}"/>
                </c:ext>
              </c:extLst>
            </c:dLbl>
            <c:spPr>
              <a:effectLst>
                <a:outerShdw sx="1000" sy="1000" algn="ctr" rotWithShape="0">
                  <a:srgbClr val="000000"/>
                </a:outerShdw>
              </a:effectLst>
            </c:spPr>
            <c:txPr>
              <a:bodyPr/>
              <a:lstStyle/>
              <a:p>
                <a:pPr>
                  <a:defRPr>
                    <a:solidFill>
                      <a:srgbClr val="17365D"/>
                    </a:solidFill>
                    <a:latin typeface="Times New Roman" panose="02020603050405020304" pitchFamily="18" charset="0"/>
                    <a:cs typeface="Times New Roman" panose="02020603050405020304" pitchFamily="18" charset="0"/>
                  </a:defRPr>
                </a:pPr>
                <a:endParaRPr lang="lv-LV"/>
              </a:p>
            </c:txPr>
            <c:dLblPos val="outEnd"/>
            <c:showLegendKey val="0"/>
            <c:showVal val="1"/>
            <c:showCatName val="1"/>
            <c:showSerName val="0"/>
            <c:showPercent val="1"/>
            <c:showBubbleSize val="0"/>
            <c:separator>
</c:separator>
            <c:showLeaderLines val="0"/>
            <c:extLst>
              <c:ext xmlns:c15="http://schemas.microsoft.com/office/drawing/2012/chart" uri="{CE6537A1-D6FC-4f65-9D91-7224C49458BB}"/>
            </c:extLst>
          </c:dLbls>
          <c:cat>
            <c:strRef>
              <c:f>KRAJOBLIGACIJAS_2022!$O$4:$O$6</c:f>
              <c:strCache>
                <c:ptCount val="3"/>
                <c:pt idx="0">
                  <c:v>Īstermiņa</c:v>
                </c:pt>
                <c:pt idx="1">
                  <c:v>Vidēja termiņa</c:v>
                </c:pt>
                <c:pt idx="2">
                  <c:v>Ilgtermiņa</c:v>
                </c:pt>
              </c:strCache>
            </c:strRef>
          </c:cat>
          <c:val>
            <c:numRef>
              <c:f>KRAJOBLIGACIJAS_2022!$P$4:$P$6</c:f>
              <c:numCache>
                <c:formatCode>_(* #\ ##0.00_);_(* \(#\ ##0.00\);_(* "-"??_);_(@_)</c:formatCode>
                <c:ptCount val="3"/>
                <c:pt idx="0">
                  <c:v>5917292</c:v>
                </c:pt>
                <c:pt idx="1">
                  <c:v>2535855</c:v>
                </c:pt>
                <c:pt idx="2">
                  <c:v>6282690.6799999997</c:v>
                </c:pt>
              </c:numCache>
            </c:numRef>
          </c:val>
          <c:extLst>
            <c:ext xmlns:c16="http://schemas.microsoft.com/office/drawing/2014/chart" uri="{C3380CC4-5D6E-409C-BE32-E72D297353CC}">
              <c16:uniqueId val="{00000006-FE2E-41B0-8012-82F0AC22AF68}"/>
            </c:ext>
          </c:extLst>
        </c:ser>
        <c:ser>
          <c:idx val="1"/>
          <c:order val="1"/>
          <c:explosion val="25"/>
          <c:cat>
            <c:strRef>
              <c:f>KRAJOBLIGACIJAS_2022!$O$4:$O$6</c:f>
              <c:strCache>
                <c:ptCount val="3"/>
                <c:pt idx="0">
                  <c:v>Īstermiņa</c:v>
                </c:pt>
                <c:pt idx="1">
                  <c:v>Vidēja termiņa</c:v>
                </c:pt>
                <c:pt idx="2">
                  <c:v>Ilgtermiņa</c:v>
                </c:pt>
              </c:strCache>
            </c:strRef>
          </c:cat>
          <c:val>
            <c:numRef>
              <c:f>KRAJOBLIGACIJAS_2022!$Q$4:$Q$6</c:f>
              <c:numCache>
                <c:formatCode>0.00%</c:formatCode>
                <c:ptCount val="3"/>
                <c:pt idx="0">
                  <c:v>0.4015578977251601</c:v>
                </c:pt>
                <c:pt idx="1">
                  <c:v>0.17208760404858098</c:v>
                </c:pt>
                <c:pt idx="2">
                  <c:v>0.42635449822625893</c:v>
                </c:pt>
              </c:numCache>
            </c:numRef>
          </c:val>
          <c:extLst>
            <c:ext xmlns:c16="http://schemas.microsoft.com/office/drawing/2014/chart" uri="{C3380CC4-5D6E-409C-BE32-E72D297353CC}">
              <c16:uniqueId val="{00000007-FE2E-41B0-8012-82F0AC22AF68}"/>
            </c:ext>
          </c:extLst>
        </c:ser>
        <c:dLbls>
          <c:showLegendKey val="0"/>
          <c:showVal val="0"/>
          <c:showCatName val="0"/>
          <c:showSerName val="0"/>
          <c:showPercent val="0"/>
          <c:showBubbleSize val="0"/>
          <c:showLeaderLines val="0"/>
        </c:dLbls>
      </c:pie3DChart>
    </c:plotArea>
    <c:plotVisOnly val="1"/>
    <c:dispBlanksAs val="gap"/>
    <c:showDLblsOverMax val="0"/>
  </c:chart>
  <c:spPr>
    <a:noFill/>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108613598325798"/>
          <c:y val="5.799899620697882E-2"/>
          <c:w val="0.80623441517097982"/>
          <c:h val="0.81271279177877065"/>
        </c:manualLayout>
      </c:layout>
      <c:barChart>
        <c:barDir val="col"/>
        <c:grouping val="percentStacked"/>
        <c:varyColors val="0"/>
        <c:ser>
          <c:idx val="1"/>
          <c:order val="0"/>
          <c:tx>
            <c:strRef>
              <c:f>Sadalijums!$A$3</c:f>
              <c:strCache>
                <c:ptCount val="1"/>
                <c:pt idx="0">
                  <c:v>Gads</c:v>
                </c:pt>
              </c:strCache>
            </c:strRef>
          </c:tx>
          <c:spPr>
            <a:solidFill>
              <a:srgbClr val="C3C4C6"/>
            </a:solidFill>
          </c:spPr>
          <c:invertIfNegative val="0"/>
          <c:cat>
            <c:numRef>
              <c:f>Sadalijums!$H$3:$U$3</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Sadalijums!$H$3:$U$3</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val>
          <c:extLst>
            <c:ext xmlns:c16="http://schemas.microsoft.com/office/drawing/2014/chart" uri="{C3380CC4-5D6E-409C-BE32-E72D297353CC}">
              <c16:uniqueId val="{00000000-6590-4BAB-A7FD-240E18D7DE26}"/>
            </c:ext>
          </c:extLst>
        </c:ser>
        <c:ser>
          <c:idx val="0"/>
          <c:order val="1"/>
          <c:tx>
            <c:strRef>
              <c:f>Sadalijums!$A$4</c:f>
              <c:strCache>
                <c:ptCount val="1"/>
                <c:pt idx="0">
                  <c:v>Aizņēmumi no Valsts kases</c:v>
                </c:pt>
              </c:strCache>
            </c:strRef>
          </c:tx>
          <c:spPr>
            <a:solidFill>
              <a:srgbClr val="B9CDE5"/>
            </a:solidFill>
          </c:spPr>
          <c:invertIfNegative val="0"/>
          <c:dLbls>
            <c:dLbl>
              <c:idx val="0"/>
              <c:layout>
                <c:manualLayout>
                  <c:x val="-3.9198463860484907E-17"/>
                  <c:y val="5.566470203012442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6590-4BAB-A7FD-240E18D7DE26}"/>
                </c:ext>
              </c:extLst>
            </c:dLbl>
            <c:dLbl>
              <c:idx val="1"/>
              <c:layout>
                <c:manualLayout>
                  <c:x val="0"/>
                  <c:y val="3.601833660772751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6590-4BAB-A7FD-240E18D7DE26}"/>
                </c:ext>
              </c:extLst>
            </c:dLbl>
            <c:dLbl>
              <c:idx val="2"/>
              <c:layout>
                <c:manualLayout>
                  <c:x val="0"/>
                  <c:y val="1.964636542239679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6590-4BAB-A7FD-240E18D7DE26}"/>
                </c:ext>
              </c:extLst>
            </c:dLbl>
            <c:dLbl>
              <c:idx val="3"/>
              <c:layout>
                <c:manualLayout>
                  <c:x val="0"/>
                  <c:y val="1.637197118533065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6590-4BAB-A7FD-240E18D7DE26}"/>
                </c:ext>
              </c:extLst>
            </c:dLbl>
            <c:numFmt formatCode="#,##0.0,," sourceLinked="0"/>
            <c:spPr>
              <a:noFill/>
              <a:ln w="25400">
                <a:noFill/>
              </a:ln>
            </c:spPr>
            <c:txPr>
              <a:bodyPr rot="-5400000" vert="horz"/>
              <a:lstStyle/>
              <a:p>
                <a:pPr>
                  <a:defRPr b="0">
                    <a:solidFill>
                      <a:srgbClr val="17365D"/>
                    </a:solidFill>
                    <a:latin typeface="Times New Roman" panose="02020603050405020304" pitchFamily="18" charset="0"/>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Sadalijums!$H$3:$U$3</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Sadalijums!$H$4:$U$4</c:f>
              <c:numCache>
                <c:formatCode>#,##0</c:formatCode>
                <c:ptCount val="10"/>
                <c:pt idx="0">
                  <c:v>755992020.534886</c:v>
                </c:pt>
                <c:pt idx="1">
                  <c:v>853351316</c:v>
                </c:pt>
                <c:pt idx="2">
                  <c:v>916371548</c:v>
                </c:pt>
                <c:pt idx="3">
                  <c:v>933203954</c:v>
                </c:pt>
                <c:pt idx="4">
                  <c:v>1029509765</c:v>
                </c:pt>
                <c:pt idx="5">
                  <c:v>1203079833</c:v>
                </c:pt>
                <c:pt idx="6">
                  <c:v>1346515412</c:v>
                </c:pt>
                <c:pt idx="7">
                  <c:v>1453558777</c:v>
                </c:pt>
                <c:pt idx="8">
                  <c:v>1603931371</c:v>
                </c:pt>
                <c:pt idx="9">
                  <c:v>1722054051</c:v>
                </c:pt>
              </c:numCache>
            </c:numRef>
          </c:val>
          <c:extLst>
            <c:ext xmlns:c16="http://schemas.microsoft.com/office/drawing/2014/chart" uri="{C3380CC4-5D6E-409C-BE32-E72D297353CC}">
              <c16:uniqueId val="{00000002-6590-4BAB-A7FD-240E18D7DE26}"/>
            </c:ext>
          </c:extLst>
        </c:ser>
        <c:ser>
          <c:idx val="2"/>
          <c:order val="2"/>
          <c:tx>
            <c:strRef>
              <c:f>Sadalijums!$A$5</c:f>
              <c:strCache>
                <c:ptCount val="1"/>
                <c:pt idx="0">
                  <c:v>Aizņēmumi ārpus Valsts kases</c:v>
                </c:pt>
              </c:strCache>
            </c:strRef>
          </c:tx>
          <c:spPr>
            <a:solidFill>
              <a:srgbClr val="0070C0"/>
            </a:solidFill>
          </c:spPr>
          <c:invertIfNegative val="0"/>
          <c:dLbls>
            <c:dLbl>
              <c:idx val="7"/>
              <c:layout>
                <c:manualLayout>
                  <c:x val="0"/>
                  <c:y val="-1.6718913270637417E-2"/>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6590-4BAB-A7FD-240E18D7DE26}"/>
                </c:ext>
              </c:extLst>
            </c:dLbl>
            <c:dLbl>
              <c:idx val="8"/>
              <c:layout>
                <c:manualLayout>
                  <c:x val="-1.5679385544193963E-16"/>
                  <c:y val="-2.3013577133899595E-3"/>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6590-4BAB-A7FD-240E18D7DE26}"/>
                </c:ext>
              </c:extLst>
            </c:dLbl>
            <c:dLbl>
              <c:idx val="9"/>
              <c:layout>
                <c:manualLayout>
                  <c:x val="0"/>
                  <c:y val="-3.2743942370661427E-3"/>
                </c:manualLayout>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6590-4BAB-A7FD-240E18D7DE26}"/>
                </c:ext>
              </c:extLst>
            </c:dLbl>
            <c:numFmt formatCode="#,##0.0,," sourceLinked="0"/>
            <c:spPr>
              <a:noFill/>
              <a:ln w="25400">
                <a:noFill/>
              </a:ln>
            </c:spPr>
            <c:txPr>
              <a:bodyPr rot="-5400000" vert="horz"/>
              <a:lstStyle/>
              <a:p>
                <a:pPr>
                  <a:defRPr b="0">
                    <a:solidFill>
                      <a:schemeClr val="bg1"/>
                    </a:solidFill>
                    <a:latin typeface="Times New Roman" panose="02020603050405020304" pitchFamily="18" charset="0"/>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Sadalijums!$H$3:$U$3</c:f>
              <c:numCache>
                <c:formatCode>General</c:formatCode>
                <c:ptCount val="10"/>
                <c:pt idx="0">
                  <c:v>2013</c:v>
                </c:pt>
                <c:pt idx="1">
                  <c:v>2014</c:v>
                </c:pt>
                <c:pt idx="2">
                  <c:v>2015</c:v>
                </c:pt>
                <c:pt idx="3">
                  <c:v>2016</c:v>
                </c:pt>
                <c:pt idx="4">
                  <c:v>2017</c:v>
                </c:pt>
                <c:pt idx="5">
                  <c:v>2018</c:v>
                </c:pt>
                <c:pt idx="6">
                  <c:v>2019</c:v>
                </c:pt>
                <c:pt idx="7">
                  <c:v>2020</c:v>
                </c:pt>
                <c:pt idx="8">
                  <c:v>2021</c:v>
                </c:pt>
                <c:pt idx="9">
                  <c:v>2022</c:v>
                </c:pt>
              </c:numCache>
            </c:numRef>
          </c:cat>
          <c:val>
            <c:numRef>
              <c:f>Sadalijums!$H$5:$U$5</c:f>
              <c:numCache>
                <c:formatCode>#,##0</c:formatCode>
                <c:ptCount val="10"/>
                <c:pt idx="0">
                  <c:v>161939190.727429</c:v>
                </c:pt>
                <c:pt idx="1">
                  <c:v>149926650</c:v>
                </c:pt>
                <c:pt idx="2">
                  <c:v>149336232</c:v>
                </c:pt>
                <c:pt idx="3">
                  <c:v>142948931</c:v>
                </c:pt>
                <c:pt idx="4">
                  <c:v>135380704</c:v>
                </c:pt>
                <c:pt idx="5">
                  <c:v>126261720</c:v>
                </c:pt>
                <c:pt idx="6">
                  <c:v>352042260</c:v>
                </c:pt>
                <c:pt idx="7">
                  <c:v>313121268</c:v>
                </c:pt>
                <c:pt idx="8">
                  <c:v>269791840</c:v>
                </c:pt>
                <c:pt idx="9">
                  <c:v>229360486</c:v>
                </c:pt>
              </c:numCache>
            </c:numRef>
          </c:val>
          <c:extLst>
            <c:ext xmlns:c16="http://schemas.microsoft.com/office/drawing/2014/chart" uri="{C3380CC4-5D6E-409C-BE32-E72D297353CC}">
              <c16:uniqueId val="{00000005-6590-4BAB-A7FD-240E18D7DE26}"/>
            </c:ext>
          </c:extLst>
        </c:ser>
        <c:dLbls>
          <c:showLegendKey val="0"/>
          <c:showVal val="0"/>
          <c:showCatName val="0"/>
          <c:showSerName val="0"/>
          <c:showPercent val="0"/>
          <c:showBubbleSize val="0"/>
        </c:dLbls>
        <c:gapWidth val="163"/>
        <c:overlap val="100"/>
        <c:axId val="530607792"/>
        <c:axId val="1"/>
      </c:barChart>
      <c:lineChart>
        <c:grouping val="standard"/>
        <c:varyColors val="0"/>
        <c:ser>
          <c:idx val="3"/>
          <c:order val="3"/>
          <c:tx>
            <c:strRef>
              <c:f>Sadalijums!$A$8</c:f>
              <c:strCache>
                <c:ptCount val="1"/>
                <c:pt idx="0">
                  <c:v>Aizņēmumu kopsumma</c:v>
                </c:pt>
              </c:strCache>
            </c:strRef>
          </c:tx>
          <c:spPr>
            <a:ln w="19050">
              <a:solidFill>
                <a:srgbClr val="17375E"/>
              </a:solidFill>
            </a:ln>
          </c:spPr>
          <c:marker>
            <c:symbol val="circle"/>
            <c:size val="5"/>
            <c:spPr>
              <a:solidFill>
                <a:srgbClr val="17375E"/>
              </a:solidFill>
              <a:ln>
                <a:solidFill>
                  <a:srgbClr val="17375E"/>
                </a:solidFill>
              </a:ln>
            </c:spPr>
          </c:marker>
          <c:cat>
            <c:strLit>
              <c:ptCount val="10"/>
              <c:pt idx="0">
                <c:v>5</c:v>
              </c:pt>
              <c:pt idx="1">
                <c:v>6</c:v>
              </c:pt>
              <c:pt idx="2">
                <c:v>7</c:v>
              </c:pt>
              <c:pt idx="3">
                <c:v>8</c:v>
              </c:pt>
              <c:pt idx="4">
                <c:v>9</c:v>
              </c:pt>
              <c:pt idx="5">
                <c:v>10</c:v>
              </c:pt>
              <c:pt idx="6">
                <c:v>11</c:v>
              </c:pt>
              <c:pt idx="7">
                <c:v>12</c:v>
              </c:pt>
              <c:pt idx="8">
                <c:v>13</c:v>
              </c:pt>
              <c:pt idx="9">
                <c:v>14</c:v>
              </c:pt>
              <c:extLst>
                <c:ext xmlns:c15="http://schemas.microsoft.com/office/drawing/2012/chart" uri="{02D57815-91ED-43cb-92C2-25804820EDAC}">
                  <c15:autoCat val="1"/>
                </c:ext>
              </c:extLst>
            </c:strLit>
          </c:cat>
          <c:val>
            <c:numRef>
              <c:f>Sadalijums!$H$8:$U$8</c:f>
              <c:numCache>
                <c:formatCode>#,##0</c:formatCode>
                <c:ptCount val="10"/>
                <c:pt idx="0">
                  <c:v>917931211.26231503</c:v>
                </c:pt>
                <c:pt idx="1">
                  <c:v>1003277966</c:v>
                </c:pt>
                <c:pt idx="2">
                  <c:v>1065707780</c:v>
                </c:pt>
                <c:pt idx="3">
                  <c:v>1076152885</c:v>
                </c:pt>
                <c:pt idx="4">
                  <c:v>1164890469</c:v>
                </c:pt>
                <c:pt idx="5">
                  <c:v>1329341553</c:v>
                </c:pt>
                <c:pt idx="6">
                  <c:v>1698557672</c:v>
                </c:pt>
                <c:pt idx="7">
                  <c:v>1766680045</c:v>
                </c:pt>
                <c:pt idx="8">
                  <c:v>1873723211</c:v>
                </c:pt>
                <c:pt idx="9">
                  <c:v>1951414537</c:v>
                </c:pt>
              </c:numCache>
            </c:numRef>
          </c:val>
          <c:smooth val="0"/>
          <c:extLst>
            <c:ext xmlns:c16="http://schemas.microsoft.com/office/drawing/2014/chart" uri="{C3380CC4-5D6E-409C-BE32-E72D297353CC}">
              <c16:uniqueId val="{00000006-6590-4BAB-A7FD-240E18D7DE26}"/>
            </c:ext>
          </c:extLst>
        </c:ser>
        <c:dLbls>
          <c:showLegendKey val="0"/>
          <c:showVal val="0"/>
          <c:showCatName val="0"/>
          <c:showSerName val="0"/>
          <c:showPercent val="0"/>
          <c:showBubbleSize val="0"/>
        </c:dLbls>
        <c:marker val="1"/>
        <c:smooth val="0"/>
        <c:axId val="3"/>
        <c:axId val="4"/>
      </c:lineChart>
      <c:catAx>
        <c:axId val="530607792"/>
        <c:scaling>
          <c:orientation val="minMax"/>
        </c:scaling>
        <c:delete val="0"/>
        <c:axPos val="b"/>
        <c:numFmt formatCode="General" sourceLinked="1"/>
        <c:majorTickMark val="out"/>
        <c:minorTickMark val="none"/>
        <c:tickLblPos val="nextTo"/>
        <c:spPr>
          <a:ln w="6350">
            <a:solidFill>
              <a:srgbClr val="D9D9D9"/>
            </a:solidFill>
          </a:ln>
        </c:spPr>
        <c:txPr>
          <a:bodyPr/>
          <a:lstStyle/>
          <a:p>
            <a:pPr>
              <a:defRPr sz="1000" baseline="0">
                <a:solidFill>
                  <a:srgbClr val="17365D"/>
                </a:solidFill>
                <a:latin typeface="Times New Roman" panose="02020603050405020304" pitchFamily="18" charset="0"/>
              </a:defRPr>
            </a:pPr>
            <a:endParaRPr lang="lv-LV"/>
          </a:p>
        </c:txPr>
        <c:crossAx val="1"/>
        <c:crosses val="autoZero"/>
        <c:auto val="1"/>
        <c:lblAlgn val="ctr"/>
        <c:lblOffset val="100"/>
        <c:noMultiLvlLbl val="0"/>
      </c:catAx>
      <c:valAx>
        <c:axId val="1"/>
        <c:scaling>
          <c:orientation val="minMax"/>
        </c:scaling>
        <c:delete val="0"/>
        <c:axPos val="l"/>
        <c:majorGridlines>
          <c:spPr>
            <a:ln w="6350">
              <a:solidFill>
                <a:srgbClr val="C3C4C6"/>
              </a:solidFill>
              <a:prstDash val="solid"/>
            </a:ln>
          </c:spPr>
        </c:majorGridlines>
        <c:numFmt formatCode="0%" sourceLinked="1"/>
        <c:majorTickMark val="out"/>
        <c:minorTickMark val="none"/>
        <c:tickLblPos val="nextTo"/>
        <c:spPr>
          <a:ln w="6350">
            <a:solidFill>
              <a:srgbClr val="D9D9D9"/>
            </a:solidFill>
          </a:ln>
        </c:spPr>
        <c:txPr>
          <a:bodyPr/>
          <a:lstStyle/>
          <a:p>
            <a:pPr>
              <a:defRPr sz="1000" baseline="0">
                <a:solidFill>
                  <a:srgbClr val="17365D"/>
                </a:solidFill>
                <a:latin typeface="Times New Roman" panose="02020603050405020304" pitchFamily="18" charset="0"/>
                <a:cs typeface="Times New Roman" panose="02020603050405020304" pitchFamily="18" charset="0"/>
              </a:defRPr>
            </a:pPr>
            <a:endParaRPr lang="lv-LV"/>
          </a:p>
        </c:txPr>
        <c:crossAx val="530607792"/>
        <c:crosses val="autoZero"/>
        <c:crossBetween val="between"/>
      </c:valAx>
      <c:catAx>
        <c:axId val="3"/>
        <c:scaling>
          <c:orientation val="minMax"/>
        </c:scaling>
        <c:delete val="1"/>
        <c:axPos val="b"/>
        <c:numFmt formatCode="General" sourceLinked="1"/>
        <c:majorTickMark val="out"/>
        <c:minorTickMark val="none"/>
        <c:tickLblPos val="nextTo"/>
        <c:crossAx val="4"/>
        <c:crossesAt val="1"/>
        <c:auto val="1"/>
        <c:lblAlgn val="ctr"/>
        <c:lblOffset val="100"/>
        <c:noMultiLvlLbl val="0"/>
      </c:catAx>
      <c:valAx>
        <c:axId val="4"/>
        <c:scaling>
          <c:orientation val="minMax"/>
        </c:scaling>
        <c:delete val="0"/>
        <c:axPos val="r"/>
        <c:majorGridlines>
          <c:spPr>
            <a:ln w="6350">
              <a:solidFill>
                <a:srgbClr val="C3C4C6"/>
              </a:solidFill>
              <a:prstDash val="dash"/>
            </a:ln>
          </c:spPr>
        </c:majorGridlines>
        <c:numFmt formatCode="#,##0,," sourceLinked="0"/>
        <c:majorTickMark val="out"/>
        <c:minorTickMark val="none"/>
        <c:tickLblPos val="nextTo"/>
        <c:spPr>
          <a:ln>
            <a:solidFill>
              <a:srgbClr val="D9D9D9"/>
            </a:solidFill>
          </a:ln>
        </c:spPr>
        <c:txPr>
          <a:bodyPr/>
          <a:lstStyle/>
          <a:p>
            <a:pPr>
              <a:defRPr>
                <a:solidFill>
                  <a:srgbClr val="17365D"/>
                </a:solidFill>
                <a:latin typeface="Times New Roman" panose="02020603050405020304" pitchFamily="18" charset="0"/>
                <a:cs typeface="Times New Roman" panose="02020603050405020304" pitchFamily="18" charset="0"/>
              </a:defRPr>
            </a:pPr>
            <a:endParaRPr lang="lv-LV"/>
          </a:p>
        </c:txPr>
        <c:crossAx val="3"/>
        <c:crosses val="max"/>
        <c:crossBetween val="between"/>
        <c:majorUnit val="200000000"/>
        <c:minorUnit val="20000000"/>
      </c:valAx>
      <c:spPr>
        <a:noFill/>
        <a:ln>
          <a:solidFill>
            <a:srgbClr val="C3C4C6"/>
          </a:solidFill>
        </a:ln>
      </c:spPr>
    </c:plotArea>
    <c:legend>
      <c:legendPos val="b"/>
      <c:legendEntry>
        <c:idx val="0"/>
        <c:delete val="1"/>
      </c:legendEntry>
      <c:layout/>
      <c:overlay val="0"/>
      <c:txPr>
        <a:bodyPr/>
        <a:lstStyle/>
        <a:p>
          <a:pPr>
            <a:defRPr sz="1000" baseline="0">
              <a:solidFill>
                <a:srgbClr val="17365D"/>
              </a:solidFill>
              <a:latin typeface="Times New Roman" panose="02020603050405020304" pitchFamily="18" charset="0"/>
            </a:defRPr>
          </a:pPr>
          <a:endParaRPr lang="lv-LV"/>
        </a:p>
      </c:txPr>
    </c:legend>
    <c:plotVisOnly val="1"/>
    <c:dispBlanksAs val="gap"/>
    <c:showDLblsOverMax val="0"/>
  </c:chart>
  <c:spPr>
    <a:noFill/>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2609427770495872E-3"/>
          <c:y val="2.2259321090706734E-3"/>
          <c:w val="0.99373905722295042"/>
          <c:h val="0.9977740239217503"/>
        </c:manualLayout>
      </c:layout>
      <c:ofPieChart>
        <c:ofPieType val="bar"/>
        <c:varyColors val="1"/>
        <c:ser>
          <c:idx val="0"/>
          <c:order val="0"/>
          <c:spPr>
            <a:ln>
              <a:solidFill>
                <a:srgbClr val="4F81BD">
                  <a:alpha val="99000"/>
                </a:srgbClr>
              </a:solidFill>
            </a:ln>
            <a:scene3d>
              <a:camera prst="orthographicFront"/>
              <a:lightRig rig="threePt" dir="t"/>
            </a:scene3d>
            <a:sp3d>
              <a:bevelT w="50800" h="50800"/>
            </a:sp3d>
          </c:spPr>
          <c:explosion val="2"/>
          <c:dPt>
            <c:idx val="0"/>
            <c:bubble3D val="0"/>
            <c:spPr>
              <a:solidFill>
                <a:srgbClr val="D9D9D9"/>
              </a:solidFill>
              <a:ln>
                <a:solidFill>
                  <a:srgbClr val="D9D9D9">
                    <a:alpha val="99000"/>
                  </a:srgbClr>
                </a:solidFill>
              </a:ln>
              <a:scene3d>
                <a:camera prst="orthographicFront"/>
                <a:lightRig rig="threePt" dir="t"/>
              </a:scene3d>
              <a:sp3d>
                <a:bevelT w="50800" h="50800"/>
              </a:sp3d>
            </c:spPr>
            <c:extLst>
              <c:ext xmlns:c16="http://schemas.microsoft.com/office/drawing/2014/chart" uri="{C3380CC4-5D6E-409C-BE32-E72D297353CC}">
                <c16:uniqueId val="{00000001-7978-4A49-8C07-A5A96A8A1619}"/>
              </c:ext>
            </c:extLst>
          </c:dPt>
          <c:dPt>
            <c:idx val="1"/>
            <c:bubble3D val="0"/>
            <c:spPr>
              <a:solidFill>
                <a:srgbClr val="D9D9D9"/>
              </a:solidFill>
              <a:ln>
                <a:solidFill>
                  <a:srgbClr val="D9D9D9">
                    <a:alpha val="99000"/>
                  </a:srgbClr>
                </a:solidFill>
              </a:ln>
              <a:scene3d>
                <a:camera prst="orthographicFront"/>
                <a:lightRig rig="threePt" dir="t"/>
              </a:scene3d>
              <a:sp3d>
                <a:bevelT w="50800" h="50800"/>
              </a:sp3d>
            </c:spPr>
            <c:extLst>
              <c:ext xmlns:c16="http://schemas.microsoft.com/office/drawing/2014/chart" uri="{C3380CC4-5D6E-409C-BE32-E72D297353CC}">
                <c16:uniqueId val="{00000003-7978-4A49-8C07-A5A96A8A1619}"/>
              </c:ext>
            </c:extLst>
          </c:dPt>
          <c:dPt>
            <c:idx val="2"/>
            <c:bubble3D val="0"/>
            <c:spPr>
              <a:solidFill>
                <a:srgbClr val="D9D9D9"/>
              </a:solidFill>
              <a:ln>
                <a:solidFill>
                  <a:srgbClr val="D9D9D9">
                    <a:alpha val="99000"/>
                  </a:srgbClr>
                </a:solidFill>
              </a:ln>
              <a:scene3d>
                <a:camera prst="orthographicFront"/>
                <a:lightRig rig="threePt" dir="t"/>
              </a:scene3d>
              <a:sp3d>
                <a:bevelT w="50800" h="50800"/>
              </a:sp3d>
            </c:spPr>
            <c:extLst>
              <c:ext xmlns:c16="http://schemas.microsoft.com/office/drawing/2014/chart" uri="{C3380CC4-5D6E-409C-BE32-E72D297353CC}">
                <c16:uniqueId val="{00000005-7978-4A49-8C07-A5A96A8A1619}"/>
              </c:ext>
            </c:extLst>
          </c:dPt>
          <c:dPt>
            <c:idx val="3"/>
            <c:bubble3D val="0"/>
            <c:spPr>
              <a:solidFill>
                <a:srgbClr val="D9D9D9"/>
              </a:solidFill>
              <a:ln>
                <a:solidFill>
                  <a:srgbClr val="D9D9D9">
                    <a:alpha val="99000"/>
                  </a:srgbClr>
                </a:solidFill>
              </a:ln>
              <a:scene3d>
                <a:camera prst="orthographicFront"/>
                <a:lightRig rig="threePt" dir="t"/>
              </a:scene3d>
              <a:sp3d>
                <a:bevelT w="50800" h="50800"/>
              </a:sp3d>
            </c:spPr>
            <c:extLst>
              <c:ext xmlns:c16="http://schemas.microsoft.com/office/drawing/2014/chart" uri="{C3380CC4-5D6E-409C-BE32-E72D297353CC}">
                <c16:uniqueId val="{00000007-7978-4A49-8C07-A5A96A8A1619}"/>
              </c:ext>
            </c:extLst>
          </c:dPt>
          <c:dPt>
            <c:idx val="4"/>
            <c:bubble3D val="0"/>
            <c:spPr>
              <a:solidFill>
                <a:srgbClr val="D9D9D9"/>
              </a:solidFill>
              <a:ln>
                <a:solidFill>
                  <a:srgbClr val="D9D9D9">
                    <a:alpha val="99000"/>
                  </a:srgbClr>
                </a:solidFill>
              </a:ln>
              <a:scene3d>
                <a:camera prst="orthographicFront"/>
                <a:lightRig rig="threePt" dir="t"/>
              </a:scene3d>
              <a:sp3d>
                <a:bevelT w="50800" h="50800"/>
              </a:sp3d>
            </c:spPr>
            <c:extLst>
              <c:ext xmlns:c16="http://schemas.microsoft.com/office/drawing/2014/chart" uri="{C3380CC4-5D6E-409C-BE32-E72D297353CC}">
                <c16:uniqueId val="{00000009-7978-4A49-8C07-A5A96A8A1619}"/>
              </c:ext>
            </c:extLst>
          </c:dPt>
          <c:dPt>
            <c:idx val="5"/>
            <c:bubble3D val="0"/>
            <c:spPr>
              <a:solidFill>
                <a:srgbClr val="D9D9D9"/>
              </a:solidFill>
              <a:ln>
                <a:solidFill>
                  <a:srgbClr val="D9D9D9">
                    <a:alpha val="99000"/>
                  </a:srgbClr>
                </a:solidFill>
              </a:ln>
              <a:scene3d>
                <a:camera prst="orthographicFront"/>
                <a:lightRig rig="threePt" dir="t"/>
              </a:scene3d>
              <a:sp3d>
                <a:bevelT w="50800" h="50800"/>
              </a:sp3d>
            </c:spPr>
            <c:extLst>
              <c:ext xmlns:c16="http://schemas.microsoft.com/office/drawing/2014/chart" uri="{C3380CC4-5D6E-409C-BE32-E72D297353CC}">
                <c16:uniqueId val="{0000000B-7978-4A49-8C07-A5A96A8A1619}"/>
              </c:ext>
            </c:extLst>
          </c:dPt>
          <c:dPt>
            <c:idx val="6"/>
            <c:bubble3D val="0"/>
            <c:spPr>
              <a:solidFill>
                <a:srgbClr val="D9D9D9"/>
              </a:solidFill>
              <a:ln>
                <a:solidFill>
                  <a:srgbClr val="D9D9D9">
                    <a:alpha val="99000"/>
                  </a:srgbClr>
                </a:solidFill>
              </a:ln>
              <a:scene3d>
                <a:camera prst="orthographicFront"/>
                <a:lightRig rig="threePt" dir="t"/>
              </a:scene3d>
              <a:sp3d>
                <a:bevelT w="50800" h="50800"/>
              </a:sp3d>
            </c:spPr>
            <c:extLst>
              <c:ext xmlns:c16="http://schemas.microsoft.com/office/drawing/2014/chart" uri="{C3380CC4-5D6E-409C-BE32-E72D297353CC}">
                <c16:uniqueId val="{0000000D-7978-4A49-8C07-A5A96A8A1619}"/>
              </c:ext>
            </c:extLst>
          </c:dPt>
          <c:dPt>
            <c:idx val="7"/>
            <c:bubble3D val="0"/>
            <c:spPr>
              <a:solidFill>
                <a:srgbClr val="D9D9D9"/>
              </a:solidFill>
              <a:ln>
                <a:solidFill>
                  <a:srgbClr val="D9D9D9">
                    <a:alpha val="99000"/>
                  </a:srgbClr>
                </a:solidFill>
              </a:ln>
              <a:scene3d>
                <a:camera prst="orthographicFront"/>
                <a:lightRig rig="threePt" dir="t"/>
              </a:scene3d>
              <a:sp3d>
                <a:bevelT w="50800" h="50800"/>
              </a:sp3d>
            </c:spPr>
            <c:extLst>
              <c:ext xmlns:c16="http://schemas.microsoft.com/office/drawing/2014/chart" uri="{C3380CC4-5D6E-409C-BE32-E72D297353CC}">
                <c16:uniqueId val="{0000000F-7978-4A49-8C07-A5A96A8A1619}"/>
              </c:ext>
            </c:extLst>
          </c:dPt>
          <c:dPt>
            <c:idx val="8"/>
            <c:bubble3D val="0"/>
            <c:spPr>
              <a:solidFill>
                <a:srgbClr val="D9D9D9"/>
              </a:solidFill>
              <a:ln>
                <a:solidFill>
                  <a:srgbClr val="D9D9D9">
                    <a:alpha val="99000"/>
                  </a:srgbClr>
                </a:solidFill>
              </a:ln>
              <a:scene3d>
                <a:camera prst="orthographicFront"/>
                <a:lightRig rig="threePt" dir="t"/>
              </a:scene3d>
              <a:sp3d>
                <a:bevelT w="50800" h="50800"/>
              </a:sp3d>
            </c:spPr>
            <c:extLst>
              <c:ext xmlns:c16="http://schemas.microsoft.com/office/drawing/2014/chart" uri="{C3380CC4-5D6E-409C-BE32-E72D297353CC}">
                <c16:uniqueId val="{00000011-7978-4A49-8C07-A5A96A8A1619}"/>
              </c:ext>
            </c:extLst>
          </c:dPt>
          <c:dPt>
            <c:idx val="9"/>
            <c:bubble3D val="0"/>
            <c:spPr>
              <a:solidFill>
                <a:srgbClr val="D9D9D9"/>
              </a:solidFill>
              <a:ln>
                <a:solidFill>
                  <a:srgbClr val="D9D9D9">
                    <a:alpha val="99000"/>
                  </a:srgbClr>
                </a:solidFill>
              </a:ln>
              <a:scene3d>
                <a:camera prst="orthographicFront"/>
                <a:lightRig rig="threePt" dir="t"/>
              </a:scene3d>
              <a:sp3d>
                <a:bevelT w="50800" h="50800"/>
              </a:sp3d>
            </c:spPr>
            <c:extLst>
              <c:ext xmlns:c16="http://schemas.microsoft.com/office/drawing/2014/chart" uri="{C3380CC4-5D6E-409C-BE32-E72D297353CC}">
                <c16:uniqueId val="{00000013-7978-4A49-8C07-A5A96A8A1619}"/>
              </c:ext>
            </c:extLst>
          </c:dPt>
          <c:dPt>
            <c:idx val="10"/>
            <c:bubble3D val="0"/>
            <c:spPr>
              <a:solidFill>
                <a:srgbClr val="D9D9D9"/>
              </a:solidFill>
              <a:ln>
                <a:solidFill>
                  <a:srgbClr val="D9D9D9">
                    <a:alpha val="99000"/>
                  </a:srgbClr>
                </a:solidFill>
              </a:ln>
              <a:scene3d>
                <a:camera prst="orthographicFront"/>
                <a:lightRig rig="threePt" dir="t"/>
              </a:scene3d>
              <a:sp3d>
                <a:bevelT w="50800" h="50800"/>
              </a:sp3d>
            </c:spPr>
            <c:extLst>
              <c:ext xmlns:c16="http://schemas.microsoft.com/office/drawing/2014/chart" uri="{C3380CC4-5D6E-409C-BE32-E72D297353CC}">
                <c16:uniqueId val="{00000015-7978-4A49-8C07-A5A96A8A1619}"/>
              </c:ext>
            </c:extLst>
          </c:dPt>
          <c:dPt>
            <c:idx val="11"/>
            <c:bubble3D val="0"/>
            <c:spPr>
              <a:solidFill>
                <a:srgbClr val="D9D9D9"/>
              </a:solidFill>
              <a:ln>
                <a:solidFill>
                  <a:srgbClr val="D9D9D9">
                    <a:alpha val="99000"/>
                  </a:srgbClr>
                </a:solidFill>
              </a:ln>
              <a:scene3d>
                <a:camera prst="orthographicFront"/>
                <a:lightRig rig="threePt" dir="t"/>
              </a:scene3d>
              <a:sp3d>
                <a:bevelT w="50800" h="50800"/>
              </a:sp3d>
            </c:spPr>
            <c:extLst>
              <c:ext xmlns:c16="http://schemas.microsoft.com/office/drawing/2014/chart" uri="{C3380CC4-5D6E-409C-BE32-E72D297353CC}">
                <c16:uniqueId val="{00000017-7978-4A49-8C07-A5A96A8A1619}"/>
              </c:ext>
            </c:extLst>
          </c:dPt>
          <c:dPt>
            <c:idx val="12"/>
            <c:bubble3D val="0"/>
            <c:spPr>
              <a:solidFill>
                <a:srgbClr val="D9D9D9"/>
              </a:solidFill>
              <a:ln>
                <a:solidFill>
                  <a:srgbClr val="D9D9D9">
                    <a:alpha val="99000"/>
                  </a:srgbClr>
                </a:solidFill>
              </a:ln>
              <a:scene3d>
                <a:camera prst="orthographicFront"/>
                <a:lightRig rig="threePt" dir="t"/>
              </a:scene3d>
              <a:sp3d>
                <a:bevelT w="50800" h="50800"/>
              </a:sp3d>
            </c:spPr>
            <c:extLst>
              <c:ext xmlns:c16="http://schemas.microsoft.com/office/drawing/2014/chart" uri="{C3380CC4-5D6E-409C-BE32-E72D297353CC}">
                <c16:uniqueId val="{00000019-7978-4A49-8C07-A5A96A8A1619}"/>
              </c:ext>
            </c:extLst>
          </c:dPt>
          <c:dPt>
            <c:idx val="13"/>
            <c:bubble3D val="0"/>
            <c:spPr>
              <a:solidFill>
                <a:srgbClr val="D9D9D9"/>
              </a:solidFill>
              <a:ln>
                <a:solidFill>
                  <a:srgbClr val="D9D9D9">
                    <a:alpha val="99000"/>
                  </a:srgbClr>
                </a:solidFill>
              </a:ln>
              <a:scene3d>
                <a:camera prst="orthographicFront"/>
                <a:lightRig rig="threePt" dir="t"/>
              </a:scene3d>
              <a:sp3d>
                <a:bevelT w="50800" h="50800"/>
              </a:sp3d>
            </c:spPr>
            <c:extLst>
              <c:ext xmlns:c16="http://schemas.microsoft.com/office/drawing/2014/chart" uri="{C3380CC4-5D6E-409C-BE32-E72D297353CC}">
                <c16:uniqueId val="{0000001B-7978-4A49-8C07-A5A96A8A1619}"/>
              </c:ext>
            </c:extLst>
          </c:dPt>
          <c:dPt>
            <c:idx val="14"/>
            <c:bubble3D val="0"/>
            <c:spPr>
              <a:solidFill>
                <a:srgbClr val="D9D9D9"/>
              </a:solidFill>
              <a:ln>
                <a:solidFill>
                  <a:srgbClr val="D9D9D9">
                    <a:alpha val="99000"/>
                  </a:srgbClr>
                </a:solidFill>
              </a:ln>
              <a:scene3d>
                <a:camera prst="orthographicFront"/>
                <a:lightRig rig="threePt" dir="t"/>
              </a:scene3d>
              <a:sp3d>
                <a:bevelT w="50800" h="50800"/>
              </a:sp3d>
            </c:spPr>
            <c:extLst>
              <c:ext xmlns:c16="http://schemas.microsoft.com/office/drawing/2014/chart" uri="{C3380CC4-5D6E-409C-BE32-E72D297353CC}">
                <c16:uniqueId val="{0000001D-7978-4A49-8C07-A5A96A8A1619}"/>
              </c:ext>
            </c:extLst>
          </c:dPt>
          <c:dPt>
            <c:idx val="15"/>
            <c:bubble3D val="0"/>
            <c:spPr>
              <a:solidFill>
                <a:srgbClr val="B9CDE5"/>
              </a:solidFill>
              <a:ln>
                <a:solidFill>
                  <a:srgbClr val="D9D9D9">
                    <a:alpha val="99000"/>
                  </a:srgbClr>
                </a:solidFill>
              </a:ln>
              <a:scene3d>
                <a:camera prst="orthographicFront"/>
                <a:lightRig rig="threePt" dir="t"/>
              </a:scene3d>
              <a:sp3d>
                <a:bevelT w="50800" h="50800"/>
              </a:sp3d>
            </c:spPr>
            <c:extLst>
              <c:ext xmlns:c16="http://schemas.microsoft.com/office/drawing/2014/chart" uri="{C3380CC4-5D6E-409C-BE32-E72D297353CC}">
                <c16:uniqueId val="{0000001F-7978-4A49-8C07-A5A96A8A1619}"/>
              </c:ext>
            </c:extLst>
          </c:dPt>
          <c:dPt>
            <c:idx val="16"/>
            <c:bubble3D val="0"/>
            <c:spPr>
              <a:solidFill>
                <a:srgbClr val="558ED5"/>
              </a:solidFill>
              <a:ln>
                <a:solidFill>
                  <a:srgbClr val="D9D9D9">
                    <a:alpha val="99000"/>
                  </a:srgbClr>
                </a:solidFill>
              </a:ln>
              <a:scene3d>
                <a:camera prst="orthographicFront"/>
                <a:lightRig rig="threePt" dir="t"/>
              </a:scene3d>
              <a:sp3d>
                <a:bevelT w="50800" h="50800"/>
              </a:sp3d>
            </c:spPr>
            <c:extLst>
              <c:ext xmlns:c16="http://schemas.microsoft.com/office/drawing/2014/chart" uri="{C3380CC4-5D6E-409C-BE32-E72D297353CC}">
                <c16:uniqueId val="{00000021-7978-4A49-8C07-A5A96A8A1619}"/>
              </c:ext>
            </c:extLst>
          </c:dPt>
          <c:dPt>
            <c:idx val="17"/>
            <c:bubble3D val="0"/>
            <c:spPr>
              <a:solidFill>
                <a:srgbClr val="D9D9D9"/>
              </a:solidFill>
              <a:ln>
                <a:solidFill>
                  <a:srgbClr val="558ED5">
                    <a:alpha val="99000"/>
                  </a:srgbClr>
                </a:solidFill>
              </a:ln>
              <a:scene3d>
                <a:camera prst="orthographicFront"/>
                <a:lightRig rig="threePt" dir="t"/>
              </a:scene3d>
              <a:sp3d>
                <a:bevelT w="50800" h="50800"/>
              </a:sp3d>
            </c:spPr>
            <c:extLst>
              <c:ext xmlns:c16="http://schemas.microsoft.com/office/drawing/2014/chart" uri="{C3380CC4-5D6E-409C-BE32-E72D297353CC}">
                <c16:uniqueId val="{00000023-7978-4A49-8C07-A5A96A8A1619}"/>
              </c:ext>
            </c:extLst>
          </c:dPt>
          <c:dPt>
            <c:idx val="18"/>
            <c:bubble3D val="0"/>
            <c:spPr>
              <a:ln>
                <a:solidFill>
                  <a:srgbClr val="0070C0">
                    <a:alpha val="99000"/>
                  </a:srgbClr>
                </a:solidFill>
              </a:ln>
              <a:scene3d>
                <a:camera prst="orthographicFront"/>
                <a:lightRig rig="threePt" dir="t"/>
              </a:scene3d>
              <a:sp3d>
                <a:bevelT w="50800" h="50800"/>
              </a:sp3d>
            </c:spPr>
            <c:extLst>
              <c:ext xmlns:c16="http://schemas.microsoft.com/office/drawing/2014/chart" uri="{C3380CC4-5D6E-409C-BE32-E72D297353CC}">
                <c16:uniqueId val="{00000025-7978-4A49-8C07-A5A96A8A1619}"/>
              </c:ext>
            </c:extLst>
          </c:dPt>
          <c:dPt>
            <c:idx val="19"/>
            <c:bubble3D val="0"/>
            <c:spPr>
              <a:ln>
                <a:solidFill>
                  <a:srgbClr val="D9D9D9">
                    <a:alpha val="99000"/>
                  </a:srgbClr>
                </a:solidFill>
              </a:ln>
              <a:scene3d>
                <a:camera prst="orthographicFront"/>
                <a:lightRig rig="threePt" dir="t"/>
              </a:scene3d>
              <a:sp3d>
                <a:bevelT w="50800" h="50800"/>
              </a:sp3d>
            </c:spPr>
            <c:extLst>
              <c:ext xmlns:c16="http://schemas.microsoft.com/office/drawing/2014/chart" uri="{C3380CC4-5D6E-409C-BE32-E72D297353CC}">
                <c16:uniqueId val="{00000027-7978-4A49-8C07-A5A96A8A1619}"/>
              </c:ext>
            </c:extLst>
          </c:dPt>
          <c:dLbls>
            <c:dLbl>
              <c:idx val="0"/>
              <c:layout/>
              <c:dLblPos val="ct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7978-4A49-8C07-A5A96A8A1619}"/>
                </c:ext>
              </c:extLst>
            </c:dLbl>
            <c:dLbl>
              <c:idx val="1"/>
              <c:layout/>
              <c:dLblPos val="ctr"/>
              <c:showLegendKey val="0"/>
              <c:showVal val="0"/>
              <c:showCatName val="1"/>
              <c:showSerName val="0"/>
              <c:showPercent val="1"/>
              <c:showBubbleSize val="0"/>
              <c:extLst>
                <c:ext xmlns:c15="http://schemas.microsoft.com/office/drawing/2012/chart" uri="{CE6537A1-D6FC-4f65-9D91-7224C49458BB}">
                  <c15:layout>
                    <c:manualLayout>
                      <c:w val="0.23423134487919606"/>
                      <c:h val="7.2737445796614911E-2"/>
                    </c:manualLayout>
                  </c15:layout>
                </c:ext>
                <c:ext xmlns:c16="http://schemas.microsoft.com/office/drawing/2014/chart" uri="{C3380CC4-5D6E-409C-BE32-E72D297353CC}">
                  <c16:uniqueId val="{00000003-7978-4A49-8C07-A5A96A8A1619}"/>
                </c:ext>
              </c:extLst>
            </c:dLbl>
            <c:dLbl>
              <c:idx val="2"/>
              <c:layout/>
              <c:dLblPos val="ctr"/>
              <c:showLegendKey val="0"/>
              <c:showVal val="0"/>
              <c:showCatName val="1"/>
              <c:showSerName val="0"/>
              <c:showPercent val="1"/>
              <c:showBubbleSize val="0"/>
              <c:extLst>
                <c:ext xmlns:c15="http://schemas.microsoft.com/office/drawing/2012/chart" uri="{CE6537A1-D6FC-4f65-9D91-7224C49458BB}">
                  <c15:layout>
                    <c:manualLayout>
                      <c:w val="0.25535599743425275"/>
                      <c:h val="7.2737445796614911E-2"/>
                    </c:manualLayout>
                  </c15:layout>
                </c:ext>
                <c:ext xmlns:c16="http://schemas.microsoft.com/office/drawing/2014/chart" uri="{C3380CC4-5D6E-409C-BE32-E72D297353CC}">
                  <c16:uniqueId val="{00000005-7978-4A49-8C07-A5A96A8A1619}"/>
                </c:ext>
              </c:extLst>
            </c:dLbl>
            <c:dLbl>
              <c:idx val="3"/>
              <c:layout/>
              <c:dLblPos val="ctr"/>
              <c:showLegendKey val="0"/>
              <c:showVal val="0"/>
              <c:showCatName val="1"/>
              <c:showSerName val="0"/>
              <c:showPercent val="1"/>
              <c:showBubbleSize val="0"/>
              <c:extLst>
                <c:ext xmlns:c15="http://schemas.microsoft.com/office/drawing/2012/chart" uri="{CE6537A1-D6FC-4f65-9D91-7224C49458BB}">
                  <c15:layout>
                    <c:manualLayout>
                      <c:w val="0.24109471883686123"/>
                      <c:h val="3.2172331794656596E-2"/>
                    </c:manualLayout>
                  </c15:layout>
                </c:ext>
                <c:ext xmlns:c16="http://schemas.microsoft.com/office/drawing/2014/chart" uri="{C3380CC4-5D6E-409C-BE32-E72D297353CC}">
                  <c16:uniqueId val="{00000007-7978-4A49-8C07-A5A96A8A1619}"/>
                </c:ext>
              </c:extLst>
            </c:dLbl>
            <c:dLbl>
              <c:idx val="4"/>
              <c:layout/>
              <c:dLblPos val="ctr"/>
              <c:showLegendKey val="0"/>
              <c:showVal val="0"/>
              <c:showCatName val="1"/>
              <c:showSerName val="0"/>
              <c:showPercent val="1"/>
              <c:showBubbleSize val="0"/>
              <c:extLst>
                <c:ext xmlns:c15="http://schemas.microsoft.com/office/drawing/2012/chart" uri="{CE6537A1-D6FC-4f65-9D91-7224C49458BB}">
                  <c15:layout>
                    <c:manualLayout>
                      <c:w val="0.23686123583493693"/>
                      <c:h val="7.2737445796614911E-2"/>
                    </c:manualLayout>
                  </c15:layout>
                </c:ext>
                <c:ext xmlns:c16="http://schemas.microsoft.com/office/drawing/2014/chart" uri="{C3380CC4-5D6E-409C-BE32-E72D297353CC}">
                  <c16:uniqueId val="{00000009-7978-4A49-8C07-A5A96A8A1619}"/>
                </c:ext>
              </c:extLst>
            </c:dLbl>
            <c:dLbl>
              <c:idx val="5"/>
              <c:layout/>
              <c:dLblPos val="ctr"/>
              <c:showLegendKey val="0"/>
              <c:showVal val="0"/>
              <c:showCatName val="1"/>
              <c:showSerName val="0"/>
              <c:showPercent val="1"/>
              <c:showBubbleSize val="0"/>
              <c:extLst>
                <c:ext xmlns:c15="http://schemas.microsoft.com/office/drawing/2012/chart" uri="{CE6537A1-D6FC-4f65-9D91-7224C49458BB}">
                  <c15:layout>
                    <c:manualLayout>
                      <c:w val="0.22377592473807992"/>
                      <c:h val="7.2737445796614911E-2"/>
                    </c:manualLayout>
                  </c15:layout>
                </c:ext>
                <c:ext xmlns:c16="http://schemas.microsoft.com/office/drawing/2014/chart" uri="{C3380CC4-5D6E-409C-BE32-E72D297353CC}">
                  <c16:uniqueId val="{0000000B-7978-4A49-8C07-A5A96A8A1619}"/>
                </c:ext>
              </c:extLst>
            </c:dLbl>
            <c:dLbl>
              <c:idx val="6"/>
              <c:layout/>
              <c:dLblPos val="ctr"/>
              <c:showLegendKey val="0"/>
              <c:showVal val="0"/>
              <c:showCatName val="1"/>
              <c:showSerName val="0"/>
              <c:showPercent val="1"/>
              <c:showBubbleSize val="0"/>
              <c:extLst>
                <c:ext xmlns:c15="http://schemas.microsoft.com/office/drawing/2012/chart" uri="{CE6537A1-D6FC-4f65-9D91-7224C49458BB}">
                  <c15:layout>
                    <c:manualLayout>
                      <c:w val="0.22732520846696599"/>
                      <c:h val="7.2737445796614911E-2"/>
                    </c:manualLayout>
                  </c15:layout>
                </c:ext>
                <c:ext xmlns:c16="http://schemas.microsoft.com/office/drawing/2014/chart" uri="{C3380CC4-5D6E-409C-BE32-E72D297353CC}">
                  <c16:uniqueId val="{0000000D-7978-4A49-8C07-A5A96A8A1619}"/>
                </c:ext>
              </c:extLst>
            </c:dLbl>
            <c:dLbl>
              <c:idx val="7"/>
              <c:layout/>
              <c:dLblPos val="ct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F-7978-4A49-8C07-A5A96A8A1619}"/>
                </c:ext>
              </c:extLst>
            </c:dLbl>
            <c:dLbl>
              <c:idx val="8"/>
              <c:layout/>
              <c:dLblPos val="ctr"/>
              <c:showLegendKey val="0"/>
              <c:showVal val="0"/>
              <c:showCatName val="1"/>
              <c:showSerName val="0"/>
              <c:showPercent val="1"/>
              <c:showBubbleSize val="0"/>
              <c:extLst>
                <c:ext xmlns:c15="http://schemas.microsoft.com/office/drawing/2012/chart" uri="{CE6537A1-D6FC-4f65-9D91-7224C49458BB}">
                  <c15:layout>
                    <c:manualLayout>
                      <c:w val="0.2233109262846075"/>
                      <c:h val="8.4580351333767081E-2"/>
                    </c:manualLayout>
                  </c15:layout>
                </c:ext>
                <c:ext xmlns:c16="http://schemas.microsoft.com/office/drawing/2014/chart" uri="{C3380CC4-5D6E-409C-BE32-E72D297353CC}">
                  <c16:uniqueId val="{00000011-7978-4A49-8C07-A5A96A8A1619}"/>
                </c:ext>
              </c:extLst>
            </c:dLbl>
            <c:dLbl>
              <c:idx val="9"/>
              <c:layout/>
              <c:dLblPos val="ctr"/>
              <c:showLegendKey val="0"/>
              <c:showVal val="0"/>
              <c:showCatName val="1"/>
              <c:showSerName val="0"/>
              <c:showPercent val="1"/>
              <c:showBubbleSize val="0"/>
              <c:extLst>
                <c:ext xmlns:c15="http://schemas.microsoft.com/office/drawing/2012/chart" uri="{CE6537A1-D6FC-4f65-9D91-7224C49458BB}">
                  <c15:layout>
                    <c:manualLayout>
                      <c:w val="0.23446653837930298"/>
                      <c:h val="7.2737445796614911E-2"/>
                    </c:manualLayout>
                  </c15:layout>
                </c:ext>
                <c:ext xmlns:c16="http://schemas.microsoft.com/office/drawing/2014/chart" uri="{C3380CC4-5D6E-409C-BE32-E72D297353CC}">
                  <c16:uniqueId val="{00000013-7978-4A49-8C07-A5A96A8A1619}"/>
                </c:ext>
              </c:extLst>
            </c:dLbl>
            <c:dLbl>
              <c:idx val="10"/>
              <c:layout/>
              <c:dLblPos val="ctr"/>
              <c:showLegendKey val="0"/>
              <c:showVal val="0"/>
              <c:showCatName val="1"/>
              <c:showSerName val="0"/>
              <c:showPercent val="1"/>
              <c:showBubbleSize val="0"/>
              <c:extLst>
                <c:ext xmlns:c15="http://schemas.microsoft.com/office/drawing/2012/chart" uri="{CE6537A1-D6FC-4f65-9D91-7224C49458BB}">
                  <c15:layout>
                    <c:manualLayout>
                      <c:w val="0.22759485017659792"/>
                      <c:h val="8.4580351333767081E-2"/>
                    </c:manualLayout>
                  </c15:layout>
                </c:ext>
                <c:ext xmlns:c16="http://schemas.microsoft.com/office/drawing/2014/chart" uri="{C3380CC4-5D6E-409C-BE32-E72D297353CC}">
                  <c16:uniqueId val="{00000015-7978-4A49-8C07-A5A96A8A1619}"/>
                </c:ext>
              </c:extLst>
            </c:dLbl>
            <c:dLbl>
              <c:idx val="11"/>
              <c:layout/>
              <c:dLblPos val="ctr"/>
              <c:showLegendKey val="0"/>
              <c:showVal val="0"/>
              <c:showCatName val="1"/>
              <c:showSerName val="0"/>
              <c:showPercent val="1"/>
              <c:showBubbleSize val="0"/>
              <c:extLst>
                <c:ext xmlns:c15="http://schemas.microsoft.com/office/drawing/2012/chart" uri="{CE6537A1-D6FC-4f65-9D91-7224C49458BB}">
                  <c15:layout>
                    <c:manualLayout>
                      <c:w val="0.23944836433611288"/>
                      <c:h val="7.2737445796614911E-2"/>
                    </c:manualLayout>
                  </c15:layout>
                </c:ext>
                <c:ext xmlns:c16="http://schemas.microsoft.com/office/drawing/2014/chart" uri="{C3380CC4-5D6E-409C-BE32-E72D297353CC}">
                  <c16:uniqueId val="{00000017-7978-4A49-8C07-A5A96A8A1619}"/>
                </c:ext>
              </c:extLst>
            </c:dLbl>
            <c:dLbl>
              <c:idx val="12"/>
              <c:layout/>
              <c:dLblPos val="ctr"/>
              <c:showLegendKey val="0"/>
              <c:showVal val="0"/>
              <c:showCatName val="1"/>
              <c:showSerName val="0"/>
              <c:showPercent val="1"/>
              <c:showBubbleSize val="0"/>
              <c:extLst>
                <c:ext xmlns:c15="http://schemas.microsoft.com/office/drawing/2012/chart" uri="{CE6537A1-D6FC-4f65-9D91-7224C49458BB}">
                  <c15:layout>
                    <c:manualLayout>
                      <c:w val="0.22612785973914898"/>
                      <c:h val="7.2737445796614911E-2"/>
                    </c:manualLayout>
                  </c15:layout>
                </c:ext>
                <c:ext xmlns:c16="http://schemas.microsoft.com/office/drawing/2014/chart" uri="{C3380CC4-5D6E-409C-BE32-E72D297353CC}">
                  <c16:uniqueId val="{00000019-7978-4A49-8C07-A5A96A8A1619}"/>
                </c:ext>
              </c:extLst>
            </c:dLbl>
            <c:dLbl>
              <c:idx val="13"/>
              <c:layout/>
              <c:dLblPos val="ctr"/>
              <c:showLegendKey val="0"/>
              <c:showVal val="0"/>
              <c:showCatName val="1"/>
              <c:showSerName val="0"/>
              <c:showPercent val="1"/>
              <c:showBubbleSize val="0"/>
              <c:extLst>
                <c:ext xmlns:c15="http://schemas.microsoft.com/office/drawing/2012/chart" uri="{CE6537A1-D6FC-4f65-9D91-7224C49458BB}">
                  <c15:layout>
                    <c:manualLayout>
                      <c:w val="0.22471669873850758"/>
                      <c:h val="7.2737445796614911E-2"/>
                    </c:manualLayout>
                  </c15:layout>
                </c:ext>
                <c:ext xmlns:c16="http://schemas.microsoft.com/office/drawing/2014/chart" uri="{C3380CC4-5D6E-409C-BE32-E72D297353CC}">
                  <c16:uniqueId val="{0000001B-7978-4A49-8C07-A5A96A8A1619}"/>
                </c:ext>
              </c:extLst>
            </c:dLbl>
            <c:dLbl>
              <c:idx val="14"/>
              <c:layout/>
              <c:dLblPos val="ctr"/>
              <c:showLegendKey val="0"/>
              <c:showVal val="0"/>
              <c:showCatName val="1"/>
              <c:showSerName val="0"/>
              <c:showPercent val="1"/>
              <c:showBubbleSize val="0"/>
              <c:extLst>
                <c:ext xmlns:c15="http://schemas.microsoft.com/office/drawing/2012/chart" uri="{CE6537A1-D6FC-4f65-9D91-7224C49458BB}">
                  <c15:layout>
                    <c:manualLayout>
                      <c:w val="0.23707504810776139"/>
                      <c:h val="7.2737445796614911E-2"/>
                    </c:manualLayout>
                  </c15:layout>
                </c:ext>
                <c:ext xmlns:c16="http://schemas.microsoft.com/office/drawing/2014/chart" uri="{C3380CC4-5D6E-409C-BE32-E72D297353CC}">
                  <c16:uniqueId val="{0000001D-7978-4A49-8C07-A5A96A8A1619}"/>
                </c:ext>
              </c:extLst>
            </c:dLbl>
            <c:dLbl>
              <c:idx val="15"/>
              <c:layout/>
              <c:tx>
                <c:rich>
                  <a:bodyPr/>
                  <a:lstStyle/>
                  <a:p>
                    <a:r>
                      <a:rPr lang="en-US" baseline="0"/>
                      <a:t>Valstspilsētas </a:t>
                    </a:r>
                    <a:fld id="{30025922-6C8B-45B1-B6CA-BBAC33484F5F}" type="PERCENTAGE">
                      <a:rPr lang="en-US" baseline="0"/>
                      <a:pPr/>
                      <a:t>[PERCENTAGE]</a:t>
                    </a:fld>
                    <a:endParaRPr lang="en-US" baseline="0"/>
                  </a:p>
                </c:rich>
              </c:tx>
              <c:dLblPos val="ct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1F-7978-4A49-8C07-A5A96A8A1619}"/>
                </c:ext>
              </c:extLst>
            </c:dLbl>
            <c:dLbl>
              <c:idx val="16"/>
              <c:layout/>
              <c:tx>
                <c:rich>
                  <a:bodyPr/>
                  <a:lstStyle/>
                  <a:p>
                    <a:fld id="{067BA2BF-68B6-480C-BDE0-3ED7C84AB51E}" type="CATEGORYNAME">
                      <a:rPr lang="en-US"/>
                      <a:pPr/>
                      <a:t>[CATEGORY NAME]</a:t>
                    </a:fld>
                    <a:r>
                      <a:rPr lang="en-US" baseline="0"/>
                      <a:t> </a:t>
                    </a:r>
                    <a:fld id="{014C9147-EAB2-45E9-AE0E-91CE264DDE0B}" type="PERCENTAGE">
                      <a:rPr lang="en-US" baseline="0"/>
                      <a:pPr/>
                      <a:t>[PERCENTAGE]</a:t>
                    </a:fld>
                    <a:endParaRPr lang="en-US" baseline="0"/>
                  </a:p>
                </c:rich>
              </c:tx>
              <c:dLblPos val="ctr"/>
              <c:showLegendKey val="0"/>
              <c:showVal val="0"/>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21-7978-4A49-8C07-A5A96A8A1619}"/>
                </c:ext>
              </c:extLst>
            </c:dLbl>
            <c:dLbl>
              <c:idx val="17"/>
              <c:layout/>
              <c:tx>
                <c:rich>
                  <a:bodyPr/>
                  <a:lstStyle/>
                  <a:p>
                    <a:r>
                      <a:rPr lang="en-US" sz="800" b="0" i="0" u="none" strike="noStrike" kern="1200" baseline="0">
                        <a:solidFill>
                          <a:srgbClr val="17365D"/>
                        </a:solidFill>
                        <a:latin typeface="Times New Roman" panose="02020603050405020304" pitchFamily="18" charset="0"/>
                        <a:cs typeface="Times New Roman" panose="02020603050405020304" pitchFamily="18" charset="0"/>
                      </a:rPr>
                      <a:t>TOP 15</a:t>
                    </a:r>
                    <a:r>
                      <a:rPr lang="en-US" baseline="0"/>
                      <a:t> 35.1%</a:t>
                    </a:r>
                  </a:p>
                </c:rich>
              </c:tx>
              <c:dLblPos val="ct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23-7978-4A49-8C07-A5A96A8A1619}"/>
                </c:ext>
              </c:extLst>
            </c:dLbl>
            <c:dLbl>
              <c:idx val="18"/>
              <c:layout>
                <c:manualLayout>
                  <c:x val="-3.890752416579759E-2"/>
                  <c:y val="0.18941598966795817"/>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25-7978-4A49-8C07-A5A96A8A1619}"/>
                </c:ext>
              </c:extLst>
            </c:dLbl>
            <c:dLbl>
              <c:idx val="19"/>
              <c:tx>
                <c:rich>
                  <a:bodyPr/>
                  <a:lstStyle/>
                  <a:p>
                    <a:r>
                      <a:rPr lang="en-US" baseline="0">
                        <a:solidFill>
                          <a:srgbClr val="17365D"/>
                        </a:solidFill>
                      </a:rPr>
                      <a:t>TOP 17, 22.9%</a:t>
                    </a:r>
                  </a:p>
                </c:rich>
              </c:tx>
              <c:dLblPos val="ct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7-7978-4A49-8C07-A5A96A8A1619}"/>
                </c:ext>
              </c:extLst>
            </c:dLbl>
            <c:numFmt formatCode="0.0%" sourceLinked="0"/>
            <c:spPr>
              <a:noFill/>
              <a:ln>
                <a:solidFill>
                  <a:srgbClr val="17365D"/>
                </a:solidFill>
              </a:ln>
              <a:effectLst>
                <a:softEdge rad="88900"/>
              </a:effectLst>
            </c:spPr>
            <c:txPr>
              <a:bodyPr vertOverflow="overflow" horzOverflow="overflow" anchor="ctr" anchorCtr="1">
                <a:noAutofit/>
              </a:bodyPr>
              <a:lstStyle/>
              <a:p>
                <a:pPr>
                  <a:defRPr sz="1000">
                    <a:solidFill>
                      <a:srgbClr val="17365D"/>
                    </a:solidFill>
                    <a:latin typeface="Times New Roman" panose="02020603050405020304" pitchFamily="18" charset="0"/>
                    <a:cs typeface="Times New Roman" panose="02020603050405020304" pitchFamily="18" charset="0"/>
                  </a:defRPr>
                </a:pPr>
                <a:endParaRPr lang="lv-LV"/>
              </a:p>
            </c:txPr>
            <c:dLblPos val="ctr"/>
            <c:showLegendKey val="0"/>
            <c:showVal val="0"/>
            <c:showCatName val="1"/>
            <c:showSerName val="0"/>
            <c:showPercent val="1"/>
            <c:showBubbleSize val="0"/>
            <c:separator>, </c:separator>
            <c:showLeaderLines val="1"/>
            <c:extLst>
              <c:ext xmlns:c15="http://schemas.microsoft.com/office/drawing/2012/chart" uri="{CE6537A1-D6FC-4f65-9D91-7224C49458BB}">
                <c15:spPr xmlns:c15="http://schemas.microsoft.com/office/drawing/2012/chart">
                  <a:prstGeom prst="rect">
                    <a:avLst/>
                  </a:prstGeom>
                </c15:spPr>
              </c:ext>
            </c:extLst>
          </c:dLbls>
          <c:cat>
            <c:strRef>
              <c:f>'Raj_dati 2022'!$N$57:$N$73</c:f>
              <c:strCache>
                <c:ptCount val="17"/>
                <c:pt idx="0">
                  <c:v>Ogres novads</c:v>
                </c:pt>
                <c:pt idx="1">
                  <c:v>Jēkabpils novads</c:v>
                </c:pt>
                <c:pt idx="2">
                  <c:v>Valmieras novads</c:v>
                </c:pt>
                <c:pt idx="3">
                  <c:v>Ādažu novads</c:v>
                </c:pt>
                <c:pt idx="4">
                  <c:v>Siguldas novads</c:v>
                </c:pt>
                <c:pt idx="5">
                  <c:v>Bauskas novads</c:v>
                </c:pt>
                <c:pt idx="6">
                  <c:v>Mārupes novads</c:v>
                </c:pt>
                <c:pt idx="7">
                  <c:v>Cēsu novads</c:v>
                </c:pt>
                <c:pt idx="8">
                  <c:v>Saldus novads</c:v>
                </c:pt>
                <c:pt idx="9">
                  <c:v>Tukuma novads</c:v>
                </c:pt>
                <c:pt idx="10">
                  <c:v>Ropažu novads</c:v>
                </c:pt>
                <c:pt idx="11">
                  <c:v>Madonas novads</c:v>
                </c:pt>
                <c:pt idx="12">
                  <c:v>Ķekavas novads</c:v>
                </c:pt>
                <c:pt idx="13">
                  <c:v>Dobeles novads</c:v>
                </c:pt>
                <c:pt idx="14">
                  <c:v>Limbažu novads</c:v>
                </c:pt>
                <c:pt idx="15">
                  <c:v>Republikas pilsētas</c:v>
                </c:pt>
                <c:pt idx="16">
                  <c:v>Pārējie novadi kopā</c:v>
                </c:pt>
              </c:strCache>
            </c:strRef>
          </c:cat>
          <c:val>
            <c:numRef>
              <c:f>'Raj_dati 2022'!$Y$57:$Y$73</c:f>
              <c:numCache>
                <c:formatCode>_-* #\ ##0_-;\-* #\ ##0_-;_-* "-"??_-;_-@_-</c:formatCode>
                <c:ptCount val="17"/>
                <c:pt idx="0">
                  <c:v>91041584</c:v>
                </c:pt>
                <c:pt idx="1">
                  <c:v>71111553</c:v>
                </c:pt>
                <c:pt idx="2">
                  <c:v>66445405</c:v>
                </c:pt>
                <c:pt idx="3" formatCode="General">
                  <c:v>52863746</c:v>
                </c:pt>
                <c:pt idx="4" formatCode="General">
                  <c:v>47144328</c:v>
                </c:pt>
                <c:pt idx="5" formatCode="#,##0">
                  <c:v>45088834</c:v>
                </c:pt>
                <c:pt idx="6" formatCode="General">
                  <c:v>43308452</c:v>
                </c:pt>
                <c:pt idx="7" formatCode="General">
                  <c:v>37628224</c:v>
                </c:pt>
                <c:pt idx="8" formatCode="#,##0">
                  <c:v>35887630</c:v>
                </c:pt>
                <c:pt idx="9" formatCode="#,##0">
                  <c:v>35401851</c:v>
                </c:pt>
                <c:pt idx="10" formatCode="General">
                  <c:v>34760306</c:v>
                </c:pt>
                <c:pt idx="11" formatCode="General">
                  <c:v>34175034</c:v>
                </c:pt>
                <c:pt idx="12" formatCode="General">
                  <c:v>32659756</c:v>
                </c:pt>
                <c:pt idx="13" formatCode="General">
                  <c:v>29021470</c:v>
                </c:pt>
                <c:pt idx="14" formatCode="General">
                  <c:v>28710528</c:v>
                </c:pt>
                <c:pt idx="15" formatCode="#,##0">
                  <c:v>896034539</c:v>
                </c:pt>
                <c:pt idx="16" formatCode="#,##0">
                  <c:v>369784964</c:v>
                </c:pt>
              </c:numCache>
            </c:numRef>
          </c:val>
          <c:extLst>
            <c:ext xmlns:c16="http://schemas.microsoft.com/office/drawing/2014/chart" uri="{C3380CC4-5D6E-409C-BE32-E72D297353CC}">
              <c16:uniqueId val="{00000028-7978-4A49-8C07-A5A96A8A1619}"/>
            </c:ext>
          </c:extLst>
        </c:ser>
        <c:dLbls>
          <c:showLegendKey val="0"/>
          <c:showVal val="0"/>
          <c:showCatName val="0"/>
          <c:showSerName val="0"/>
          <c:showPercent val="0"/>
          <c:showBubbleSize val="0"/>
          <c:showLeaderLines val="1"/>
        </c:dLbls>
        <c:gapWidth val="23"/>
        <c:splitType val="val"/>
        <c:splitPos val="250000000"/>
        <c:secondPieSize val="106"/>
        <c:serLines>
          <c:spPr>
            <a:ln w="6350">
              <a:solidFill>
                <a:srgbClr val="C3C4C6"/>
              </a:solidFill>
            </a:ln>
          </c:spPr>
        </c:serLines>
      </c:ofPieChart>
      <c:spPr>
        <a:noFill/>
        <a:ln w="25400">
          <a:noFill/>
        </a:ln>
      </c:spPr>
    </c:plotArea>
    <c:plotVisOnly val="1"/>
    <c:dispBlanksAs val="gap"/>
    <c:showDLblsOverMax val="0"/>
  </c:chart>
  <c:spPr>
    <a:noFill/>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25"/>
      <c:rotY val="310"/>
      <c:rAngAx val="0"/>
      <c:perspective val="0"/>
    </c:view3D>
    <c:floor>
      <c:thickness val="0"/>
    </c:floor>
    <c:sideWall>
      <c:thickness val="0"/>
    </c:sideWall>
    <c:backWall>
      <c:thickness val="0"/>
    </c:backWall>
    <c:plotArea>
      <c:layout>
        <c:manualLayout>
          <c:layoutTarget val="inner"/>
          <c:xMode val="edge"/>
          <c:yMode val="edge"/>
          <c:x val="1.6256909062837737E-3"/>
          <c:y val="9.2776975963851385E-2"/>
          <c:w val="0.83596702176933768"/>
          <c:h val="0.80818288036576058"/>
        </c:manualLayout>
      </c:layout>
      <c:pie3DChart>
        <c:varyColors val="1"/>
        <c:ser>
          <c:idx val="0"/>
          <c:order val="0"/>
          <c:spPr>
            <a:effectLst>
              <a:outerShdw blurRad="50800" dist="50800" dir="5400000" algn="ctr" rotWithShape="0">
                <a:srgbClr val="000000">
                  <a:alpha val="50000"/>
                </a:srgbClr>
              </a:outerShdw>
            </a:effectLst>
            <a:scene3d>
              <a:camera prst="orthographicFront"/>
              <a:lightRig rig="threePt" dir="t"/>
            </a:scene3d>
            <a:sp3d>
              <a:bevelT w="0" h="0"/>
              <a:bevelB w="0" h="0"/>
            </a:sp3d>
          </c:spPr>
          <c:explosion val="3"/>
          <c:dPt>
            <c:idx val="0"/>
            <c:bubble3D val="0"/>
            <c:spPr>
              <a:solidFill>
                <a:srgbClr val="558ED5"/>
              </a:solidFill>
              <a:effectLst>
                <a:outerShdw blurRad="50800" dist="50800" dir="5400000" algn="ctr" rotWithShape="0">
                  <a:srgbClr val="000000">
                    <a:alpha val="50000"/>
                  </a:srgbClr>
                </a:outerShdw>
              </a:effectLst>
              <a:scene3d>
                <a:camera prst="orthographicFront"/>
                <a:lightRig rig="threePt" dir="t"/>
              </a:scene3d>
              <a:sp3d>
                <a:bevelT w="0" h="0"/>
                <a:bevelB w="0" h="0"/>
              </a:sp3d>
            </c:spPr>
            <c:extLst>
              <c:ext xmlns:c16="http://schemas.microsoft.com/office/drawing/2014/chart" uri="{C3380CC4-5D6E-409C-BE32-E72D297353CC}">
                <c16:uniqueId val="{00000001-D12E-4950-8991-E6EE8ACA3704}"/>
              </c:ext>
            </c:extLst>
          </c:dPt>
          <c:dPt>
            <c:idx val="1"/>
            <c:bubble3D val="0"/>
            <c:spPr>
              <a:solidFill>
                <a:srgbClr val="DBEEF4"/>
              </a:solidFill>
              <a:effectLst>
                <a:outerShdw blurRad="50800" dist="50800" dir="5400000" algn="ctr" rotWithShape="0">
                  <a:srgbClr val="000000">
                    <a:alpha val="50000"/>
                  </a:srgbClr>
                </a:outerShdw>
              </a:effectLst>
              <a:scene3d>
                <a:camera prst="orthographicFront"/>
                <a:lightRig rig="threePt" dir="t"/>
              </a:scene3d>
              <a:sp3d>
                <a:bevelT w="0" h="0"/>
                <a:bevelB w="0" h="0"/>
              </a:sp3d>
            </c:spPr>
            <c:extLst>
              <c:ext xmlns:c16="http://schemas.microsoft.com/office/drawing/2014/chart" uri="{C3380CC4-5D6E-409C-BE32-E72D297353CC}">
                <c16:uniqueId val="{00000003-D12E-4950-8991-E6EE8ACA3704}"/>
              </c:ext>
            </c:extLst>
          </c:dPt>
          <c:dPt>
            <c:idx val="2"/>
            <c:bubble3D val="0"/>
            <c:spPr>
              <a:solidFill>
                <a:srgbClr val="012169"/>
              </a:solidFill>
              <a:effectLst>
                <a:outerShdw blurRad="50800" dist="50800" dir="5400000" algn="ctr" rotWithShape="0">
                  <a:srgbClr val="000000">
                    <a:alpha val="50000"/>
                  </a:srgbClr>
                </a:outerShdw>
              </a:effectLst>
              <a:scene3d>
                <a:camera prst="orthographicFront"/>
                <a:lightRig rig="threePt" dir="t"/>
              </a:scene3d>
              <a:sp3d>
                <a:bevelT w="0" h="0"/>
                <a:bevelB w="0" h="0"/>
              </a:sp3d>
            </c:spPr>
            <c:extLst>
              <c:ext xmlns:c16="http://schemas.microsoft.com/office/drawing/2014/chart" uri="{C3380CC4-5D6E-409C-BE32-E72D297353CC}">
                <c16:uniqueId val="{00000005-D12E-4950-8991-E6EE8ACA3704}"/>
              </c:ext>
            </c:extLst>
          </c:dPt>
          <c:dPt>
            <c:idx val="3"/>
            <c:bubble3D val="0"/>
            <c:spPr>
              <a:solidFill>
                <a:srgbClr val="0070C0"/>
              </a:solidFill>
              <a:effectLst>
                <a:outerShdw blurRad="50800" dist="50800" dir="5400000" algn="ctr" rotWithShape="0">
                  <a:srgbClr val="000000">
                    <a:alpha val="50000"/>
                  </a:srgbClr>
                </a:outerShdw>
              </a:effectLst>
              <a:scene3d>
                <a:camera prst="orthographicFront"/>
                <a:lightRig rig="threePt" dir="t"/>
              </a:scene3d>
              <a:sp3d>
                <a:bevelT w="0" h="0"/>
                <a:bevelB w="0" h="0"/>
              </a:sp3d>
            </c:spPr>
            <c:extLst>
              <c:ext xmlns:c16="http://schemas.microsoft.com/office/drawing/2014/chart" uri="{C3380CC4-5D6E-409C-BE32-E72D297353CC}">
                <c16:uniqueId val="{00000007-D12E-4950-8991-E6EE8ACA3704}"/>
              </c:ext>
            </c:extLst>
          </c:dPt>
          <c:dPt>
            <c:idx val="4"/>
            <c:bubble3D val="0"/>
            <c:spPr>
              <a:solidFill>
                <a:srgbClr val="D9D9D9"/>
              </a:solidFill>
              <a:effectLst>
                <a:outerShdw blurRad="50800" dist="50800" dir="5400000" algn="ctr" rotWithShape="0">
                  <a:srgbClr val="000000">
                    <a:alpha val="50000"/>
                  </a:srgbClr>
                </a:outerShdw>
              </a:effectLst>
              <a:scene3d>
                <a:camera prst="orthographicFront"/>
                <a:lightRig rig="threePt" dir="t"/>
              </a:scene3d>
              <a:sp3d>
                <a:bevelT w="0" h="0"/>
                <a:bevelB w="0" h="0"/>
              </a:sp3d>
            </c:spPr>
            <c:extLst>
              <c:ext xmlns:c16="http://schemas.microsoft.com/office/drawing/2014/chart" uri="{C3380CC4-5D6E-409C-BE32-E72D297353CC}">
                <c16:uniqueId val="{00000009-D12E-4950-8991-E6EE8ACA3704}"/>
              </c:ext>
            </c:extLst>
          </c:dPt>
          <c:dPt>
            <c:idx val="5"/>
            <c:bubble3D val="0"/>
            <c:spPr>
              <a:solidFill>
                <a:schemeClr val="accent1">
                  <a:lumMod val="75000"/>
                </a:schemeClr>
              </a:solidFill>
              <a:effectLst>
                <a:outerShdw blurRad="50800" dist="50800" dir="5400000" algn="ctr" rotWithShape="0">
                  <a:srgbClr val="000000">
                    <a:alpha val="50000"/>
                  </a:srgbClr>
                </a:outerShdw>
              </a:effectLst>
              <a:scene3d>
                <a:camera prst="orthographicFront"/>
                <a:lightRig rig="threePt" dir="t"/>
              </a:scene3d>
              <a:sp3d>
                <a:bevelT w="0" h="0"/>
                <a:bevelB w="0" h="0"/>
              </a:sp3d>
            </c:spPr>
            <c:extLst>
              <c:ext xmlns:c16="http://schemas.microsoft.com/office/drawing/2014/chart" uri="{C3380CC4-5D6E-409C-BE32-E72D297353CC}">
                <c16:uniqueId val="{0000000B-D12E-4950-8991-E6EE8ACA3704}"/>
              </c:ext>
            </c:extLst>
          </c:dPt>
          <c:dPt>
            <c:idx val="6"/>
            <c:bubble3D val="0"/>
            <c:spPr>
              <a:solidFill>
                <a:srgbClr val="A6A6A6"/>
              </a:solidFill>
              <a:effectLst>
                <a:outerShdw blurRad="50800" dist="50800" dir="5400000" algn="ctr" rotWithShape="0">
                  <a:srgbClr val="000000">
                    <a:alpha val="50000"/>
                  </a:srgbClr>
                </a:outerShdw>
              </a:effectLst>
              <a:scene3d>
                <a:camera prst="orthographicFront"/>
                <a:lightRig rig="threePt" dir="t"/>
              </a:scene3d>
              <a:sp3d>
                <a:bevelT w="0" h="0"/>
                <a:bevelB w="0" h="0"/>
              </a:sp3d>
            </c:spPr>
            <c:extLst>
              <c:ext xmlns:c16="http://schemas.microsoft.com/office/drawing/2014/chart" uri="{C3380CC4-5D6E-409C-BE32-E72D297353CC}">
                <c16:uniqueId val="{0000000D-D12E-4950-8991-E6EE8ACA3704}"/>
              </c:ext>
            </c:extLst>
          </c:dPt>
          <c:dPt>
            <c:idx val="7"/>
            <c:bubble3D val="0"/>
            <c:spPr>
              <a:solidFill>
                <a:srgbClr val="B9CDE5"/>
              </a:solidFill>
              <a:effectLst>
                <a:outerShdw blurRad="50800" dist="50800" dir="5400000" algn="ctr" rotWithShape="0">
                  <a:srgbClr val="000000">
                    <a:alpha val="50000"/>
                  </a:srgbClr>
                </a:outerShdw>
              </a:effectLst>
              <a:scene3d>
                <a:camera prst="orthographicFront"/>
                <a:lightRig rig="threePt" dir="t"/>
              </a:scene3d>
              <a:sp3d>
                <a:bevelT w="0" h="0"/>
                <a:bevelB w="0" h="0"/>
              </a:sp3d>
            </c:spPr>
            <c:extLst>
              <c:ext xmlns:c16="http://schemas.microsoft.com/office/drawing/2014/chart" uri="{C3380CC4-5D6E-409C-BE32-E72D297353CC}">
                <c16:uniqueId val="{0000000F-D12E-4950-8991-E6EE8ACA3704}"/>
              </c:ext>
            </c:extLst>
          </c:dPt>
          <c:dPt>
            <c:idx val="8"/>
            <c:bubble3D val="0"/>
            <c:spPr>
              <a:solidFill>
                <a:srgbClr val="009F9B"/>
              </a:solidFill>
              <a:effectLst>
                <a:outerShdw blurRad="50800" dist="50800" dir="5400000" algn="ctr" rotWithShape="0">
                  <a:srgbClr val="000000">
                    <a:alpha val="50000"/>
                  </a:srgbClr>
                </a:outerShdw>
              </a:effectLst>
              <a:scene3d>
                <a:camera prst="orthographicFront"/>
                <a:lightRig rig="threePt" dir="t"/>
              </a:scene3d>
              <a:sp3d>
                <a:bevelT w="0" h="0"/>
                <a:bevelB w="0" h="0"/>
              </a:sp3d>
            </c:spPr>
            <c:extLst>
              <c:ext xmlns:c16="http://schemas.microsoft.com/office/drawing/2014/chart" uri="{C3380CC4-5D6E-409C-BE32-E72D297353CC}">
                <c16:uniqueId val="{00000011-D12E-4950-8991-E6EE8ACA3704}"/>
              </c:ext>
            </c:extLst>
          </c:dPt>
          <c:dPt>
            <c:idx val="9"/>
            <c:bubble3D val="0"/>
            <c:spPr>
              <a:solidFill>
                <a:srgbClr val="B9CDE5"/>
              </a:solidFill>
              <a:effectLst>
                <a:outerShdw blurRad="50800" dist="50800" dir="5400000" algn="ctr" rotWithShape="0">
                  <a:srgbClr val="000000">
                    <a:alpha val="50000"/>
                  </a:srgbClr>
                </a:outerShdw>
              </a:effectLst>
              <a:scene3d>
                <a:camera prst="orthographicFront"/>
                <a:lightRig rig="threePt" dir="t"/>
              </a:scene3d>
              <a:sp3d>
                <a:bevelT w="0" h="0"/>
                <a:bevelB w="0" h="0"/>
              </a:sp3d>
            </c:spPr>
            <c:extLst>
              <c:ext xmlns:c16="http://schemas.microsoft.com/office/drawing/2014/chart" uri="{C3380CC4-5D6E-409C-BE32-E72D297353CC}">
                <c16:uniqueId val="{00000013-D12E-4950-8991-E6EE8ACA3704}"/>
              </c:ext>
            </c:extLst>
          </c:dPt>
          <c:dLbls>
            <c:dLbl>
              <c:idx val="0"/>
              <c:layout>
                <c:manualLayout>
                  <c:x val="-5.3059749884205649E-2"/>
                  <c:y val="0.16444620744825034"/>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1-D12E-4950-8991-E6EE8ACA3704}"/>
                </c:ext>
              </c:extLst>
            </c:dLbl>
            <c:dLbl>
              <c:idx val="1"/>
              <c:layout>
                <c:manualLayout>
                  <c:x val="0.10930986567855489"/>
                  <c:y val="-7.4270942832397838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3-D12E-4950-8991-E6EE8ACA3704}"/>
                </c:ext>
              </c:extLst>
            </c:dLbl>
            <c:dLbl>
              <c:idx val="2"/>
              <c:layout>
                <c:manualLayout>
                  <c:x val="7.4058483865987346E-2"/>
                  <c:y val="-6.2154875476837436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5-D12E-4950-8991-E6EE8ACA3704}"/>
                </c:ext>
              </c:extLst>
            </c:dLbl>
            <c:dLbl>
              <c:idx val="3"/>
              <c:layout>
                <c:manualLayout>
                  <c:x val="6.2832298903813491E-2"/>
                  <c:y val="-3.64124635554057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7-D12E-4950-8991-E6EE8ACA3704}"/>
                </c:ext>
              </c:extLst>
            </c:dLbl>
            <c:dLbl>
              <c:idx val="4"/>
              <c:layout>
                <c:manualLayout>
                  <c:x val="6.8215655396016678E-2"/>
                  <c:y val="-0.1433985865116986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9-D12E-4950-8991-E6EE8ACA3704}"/>
                </c:ext>
              </c:extLst>
            </c:dLbl>
            <c:dLbl>
              <c:idx val="5"/>
              <c:layout>
                <c:manualLayout>
                  <c:x val="7.6997869383974057E-2"/>
                  <c:y val="-7.8568529059812112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B-D12E-4950-8991-E6EE8ACA3704}"/>
                </c:ext>
              </c:extLst>
            </c:dLbl>
            <c:dLbl>
              <c:idx val="6"/>
              <c:layout>
                <c:manualLayout>
                  <c:x val="9.1533364211826354E-2"/>
                  <c:y val="-1.2728270427153784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D-D12E-4950-8991-E6EE8ACA3704}"/>
                </c:ext>
              </c:extLst>
            </c:dLbl>
            <c:dLbl>
              <c:idx val="7"/>
              <c:layout>
                <c:manualLayout>
                  <c:x val="0.20158419021151769"/>
                  <c:y val="-0.29226072181783314"/>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F-D12E-4950-8991-E6EE8ACA3704}"/>
                </c:ext>
              </c:extLst>
            </c:dLbl>
            <c:dLbl>
              <c:idx val="8"/>
              <c:layout>
                <c:manualLayout>
                  <c:x val="0.13081327775204571"/>
                  <c:y val="3.7698123555450984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11-D12E-4950-8991-E6EE8ACA3704}"/>
                </c:ext>
              </c:extLst>
            </c:dLbl>
            <c:dLbl>
              <c:idx val="9"/>
              <c:layout>
                <c:manualLayout>
                  <c:x val="0.15358091709124591"/>
                  <c:y val="-0.32119559681905446"/>
                </c:manualLayout>
              </c:layout>
              <c:dLblPos val="bestFit"/>
              <c:showLegendKey val="0"/>
              <c:showVal val="0"/>
              <c:showCatName val="1"/>
              <c:showSerName val="0"/>
              <c:showPercent val="1"/>
              <c:showBubbleSize val="0"/>
              <c:separator>, </c:separator>
              <c:extLst>
                <c:ext xmlns:c15="http://schemas.microsoft.com/office/drawing/2012/chart" uri="{CE6537A1-D6FC-4f65-9D91-7224C49458BB}">
                  <c15:layout>
                    <c:manualLayout>
                      <c:w val="0.13153608151922183"/>
                      <c:h val="9.8081023454157784E-2"/>
                    </c:manualLayout>
                  </c15:layout>
                </c:ext>
                <c:ext xmlns:c16="http://schemas.microsoft.com/office/drawing/2014/chart" uri="{C3380CC4-5D6E-409C-BE32-E72D297353CC}">
                  <c16:uniqueId val="{00000013-D12E-4950-8991-E6EE8ACA3704}"/>
                </c:ext>
              </c:extLst>
            </c:dLbl>
            <c:numFmt formatCode="0.0%" sourceLinked="0"/>
            <c:spPr>
              <a:noFill/>
              <a:ln w="25400">
                <a:noFill/>
              </a:ln>
            </c:spPr>
            <c:txPr>
              <a:bodyPr rot="0" vertOverflow="overflow" horzOverflow="overflow" wrap="none" lIns="7200" tIns="19050" rIns="18000" bIns="19050" anchor="ctr" anchorCtr="0">
                <a:noAutofit/>
              </a:bodyPr>
              <a:lstStyle/>
              <a:p>
                <a:pPr algn="l">
                  <a:defRPr>
                    <a:solidFill>
                      <a:srgbClr val="17365D"/>
                    </a:solidFill>
                    <a:latin typeface="Times New Roman" panose="02020603050405020304" pitchFamily="18" charset="0"/>
                    <a:cs typeface="Times New Roman" panose="02020603050405020304" pitchFamily="18" charset="0"/>
                  </a:defRPr>
                </a:pPr>
                <a:endParaRPr lang="lv-LV"/>
              </a:p>
            </c:txPr>
            <c:dLblPos val="bestFit"/>
            <c:showLegendKey val="0"/>
            <c:showVal val="0"/>
            <c:showCatName val="1"/>
            <c:showSerName val="0"/>
            <c:showPercent val="1"/>
            <c:showBubbleSize val="0"/>
            <c:separator>, </c:separator>
            <c:showLeaderLines val="1"/>
            <c:leaderLines>
              <c:spPr>
                <a:ln w="6350">
                  <a:solidFill>
                    <a:srgbClr val="D9D9D9"/>
                  </a:solidFill>
                </a:ln>
              </c:spPr>
            </c:leaderLines>
            <c:extLst>
              <c:ext xmlns:c15="http://schemas.microsoft.com/office/drawing/2012/chart" uri="{CE6537A1-D6FC-4f65-9D91-7224C49458BB}">
                <c15:spPr xmlns:c15="http://schemas.microsoft.com/office/drawing/2012/chart">
                  <a:prstGeom prst="rect">
                    <a:avLst/>
                  </a:prstGeom>
                </c15:spPr>
              </c:ext>
            </c:extLst>
          </c:dLbls>
          <c:cat>
            <c:strRef>
              <c:f>('Raj_dati 2022'!$N$100:$N$106,'Raj_dati 2022'!$N$108)</c:f>
              <c:strCache>
                <c:ptCount val="8"/>
                <c:pt idx="0">
                  <c:v>Rīga</c:v>
                </c:pt>
                <c:pt idx="1">
                  <c:v>Jelgava</c:v>
                </c:pt>
                <c:pt idx="2">
                  <c:v>Rēzekne</c:v>
                </c:pt>
                <c:pt idx="3">
                  <c:v>Daugavpils</c:v>
                </c:pt>
                <c:pt idx="4">
                  <c:v>Liepāja</c:v>
                </c:pt>
                <c:pt idx="5">
                  <c:v>Jūrmala</c:v>
                </c:pt>
                <c:pt idx="6">
                  <c:v>Ventspils</c:v>
                </c:pt>
                <c:pt idx="7">
                  <c:v>Pārējās pašvaldības</c:v>
                </c:pt>
              </c:strCache>
            </c:strRef>
          </c:cat>
          <c:val>
            <c:numRef>
              <c:f>('Raj_dati 2022'!$Y$100:$Y$106,'Raj_dati 2022'!$Y$108)</c:f>
              <c:numCache>
                <c:formatCode>General</c:formatCode>
                <c:ptCount val="8"/>
                <c:pt idx="0">
                  <c:v>550372370</c:v>
                </c:pt>
                <c:pt idx="1">
                  <c:v>87439758</c:v>
                </c:pt>
                <c:pt idx="2">
                  <c:v>79206001</c:v>
                </c:pt>
                <c:pt idx="3">
                  <c:v>67469736</c:v>
                </c:pt>
                <c:pt idx="4">
                  <c:v>50037788</c:v>
                </c:pt>
                <c:pt idx="5">
                  <c:v>43535947</c:v>
                </c:pt>
                <c:pt idx="6">
                  <c:v>17972939</c:v>
                </c:pt>
                <c:pt idx="7" formatCode="#,##0">
                  <c:v>1055033665</c:v>
                </c:pt>
              </c:numCache>
            </c:numRef>
          </c:val>
          <c:extLst>
            <c:ext xmlns:c16="http://schemas.microsoft.com/office/drawing/2014/chart" uri="{C3380CC4-5D6E-409C-BE32-E72D297353CC}">
              <c16:uniqueId val="{00000014-D12E-4950-8991-E6EE8ACA3704}"/>
            </c:ext>
          </c:extLst>
        </c:ser>
        <c:dLbls>
          <c:showLegendKey val="0"/>
          <c:showVal val="0"/>
          <c:showCatName val="0"/>
          <c:showSerName val="0"/>
          <c:showPercent val="0"/>
          <c:showBubbleSize val="0"/>
          <c:showLeaderLines val="1"/>
        </c:dLbls>
      </c:pie3DChart>
      <c:spPr>
        <a:noFill/>
        <a:ln w="25400">
          <a:noFill/>
        </a:ln>
      </c:spPr>
    </c:plotArea>
    <c:plotVisOnly val="1"/>
    <c:dispBlanksAs val="gap"/>
    <c:showDLblsOverMax val="0"/>
  </c:chart>
  <c:spPr>
    <a:noFill/>
    <a:ln>
      <a:noFill/>
    </a:ln>
    <a:scene3d>
      <a:camera prst="orthographicFront"/>
      <a:lightRig rig="threePt" dir="t"/>
    </a:scene3d>
    <a:sp3d>
      <a:bevelT/>
    </a:sp3d>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1483703417598358E-2"/>
          <c:y val="1.8131893631174296E-2"/>
          <c:w val="0.86891356690807509"/>
          <c:h val="0.71203681756589199"/>
        </c:manualLayout>
      </c:layout>
      <c:barChart>
        <c:barDir val="col"/>
        <c:grouping val="clustered"/>
        <c:varyColors val="0"/>
        <c:ser>
          <c:idx val="0"/>
          <c:order val="0"/>
          <c:spPr>
            <a:solidFill>
              <a:srgbClr val="B9CDE5"/>
            </a:solidFill>
            <a:ln>
              <a:solidFill>
                <a:srgbClr val="B9CDE5"/>
              </a:solidFill>
            </a:ln>
          </c:spPr>
          <c:invertIfNegative val="0"/>
          <c:dLbls>
            <c:dLbl>
              <c:idx val="0"/>
              <c:layout>
                <c:manualLayout>
                  <c:x val="-1.250980658311074E-17"/>
                  <c:y val="7.105538140020899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D3FE-46B7-82EC-96EF3B8D449E}"/>
                </c:ext>
              </c:extLst>
            </c:dLbl>
            <c:dLbl>
              <c:idx val="1"/>
              <c:layout>
                <c:manualLayout>
                  <c:x val="-1.9599231930242453E-17"/>
                  <c:y val="9.003982475612475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3FE-46B7-82EC-96EF3B8D449E}"/>
                </c:ext>
              </c:extLst>
            </c:dLbl>
            <c:spPr>
              <a:noFill/>
              <a:ln>
                <a:noFill/>
              </a:ln>
              <a:effectLst/>
            </c:spPr>
            <c:txPr>
              <a:bodyPr rot="-5400000" vert="horz" wrap="square" lIns="38100" tIns="19050" rIns="38100" bIns="19050" anchor="ctr">
                <a:spAutoFit/>
              </a:bodyPr>
              <a:lstStyle/>
              <a:p>
                <a:pPr>
                  <a:defRPr baseline="0">
                    <a:solidFill>
                      <a:srgbClr val="17365D"/>
                    </a:solidFill>
                    <a:latin typeface="Times New Roman" panose="02020603050405020304" pitchFamily="18" charset="0"/>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'Iedzivotaji-novados 2022'!$B$3:$B$17</c:f>
              <c:strCache>
                <c:ptCount val="15"/>
                <c:pt idx="0">
                  <c:v>Valkas novads</c:v>
                </c:pt>
                <c:pt idx="1">
                  <c:v>Rēzekne</c:v>
                </c:pt>
                <c:pt idx="2">
                  <c:v>Ādažu novads</c:v>
                </c:pt>
                <c:pt idx="3">
                  <c:v>Alūksnes novads</c:v>
                </c:pt>
                <c:pt idx="4">
                  <c:v>Jēkabpils novads</c:v>
                </c:pt>
                <c:pt idx="5">
                  <c:v>Jelgava</c:v>
                </c:pt>
                <c:pt idx="6">
                  <c:v>Ogres novads</c:v>
                </c:pt>
                <c:pt idx="7">
                  <c:v>Ventspils novads</c:v>
                </c:pt>
                <c:pt idx="8">
                  <c:v>Siguldas novads</c:v>
                </c:pt>
                <c:pt idx="9">
                  <c:v>Saldus novads</c:v>
                </c:pt>
                <c:pt idx="10">
                  <c:v>Smiltenes novads</c:v>
                </c:pt>
                <c:pt idx="11">
                  <c:v>Valmieras novads</c:v>
                </c:pt>
                <c:pt idx="12">
                  <c:v>Preiļu novads</c:v>
                </c:pt>
                <c:pt idx="13">
                  <c:v>Madonas novads</c:v>
                </c:pt>
                <c:pt idx="14">
                  <c:v>Mārupes novads</c:v>
                </c:pt>
              </c:strCache>
            </c:strRef>
          </c:cat>
          <c:val>
            <c:numRef>
              <c:f>'Iedzivotaji-novados 2022'!$G$3:$G$17</c:f>
              <c:numCache>
                <c:formatCode>#,##0</c:formatCode>
                <c:ptCount val="15"/>
                <c:pt idx="0">
                  <c:v>3129.5609400860644</c:v>
                </c:pt>
                <c:pt idx="1">
                  <c:v>2996.878525889631</c:v>
                </c:pt>
                <c:pt idx="2">
                  <c:v>2365.1095452206787</c:v>
                </c:pt>
                <c:pt idx="3">
                  <c:v>1985.9687255668491</c:v>
                </c:pt>
                <c:pt idx="4">
                  <c:v>1779.9915144991928</c:v>
                </c:pt>
                <c:pt idx="5">
                  <c:v>1596.6357527618004</c:v>
                </c:pt>
                <c:pt idx="6">
                  <c:v>1575.7000268265876</c:v>
                </c:pt>
                <c:pt idx="7">
                  <c:v>1529.519331539442</c:v>
                </c:pt>
                <c:pt idx="8">
                  <c:v>1515.3831664550553</c:v>
                </c:pt>
                <c:pt idx="9">
                  <c:v>1348.7280380329594</c:v>
                </c:pt>
                <c:pt idx="10">
                  <c:v>1341.0562086393209</c:v>
                </c:pt>
                <c:pt idx="11">
                  <c:v>1309.8110745333045</c:v>
                </c:pt>
                <c:pt idx="12">
                  <c:v>1252.1215135135135</c:v>
                </c:pt>
                <c:pt idx="13">
                  <c:v>1236.9260811924469</c:v>
                </c:pt>
                <c:pt idx="14">
                  <c:v>1228.6608508163467</c:v>
                </c:pt>
              </c:numCache>
            </c:numRef>
          </c:val>
          <c:extLst>
            <c:ext xmlns:c16="http://schemas.microsoft.com/office/drawing/2014/chart" uri="{C3380CC4-5D6E-409C-BE32-E72D297353CC}">
              <c16:uniqueId val="{00000002-D3FE-46B7-82EC-96EF3B8D449E}"/>
            </c:ext>
          </c:extLst>
        </c:ser>
        <c:dLbls>
          <c:showLegendKey val="0"/>
          <c:showVal val="0"/>
          <c:showCatName val="0"/>
          <c:showSerName val="0"/>
          <c:showPercent val="0"/>
          <c:showBubbleSize val="0"/>
        </c:dLbls>
        <c:gapWidth val="150"/>
        <c:axId val="109008000"/>
        <c:axId val="109009536"/>
      </c:barChart>
      <c:catAx>
        <c:axId val="109008000"/>
        <c:scaling>
          <c:orientation val="minMax"/>
        </c:scaling>
        <c:delete val="0"/>
        <c:axPos val="b"/>
        <c:numFmt formatCode="General" sourceLinked="0"/>
        <c:majorTickMark val="out"/>
        <c:minorTickMark val="none"/>
        <c:tickLblPos val="nextTo"/>
        <c:spPr>
          <a:ln w="6350">
            <a:solidFill>
              <a:srgbClr val="C3C4C6"/>
            </a:solidFill>
          </a:ln>
        </c:spPr>
        <c:txPr>
          <a:bodyPr rot="-2700000" vert="horz" anchor="b" anchorCtr="1"/>
          <a:lstStyle/>
          <a:p>
            <a:pPr>
              <a:defRPr baseline="0">
                <a:solidFill>
                  <a:srgbClr val="17365D"/>
                </a:solidFill>
                <a:latin typeface="Times New Roman" panose="02020603050405020304" pitchFamily="18" charset="0"/>
                <a:cs typeface="Times New Roman" panose="02020603050405020304" pitchFamily="18" charset="0"/>
              </a:defRPr>
            </a:pPr>
            <a:endParaRPr lang="lv-LV"/>
          </a:p>
        </c:txPr>
        <c:crossAx val="109009536"/>
        <c:crosses val="autoZero"/>
        <c:auto val="1"/>
        <c:lblAlgn val="ctr"/>
        <c:lblOffset val="100"/>
        <c:noMultiLvlLbl val="0"/>
      </c:catAx>
      <c:valAx>
        <c:axId val="109009536"/>
        <c:scaling>
          <c:orientation val="minMax"/>
          <c:max val="3300"/>
          <c:min val="0"/>
        </c:scaling>
        <c:delete val="0"/>
        <c:axPos val="l"/>
        <c:majorGridlines>
          <c:spPr>
            <a:ln w="6350">
              <a:solidFill>
                <a:srgbClr val="C3C4C6"/>
              </a:solidFill>
            </a:ln>
          </c:spPr>
        </c:majorGridlines>
        <c:numFmt formatCode="#,##0" sourceLinked="1"/>
        <c:majorTickMark val="out"/>
        <c:minorTickMark val="none"/>
        <c:tickLblPos val="nextTo"/>
        <c:spPr>
          <a:ln w="6350">
            <a:solidFill>
              <a:srgbClr val="C3C4C6"/>
            </a:solidFill>
          </a:ln>
        </c:spPr>
        <c:txPr>
          <a:bodyPr/>
          <a:lstStyle/>
          <a:p>
            <a:pPr>
              <a:defRPr baseline="0">
                <a:solidFill>
                  <a:srgbClr val="17365D"/>
                </a:solidFill>
                <a:latin typeface="Times New Roman" panose="02020603050405020304" pitchFamily="18" charset="0"/>
                <a:cs typeface="Times New Roman" panose="02020603050405020304" pitchFamily="18" charset="0"/>
              </a:defRPr>
            </a:pPr>
            <a:endParaRPr lang="lv-LV"/>
          </a:p>
        </c:txPr>
        <c:crossAx val="109008000"/>
        <c:crosses val="autoZero"/>
        <c:crossBetween val="between"/>
        <c:majorUnit val="300"/>
      </c:valAx>
    </c:plotArea>
    <c:plotVisOnly val="1"/>
    <c:dispBlanksAs val="gap"/>
    <c:showDLblsOverMax val="0"/>
  </c:chart>
  <c:spPr>
    <a:ln>
      <a:noFill/>
    </a:ln>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0.08161</cdr:x>
      <cdr:y>0.47608</cdr:y>
    </cdr:from>
    <cdr:to>
      <cdr:x>0.96154</cdr:x>
      <cdr:y>0.47675</cdr:y>
    </cdr:to>
    <cdr:cxnSp macro="">
      <cdr:nvCxnSpPr>
        <cdr:cNvPr id="3" name="Straight Connector 2"/>
        <cdr:cNvCxnSpPr/>
      </cdr:nvCxnSpPr>
      <cdr:spPr>
        <a:xfrm xmlns:a="http://schemas.openxmlformats.org/drawingml/2006/main" flipV="1">
          <a:off x="484770" y="1737367"/>
          <a:ext cx="5226600" cy="2444"/>
        </a:xfrm>
        <a:prstGeom xmlns:a="http://schemas.openxmlformats.org/drawingml/2006/main" prst="line">
          <a:avLst/>
        </a:prstGeom>
        <a:ln xmlns:a="http://schemas.openxmlformats.org/drawingml/2006/main" w="15875">
          <a:solidFill>
            <a:srgbClr val="17375E"/>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0.20486</cdr:x>
      <cdr:y>0.95696</cdr:y>
    </cdr:from>
    <cdr:to>
      <cdr:x>0.8126</cdr:x>
      <cdr:y>1</cdr:y>
    </cdr:to>
    <cdr:sp macro="" textlink="">
      <cdr:nvSpPr>
        <cdr:cNvPr id="4" name="Text Box 1"/>
        <cdr:cNvSpPr txBox="1">
          <a:spLocks xmlns:a="http://schemas.openxmlformats.org/drawingml/2006/main" noChangeArrowheads="1"/>
        </cdr:cNvSpPr>
      </cdr:nvSpPr>
      <cdr:spPr bwMode="auto">
        <a:xfrm xmlns:a="http://schemas.openxmlformats.org/drawingml/2006/main">
          <a:off x="1216846" y="3841098"/>
          <a:ext cx="3609848" cy="172737"/>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square" lIns="27432" tIns="22860" rIns="0" bIns="0" anchor="t" upright="1"/>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lvl="0" indent="0" algn="ctr" defTabSz="914400" rtl="0" eaLnBrk="1" fontAlgn="auto" latinLnBrk="0" hangingPunct="1">
            <a:lnSpc>
              <a:spcPct val="100000"/>
            </a:lnSpc>
            <a:spcBef>
              <a:spcPts val="0"/>
            </a:spcBef>
            <a:spcAft>
              <a:spcPts val="0"/>
            </a:spcAft>
            <a:buClrTx/>
            <a:buSzTx/>
            <a:buFontTx/>
            <a:buNone/>
            <a:tabLst/>
            <a:defRPr sz="1000"/>
          </a:pPr>
          <a:r>
            <a:rPr lang="lv-LV" sz="1000" b="1" i="0" u="none" strike="noStrike" baseline="0">
              <a:solidFill>
                <a:srgbClr val="17365D"/>
              </a:solidFill>
              <a:effectLst/>
              <a:latin typeface="Times New Roman"/>
              <a:ea typeface="+mn-ea"/>
              <a:cs typeface="Times New Roman"/>
            </a:rPr>
            <a:t>▬▬</a:t>
          </a:r>
          <a:r>
            <a:rPr lang="lv-LV" sz="1000" b="0" i="0" u="none" strike="noStrike" baseline="0">
              <a:solidFill>
                <a:srgbClr val="17365D"/>
              </a:solidFill>
              <a:effectLst/>
              <a:latin typeface="Times New Roman"/>
              <a:ea typeface="+mn-ea"/>
              <a:cs typeface="Times New Roman"/>
            </a:rPr>
            <a:t> </a:t>
          </a:r>
          <a:r>
            <a:rPr lang="lv-LV" sz="1000">
              <a:solidFill>
                <a:srgbClr val="17365D"/>
              </a:solidFill>
              <a:effectLst/>
              <a:latin typeface="Times New Roman" panose="02020603050405020304" pitchFamily="18" charset="0"/>
              <a:ea typeface="+mn-ea"/>
              <a:cs typeface="Times New Roman" panose="02020603050405020304" pitchFamily="18" charset="0"/>
            </a:rPr>
            <a:t>Vidējais parāds uz vienu iedzīvotāju starp visām pašvaldībām</a:t>
          </a:r>
          <a:endParaRPr lang="lv-LV" sz="1000">
            <a:solidFill>
              <a:srgbClr val="17365D"/>
            </a:solidFill>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BEEF4"/>
        </a:solidFill>
        <a:ln w="25400" cap="flat" cmpd="sng" algn="ctr">
          <a:noFill/>
          <a:prstDash val="sysDot"/>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FDF4C-CF98-4346-940C-5E4515A5E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8</Pages>
  <Words>9345</Words>
  <Characters>5328</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Latvijas Republikas 2022. gada pārskats par valsts budžeta izpildi un par pašvaldību budžetiem</vt:lpstr>
    </vt:vector>
  </TitlesOfParts>
  <Company>Valsts kase</Company>
  <LinksUpToDate>false</LinksUpToDate>
  <CharactersWithSpaces>14644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2022. gada pārskats par valsts budžeta izpildi un par pašvaldību budžetiem</dc:title>
  <dc:subject>Skaidrojums</dc:subject>
  <dc:creator>Atbildīgā amatpersona: Irēna Šuksta;67094210;Irena.Suksta@kase.gov.lv</dc:creator>
  <cp:keywords/>
  <cp:lastModifiedBy>Sandija Krūmiņa-Pēkšena</cp:lastModifiedBy>
  <cp:revision>13</cp:revision>
  <cp:lastPrinted>2019-06-11T11:41:00Z</cp:lastPrinted>
  <dcterms:created xsi:type="dcterms:W3CDTF">2023-06-08T14:16:00Z</dcterms:created>
  <dcterms:modified xsi:type="dcterms:W3CDTF">2023-06-16T11:23:00Z</dcterms:modified>
</cp:coreProperties>
</file>